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footer259.xml" ContentType="application/vnd.openxmlformats-officedocument.wordprocessingml.footer+xml"/>
  <Override PartName="/word/footer26.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footer268.xml" ContentType="application/vnd.openxmlformats-officedocument.wordprocessingml.footer+xml"/>
  <Override PartName="/word/footer269.xml" ContentType="application/vnd.openxmlformats-officedocument.wordprocessingml.footer+xml"/>
  <Override PartName="/word/footer27.xml" ContentType="application/vnd.openxmlformats-officedocument.wordprocessingml.footer+xml"/>
  <Override PartName="/word/footer270.xml" ContentType="application/vnd.openxmlformats-officedocument.wordprocessingml.footer+xml"/>
  <Override PartName="/word/footer271.xml" ContentType="application/vnd.openxmlformats-officedocument.wordprocessingml.footer+xml"/>
  <Override PartName="/word/footer272.xml" ContentType="application/vnd.openxmlformats-officedocument.wordprocessingml.footer+xml"/>
  <Override PartName="/word/footer273.xml" ContentType="application/vnd.openxmlformats-officedocument.wordprocessingml.footer+xml"/>
  <Override PartName="/word/footer274.xml" ContentType="application/vnd.openxmlformats-officedocument.wordprocessingml.footer+xml"/>
  <Override PartName="/word/footer275.xml" ContentType="application/vnd.openxmlformats-officedocument.wordprocessingml.footer+xml"/>
  <Override PartName="/word/footer276.xml" ContentType="application/vnd.openxmlformats-officedocument.wordprocessingml.footer+xml"/>
  <Override PartName="/word/footer277.xml" ContentType="application/vnd.openxmlformats-officedocument.wordprocessingml.footer+xml"/>
  <Override PartName="/word/footer278.xml" ContentType="application/vnd.openxmlformats-officedocument.wordprocessingml.footer+xml"/>
  <Override PartName="/word/footer279.xml" ContentType="application/vnd.openxmlformats-officedocument.wordprocessingml.footer+xml"/>
  <Override PartName="/word/footer28.xml" ContentType="application/vnd.openxmlformats-officedocument.wordprocessingml.footer+xml"/>
  <Override PartName="/word/footer280.xml" ContentType="application/vnd.openxmlformats-officedocument.wordprocessingml.footer+xml"/>
  <Override PartName="/word/footer281.xml" ContentType="application/vnd.openxmlformats-officedocument.wordprocessingml.footer+xml"/>
  <Override PartName="/word/footer282.xml" ContentType="application/vnd.openxmlformats-officedocument.wordprocessingml.footer+xml"/>
  <Override PartName="/word/footer283.xml" ContentType="application/vnd.openxmlformats-officedocument.wordprocessingml.footer+xml"/>
  <Override PartName="/word/footer284.xml" ContentType="application/vnd.openxmlformats-officedocument.wordprocessingml.footer+xml"/>
  <Override PartName="/word/footer285.xml" ContentType="application/vnd.openxmlformats-officedocument.wordprocessingml.footer+xml"/>
  <Override PartName="/word/footer286.xml" ContentType="application/vnd.openxmlformats-officedocument.wordprocessingml.footer+xml"/>
  <Override PartName="/word/footer287.xml" ContentType="application/vnd.openxmlformats-officedocument.wordprocessingml.footer+xml"/>
  <Override PartName="/word/footer288.xml" ContentType="application/vnd.openxmlformats-officedocument.wordprocessingml.footer+xml"/>
  <Override PartName="/word/footer289.xml" ContentType="application/vnd.openxmlformats-officedocument.wordprocessingml.footer+xml"/>
  <Override PartName="/word/footer29.xml" ContentType="application/vnd.openxmlformats-officedocument.wordprocessingml.footer+xml"/>
  <Override PartName="/word/footer290.xml" ContentType="application/vnd.openxmlformats-officedocument.wordprocessingml.footer+xml"/>
  <Override PartName="/word/footer291.xml" ContentType="application/vnd.openxmlformats-officedocument.wordprocessingml.footer+xml"/>
  <Override PartName="/word/footer292.xml" ContentType="application/vnd.openxmlformats-officedocument.wordprocessingml.footer+xml"/>
  <Override PartName="/word/footer293.xml" ContentType="application/vnd.openxmlformats-officedocument.wordprocessingml.footer+xml"/>
  <Override PartName="/word/footer294.xml" ContentType="application/vnd.openxmlformats-officedocument.wordprocessingml.footer+xml"/>
  <Override PartName="/word/footer295.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CD046B">
      <w:pPr>
        <w:pStyle w:val="2"/>
        <w:spacing w:line="275" w:lineRule="auto"/>
        <w:rPr>
          <w:highlight w:val="none"/>
        </w:rPr>
      </w:pPr>
    </w:p>
    <w:p w14:paraId="37766435">
      <w:pPr>
        <w:pStyle w:val="2"/>
        <w:spacing w:line="275" w:lineRule="auto"/>
        <w:rPr>
          <w:highlight w:val="none"/>
        </w:rPr>
      </w:pPr>
    </w:p>
    <w:p w14:paraId="0BAC3142">
      <w:pPr>
        <w:pStyle w:val="2"/>
        <w:spacing w:line="276" w:lineRule="auto"/>
        <w:rPr>
          <w:highlight w:val="none"/>
        </w:rPr>
      </w:pPr>
    </w:p>
    <w:p w14:paraId="446A1B5C">
      <w:pPr>
        <w:pStyle w:val="2"/>
        <w:spacing w:line="276" w:lineRule="auto"/>
        <w:rPr>
          <w:highlight w:val="none"/>
        </w:rPr>
      </w:pPr>
    </w:p>
    <w:p w14:paraId="3DE78DBD">
      <w:pPr>
        <w:pStyle w:val="2"/>
        <w:spacing w:line="276" w:lineRule="auto"/>
        <w:rPr>
          <w:highlight w:val="none"/>
        </w:rPr>
      </w:pPr>
    </w:p>
    <w:p w14:paraId="5BACFC43">
      <w:pPr>
        <w:pStyle w:val="2"/>
        <w:spacing w:line="276" w:lineRule="auto"/>
        <w:rPr>
          <w:highlight w:val="none"/>
        </w:rPr>
      </w:pPr>
    </w:p>
    <w:p w14:paraId="1BD1E4BE">
      <w:pPr>
        <w:keepNext w:val="0"/>
        <w:keepLines w:val="0"/>
        <w:pageBreakBefore w:val="0"/>
        <w:widowControl/>
        <w:kinsoku w:val="0"/>
        <w:wordWrap/>
        <w:overflowPunct/>
        <w:topLinePunct w:val="0"/>
        <w:autoSpaceDE w:val="0"/>
        <w:autoSpaceDN w:val="0"/>
        <w:bidi w:val="0"/>
        <w:adjustRightInd w:val="0"/>
        <w:snapToGrid w:val="0"/>
        <w:spacing w:before="104" w:line="600" w:lineRule="exact"/>
        <w:ind w:left="11"/>
        <w:textAlignment w:val="baseline"/>
        <w:rPr>
          <w:rFonts w:ascii="黑体" w:hAnsi="黑体" w:eastAsia="黑体" w:cs="黑体"/>
          <w:sz w:val="32"/>
          <w:szCs w:val="32"/>
          <w:highlight w:val="none"/>
        </w:rPr>
      </w:pPr>
      <w:r>
        <w:rPr>
          <w:rFonts w:hint="eastAsia" w:ascii="黑体" w:hAnsi="黑体" w:eastAsia="黑体" w:cs="黑体"/>
          <w:color w:val="0000FF"/>
          <w:spacing w:val="5"/>
          <w:sz w:val="32"/>
          <w:szCs w:val="32"/>
          <w:highlight w:val="none"/>
          <w:lang w:eastAsia="zh-CN"/>
        </w:rPr>
        <w:t>金桥·福菊农贸市场（菊花交易中心）建设项目</w:t>
      </w:r>
      <w:r>
        <w:rPr>
          <w:rFonts w:ascii="黑体" w:hAnsi="黑体" w:eastAsia="黑体" w:cs="黑体"/>
          <w:color w:val="0000FF"/>
          <w:spacing w:val="1"/>
          <w:sz w:val="32"/>
          <w:szCs w:val="32"/>
          <w:highlight w:val="none"/>
        </w:rPr>
        <w:t>设计施工总</w:t>
      </w:r>
      <w:r>
        <w:rPr>
          <w:rFonts w:ascii="黑体" w:hAnsi="黑体" w:eastAsia="黑体" w:cs="黑体"/>
          <w:color w:val="0000FF"/>
          <w:spacing w:val="14"/>
          <w:sz w:val="32"/>
          <w:szCs w:val="32"/>
          <w:highlight w:val="none"/>
        </w:rPr>
        <w:t>承包</w:t>
      </w:r>
      <w:r>
        <w:rPr>
          <w:rFonts w:ascii="黑体" w:hAnsi="黑体" w:eastAsia="黑体" w:cs="黑体"/>
          <w:color w:val="0000FF"/>
          <w:spacing w:val="-65"/>
          <w:sz w:val="32"/>
          <w:szCs w:val="32"/>
          <w:highlight w:val="none"/>
        </w:rPr>
        <w:t xml:space="preserve"> </w:t>
      </w:r>
      <w:r>
        <w:rPr>
          <w:rFonts w:ascii="黑体" w:hAnsi="黑体" w:eastAsia="黑体" w:cs="黑体"/>
          <w:spacing w:val="5"/>
          <w:sz w:val="32"/>
          <w:szCs w:val="32"/>
          <w:highlight w:val="none"/>
        </w:rPr>
        <w:t>(项目名称)</w:t>
      </w:r>
      <w:r>
        <w:rPr>
          <w:rFonts w:hint="eastAsia" w:ascii="黑体" w:hAnsi="黑体" w:eastAsia="黑体" w:cs="黑体"/>
          <w:color w:val="0000FF"/>
          <w:spacing w:val="1"/>
          <w:sz w:val="32"/>
          <w:szCs w:val="32"/>
          <w:highlight w:val="none"/>
          <w:lang w:eastAsia="zh-CN"/>
        </w:rPr>
        <w:t>金桥·福菊农贸市场（菊花交易中心）建设项目</w:t>
      </w:r>
      <w:r>
        <w:rPr>
          <w:rFonts w:ascii="黑体" w:hAnsi="黑体" w:eastAsia="黑体" w:cs="黑体"/>
          <w:color w:val="0000FF"/>
          <w:spacing w:val="1"/>
          <w:sz w:val="32"/>
          <w:szCs w:val="32"/>
          <w:highlight w:val="none"/>
        </w:rPr>
        <w:t>设计施工总</w:t>
      </w:r>
      <w:r>
        <w:rPr>
          <w:rFonts w:ascii="黑体" w:hAnsi="黑体" w:eastAsia="黑体" w:cs="黑体"/>
          <w:color w:val="0000FF"/>
          <w:spacing w:val="14"/>
          <w:sz w:val="32"/>
          <w:szCs w:val="32"/>
          <w:highlight w:val="none"/>
        </w:rPr>
        <w:t>承包</w:t>
      </w:r>
      <w:r>
        <w:rPr>
          <w:rFonts w:ascii="黑体" w:hAnsi="黑体" w:eastAsia="黑体" w:cs="黑体"/>
          <w:color w:val="0000FF"/>
          <w:spacing w:val="-32"/>
          <w:sz w:val="32"/>
          <w:szCs w:val="32"/>
          <w:highlight w:val="none"/>
        </w:rPr>
        <w:t xml:space="preserve"> </w:t>
      </w:r>
      <w:r>
        <w:rPr>
          <w:rFonts w:ascii="黑体" w:hAnsi="黑体" w:eastAsia="黑体" w:cs="黑体"/>
          <w:spacing w:val="14"/>
          <w:sz w:val="32"/>
          <w:szCs w:val="32"/>
          <w:highlight w:val="none"/>
        </w:rPr>
        <w:t>(标段名称)工程总承包招标</w:t>
      </w:r>
    </w:p>
    <w:p w14:paraId="38705DB0">
      <w:pPr>
        <w:pStyle w:val="2"/>
        <w:spacing w:line="343" w:lineRule="auto"/>
        <w:rPr>
          <w:highlight w:val="none"/>
        </w:rPr>
      </w:pPr>
    </w:p>
    <w:p w14:paraId="55B61A91">
      <w:pPr>
        <w:pStyle w:val="2"/>
        <w:spacing w:line="344" w:lineRule="auto"/>
        <w:rPr>
          <w:highlight w:val="none"/>
        </w:rPr>
      </w:pPr>
    </w:p>
    <w:p w14:paraId="225C586D">
      <w:pPr>
        <w:spacing w:before="182" w:line="222" w:lineRule="auto"/>
        <w:ind w:left="2733"/>
        <w:rPr>
          <w:rFonts w:ascii="黑体" w:hAnsi="黑体" w:eastAsia="黑体" w:cs="黑体"/>
          <w:sz w:val="56"/>
          <w:szCs w:val="56"/>
          <w:highlight w:val="none"/>
        </w:rPr>
      </w:pPr>
      <w:r>
        <w:rPr>
          <w:rFonts w:ascii="黑体" w:hAnsi="黑体" w:eastAsia="黑体" w:cs="黑体"/>
          <w:spacing w:val="-15"/>
          <w:sz w:val="56"/>
          <w:szCs w:val="56"/>
          <w:highlight w:val="none"/>
        </w:rPr>
        <w:t>招</w:t>
      </w:r>
      <w:r>
        <w:rPr>
          <w:rFonts w:ascii="黑体" w:hAnsi="黑体" w:eastAsia="黑体" w:cs="黑体"/>
          <w:spacing w:val="-64"/>
          <w:sz w:val="56"/>
          <w:szCs w:val="56"/>
          <w:highlight w:val="none"/>
        </w:rPr>
        <w:t xml:space="preserve"> </w:t>
      </w:r>
      <w:r>
        <w:rPr>
          <w:rFonts w:ascii="黑体" w:hAnsi="黑体" w:eastAsia="黑体" w:cs="黑体"/>
          <w:spacing w:val="-15"/>
          <w:sz w:val="56"/>
          <w:szCs w:val="56"/>
          <w:highlight w:val="none"/>
        </w:rPr>
        <w:t>标</w:t>
      </w:r>
      <w:r>
        <w:rPr>
          <w:rFonts w:ascii="黑体" w:hAnsi="黑体" w:eastAsia="黑体" w:cs="黑体"/>
          <w:spacing w:val="-46"/>
          <w:sz w:val="56"/>
          <w:szCs w:val="56"/>
          <w:highlight w:val="none"/>
        </w:rPr>
        <w:t xml:space="preserve"> </w:t>
      </w:r>
      <w:r>
        <w:rPr>
          <w:rFonts w:ascii="黑体" w:hAnsi="黑体" w:eastAsia="黑体" w:cs="黑体"/>
          <w:spacing w:val="-15"/>
          <w:sz w:val="56"/>
          <w:szCs w:val="56"/>
          <w:highlight w:val="none"/>
        </w:rPr>
        <w:t>文</w:t>
      </w:r>
      <w:r>
        <w:rPr>
          <w:rFonts w:ascii="黑体" w:hAnsi="黑体" w:eastAsia="黑体" w:cs="黑体"/>
          <w:spacing w:val="-58"/>
          <w:sz w:val="56"/>
          <w:szCs w:val="56"/>
          <w:highlight w:val="none"/>
        </w:rPr>
        <w:t xml:space="preserve"> </w:t>
      </w:r>
      <w:r>
        <w:rPr>
          <w:rFonts w:ascii="黑体" w:hAnsi="黑体" w:eastAsia="黑体" w:cs="黑体"/>
          <w:spacing w:val="-15"/>
          <w:sz w:val="56"/>
          <w:szCs w:val="56"/>
          <w:highlight w:val="none"/>
        </w:rPr>
        <w:t>件</w:t>
      </w:r>
    </w:p>
    <w:p w14:paraId="2789D74E">
      <w:pPr>
        <w:pStyle w:val="2"/>
        <w:spacing w:line="267" w:lineRule="auto"/>
        <w:rPr>
          <w:highlight w:val="none"/>
        </w:rPr>
      </w:pPr>
    </w:p>
    <w:p w14:paraId="36C84254">
      <w:pPr>
        <w:pStyle w:val="2"/>
        <w:spacing w:line="267" w:lineRule="auto"/>
        <w:rPr>
          <w:highlight w:val="none"/>
        </w:rPr>
      </w:pPr>
    </w:p>
    <w:p w14:paraId="1B85B66B">
      <w:pPr>
        <w:pStyle w:val="2"/>
        <w:spacing w:line="267" w:lineRule="auto"/>
        <w:rPr>
          <w:highlight w:val="none"/>
        </w:rPr>
      </w:pPr>
    </w:p>
    <w:p w14:paraId="1E6C5A65">
      <w:pPr>
        <w:pStyle w:val="2"/>
        <w:spacing w:line="267" w:lineRule="auto"/>
        <w:rPr>
          <w:highlight w:val="none"/>
        </w:rPr>
      </w:pPr>
    </w:p>
    <w:p w14:paraId="6078C005">
      <w:pPr>
        <w:pStyle w:val="2"/>
        <w:spacing w:before="91" w:line="382" w:lineRule="exact"/>
        <w:ind w:left="2953"/>
        <w:rPr>
          <w:sz w:val="28"/>
          <w:szCs w:val="28"/>
          <w:highlight w:val="none"/>
        </w:rPr>
      </w:pPr>
      <w:r>
        <w:rPr>
          <w:rFonts w:ascii="黑体" w:hAnsi="黑体" w:eastAsia="黑体" w:cs="黑体"/>
          <w:spacing w:val="-13"/>
          <w:position w:val="1"/>
          <w:sz w:val="28"/>
          <w:szCs w:val="28"/>
          <w:highlight w:val="none"/>
        </w:rPr>
        <w:t>招标编号：HBMC-202608FJ-016001</w:t>
      </w:r>
    </w:p>
    <w:p w14:paraId="3286F922">
      <w:pPr>
        <w:pStyle w:val="2"/>
        <w:rPr>
          <w:highlight w:val="none"/>
        </w:rPr>
      </w:pPr>
    </w:p>
    <w:p w14:paraId="28445B4B">
      <w:pPr>
        <w:pStyle w:val="2"/>
        <w:rPr>
          <w:highlight w:val="none"/>
        </w:rPr>
      </w:pPr>
    </w:p>
    <w:p w14:paraId="0A09ECB3">
      <w:pPr>
        <w:pStyle w:val="2"/>
        <w:rPr>
          <w:highlight w:val="none"/>
        </w:rPr>
      </w:pPr>
    </w:p>
    <w:p w14:paraId="75C72A7F">
      <w:pPr>
        <w:pStyle w:val="2"/>
        <w:rPr>
          <w:highlight w:val="none"/>
        </w:rPr>
      </w:pPr>
    </w:p>
    <w:p w14:paraId="551289F6">
      <w:pPr>
        <w:pStyle w:val="2"/>
        <w:rPr>
          <w:highlight w:val="none"/>
        </w:rPr>
      </w:pPr>
    </w:p>
    <w:p w14:paraId="29C1A8E3">
      <w:pPr>
        <w:pStyle w:val="2"/>
        <w:rPr>
          <w:highlight w:val="none"/>
        </w:rPr>
      </w:pPr>
    </w:p>
    <w:p w14:paraId="019A4F42">
      <w:pPr>
        <w:pStyle w:val="2"/>
        <w:rPr>
          <w:highlight w:val="none"/>
        </w:rPr>
      </w:pPr>
    </w:p>
    <w:p w14:paraId="212DABC2">
      <w:pPr>
        <w:pStyle w:val="2"/>
        <w:rPr>
          <w:highlight w:val="none"/>
        </w:rPr>
      </w:pPr>
    </w:p>
    <w:p w14:paraId="00A85564">
      <w:pPr>
        <w:pStyle w:val="2"/>
        <w:rPr>
          <w:highlight w:val="none"/>
        </w:rPr>
      </w:pPr>
    </w:p>
    <w:p w14:paraId="510FE777">
      <w:pPr>
        <w:pStyle w:val="2"/>
        <w:rPr>
          <w:highlight w:val="none"/>
        </w:rPr>
      </w:pPr>
    </w:p>
    <w:p w14:paraId="39E09835">
      <w:pPr>
        <w:pStyle w:val="2"/>
        <w:rPr>
          <w:highlight w:val="none"/>
        </w:rPr>
      </w:pPr>
    </w:p>
    <w:p w14:paraId="1C60C6DD">
      <w:pPr>
        <w:pStyle w:val="2"/>
        <w:rPr>
          <w:highlight w:val="none"/>
        </w:rPr>
      </w:pPr>
    </w:p>
    <w:p w14:paraId="7BD4DB00">
      <w:pPr>
        <w:pStyle w:val="2"/>
        <w:rPr>
          <w:highlight w:val="none"/>
        </w:rPr>
      </w:pPr>
    </w:p>
    <w:p w14:paraId="6874349F">
      <w:pPr>
        <w:pStyle w:val="2"/>
        <w:rPr>
          <w:highlight w:val="none"/>
        </w:rPr>
      </w:pPr>
    </w:p>
    <w:p w14:paraId="69843696">
      <w:pPr>
        <w:pStyle w:val="2"/>
        <w:rPr>
          <w:highlight w:val="none"/>
        </w:rPr>
      </w:pPr>
    </w:p>
    <w:p w14:paraId="55B49CB9">
      <w:pPr>
        <w:pStyle w:val="2"/>
        <w:rPr>
          <w:highlight w:val="none"/>
        </w:rPr>
      </w:pPr>
    </w:p>
    <w:p w14:paraId="5384805A">
      <w:pPr>
        <w:pStyle w:val="2"/>
        <w:spacing w:line="241" w:lineRule="auto"/>
        <w:rPr>
          <w:highlight w:val="none"/>
        </w:rPr>
      </w:pPr>
    </w:p>
    <w:p w14:paraId="1C8B2F52">
      <w:pPr>
        <w:pStyle w:val="2"/>
        <w:spacing w:line="241" w:lineRule="auto"/>
        <w:rPr>
          <w:highlight w:val="none"/>
        </w:rPr>
      </w:pPr>
    </w:p>
    <w:p w14:paraId="1294A239">
      <w:pPr>
        <w:pStyle w:val="2"/>
        <w:spacing w:line="241" w:lineRule="auto"/>
        <w:rPr>
          <w:highlight w:val="none"/>
        </w:rPr>
      </w:pPr>
    </w:p>
    <w:p w14:paraId="2451D01A">
      <w:pPr>
        <w:pStyle w:val="2"/>
        <w:spacing w:line="241" w:lineRule="auto"/>
        <w:rPr>
          <w:highlight w:val="none"/>
        </w:rPr>
      </w:pPr>
    </w:p>
    <w:p w14:paraId="51A32804">
      <w:pPr>
        <w:pStyle w:val="2"/>
        <w:spacing w:line="241" w:lineRule="auto"/>
        <w:rPr>
          <w:highlight w:val="none"/>
        </w:rPr>
      </w:pPr>
    </w:p>
    <w:p w14:paraId="148D919C">
      <w:pPr>
        <w:spacing w:before="104" w:line="222" w:lineRule="auto"/>
        <w:ind w:left="1903"/>
        <w:rPr>
          <w:rFonts w:ascii="黑体" w:hAnsi="黑体" w:eastAsia="黑体" w:cs="黑体"/>
          <w:sz w:val="32"/>
          <w:szCs w:val="32"/>
          <w:highlight w:val="none"/>
        </w:rPr>
      </w:pPr>
      <w:r>
        <w:rPr>
          <w:rFonts w:ascii="黑体" w:hAnsi="黑体" w:eastAsia="黑体" w:cs="黑体"/>
          <w:spacing w:val="25"/>
          <w:sz w:val="32"/>
          <w:szCs w:val="32"/>
          <w:highlight w:val="none"/>
        </w:rPr>
        <w:t>招标人/招标代理机构(盖章):</w:t>
      </w:r>
    </w:p>
    <w:p w14:paraId="405A9657">
      <w:pPr>
        <w:pStyle w:val="2"/>
        <w:spacing w:line="256" w:lineRule="auto"/>
        <w:rPr>
          <w:highlight w:val="none"/>
        </w:rPr>
      </w:pPr>
    </w:p>
    <w:p w14:paraId="71EC53DE">
      <w:pPr>
        <w:pStyle w:val="2"/>
        <w:spacing w:line="256" w:lineRule="auto"/>
        <w:rPr>
          <w:highlight w:val="none"/>
        </w:rPr>
      </w:pPr>
    </w:p>
    <w:p w14:paraId="024C605C">
      <w:pPr>
        <w:pStyle w:val="2"/>
        <w:spacing w:line="257" w:lineRule="auto"/>
        <w:rPr>
          <w:highlight w:val="none"/>
        </w:rPr>
      </w:pPr>
    </w:p>
    <w:p w14:paraId="26C26358">
      <w:pPr>
        <w:spacing w:before="104" w:line="223" w:lineRule="auto"/>
        <w:ind w:left="2803"/>
        <w:rPr>
          <w:rFonts w:ascii="黑体" w:hAnsi="黑体" w:eastAsia="黑体" w:cs="黑体"/>
          <w:sz w:val="32"/>
          <w:szCs w:val="32"/>
          <w:highlight w:val="none"/>
        </w:rPr>
      </w:pPr>
      <w:r>
        <w:rPr>
          <w:rFonts w:ascii="黑体" w:hAnsi="黑体" w:eastAsia="黑体" w:cs="黑体"/>
          <w:color w:val="0000FF"/>
          <w:spacing w:val="39"/>
          <w:sz w:val="32"/>
          <w:szCs w:val="32"/>
          <w:highlight w:val="none"/>
        </w:rPr>
        <w:t>2026年0</w:t>
      </w:r>
      <w:r>
        <w:rPr>
          <w:rFonts w:hint="eastAsia" w:ascii="黑体" w:hAnsi="黑体" w:eastAsia="黑体" w:cs="黑体"/>
          <w:color w:val="0000FF"/>
          <w:spacing w:val="39"/>
          <w:sz w:val="32"/>
          <w:szCs w:val="32"/>
          <w:highlight w:val="none"/>
          <w:lang w:val="en-US" w:eastAsia="zh-CN"/>
        </w:rPr>
        <w:t>8</w:t>
      </w:r>
      <w:r>
        <w:rPr>
          <w:rFonts w:ascii="黑体" w:hAnsi="黑体" w:eastAsia="黑体" w:cs="黑体"/>
          <w:color w:val="0000FF"/>
          <w:spacing w:val="39"/>
          <w:sz w:val="32"/>
          <w:szCs w:val="32"/>
          <w:highlight w:val="none"/>
        </w:rPr>
        <w:t>月</w:t>
      </w:r>
      <w:r>
        <w:rPr>
          <w:rFonts w:hint="eastAsia" w:ascii="黑体" w:hAnsi="黑体" w:eastAsia="黑体" w:cs="黑体"/>
          <w:color w:val="0000FF"/>
          <w:spacing w:val="39"/>
          <w:sz w:val="32"/>
          <w:szCs w:val="32"/>
          <w:highlight w:val="none"/>
          <w:lang w:val="en-US" w:eastAsia="zh-CN"/>
        </w:rPr>
        <w:t xml:space="preserve">  </w:t>
      </w:r>
      <w:r>
        <w:rPr>
          <w:rFonts w:ascii="黑体" w:hAnsi="黑体" w:eastAsia="黑体" w:cs="黑体"/>
          <w:color w:val="0000FF"/>
          <w:spacing w:val="39"/>
          <w:sz w:val="32"/>
          <w:szCs w:val="32"/>
          <w:highlight w:val="none"/>
        </w:rPr>
        <w:t>日</w:t>
      </w:r>
    </w:p>
    <w:p w14:paraId="55F358D5">
      <w:pPr>
        <w:spacing w:line="223" w:lineRule="auto"/>
        <w:rPr>
          <w:rFonts w:ascii="黑体" w:hAnsi="黑体" w:eastAsia="黑体" w:cs="黑体"/>
          <w:sz w:val="32"/>
          <w:szCs w:val="32"/>
          <w:highlight w:val="none"/>
        </w:rPr>
      </w:pPr>
    </w:p>
    <w:p w14:paraId="66179CF3">
      <w:pPr>
        <w:spacing w:line="223" w:lineRule="auto"/>
        <w:rPr>
          <w:rFonts w:ascii="黑体" w:hAnsi="黑体" w:eastAsia="黑体" w:cs="黑体"/>
          <w:sz w:val="32"/>
          <w:szCs w:val="32"/>
          <w:highlight w:val="none"/>
        </w:rPr>
      </w:pPr>
    </w:p>
    <w:p w14:paraId="2C0FFFC0">
      <w:pPr>
        <w:spacing w:line="223" w:lineRule="auto"/>
        <w:rPr>
          <w:rFonts w:ascii="黑体" w:hAnsi="黑体" w:eastAsia="黑体" w:cs="黑体"/>
          <w:sz w:val="32"/>
          <w:szCs w:val="32"/>
          <w:highlight w:val="none"/>
        </w:rPr>
      </w:pPr>
    </w:p>
    <w:p w14:paraId="0B9E50F7">
      <w:pPr>
        <w:spacing w:line="223" w:lineRule="auto"/>
        <w:rPr>
          <w:rFonts w:ascii="黑体" w:hAnsi="黑体" w:eastAsia="黑体" w:cs="黑体"/>
          <w:sz w:val="32"/>
          <w:szCs w:val="32"/>
          <w:highlight w:val="none"/>
        </w:rPr>
      </w:pPr>
    </w:p>
    <w:p w14:paraId="50647B4C">
      <w:pPr>
        <w:spacing w:line="223" w:lineRule="auto"/>
        <w:rPr>
          <w:rFonts w:ascii="黑体" w:hAnsi="黑体" w:eastAsia="黑体" w:cs="黑体"/>
          <w:sz w:val="32"/>
          <w:szCs w:val="32"/>
          <w:highlight w:val="none"/>
        </w:rPr>
      </w:pPr>
    </w:p>
    <w:p w14:paraId="5C30E17A">
      <w:pPr>
        <w:spacing w:line="223" w:lineRule="auto"/>
        <w:rPr>
          <w:rFonts w:ascii="黑体" w:hAnsi="黑体" w:eastAsia="黑体" w:cs="黑体"/>
          <w:sz w:val="32"/>
          <w:szCs w:val="32"/>
          <w:highlight w:val="none"/>
        </w:rPr>
      </w:pPr>
    </w:p>
    <w:p w14:paraId="39495136">
      <w:pPr>
        <w:spacing w:line="223" w:lineRule="auto"/>
        <w:rPr>
          <w:rFonts w:ascii="黑体" w:hAnsi="黑体" w:eastAsia="黑体" w:cs="黑体"/>
          <w:sz w:val="32"/>
          <w:szCs w:val="32"/>
          <w:highlight w:val="none"/>
        </w:rPr>
      </w:pPr>
    </w:p>
    <w:p w14:paraId="11528080">
      <w:pPr>
        <w:spacing w:line="223" w:lineRule="auto"/>
        <w:rPr>
          <w:rFonts w:ascii="黑体" w:hAnsi="黑体" w:eastAsia="黑体" w:cs="黑体"/>
          <w:sz w:val="32"/>
          <w:szCs w:val="32"/>
          <w:highlight w:val="none"/>
        </w:rPr>
        <w:sectPr>
          <w:pgSz w:w="11910" w:h="16840"/>
          <w:pgMar w:top="1431" w:right="1786" w:bottom="0" w:left="1786" w:header="0" w:footer="0" w:gutter="0"/>
          <w:cols w:space="720" w:num="1"/>
        </w:sectPr>
      </w:pPr>
    </w:p>
    <w:p w14:paraId="44B5482B">
      <w:pPr>
        <w:pStyle w:val="2"/>
        <w:rPr>
          <w:highlight w:val="none"/>
        </w:rPr>
      </w:pPr>
    </w:p>
    <w:p w14:paraId="50F48E8B">
      <w:pPr>
        <w:pStyle w:val="2"/>
        <w:spacing w:line="260" w:lineRule="auto"/>
        <w:rPr>
          <w:highlight w:val="none"/>
        </w:rPr>
      </w:pPr>
    </w:p>
    <w:sdt>
      <w:sdtPr>
        <w:rPr>
          <w:rFonts w:ascii="黑体" w:hAnsi="黑体" w:eastAsia="黑体" w:cs="黑体"/>
          <w:sz w:val="34"/>
          <w:szCs w:val="34"/>
          <w:highlight w:val="none"/>
        </w:rPr>
        <w:id w:val="147481225"/>
        <w:docPartObj>
          <w:docPartGallery w:val="Table of Contents"/>
          <w:docPartUnique/>
        </w:docPartObj>
      </w:sdtPr>
      <w:sdtEndPr>
        <w:rPr>
          <w:rFonts w:ascii="Arial" w:hAnsi="Arial" w:eastAsia="Arial" w:cs="Arial"/>
          <w:sz w:val="19"/>
          <w:szCs w:val="19"/>
          <w:highlight w:val="none"/>
        </w:rPr>
      </w:sdtEndPr>
      <w:sdtContent>
        <w:p w14:paraId="24BB69A6">
          <w:pPr>
            <w:spacing w:before="111" w:line="222" w:lineRule="auto"/>
            <w:ind w:left="3612"/>
            <w:rPr>
              <w:rFonts w:ascii="黑体" w:hAnsi="黑体" w:eastAsia="黑体" w:cs="黑体"/>
              <w:sz w:val="34"/>
              <w:szCs w:val="34"/>
              <w:highlight w:val="none"/>
            </w:rPr>
          </w:pPr>
          <w:r>
            <w:rPr>
              <w:rFonts w:ascii="黑体" w:hAnsi="黑体" w:eastAsia="黑体" w:cs="黑体"/>
              <w:b/>
              <w:bCs/>
              <w:spacing w:val="-20"/>
              <w:sz w:val="34"/>
              <w:szCs w:val="34"/>
              <w:highlight w:val="none"/>
            </w:rPr>
            <w:t>目</w:t>
          </w:r>
          <w:r>
            <w:rPr>
              <w:rFonts w:ascii="黑体" w:hAnsi="黑体" w:eastAsia="黑体" w:cs="黑体"/>
              <w:spacing w:val="-20"/>
              <w:sz w:val="34"/>
              <w:szCs w:val="34"/>
              <w:highlight w:val="none"/>
            </w:rPr>
            <w:t xml:space="preserve">   </w:t>
          </w:r>
          <w:r>
            <w:rPr>
              <w:rFonts w:ascii="黑体" w:hAnsi="黑体" w:eastAsia="黑体" w:cs="黑体"/>
              <w:b/>
              <w:bCs/>
              <w:spacing w:val="-20"/>
              <w:sz w:val="34"/>
              <w:szCs w:val="34"/>
              <w:highlight w:val="none"/>
            </w:rPr>
            <w:t>录</w:t>
          </w:r>
        </w:p>
        <w:p w14:paraId="54B59141">
          <w:pPr>
            <w:pStyle w:val="2"/>
            <w:tabs>
              <w:tab w:val="right" w:leader="dot" w:pos="8302"/>
            </w:tabs>
            <w:spacing w:before="258" w:line="222" w:lineRule="auto"/>
            <w:rPr>
              <w:sz w:val="19"/>
              <w:szCs w:val="19"/>
              <w:highlight w:val="none"/>
            </w:rPr>
          </w:pPr>
          <w:r>
            <w:rPr>
              <w:highlight w:val="none"/>
            </w:rPr>
            <w:fldChar w:fldCharType="begin"/>
          </w:r>
          <w:r>
            <w:rPr>
              <w:highlight w:val="none"/>
            </w:rPr>
            <w:instrText xml:space="preserve"> HYPERLINK \l "bookmark1" </w:instrText>
          </w:r>
          <w:r>
            <w:rPr>
              <w:highlight w:val="none"/>
            </w:rPr>
            <w:fldChar w:fldCharType="separate"/>
          </w:r>
          <w:r>
            <w:rPr>
              <w:rFonts w:ascii="黑体" w:hAnsi="黑体" w:eastAsia="黑体" w:cs="黑体"/>
              <w:b/>
              <w:bCs/>
              <w:spacing w:val="-11"/>
              <w:highlight w:val="none"/>
            </w:rPr>
            <w:t>第一章</w:t>
          </w:r>
          <w:r>
            <w:rPr>
              <w:rFonts w:ascii="黑体" w:hAnsi="黑体" w:eastAsia="黑体" w:cs="黑体"/>
              <w:spacing w:val="-11"/>
              <w:highlight w:val="none"/>
            </w:rPr>
            <w:t xml:space="preserve"> </w:t>
          </w:r>
          <w:r>
            <w:rPr>
              <w:rFonts w:ascii="黑体" w:hAnsi="黑体" w:eastAsia="黑体" w:cs="黑体"/>
              <w:b/>
              <w:bCs/>
              <w:spacing w:val="-11"/>
              <w:highlight w:val="none"/>
            </w:rPr>
            <w:t>招标公告/投标邀请书</w:t>
          </w:r>
          <w:r>
            <w:rPr>
              <w:rFonts w:ascii="黑体" w:hAnsi="黑体" w:eastAsia="黑体" w:cs="黑体"/>
              <w:spacing w:val="-84"/>
              <w:highlight w:val="none"/>
            </w:rPr>
            <w:t xml:space="preserve"> </w:t>
          </w:r>
          <w:r>
            <w:rPr>
              <w:rFonts w:ascii="黑体" w:hAnsi="黑体" w:eastAsia="黑体" w:cs="黑体"/>
              <w:highlight w:val="none"/>
            </w:rPr>
            <w:tab/>
          </w:r>
          <w:r>
            <w:rPr>
              <w:b/>
              <w:bCs/>
              <w:spacing w:val="-10"/>
              <w:w w:val="34"/>
              <w:sz w:val="19"/>
              <w:szCs w:val="19"/>
              <w:highlight w:val="none"/>
            </w:rPr>
            <w:t>1</w:t>
          </w:r>
          <w:r>
            <w:rPr>
              <w:b/>
              <w:bCs/>
              <w:spacing w:val="-10"/>
              <w:w w:val="34"/>
              <w:sz w:val="19"/>
              <w:szCs w:val="19"/>
              <w:highlight w:val="none"/>
            </w:rPr>
            <w:fldChar w:fldCharType="end"/>
          </w:r>
        </w:p>
        <w:p w14:paraId="0888C147">
          <w:pPr>
            <w:pStyle w:val="2"/>
            <w:tabs>
              <w:tab w:val="right" w:leader="dot" w:pos="8302"/>
            </w:tabs>
            <w:spacing w:before="166" w:line="221" w:lineRule="auto"/>
            <w:rPr>
              <w:sz w:val="19"/>
              <w:szCs w:val="19"/>
              <w:highlight w:val="none"/>
            </w:rPr>
          </w:pPr>
          <w:r>
            <w:rPr>
              <w:highlight w:val="none"/>
            </w:rPr>
            <w:fldChar w:fldCharType="begin"/>
          </w:r>
          <w:r>
            <w:rPr>
              <w:highlight w:val="none"/>
            </w:rPr>
            <w:instrText xml:space="preserve"> HYPERLINK \l "bookmark2" </w:instrText>
          </w:r>
          <w:r>
            <w:rPr>
              <w:highlight w:val="none"/>
            </w:rPr>
            <w:fldChar w:fldCharType="separate"/>
          </w:r>
          <w:r>
            <w:rPr>
              <w:rFonts w:ascii="黑体" w:hAnsi="黑体" w:eastAsia="黑体" w:cs="黑体"/>
              <w:b/>
              <w:bCs/>
              <w:spacing w:val="-11"/>
              <w:highlight w:val="none"/>
            </w:rPr>
            <w:t>第二章</w:t>
          </w:r>
          <w:r>
            <w:rPr>
              <w:rFonts w:ascii="黑体" w:hAnsi="黑体" w:eastAsia="黑体" w:cs="黑体"/>
              <w:spacing w:val="-11"/>
              <w:highlight w:val="none"/>
            </w:rPr>
            <w:t xml:space="preserve"> </w:t>
          </w:r>
          <w:r>
            <w:rPr>
              <w:rFonts w:ascii="黑体" w:hAnsi="黑体" w:eastAsia="黑体" w:cs="黑体"/>
              <w:b/>
              <w:bCs/>
              <w:spacing w:val="-11"/>
              <w:highlight w:val="none"/>
            </w:rPr>
            <w:t>投标人须知</w:t>
          </w:r>
          <w:r>
            <w:rPr>
              <w:rFonts w:ascii="黑体" w:hAnsi="黑体" w:eastAsia="黑体" w:cs="黑体"/>
              <w:spacing w:val="-83"/>
              <w:highlight w:val="none"/>
            </w:rPr>
            <w:t xml:space="preserve"> </w:t>
          </w:r>
          <w:r>
            <w:rPr>
              <w:rFonts w:ascii="黑体" w:hAnsi="黑体" w:eastAsia="黑体" w:cs="黑体"/>
              <w:highlight w:val="none"/>
            </w:rPr>
            <w:tab/>
          </w:r>
          <w:r>
            <w:rPr>
              <w:rFonts w:ascii="黑体" w:hAnsi="黑体" w:eastAsia="黑体" w:cs="黑体"/>
              <w:spacing w:val="-74"/>
              <w:highlight w:val="none"/>
            </w:rPr>
            <w:t xml:space="preserve"> </w:t>
          </w:r>
          <w:r>
            <w:rPr>
              <w:b/>
              <w:bCs/>
              <w:spacing w:val="-7"/>
              <w:w w:val="58"/>
              <w:sz w:val="19"/>
              <w:szCs w:val="19"/>
              <w:highlight w:val="none"/>
            </w:rPr>
            <w:t>9</w:t>
          </w:r>
          <w:r>
            <w:rPr>
              <w:b/>
              <w:bCs/>
              <w:spacing w:val="-7"/>
              <w:w w:val="58"/>
              <w:sz w:val="19"/>
              <w:szCs w:val="19"/>
              <w:highlight w:val="none"/>
            </w:rPr>
            <w:fldChar w:fldCharType="end"/>
          </w:r>
        </w:p>
        <w:p w14:paraId="48B860AF">
          <w:pPr>
            <w:pStyle w:val="2"/>
            <w:tabs>
              <w:tab w:val="right" w:leader="dot" w:pos="8294"/>
            </w:tabs>
            <w:spacing w:before="157" w:line="259" w:lineRule="exact"/>
            <w:ind w:left="197"/>
            <w:rPr>
              <w:sz w:val="19"/>
              <w:szCs w:val="19"/>
              <w:highlight w:val="none"/>
            </w:rPr>
          </w:pPr>
          <w:r>
            <w:rPr>
              <w:highlight w:val="none"/>
            </w:rPr>
            <w:fldChar w:fldCharType="begin"/>
          </w:r>
          <w:r>
            <w:rPr>
              <w:highlight w:val="none"/>
            </w:rPr>
            <w:instrText xml:space="preserve"> HYPERLINK \l "bookmark3" </w:instrText>
          </w:r>
          <w:r>
            <w:rPr>
              <w:highlight w:val="none"/>
            </w:rPr>
            <w:fldChar w:fldCharType="separate"/>
          </w:r>
          <w:r>
            <w:rPr>
              <w:rFonts w:ascii="宋体" w:hAnsi="宋体" w:eastAsia="宋体" w:cs="宋体"/>
              <w:spacing w:val="7"/>
              <w:position w:val="1"/>
              <w:sz w:val="19"/>
              <w:szCs w:val="19"/>
              <w:highlight w:val="none"/>
            </w:rPr>
            <w:t>投标人须知前附表</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9</w:t>
          </w:r>
          <w:r>
            <w:rPr>
              <w:position w:val="1"/>
              <w:sz w:val="19"/>
              <w:szCs w:val="19"/>
              <w:highlight w:val="none"/>
            </w:rPr>
            <w:fldChar w:fldCharType="end"/>
          </w:r>
        </w:p>
        <w:p w14:paraId="31457553">
          <w:pPr>
            <w:pStyle w:val="2"/>
            <w:tabs>
              <w:tab w:val="right" w:leader="dot" w:pos="8302"/>
            </w:tabs>
            <w:spacing w:before="62" w:line="259" w:lineRule="exact"/>
            <w:ind w:left="197"/>
            <w:rPr>
              <w:sz w:val="19"/>
              <w:szCs w:val="19"/>
              <w:highlight w:val="none"/>
            </w:rPr>
          </w:pPr>
          <w:r>
            <w:rPr>
              <w:highlight w:val="none"/>
            </w:rPr>
            <w:fldChar w:fldCharType="begin"/>
          </w:r>
          <w:r>
            <w:rPr>
              <w:highlight w:val="none"/>
            </w:rPr>
            <w:instrText xml:space="preserve"> HYPERLINK \l "bookmark4" </w:instrText>
          </w:r>
          <w:r>
            <w:rPr>
              <w:highlight w:val="none"/>
            </w:rPr>
            <w:fldChar w:fldCharType="separate"/>
          </w:r>
          <w:r>
            <w:rPr>
              <w:rFonts w:ascii="宋体" w:hAnsi="宋体" w:eastAsia="宋体" w:cs="宋体"/>
              <w:spacing w:val="-2"/>
              <w:position w:val="1"/>
              <w:sz w:val="19"/>
              <w:szCs w:val="19"/>
              <w:highlight w:val="none"/>
            </w:rPr>
            <w:t>投标人须知正文部分</w:t>
          </w:r>
          <w:r>
            <w:rPr>
              <w:rFonts w:ascii="宋体" w:hAnsi="宋体" w:eastAsia="宋体" w:cs="宋体"/>
              <w:spacing w:val="-49"/>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8"/>
              <w:position w:val="1"/>
              <w:sz w:val="19"/>
              <w:szCs w:val="19"/>
              <w:highlight w:val="none"/>
            </w:rPr>
            <w:t xml:space="preserve"> </w:t>
          </w:r>
          <w:r>
            <w:rPr>
              <w:spacing w:val="-2"/>
              <w:position w:val="1"/>
              <w:sz w:val="19"/>
              <w:szCs w:val="19"/>
              <w:highlight w:val="none"/>
            </w:rPr>
            <w:t>20</w:t>
          </w:r>
          <w:r>
            <w:rPr>
              <w:spacing w:val="-2"/>
              <w:position w:val="1"/>
              <w:sz w:val="19"/>
              <w:szCs w:val="19"/>
              <w:highlight w:val="none"/>
            </w:rPr>
            <w:fldChar w:fldCharType="end"/>
          </w:r>
        </w:p>
        <w:p w14:paraId="2830CC84">
          <w:pPr>
            <w:pStyle w:val="2"/>
            <w:tabs>
              <w:tab w:val="right" w:leader="dot" w:pos="8302"/>
            </w:tabs>
            <w:spacing w:before="51" w:line="259" w:lineRule="exact"/>
            <w:ind w:left="197"/>
            <w:rPr>
              <w:sz w:val="19"/>
              <w:szCs w:val="19"/>
              <w:highlight w:val="none"/>
            </w:rPr>
          </w:pPr>
          <w:r>
            <w:rPr>
              <w:highlight w:val="none"/>
            </w:rPr>
            <w:fldChar w:fldCharType="begin"/>
          </w:r>
          <w:r>
            <w:rPr>
              <w:highlight w:val="none"/>
            </w:rPr>
            <w:instrText xml:space="preserve"> HYPERLINK \l "bookmark5" </w:instrText>
          </w:r>
          <w:r>
            <w:rPr>
              <w:highlight w:val="none"/>
            </w:rPr>
            <w:fldChar w:fldCharType="separate"/>
          </w:r>
          <w:r>
            <w:rPr>
              <w:rFonts w:ascii="Times New Roman" w:hAnsi="Times New Roman" w:eastAsia="Times New Roman" w:cs="Times New Roman"/>
              <w:spacing w:val="1"/>
              <w:position w:val="1"/>
              <w:sz w:val="19"/>
              <w:szCs w:val="19"/>
              <w:highlight w:val="none"/>
            </w:rPr>
            <w:t>1.</w:t>
          </w:r>
          <w:r>
            <w:rPr>
              <w:rFonts w:ascii="Times New Roman" w:hAnsi="Times New Roman" w:eastAsia="Times New Roman" w:cs="Times New Roman"/>
              <w:spacing w:val="5"/>
              <w:position w:val="1"/>
              <w:sz w:val="19"/>
              <w:szCs w:val="19"/>
              <w:highlight w:val="none"/>
            </w:rPr>
            <w:t xml:space="preserve">   </w:t>
          </w:r>
          <w:r>
            <w:rPr>
              <w:rFonts w:ascii="宋体" w:hAnsi="宋体" w:eastAsia="宋体" w:cs="宋体"/>
              <w:spacing w:val="1"/>
              <w:position w:val="1"/>
              <w:sz w:val="19"/>
              <w:szCs w:val="19"/>
              <w:highlight w:val="none"/>
            </w:rPr>
            <w:t>总则</w:t>
          </w:r>
          <w:r>
            <w:rPr>
              <w:rFonts w:ascii="宋体" w:hAnsi="宋体" w:eastAsia="宋体" w:cs="宋体"/>
              <w:spacing w:val="-81"/>
              <w:position w:val="1"/>
              <w:sz w:val="19"/>
              <w:szCs w:val="19"/>
              <w:highlight w:val="none"/>
            </w:rPr>
            <w:t xml:space="preserve"> </w:t>
          </w:r>
          <w:r>
            <w:rPr>
              <w:rFonts w:ascii="宋体" w:hAnsi="宋体" w:eastAsia="宋体" w:cs="宋体"/>
              <w:position w:val="1"/>
              <w:sz w:val="19"/>
              <w:szCs w:val="19"/>
              <w:highlight w:val="none"/>
            </w:rPr>
            <w:tab/>
          </w:r>
          <w:r>
            <w:rPr>
              <w:spacing w:val="-1"/>
              <w:position w:val="1"/>
              <w:sz w:val="19"/>
              <w:szCs w:val="19"/>
              <w:highlight w:val="none"/>
            </w:rPr>
            <w:t>20</w:t>
          </w:r>
          <w:r>
            <w:rPr>
              <w:spacing w:val="-1"/>
              <w:position w:val="1"/>
              <w:sz w:val="19"/>
              <w:szCs w:val="19"/>
              <w:highlight w:val="none"/>
            </w:rPr>
            <w:fldChar w:fldCharType="end"/>
          </w:r>
        </w:p>
        <w:p w14:paraId="39C68C9B">
          <w:pPr>
            <w:pStyle w:val="2"/>
            <w:tabs>
              <w:tab w:val="right" w:leader="dot" w:pos="8282"/>
            </w:tabs>
            <w:spacing w:before="51" w:line="259" w:lineRule="exact"/>
            <w:ind w:left="197"/>
            <w:rPr>
              <w:sz w:val="19"/>
              <w:szCs w:val="19"/>
              <w:highlight w:val="none"/>
            </w:rPr>
          </w:pPr>
          <w:r>
            <w:rPr>
              <w:highlight w:val="none"/>
            </w:rPr>
            <w:fldChar w:fldCharType="begin"/>
          </w:r>
          <w:r>
            <w:rPr>
              <w:highlight w:val="none"/>
            </w:rPr>
            <w:instrText xml:space="preserve"> HYPERLINK \l "bookmark6" </w:instrText>
          </w:r>
          <w:r>
            <w:rPr>
              <w:highlight w:val="none"/>
            </w:rPr>
            <w:fldChar w:fldCharType="separate"/>
          </w:r>
          <w:r>
            <w:rPr>
              <w:rFonts w:ascii="Times New Roman" w:hAnsi="Times New Roman" w:eastAsia="Times New Roman" w:cs="Times New Roman"/>
              <w:spacing w:val="5"/>
              <w:position w:val="1"/>
              <w:sz w:val="19"/>
              <w:szCs w:val="19"/>
              <w:highlight w:val="none"/>
            </w:rPr>
            <w:t>2.</w:t>
          </w:r>
          <w:r>
            <w:rPr>
              <w:rFonts w:ascii="Times New Roman" w:hAnsi="Times New Roman" w:eastAsia="Times New Roman" w:cs="Times New Roman"/>
              <w:spacing w:val="37"/>
              <w:position w:val="1"/>
              <w:sz w:val="19"/>
              <w:szCs w:val="19"/>
              <w:highlight w:val="none"/>
            </w:rPr>
            <w:t xml:space="preserve"> </w:t>
          </w:r>
          <w:r>
            <w:rPr>
              <w:rFonts w:ascii="宋体" w:hAnsi="宋体" w:eastAsia="宋体" w:cs="宋体"/>
              <w:spacing w:val="5"/>
              <w:position w:val="1"/>
              <w:sz w:val="19"/>
              <w:szCs w:val="19"/>
              <w:highlight w:val="none"/>
            </w:rPr>
            <w:t>招标文件</w:t>
          </w:r>
          <w:r>
            <w:rPr>
              <w:rFonts w:ascii="宋体" w:hAnsi="宋体" w:eastAsia="宋体" w:cs="宋体"/>
              <w:spacing w:val="-74"/>
              <w:position w:val="1"/>
              <w:sz w:val="19"/>
              <w:szCs w:val="19"/>
              <w:highlight w:val="none"/>
            </w:rPr>
            <w:t xml:space="preserve"> </w:t>
          </w:r>
          <w:r>
            <w:rPr>
              <w:rFonts w:ascii="宋体" w:hAnsi="宋体" w:eastAsia="宋体" w:cs="宋体"/>
              <w:position w:val="1"/>
              <w:sz w:val="19"/>
              <w:szCs w:val="19"/>
              <w:highlight w:val="none"/>
            </w:rPr>
            <w:tab/>
          </w:r>
          <w:r>
            <w:rPr>
              <w:spacing w:val="8"/>
              <w:position w:val="1"/>
              <w:sz w:val="19"/>
              <w:szCs w:val="19"/>
              <w:highlight w:val="none"/>
            </w:rPr>
            <w:t>23</w:t>
          </w:r>
          <w:r>
            <w:rPr>
              <w:spacing w:val="8"/>
              <w:position w:val="1"/>
              <w:sz w:val="19"/>
              <w:szCs w:val="19"/>
              <w:highlight w:val="none"/>
            </w:rPr>
            <w:fldChar w:fldCharType="end"/>
          </w:r>
        </w:p>
        <w:p w14:paraId="2818B1DD">
          <w:pPr>
            <w:pStyle w:val="2"/>
            <w:tabs>
              <w:tab w:val="right" w:leader="dot" w:pos="8302"/>
            </w:tabs>
            <w:spacing w:before="85" w:line="219" w:lineRule="auto"/>
            <w:ind w:left="197"/>
            <w:rPr>
              <w:sz w:val="19"/>
              <w:szCs w:val="19"/>
              <w:highlight w:val="none"/>
            </w:rPr>
          </w:pPr>
          <w:r>
            <w:rPr>
              <w:highlight w:val="none"/>
            </w:rPr>
            <w:fldChar w:fldCharType="begin"/>
          </w:r>
          <w:r>
            <w:rPr>
              <w:highlight w:val="none"/>
            </w:rPr>
            <w:instrText xml:space="preserve"> HYPERLINK \l "bookmark7" </w:instrText>
          </w:r>
          <w:r>
            <w:rPr>
              <w:highlight w:val="none"/>
            </w:rPr>
            <w:fldChar w:fldCharType="separate"/>
          </w:r>
          <w:r>
            <w:rPr>
              <w:rFonts w:ascii="Times New Roman" w:hAnsi="Times New Roman" w:eastAsia="Times New Roman" w:cs="Times New Roman"/>
              <w:spacing w:val="5"/>
              <w:sz w:val="19"/>
              <w:szCs w:val="19"/>
              <w:highlight w:val="none"/>
            </w:rPr>
            <w:t>3.</w:t>
          </w:r>
          <w:r>
            <w:rPr>
              <w:rFonts w:ascii="Times New Roman" w:hAnsi="Times New Roman" w:eastAsia="Times New Roman" w:cs="Times New Roman"/>
              <w:spacing w:val="37"/>
              <w:w w:val="101"/>
              <w:sz w:val="19"/>
              <w:szCs w:val="19"/>
              <w:highlight w:val="none"/>
            </w:rPr>
            <w:t xml:space="preserve"> </w:t>
          </w:r>
          <w:r>
            <w:rPr>
              <w:rFonts w:ascii="宋体" w:hAnsi="宋体" w:eastAsia="宋体" w:cs="宋体"/>
              <w:spacing w:val="5"/>
              <w:sz w:val="19"/>
              <w:szCs w:val="19"/>
              <w:highlight w:val="none"/>
            </w:rPr>
            <w:t>投标文件</w:t>
          </w:r>
          <w:r>
            <w:rPr>
              <w:rFonts w:ascii="宋体" w:hAnsi="宋体" w:eastAsia="宋体" w:cs="宋体"/>
              <w:spacing w:val="-74"/>
              <w:sz w:val="19"/>
              <w:szCs w:val="19"/>
              <w:highlight w:val="none"/>
            </w:rPr>
            <w:t xml:space="preserve"> </w:t>
          </w:r>
          <w:r>
            <w:rPr>
              <w:rFonts w:ascii="宋体" w:hAnsi="宋体" w:eastAsia="宋体" w:cs="宋体"/>
              <w:sz w:val="19"/>
              <w:szCs w:val="19"/>
              <w:highlight w:val="none"/>
            </w:rPr>
            <w:tab/>
          </w:r>
          <w:r>
            <w:rPr>
              <w:rFonts w:ascii="宋体" w:hAnsi="宋体" w:eastAsia="宋体" w:cs="宋体"/>
              <w:spacing w:val="-52"/>
              <w:sz w:val="19"/>
              <w:szCs w:val="19"/>
              <w:highlight w:val="none"/>
            </w:rPr>
            <w:t xml:space="preserve"> </w:t>
          </w:r>
          <w:r>
            <w:rPr>
              <w:spacing w:val="-2"/>
              <w:sz w:val="19"/>
              <w:szCs w:val="19"/>
              <w:highlight w:val="none"/>
            </w:rPr>
            <w:t>24</w:t>
          </w:r>
          <w:r>
            <w:rPr>
              <w:spacing w:val="-2"/>
              <w:sz w:val="19"/>
              <w:szCs w:val="19"/>
              <w:highlight w:val="none"/>
            </w:rPr>
            <w:fldChar w:fldCharType="end"/>
          </w:r>
        </w:p>
        <w:p w14:paraId="1C0E4E21">
          <w:pPr>
            <w:pStyle w:val="2"/>
            <w:tabs>
              <w:tab w:val="right" w:leader="dot" w:pos="8282"/>
            </w:tabs>
            <w:spacing w:before="85" w:line="220" w:lineRule="auto"/>
            <w:ind w:left="197"/>
            <w:rPr>
              <w:sz w:val="19"/>
              <w:szCs w:val="19"/>
              <w:highlight w:val="none"/>
            </w:rPr>
          </w:pPr>
          <w:r>
            <w:rPr>
              <w:highlight w:val="none"/>
            </w:rPr>
            <w:fldChar w:fldCharType="begin"/>
          </w:r>
          <w:r>
            <w:rPr>
              <w:highlight w:val="none"/>
            </w:rPr>
            <w:instrText xml:space="preserve"> HYPERLINK \l "bookmark8" </w:instrText>
          </w:r>
          <w:r>
            <w:rPr>
              <w:highlight w:val="none"/>
            </w:rPr>
            <w:fldChar w:fldCharType="separate"/>
          </w:r>
          <w:r>
            <w:rPr>
              <w:rFonts w:ascii="Times New Roman" w:hAnsi="Times New Roman" w:eastAsia="Times New Roman" w:cs="Times New Roman"/>
              <w:spacing w:val="3"/>
              <w:sz w:val="19"/>
              <w:szCs w:val="19"/>
              <w:highlight w:val="none"/>
            </w:rPr>
            <w:t>4.</w:t>
          </w:r>
          <w:r>
            <w:rPr>
              <w:rFonts w:ascii="Times New Roman" w:hAnsi="Times New Roman" w:eastAsia="Times New Roman" w:cs="Times New Roman"/>
              <w:spacing w:val="34"/>
              <w:sz w:val="19"/>
              <w:szCs w:val="19"/>
              <w:highlight w:val="none"/>
            </w:rPr>
            <w:t xml:space="preserve"> </w:t>
          </w:r>
          <w:r>
            <w:rPr>
              <w:rFonts w:ascii="宋体" w:hAnsi="宋体" w:eastAsia="宋体" w:cs="宋体"/>
              <w:spacing w:val="3"/>
              <w:sz w:val="19"/>
              <w:szCs w:val="19"/>
              <w:highlight w:val="none"/>
            </w:rPr>
            <w:t>投标</w:t>
          </w:r>
          <w:r>
            <w:rPr>
              <w:rFonts w:ascii="宋体" w:hAnsi="宋体" w:eastAsia="宋体" w:cs="宋体"/>
              <w:spacing w:val="-73"/>
              <w:sz w:val="19"/>
              <w:szCs w:val="19"/>
              <w:highlight w:val="none"/>
            </w:rPr>
            <w:t xml:space="preserve"> </w:t>
          </w:r>
          <w:r>
            <w:rPr>
              <w:rFonts w:ascii="宋体" w:hAnsi="宋体" w:eastAsia="宋体" w:cs="宋体"/>
              <w:sz w:val="19"/>
              <w:szCs w:val="19"/>
              <w:highlight w:val="none"/>
            </w:rPr>
            <w:tab/>
          </w:r>
          <w:r>
            <w:rPr>
              <w:rFonts w:ascii="宋体" w:hAnsi="宋体" w:eastAsia="宋体" w:cs="宋体"/>
              <w:spacing w:val="-52"/>
              <w:sz w:val="19"/>
              <w:szCs w:val="19"/>
              <w:highlight w:val="none"/>
            </w:rPr>
            <w:t xml:space="preserve"> </w:t>
          </w:r>
          <w:r>
            <w:rPr>
              <w:spacing w:val="-2"/>
              <w:sz w:val="19"/>
              <w:szCs w:val="19"/>
              <w:highlight w:val="none"/>
            </w:rPr>
            <w:t>27</w:t>
          </w:r>
          <w:r>
            <w:rPr>
              <w:spacing w:val="-2"/>
              <w:sz w:val="19"/>
              <w:szCs w:val="19"/>
              <w:highlight w:val="none"/>
            </w:rPr>
            <w:fldChar w:fldCharType="end"/>
          </w:r>
        </w:p>
        <w:p w14:paraId="3473B79C">
          <w:pPr>
            <w:pStyle w:val="2"/>
            <w:tabs>
              <w:tab w:val="right" w:leader="dot" w:pos="8302"/>
            </w:tabs>
            <w:spacing w:before="94" w:line="220" w:lineRule="auto"/>
            <w:ind w:left="197"/>
            <w:rPr>
              <w:sz w:val="19"/>
              <w:szCs w:val="19"/>
              <w:highlight w:val="none"/>
            </w:rPr>
          </w:pPr>
          <w:r>
            <w:rPr>
              <w:highlight w:val="none"/>
            </w:rPr>
            <w:fldChar w:fldCharType="begin"/>
          </w:r>
          <w:r>
            <w:rPr>
              <w:highlight w:val="none"/>
            </w:rPr>
            <w:instrText xml:space="preserve"> HYPERLINK \l "bookmark9" </w:instrText>
          </w:r>
          <w:r>
            <w:rPr>
              <w:highlight w:val="none"/>
            </w:rPr>
            <w:fldChar w:fldCharType="separate"/>
          </w:r>
          <w:r>
            <w:rPr>
              <w:rFonts w:ascii="Times New Roman" w:hAnsi="Times New Roman" w:eastAsia="Times New Roman" w:cs="Times New Roman"/>
              <w:spacing w:val="-11"/>
              <w:sz w:val="19"/>
              <w:szCs w:val="19"/>
              <w:highlight w:val="none"/>
            </w:rPr>
            <w:t xml:space="preserve">5.  </w:t>
          </w:r>
          <w:r>
            <w:rPr>
              <w:rFonts w:ascii="宋体" w:hAnsi="宋体" w:eastAsia="宋体" w:cs="宋体"/>
              <w:spacing w:val="-11"/>
              <w:sz w:val="19"/>
              <w:szCs w:val="19"/>
              <w:highlight w:val="none"/>
            </w:rPr>
            <w:t>开标</w:t>
          </w:r>
          <w:r>
            <w:rPr>
              <w:rFonts w:ascii="宋体" w:hAnsi="宋体" w:eastAsia="宋体" w:cs="宋体"/>
              <w:spacing w:val="-68"/>
              <w:sz w:val="19"/>
              <w:szCs w:val="19"/>
              <w:highlight w:val="none"/>
            </w:rPr>
            <w:t xml:space="preserve"> </w:t>
          </w:r>
          <w:r>
            <w:rPr>
              <w:rFonts w:ascii="宋体" w:hAnsi="宋体" w:eastAsia="宋体" w:cs="宋体"/>
              <w:sz w:val="19"/>
              <w:szCs w:val="19"/>
              <w:highlight w:val="none"/>
            </w:rPr>
            <w:tab/>
          </w:r>
          <w:r>
            <w:rPr>
              <w:spacing w:val="1"/>
              <w:sz w:val="19"/>
              <w:szCs w:val="19"/>
              <w:highlight w:val="none"/>
            </w:rPr>
            <w:t>27</w:t>
          </w:r>
          <w:r>
            <w:rPr>
              <w:spacing w:val="1"/>
              <w:sz w:val="19"/>
              <w:szCs w:val="19"/>
              <w:highlight w:val="none"/>
            </w:rPr>
            <w:fldChar w:fldCharType="end"/>
          </w:r>
        </w:p>
        <w:p w14:paraId="2CFC4E48">
          <w:pPr>
            <w:pStyle w:val="2"/>
            <w:tabs>
              <w:tab w:val="right" w:leader="dot" w:pos="8302"/>
            </w:tabs>
            <w:spacing w:before="49" w:line="259" w:lineRule="exact"/>
            <w:ind w:left="197"/>
            <w:rPr>
              <w:sz w:val="19"/>
              <w:szCs w:val="19"/>
              <w:highlight w:val="none"/>
            </w:rPr>
          </w:pPr>
          <w:r>
            <w:rPr>
              <w:highlight w:val="none"/>
            </w:rPr>
            <w:fldChar w:fldCharType="begin"/>
          </w:r>
          <w:r>
            <w:rPr>
              <w:highlight w:val="none"/>
            </w:rPr>
            <w:instrText xml:space="preserve"> HYPERLINK \l "bookmark10" </w:instrText>
          </w:r>
          <w:r>
            <w:rPr>
              <w:highlight w:val="none"/>
            </w:rPr>
            <w:fldChar w:fldCharType="separate"/>
          </w:r>
          <w:r>
            <w:rPr>
              <w:rFonts w:ascii="Times New Roman" w:hAnsi="Times New Roman" w:eastAsia="Times New Roman" w:cs="Times New Roman"/>
              <w:spacing w:val="2"/>
              <w:position w:val="1"/>
              <w:sz w:val="19"/>
              <w:szCs w:val="19"/>
              <w:highlight w:val="none"/>
            </w:rPr>
            <w:t>6.</w:t>
          </w:r>
          <w:r>
            <w:rPr>
              <w:rFonts w:ascii="Times New Roman" w:hAnsi="Times New Roman" w:eastAsia="Times New Roman" w:cs="Times New Roman"/>
              <w:spacing w:val="38"/>
              <w:position w:val="1"/>
              <w:sz w:val="19"/>
              <w:szCs w:val="19"/>
              <w:highlight w:val="none"/>
            </w:rPr>
            <w:t xml:space="preserve"> </w:t>
          </w:r>
          <w:r>
            <w:rPr>
              <w:rFonts w:ascii="宋体" w:hAnsi="宋体" w:eastAsia="宋体" w:cs="宋体"/>
              <w:spacing w:val="2"/>
              <w:position w:val="1"/>
              <w:sz w:val="19"/>
              <w:szCs w:val="19"/>
              <w:highlight w:val="none"/>
            </w:rPr>
            <w:t>评标</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32"/>
              <w:position w:val="1"/>
              <w:sz w:val="19"/>
              <w:szCs w:val="19"/>
              <w:highlight w:val="none"/>
            </w:rPr>
            <w:t xml:space="preserve"> </w:t>
          </w:r>
          <w:r>
            <w:rPr>
              <w:spacing w:val="-2"/>
              <w:position w:val="1"/>
              <w:sz w:val="19"/>
              <w:szCs w:val="19"/>
              <w:highlight w:val="none"/>
            </w:rPr>
            <w:t>29</w:t>
          </w:r>
          <w:r>
            <w:rPr>
              <w:spacing w:val="-2"/>
              <w:position w:val="1"/>
              <w:sz w:val="19"/>
              <w:szCs w:val="19"/>
              <w:highlight w:val="none"/>
            </w:rPr>
            <w:fldChar w:fldCharType="end"/>
          </w:r>
        </w:p>
        <w:p w14:paraId="2FCB5123">
          <w:pPr>
            <w:pStyle w:val="2"/>
            <w:tabs>
              <w:tab w:val="right" w:leader="dot" w:pos="8300"/>
            </w:tabs>
            <w:spacing w:before="52" w:line="259" w:lineRule="exact"/>
            <w:ind w:left="197"/>
            <w:rPr>
              <w:sz w:val="19"/>
              <w:szCs w:val="19"/>
              <w:highlight w:val="none"/>
            </w:rPr>
          </w:pPr>
          <w:r>
            <w:rPr>
              <w:highlight w:val="none"/>
            </w:rPr>
            <w:fldChar w:fldCharType="begin"/>
          </w:r>
          <w:r>
            <w:rPr>
              <w:highlight w:val="none"/>
            </w:rPr>
            <w:instrText xml:space="preserve"> HYPERLINK \l "bookmark11" </w:instrText>
          </w:r>
          <w:r>
            <w:rPr>
              <w:highlight w:val="none"/>
            </w:rPr>
            <w:fldChar w:fldCharType="separate"/>
          </w:r>
          <w:r>
            <w:rPr>
              <w:rFonts w:ascii="Times New Roman" w:hAnsi="Times New Roman" w:eastAsia="Times New Roman" w:cs="Times New Roman"/>
              <w:spacing w:val="7"/>
              <w:position w:val="1"/>
              <w:sz w:val="19"/>
              <w:szCs w:val="19"/>
              <w:highlight w:val="none"/>
            </w:rPr>
            <w:t>7.</w:t>
          </w:r>
          <w:r>
            <w:rPr>
              <w:rFonts w:ascii="Times New Roman" w:hAnsi="Times New Roman" w:eastAsia="Times New Roman" w:cs="Times New Roman"/>
              <w:spacing w:val="38"/>
              <w:position w:val="1"/>
              <w:sz w:val="19"/>
              <w:szCs w:val="19"/>
              <w:highlight w:val="none"/>
            </w:rPr>
            <w:t xml:space="preserve"> </w:t>
          </w:r>
          <w:r>
            <w:rPr>
              <w:rFonts w:ascii="宋体" w:hAnsi="宋体" w:eastAsia="宋体" w:cs="宋体"/>
              <w:spacing w:val="7"/>
              <w:position w:val="1"/>
              <w:sz w:val="19"/>
              <w:szCs w:val="19"/>
              <w:highlight w:val="none"/>
            </w:rPr>
            <w:t>合同授予</w:t>
          </w:r>
          <w:r>
            <w:rPr>
              <w:rFonts w:ascii="宋体" w:hAnsi="宋体" w:eastAsia="宋体" w:cs="宋体"/>
              <w:spacing w:val="-77"/>
              <w:position w:val="1"/>
              <w:sz w:val="19"/>
              <w:szCs w:val="19"/>
              <w:highlight w:val="none"/>
            </w:rPr>
            <w:t xml:space="preserve"> </w:t>
          </w:r>
          <w:r>
            <w:rPr>
              <w:rFonts w:ascii="宋体" w:hAnsi="宋体" w:eastAsia="宋体" w:cs="宋体"/>
              <w:position w:val="1"/>
              <w:sz w:val="19"/>
              <w:szCs w:val="19"/>
              <w:highlight w:val="none"/>
            </w:rPr>
            <w:tab/>
          </w:r>
          <w:r>
            <w:rPr>
              <w:spacing w:val="12"/>
              <w:position w:val="1"/>
              <w:sz w:val="19"/>
              <w:szCs w:val="19"/>
              <w:highlight w:val="none"/>
            </w:rPr>
            <w:t>30</w:t>
          </w:r>
          <w:r>
            <w:rPr>
              <w:spacing w:val="12"/>
              <w:position w:val="1"/>
              <w:sz w:val="19"/>
              <w:szCs w:val="19"/>
              <w:highlight w:val="none"/>
            </w:rPr>
            <w:fldChar w:fldCharType="end"/>
          </w:r>
        </w:p>
        <w:p w14:paraId="4893889F">
          <w:pPr>
            <w:pStyle w:val="2"/>
            <w:tabs>
              <w:tab w:val="right" w:leader="dot" w:pos="8290"/>
            </w:tabs>
            <w:spacing w:before="50" w:line="259" w:lineRule="exact"/>
            <w:ind w:left="197"/>
            <w:rPr>
              <w:sz w:val="19"/>
              <w:szCs w:val="19"/>
              <w:highlight w:val="none"/>
            </w:rPr>
          </w:pPr>
          <w:r>
            <w:rPr>
              <w:highlight w:val="none"/>
            </w:rPr>
            <w:fldChar w:fldCharType="begin"/>
          </w:r>
          <w:r>
            <w:rPr>
              <w:highlight w:val="none"/>
            </w:rPr>
            <w:instrText xml:space="preserve"> HYPERLINK \l "bookmark12" </w:instrText>
          </w:r>
          <w:r>
            <w:rPr>
              <w:highlight w:val="none"/>
            </w:rPr>
            <w:fldChar w:fldCharType="separate"/>
          </w:r>
          <w:r>
            <w:rPr>
              <w:rFonts w:ascii="Times New Roman" w:hAnsi="Times New Roman" w:eastAsia="Times New Roman" w:cs="Times New Roman"/>
              <w:spacing w:val="4"/>
              <w:position w:val="1"/>
              <w:sz w:val="19"/>
              <w:szCs w:val="19"/>
              <w:highlight w:val="none"/>
            </w:rPr>
            <w:t>8.</w:t>
          </w:r>
          <w:r>
            <w:rPr>
              <w:rFonts w:ascii="Times New Roman" w:hAnsi="Times New Roman" w:eastAsia="Times New Roman" w:cs="Times New Roman"/>
              <w:spacing w:val="52"/>
              <w:w w:val="101"/>
              <w:position w:val="1"/>
              <w:sz w:val="19"/>
              <w:szCs w:val="19"/>
              <w:highlight w:val="none"/>
            </w:rPr>
            <w:t xml:space="preserve"> </w:t>
          </w:r>
          <w:r>
            <w:rPr>
              <w:rFonts w:ascii="宋体" w:hAnsi="宋体" w:eastAsia="宋体" w:cs="宋体"/>
              <w:spacing w:val="4"/>
              <w:position w:val="1"/>
              <w:sz w:val="19"/>
              <w:szCs w:val="19"/>
              <w:highlight w:val="none"/>
            </w:rPr>
            <w:t>重新招标、不再招标和终止招标</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31</w:t>
          </w:r>
          <w:r>
            <w:rPr>
              <w:position w:val="1"/>
              <w:sz w:val="19"/>
              <w:szCs w:val="19"/>
              <w:highlight w:val="none"/>
            </w:rPr>
            <w:fldChar w:fldCharType="end"/>
          </w:r>
        </w:p>
        <w:p w14:paraId="5B9D43FE">
          <w:pPr>
            <w:pStyle w:val="2"/>
            <w:tabs>
              <w:tab w:val="right" w:leader="dot" w:pos="8290"/>
            </w:tabs>
            <w:spacing w:before="50" w:line="259" w:lineRule="exact"/>
            <w:ind w:left="197"/>
            <w:rPr>
              <w:sz w:val="19"/>
              <w:szCs w:val="19"/>
              <w:highlight w:val="none"/>
            </w:rPr>
          </w:pPr>
          <w:r>
            <w:rPr>
              <w:highlight w:val="none"/>
            </w:rPr>
            <w:fldChar w:fldCharType="begin"/>
          </w:r>
          <w:r>
            <w:rPr>
              <w:highlight w:val="none"/>
            </w:rPr>
            <w:instrText xml:space="preserve"> HYPERLINK \l "bookmark13" </w:instrText>
          </w:r>
          <w:r>
            <w:rPr>
              <w:highlight w:val="none"/>
            </w:rPr>
            <w:fldChar w:fldCharType="separate"/>
          </w:r>
          <w:r>
            <w:rPr>
              <w:rFonts w:ascii="Times New Roman" w:hAnsi="Times New Roman" w:eastAsia="Times New Roman" w:cs="Times New Roman"/>
              <w:spacing w:val="4"/>
              <w:position w:val="1"/>
              <w:sz w:val="19"/>
              <w:szCs w:val="19"/>
              <w:highlight w:val="none"/>
            </w:rPr>
            <w:t>9.</w:t>
          </w:r>
          <w:r>
            <w:rPr>
              <w:rFonts w:ascii="Times New Roman" w:hAnsi="Times New Roman" w:eastAsia="Times New Roman" w:cs="Times New Roman"/>
              <w:spacing w:val="42"/>
              <w:position w:val="1"/>
              <w:sz w:val="19"/>
              <w:szCs w:val="19"/>
              <w:highlight w:val="none"/>
            </w:rPr>
            <w:t xml:space="preserve"> </w:t>
          </w:r>
          <w:r>
            <w:rPr>
              <w:rFonts w:ascii="宋体" w:hAnsi="宋体" w:eastAsia="宋体" w:cs="宋体"/>
              <w:spacing w:val="4"/>
              <w:position w:val="1"/>
              <w:sz w:val="19"/>
              <w:szCs w:val="19"/>
              <w:highlight w:val="none"/>
            </w:rPr>
            <w:t>纪律和监督</w:t>
          </w:r>
          <w:r>
            <w:rPr>
              <w:rFonts w:ascii="宋体" w:hAnsi="宋体" w:eastAsia="宋体" w:cs="宋体"/>
              <w:spacing w:val="-77"/>
              <w:position w:val="1"/>
              <w:sz w:val="19"/>
              <w:szCs w:val="19"/>
              <w:highlight w:val="none"/>
            </w:rPr>
            <w:t xml:space="preserve"> </w:t>
          </w:r>
          <w:r>
            <w:rPr>
              <w:rFonts w:ascii="宋体" w:hAnsi="宋体" w:eastAsia="宋体" w:cs="宋体"/>
              <w:position w:val="1"/>
              <w:sz w:val="19"/>
              <w:szCs w:val="19"/>
              <w:highlight w:val="none"/>
            </w:rPr>
            <w:tab/>
          </w:r>
          <w:r>
            <w:rPr>
              <w:spacing w:val="12"/>
              <w:position w:val="1"/>
              <w:sz w:val="19"/>
              <w:szCs w:val="19"/>
              <w:highlight w:val="none"/>
            </w:rPr>
            <w:t>31</w:t>
          </w:r>
          <w:r>
            <w:rPr>
              <w:spacing w:val="12"/>
              <w:position w:val="1"/>
              <w:sz w:val="19"/>
              <w:szCs w:val="19"/>
              <w:highlight w:val="none"/>
            </w:rPr>
            <w:fldChar w:fldCharType="end"/>
          </w:r>
        </w:p>
        <w:p w14:paraId="328663D2">
          <w:pPr>
            <w:pStyle w:val="2"/>
            <w:tabs>
              <w:tab w:val="right" w:leader="dot" w:pos="8290"/>
            </w:tabs>
            <w:spacing w:before="62" w:line="259" w:lineRule="exact"/>
            <w:ind w:left="197"/>
            <w:rPr>
              <w:sz w:val="19"/>
              <w:szCs w:val="19"/>
              <w:highlight w:val="none"/>
            </w:rPr>
          </w:pPr>
          <w:r>
            <w:rPr>
              <w:highlight w:val="none"/>
            </w:rPr>
            <w:fldChar w:fldCharType="begin"/>
          </w:r>
          <w:r>
            <w:rPr>
              <w:highlight w:val="none"/>
            </w:rPr>
            <w:instrText xml:space="preserve"> HYPERLINK \l "bookmark14" </w:instrText>
          </w:r>
          <w:r>
            <w:rPr>
              <w:highlight w:val="none"/>
            </w:rPr>
            <w:fldChar w:fldCharType="separate"/>
          </w:r>
          <w:r>
            <w:rPr>
              <w:rFonts w:ascii="Times New Roman" w:hAnsi="Times New Roman" w:eastAsia="Times New Roman" w:cs="Times New Roman"/>
              <w:spacing w:val="4"/>
              <w:position w:val="1"/>
              <w:sz w:val="19"/>
              <w:szCs w:val="19"/>
              <w:highlight w:val="none"/>
            </w:rPr>
            <w:t xml:space="preserve">10.  </w:t>
          </w:r>
          <w:r>
            <w:rPr>
              <w:rFonts w:ascii="宋体" w:hAnsi="宋体" w:eastAsia="宋体" w:cs="宋体"/>
              <w:spacing w:val="4"/>
              <w:position w:val="1"/>
              <w:sz w:val="19"/>
              <w:szCs w:val="19"/>
              <w:highlight w:val="none"/>
            </w:rPr>
            <w:t>需要补充的其他内容</w:t>
          </w:r>
          <w:r>
            <w:rPr>
              <w:rFonts w:ascii="宋体" w:hAnsi="宋体" w:eastAsia="宋体" w:cs="宋体"/>
              <w:spacing w:val="-65"/>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11"/>
              <w:position w:val="1"/>
              <w:sz w:val="19"/>
              <w:szCs w:val="19"/>
              <w:highlight w:val="none"/>
            </w:rPr>
            <w:t xml:space="preserve"> </w:t>
          </w:r>
          <w:r>
            <w:rPr>
              <w:spacing w:val="-3"/>
              <w:position w:val="1"/>
              <w:sz w:val="19"/>
              <w:szCs w:val="19"/>
              <w:highlight w:val="none"/>
            </w:rPr>
            <w:t>32</w:t>
          </w:r>
          <w:r>
            <w:rPr>
              <w:spacing w:val="-3"/>
              <w:position w:val="1"/>
              <w:sz w:val="19"/>
              <w:szCs w:val="19"/>
              <w:highlight w:val="none"/>
            </w:rPr>
            <w:fldChar w:fldCharType="end"/>
          </w:r>
        </w:p>
        <w:p w14:paraId="491A550B">
          <w:pPr>
            <w:pStyle w:val="2"/>
            <w:tabs>
              <w:tab w:val="right" w:leader="dot" w:pos="8290"/>
            </w:tabs>
            <w:spacing w:before="50" w:line="259" w:lineRule="exact"/>
            <w:ind w:left="197"/>
            <w:rPr>
              <w:sz w:val="19"/>
              <w:szCs w:val="19"/>
              <w:highlight w:val="none"/>
            </w:rPr>
          </w:pPr>
          <w:r>
            <w:rPr>
              <w:highlight w:val="none"/>
            </w:rPr>
            <w:fldChar w:fldCharType="begin"/>
          </w:r>
          <w:r>
            <w:rPr>
              <w:highlight w:val="none"/>
            </w:rPr>
            <w:instrText xml:space="preserve"> HYPERLINK \l "bookmark15" </w:instrText>
          </w:r>
          <w:r>
            <w:rPr>
              <w:highlight w:val="none"/>
            </w:rPr>
            <w:fldChar w:fldCharType="separate"/>
          </w:r>
          <w:r>
            <w:rPr>
              <w:rFonts w:ascii="宋体" w:hAnsi="宋体" w:eastAsia="宋体" w:cs="宋体"/>
              <w:spacing w:val="12"/>
              <w:position w:val="1"/>
              <w:sz w:val="19"/>
              <w:szCs w:val="19"/>
              <w:highlight w:val="none"/>
            </w:rPr>
            <w:t>附录一：投标人资质条件、能力和信誉(适用于未进行资格预审的)</w:t>
          </w:r>
          <w:r>
            <w:rPr>
              <w:rFonts w:ascii="宋体" w:hAnsi="宋体" w:eastAsia="宋体" w:cs="宋体"/>
              <w:spacing w:val="-57"/>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34</w:t>
          </w:r>
          <w:r>
            <w:rPr>
              <w:position w:val="1"/>
              <w:sz w:val="19"/>
              <w:szCs w:val="19"/>
              <w:highlight w:val="none"/>
            </w:rPr>
            <w:fldChar w:fldCharType="end"/>
          </w:r>
        </w:p>
        <w:p w14:paraId="52DC5EB7">
          <w:pPr>
            <w:pStyle w:val="2"/>
            <w:tabs>
              <w:tab w:val="right" w:leader="dot" w:pos="8300"/>
            </w:tabs>
            <w:spacing w:before="61" w:line="259" w:lineRule="exact"/>
            <w:ind w:left="197"/>
            <w:rPr>
              <w:sz w:val="19"/>
              <w:szCs w:val="19"/>
              <w:highlight w:val="none"/>
            </w:rPr>
          </w:pPr>
          <w:r>
            <w:rPr>
              <w:highlight w:val="none"/>
            </w:rPr>
            <w:fldChar w:fldCharType="begin"/>
          </w:r>
          <w:r>
            <w:rPr>
              <w:highlight w:val="none"/>
            </w:rPr>
            <w:instrText xml:space="preserve"> HYPERLINK \l "bookmark16" </w:instrText>
          </w:r>
          <w:r>
            <w:rPr>
              <w:highlight w:val="none"/>
            </w:rPr>
            <w:fldChar w:fldCharType="separate"/>
          </w:r>
          <w:r>
            <w:rPr>
              <w:rFonts w:ascii="宋体" w:hAnsi="宋体" w:eastAsia="宋体" w:cs="宋体"/>
              <w:spacing w:val="10"/>
              <w:position w:val="1"/>
              <w:sz w:val="19"/>
              <w:szCs w:val="19"/>
              <w:highlight w:val="none"/>
            </w:rPr>
            <w:t>附录二：政府采购工程预留工作及金额</w:t>
          </w:r>
          <w:r>
            <w:rPr>
              <w:rFonts w:ascii="宋体" w:hAnsi="宋体" w:eastAsia="宋体" w:cs="宋体"/>
              <w:spacing w:val="-67"/>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38</w:t>
          </w:r>
          <w:r>
            <w:rPr>
              <w:position w:val="1"/>
              <w:sz w:val="19"/>
              <w:szCs w:val="19"/>
              <w:highlight w:val="none"/>
            </w:rPr>
            <w:fldChar w:fldCharType="end"/>
          </w:r>
        </w:p>
        <w:p w14:paraId="1A5165E8">
          <w:pPr>
            <w:pStyle w:val="2"/>
            <w:tabs>
              <w:tab w:val="right" w:leader="dot" w:pos="8300"/>
            </w:tabs>
            <w:spacing w:before="41" w:line="259" w:lineRule="exact"/>
            <w:ind w:left="197"/>
            <w:rPr>
              <w:sz w:val="19"/>
              <w:szCs w:val="19"/>
              <w:highlight w:val="none"/>
            </w:rPr>
          </w:pPr>
          <w:r>
            <w:rPr>
              <w:highlight w:val="none"/>
            </w:rPr>
            <w:fldChar w:fldCharType="begin"/>
          </w:r>
          <w:r>
            <w:rPr>
              <w:highlight w:val="none"/>
            </w:rPr>
            <w:instrText xml:space="preserve"> HYPERLINK \l "bookmark17" </w:instrText>
          </w:r>
          <w:r>
            <w:rPr>
              <w:highlight w:val="none"/>
            </w:rPr>
            <w:fldChar w:fldCharType="separate"/>
          </w:r>
          <w:r>
            <w:rPr>
              <w:rFonts w:ascii="宋体" w:hAnsi="宋体" w:eastAsia="宋体" w:cs="宋体"/>
              <w:spacing w:val="9"/>
              <w:position w:val="1"/>
              <w:sz w:val="19"/>
              <w:szCs w:val="19"/>
              <w:highlight w:val="none"/>
            </w:rPr>
            <w:t>附录三：政府采购工程适合小微企业承担的工作及金额</w:t>
          </w:r>
          <w:r>
            <w:rPr>
              <w:rFonts w:ascii="宋体" w:hAnsi="宋体" w:eastAsia="宋体" w:cs="宋体"/>
              <w:spacing w:val="-63"/>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21"/>
              <w:position w:val="1"/>
              <w:sz w:val="19"/>
              <w:szCs w:val="19"/>
              <w:highlight w:val="none"/>
            </w:rPr>
            <w:t xml:space="preserve"> </w:t>
          </w:r>
          <w:r>
            <w:rPr>
              <w:spacing w:val="-3"/>
              <w:position w:val="1"/>
              <w:sz w:val="19"/>
              <w:szCs w:val="19"/>
              <w:highlight w:val="none"/>
            </w:rPr>
            <w:t>39</w:t>
          </w:r>
          <w:r>
            <w:rPr>
              <w:spacing w:val="-3"/>
              <w:position w:val="1"/>
              <w:sz w:val="19"/>
              <w:szCs w:val="19"/>
              <w:highlight w:val="none"/>
            </w:rPr>
            <w:fldChar w:fldCharType="end"/>
          </w:r>
        </w:p>
        <w:p w14:paraId="750D5E16">
          <w:pPr>
            <w:pStyle w:val="2"/>
            <w:tabs>
              <w:tab w:val="right" w:leader="dot" w:pos="8295"/>
            </w:tabs>
            <w:spacing w:before="51" w:line="259" w:lineRule="exact"/>
            <w:ind w:left="197"/>
            <w:rPr>
              <w:sz w:val="19"/>
              <w:szCs w:val="19"/>
              <w:highlight w:val="none"/>
            </w:rPr>
          </w:pPr>
          <w:r>
            <w:rPr>
              <w:highlight w:val="none"/>
            </w:rPr>
            <w:fldChar w:fldCharType="begin"/>
          </w:r>
          <w:r>
            <w:rPr>
              <w:highlight w:val="none"/>
            </w:rPr>
            <w:instrText xml:space="preserve"> HYPERLINK \l "bookmark18" </w:instrText>
          </w:r>
          <w:r>
            <w:rPr>
              <w:highlight w:val="none"/>
            </w:rPr>
            <w:fldChar w:fldCharType="separate"/>
          </w:r>
          <w:r>
            <w:rPr>
              <w:rFonts w:ascii="宋体" w:hAnsi="宋体" w:eastAsia="宋体" w:cs="宋体"/>
              <w:spacing w:val="7"/>
              <w:position w:val="1"/>
              <w:sz w:val="19"/>
              <w:szCs w:val="19"/>
              <w:highlight w:val="none"/>
            </w:rPr>
            <w:t>附表一：招标文件澄清申请函</w:t>
          </w:r>
          <w:r>
            <w:rPr>
              <w:rFonts w:ascii="宋体" w:hAnsi="宋体" w:eastAsia="宋体" w:cs="宋体"/>
              <w:spacing w:val="-58"/>
              <w:position w:val="1"/>
              <w:sz w:val="19"/>
              <w:szCs w:val="19"/>
              <w:highlight w:val="none"/>
            </w:rPr>
            <w:t xml:space="preserve"> </w:t>
          </w:r>
          <w:r>
            <w:rPr>
              <w:rFonts w:ascii="宋体" w:hAnsi="宋体" w:eastAsia="宋体" w:cs="宋体"/>
              <w:position w:val="1"/>
              <w:sz w:val="19"/>
              <w:szCs w:val="19"/>
              <w:highlight w:val="none"/>
            </w:rPr>
            <w:tab/>
          </w:r>
          <w:r>
            <w:rPr>
              <w:spacing w:val="-3"/>
              <w:position w:val="1"/>
              <w:sz w:val="19"/>
              <w:szCs w:val="19"/>
              <w:highlight w:val="none"/>
            </w:rPr>
            <w:t>40</w:t>
          </w:r>
          <w:r>
            <w:rPr>
              <w:spacing w:val="-3"/>
              <w:position w:val="1"/>
              <w:sz w:val="19"/>
              <w:szCs w:val="19"/>
              <w:highlight w:val="none"/>
            </w:rPr>
            <w:fldChar w:fldCharType="end"/>
          </w:r>
        </w:p>
        <w:p w14:paraId="7C449EAB">
          <w:pPr>
            <w:pStyle w:val="2"/>
            <w:tabs>
              <w:tab w:val="right" w:leader="dot" w:pos="8295"/>
            </w:tabs>
            <w:spacing w:before="61" w:line="259" w:lineRule="exact"/>
            <w:ind w:left="197"/>
            <w:rPr>
              <w:sz w:val="19"/>
              <w:szCs w:val="19"/>
              <w:highlight w:val="none"/>
            </w:rPr>
          </w:pPr>
          <w:r>
            <w:rPr>
              <w:highlight w:val="none"/>
            </w:rPr>
            <w:fldChar w:fldCharType="begin"/>
          </w:r>
          <w:r>
            <w:rPr>
              <w:highlight w:val="none"/>
            </w:rPr>
            <w:instrText xml:space="preserve"> HYPERLINK \l "bookmark19" </w:instrText>
          </w:r>
          <w:r>
            <w:rPr>
              <w:highlight w:val="none"/>
            </w:rPr>
            <w:fldChar w:fldCharType="separate"/>
          </w:r>
          <w:r>
            <w:rPr>
              <w:rFonts w:ascii="宋体" w:hAnsi="宋体" w:eastAsia="宋体" w:cs="宋体"/>
              <w:spacing w:val="9"/>
              <w:position w:val="1"/>
              <w:sz w:val="19"/>
              <w:szCs w:val="19"/>
              <w:highlight w:val="none"/>
            </w:rPr>
            <w:t>附表二：招标文件澄清通知</w:t>
          </w:r>
          <w:r>
            <w:rPr>
              <w:rFonts w:ascii="宋体" w:hAnsi="宋体" w:eastAsia="宋体" w:cs="宋体"/>
              <w:spacing w:val="-75"/>
              <w:position w:val="1"/>
              <w:sz w:val="19"/>
              <w:szCs w:val="19"/>
              <w:highlight w:val="none"/>
            </w:rPr>
            <w:t xml:space="preserve"> </w:t>
          </w:r>
          <w:r>
            <w:rPr>
              <w:rFonts w:ascii="宋体" w:hAnsi="宋体" w:eastAsia="宋体" w:cs="宋体"/>
              <w:position w:val="1"/>
              <w:sz w:val="19"/>
              <w:szCs w:val="19"/>
              <w:highlight w:val="none"/>
            </w:rPr>
            <w:tab/>
          </w:r>
          <w:r>
            <w:rPr>
              <w:spacing w:val="-3"/>
              <w:position w:val="1"/>
              <w:sz w:val="19"/>
              <w:szCs w:val="19"/>
              <w:highlight w:val="none"/>
            </w:rPr>
            <w:t>40</w:t>
          </w:r>
          <w:r>
            <w:rPr>
              <w:spacing w:val="-3"/>
              <w:position w:val="1"/>
              <w:sz w:val="19"/>
              <w:szCs w:val="19"/>
              <w:highlight w:val="none"/>
            </w:rPr>
            <w:fldChar w:fldCharType="end"/>
          </w:r>
        </w:p>
        <w:p w14:paraId="7D6B1589">
          <w:pPr>
            <w:pStyle w:val="2"/>
            <w:tabs>
              <w:tab w:val="right" w:leader="dot" w:pos="8285"/>
            </w:tabs>
            <w:spacing w:before="95" w:line="219" w:lineRule="auto"/>
            <w:ind w:left="197"/>
            <w:rPr>
              <w:sz w:val="19"/>
              <w:szCs w:val="19"/>
              <w:highlight w:val="none"/>
            </w:rPr>
          </w:pPr>
          <w:r>
            <w:rPr>
              <w:highlight w:val="none"/>
            </w:rPr>
            <w:fldChar w:fldCharType="begin"/>
          </w:r>
          <w:r>
            <w:rPr>
              <w:highlight w:val="none"/>
            </w:rPr>
            <w:instrText xml:space="preserve"> HYPERLINK \l "bookmark20" </w:instrText>
          </w:r>
          <w:r>
            <w:rPr>
              <w:highlight w:val="none"/>
            </w:rPr>
            <w:fldChar w:fldCharType="separate"/>
          </w:r>
          <w:r>
            <w:rPr>
              <w:rFonts w:ascii="宋体" w:hAnsi="宋体" w:eastAsia="宋体" w:cs="宋体"/>
              <w:spacing w:val="9"/>
              <w:sz w:val="19"/>
              <w:szCs w:val="19"/>
              <w:highlight w:val="none"/>
            </w:rPr>
            <w:t>附表三：招标文件修改通知</w:t>
          </w:r>
          <w:r>
            <w:rPr>
              <w:rFonts w:ascii="宋体" w:hAnsi="宋体" w:eastAsia="宋体" w:cs="宋体"/>
              <w:spacing w:val="-75"/>
              <w:sz w:val="19"/>
              <w:szCs w:val="19"/>
              <w:highlight w:val="none"/>
            </w:rPr>
            <w:t xml:space="preserve"> </w:t>
          </w:r>
          <w:r>
            <w:rPr>
              <w:rFonts w:ascii="宋体" w:hAnsi="宋体" w:eastAsia="宋体" w:cs="宋体"/>
              <w:sz w:val="19"/>
              <w:szCs w:val="19"/>
              <w:highlight w:val="none"/>
            </w:rPr>
            <w:tab/>
          </w:r>
          <w:r>
            <w:rPr>
              <w:spacing w:val="2"/>
              <w:sz w:val="19"/>
              <w:szCs w:val="19"/>
              <w:highlight w:val="none"/>
            </w:rPr>
            <w:t>41</w:t>
          </w:r>
          <w:r>
            <w:rPr>
              <w:spacing w:val="2"/>
              <w:sz w:val="19"/>
              <w:szCs w:val="19"/>
              <w:highlight w:val="none"/>
            </w:rPr>
            <w:fldChar w:fldCharType="end"/>
          </w:r>
        </w:p>
        <w:p w14:paraId="128C4D87">
          <w:pPr>
            <w:pStyle w:val="2"/>
            <w:tabs>
              <w:tab w:val="right" w:leader="dot" w:pos="8285"/>
            </w:tabs>
            <w:spacing w:before="61" w:line="259" w:lineRule="exact"/>
            <w:ind w:left="197"/>
            <w:rPr>
              <w:sz w:val="19"/>
              <w:szCs w:val="19"/>
              <w:highlight w:val="none"/>
            </w:rPr>
          </w:pPr>
          <w:r>
            <w:rPr>
              <w:highlight w:val="none"/>
            </w:rPr>
            <w:fldChar w:fldCharType="begin"/>
          </w:r>
          <w:r>
            <w:rPr>
              <w:highlight w:val="none"/>
            </w:rPr>
            <w:instrText xml:space="preserve"> HYPERLINK \l "bookmark21" </w:instrText>
          </w:r>
          <w:r>
            <w:rPr>
              <w:highlight w:val="none"/>
            </w:rPr>
            <w:fldChar w:fldCharType="separate"/>
          </w:r>
          <w:r>
            <w:rPr>
              <w:rFonts w:ascii="宋体" w:hAnsi="宋体" w:eastAsia="宋体" w:cs="宋体"/>
              <w:spacing w:val="9"/>
              <w:position w:val="1"/>
              <w:sz w:val="19"/>
              <w:szCs w:val="19"/>
              <w:highlight w:val="none"/>
            </w:rPr>
            <w:t>附表四：投标文件递交签收凭证</w:t>
          </w:r>
          <w:r>
            <w:rPr>
              <w:rFonts w:ascii="宋体" w:hAnsi="宋体" w:eastAsia="宋体" w:cs="宋体"/>
              <w:spacing w:val="-63"/>
              <w:position w:val="1"/>
              <w:sz w:val="19"/>
              <w:szCs w:val="19"/>
              <w:highlight w:val="none"/>
            </w:rPr>
            <w:t xml:space="preserve"> </w:t>
          </w:r>
          <w:r>
            <w:rPr>
              <w:rFonts w:ascii="宋体" w:hAnsi="宋体" w:eastAsia="宋体" w:cs="宋体"/>
              <w:position w:val="1"/>
              <w:sz w:val="19"/>
              <w:szCs w:val="19"/>
              <w:highlight w:val="none"/>
            </w:rPr>
            <w:tab/>
          </w:r>
          <w:r>
            <w:rPr>
              <w:spacing w:val="2"/>
              <w:position w:val="1"/>
              <w:sz w:val="19"/>
              <w:szCs w:val="19"/>
              <w:highlight w:val="none"/>
            </w:rPr>
            <w:t>43</w:t>
          </w:r>
          <w:r>
            <w:rPr>
              <w:spacing w:val="2"/>
              <w:position w:val="1"/>
              <w:sz w:val="19"/>
              <w:szCs w:val="19"/>
              <w:highlight w:val="none"/>
            </w:rPr>
            <w:fldChar w:fldCharType="end"/>
          </w:r>
        </w:p>
        <w:p w14:paraId="29FC70DC">
          <w:pPr>
            <w:pStyle w:val="2"/>
            <w:tabs>
              <w:tab w:val="right" w:leader="dot" w:pos="8295"/>
            </w:tabs>
            <w:spacing w:before="74" w:line="219" w:lineRule="auto"/>
            <w:ind w:left="197"/>
            <w:rPr>
              <w:sz w:val="19"/>
              <w:szCs w:val="19"/>
              <w:highlight w:val="none"/>
            </w:rPr>
          </w:pPr>
          <w:r>
            <w:rPr>
              <w:highlight w:val="none"/>
            </w:rPr>
            <w:fldChar w:fldCharType="begin"/>
          </w:r>
          <w:r>
            <w:rPr>
              <w:highlight w:val="none"/>
            </w:rPr>
            <w:instrText xml:space="preserve"> HYPERLINK \l "bookmark22" </w:instrText>
          </w:r>
          <w:r>
            <w:rPr>
              <w:highlight w:val="none"/>
            </w:rPr>
            <w:fldChar w:fldCharType="separate"/>
          </w:r>
          <w:r>
            <w:rPr>
              <w:rFonts w:ascii="宋体" w:hAnsi="宋体" w:eastAsia="宋体" w:cs="宋体"/>
              <w:spacing w:val="2"/>
              <w:sz w:val="19"/>
              <w:szCs w:val="19"/>
              <w:highlight w:val="none"/>
            </w:rPr>
            <w:t>附表五：开标记录表</w:t>
          </w:r>
          <w:r>
            <w:rPr>
              <w:rFonts w:ascii="宋体" w:hAnsi="宋体" w:eastAsia="宋体" w:cs="宋体"/>
              <w:spacing w:val="-74"/>
              <w:sz w:val="19"/>
              <w:szCs w:val="19"/>
              <w:highlight w:val="none"/>
            </w:rPr>
            <w:t xml:space="preserve"> </w:t>
          </w:r>
          <w:r>
            <w:rPr>
              <w:rFonts w:ascii="宋体" w:hAnsi="宋体" w:eastAsia="宋体" w:cs="宋体"/>
              <w:sz w:val="19"/>
              <w:szCs w:val="19"/>
              <w:highlight w:val="none"/>
            </w:rPr>
            <w:tab/>
          </w:r>
          <w:r>
            <w:rPr>
              <w:rFonts w:ascii="宋体" w:hAnsi="宋体" w:eastAsia="宋体" w:cs="宋体"/>
              <w:spacing w:val="-12"/>
              <w:sz w:val="19"/>
              <w:szCs w:val="19"/>
              <w:highlight w:val="none"/>
            </w:rPr>
            <w:t xml:space="preserve"> </w:t>
          </w:r>
          <w:r>
            <w:rPr>
              <w:spacing w:val="-1"/>
              <w:sz w:val="19"/>
              <w:szCs w:val="19"/>
              <w:highlight w:val="none"/>
            </w:rPr>
            <w:t>44</w:t>
          </w:r>
          <w:r>
            <w:rPr>
              <w:spacing w:val="-1"/>
              <w:sz w:val="19"/>
              <w:szCs w:val="19"/>
              <w:highlight w:val="none"/>
            </w:rPr>
            <w:fldChar w:fldCharType="end"/>
          </w:r>
        </w:p>
        <w:p w14:paraId="0394289F">
          <w:pPr>
            <w:pStyle w:val="2"/>
            <w:tabs>
              <w:tab w:val="right" w:leader="dot" w:pos="8305"/>
            </w:tabs>
            <w:spacing w:before="41" w:line="259" w:lineRule="exact"/>
            <w:ind w:left="197"/>
            <w:rPr>
              <w:sz w:val="19"/>
              <w:szCs w:val="19"/>
              <w:highlight w:val="none"/>
            </w:rPr>
          </w:pPr>
          <w:r>
            <w:rPr>
              <w:highlight w:val="none"/>
            </w:rPr>
            <w:fldChar w:fldCharType="begin"/>
          </w:r>
          <w:r>
            <w:rPr>
              <w:highlight w:val="none"/>
            </w:rPr>
            <w:instrText xml:space="preserve"> HYPERLINK \l "bookmark23" </w:instrText>
          </w:r>
          <w:r>
            <w:rPr>
              <w:highlight w:val="none"/>
            </w:rPr>
            <w:fldChar w:fldCharType="separate"/>
          </w:r>
          <w:r>
            <w:rPr>
              <w:rFonts w:ascii="宋体" w:hAnsi="宋体" w:eastAsia="宋体" w:cs="宋体"/>
              <w:spacing w:val="9"/>
              <w:position w:val="1"/>
              <w:sz w:val="19"/>
              <w:szCs w:val="19"/>
              <w:highlight w:val="none"/>
            </w:rPr>
            <w:t>附表六：投标文件澄清通知</w:t>
          </w:r>
          <w:r>
            <w:rPr>
              <w:rFonts w:ascii="宋体" w:hAnsi="宋体" w:eastAsia="宋体" w:cs="宋体"/>
              <w:spacing w:val="-75"/>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45</w:t>
          </w:r>
          <w:r>
            <w:rPr>
              <w:position w:val="1"/>
              <w:sz w:val="19"/>
              <w:szCs w:val="19"/>
              <w:highlight w:val="none"/>
            </w:rPr>
            <w:fldChar w:fldCharType="end"/>
          </w:r>
        </w:p>
        <w:p w14:paraId="47A772AF">
          <w:pPr>
            <w:pStyle w:val="2"/>
            <w:tabs>
              <w:tab w:val="right" w:leader="dot" w:pos="8295"/>
            </w:tabs>
            <w:spacing w:before="71" w:line="259" w:lineRule="exact"/>
            <w:ind w:left="197"/>
            <w:rPr>
              <w:sz w:val="19"/>
              <w:szCs w:val="19"/>
              <w:highlight w:val="none"/>
            </w:rPr>
          </w:pPr>
          <w:r>
            <w:rPr>
              <w:highlight w:val="none"/>
            </w:rPr>
            <w:fldChar w:fldCharType="begin"/>
          </w:r>
          <w:r>
            <w:rPr>
              <w:highlight w:val="none"/>
            </w:rPr>
            <w:instrText xml:space="preserve"> HYPERLINK \l "bookmark24" </w:instrText>
          </w:r>
          <w:r>
            <w:rPr>
              <w:highlight w:val="none"/>
            </w:rPr>
            <w:fldChar w:fldCharType="separate"/>
          </w:r>
          <w:r>
            <w:rPr>
              <w:rFonts w:ascii="宋体" w:hAnsi="宋体" w:eastAsia="宋体" w:cs="宋体"/>
              <w:spacing w:val="3"/>
              <w:position w:val="1"/>
              <w:sz w:val="19"/>
              <w:szCs w:val="19"/>
              <w:highlight w:val="none"/>
            </w:rPr>
            <w:t>附表七：投标文件问题的澄清</w:t>
          </w:r>
          <w:r>
            <w:rPr>
              <w:rFonts w:ascii="宋体" w:hAnsi="宋体" w:eastAsia="宋体" w:cs="宋体"/>
              <w:spacing w:val="-66"/>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42"/>
              <w:position w:val="1"/>
              <w:sz w:val="19"/>
              <w:szCs w:val="19"/>
              <w:highlight w:val="none"/>
            </w:rPr>
            <w:t xml:space="preserve"> </w:t>
          </w:r>
          <w:r>
            <w:rPr>
              <w:spacing w:val="-1"/>
              <w:position w:val="1"/>
              <w:sz w:val="19"/>
              <w:szCs w:val="19"/>
              <w:highlight w:val="none"/>
            </w:rPr>
            <w:t>46</w:t>
          </w:r>
          <w:r>
            <w:rPr>
              <w:spacing w:val="-1"/>
              <w:position w:val="1"/>
              <w:sz w:val="19"/>
              <w:szCs w:val="19"/>
              <w:highlight w:val="none"/>
            </w:rPr>
            <w:fldChar w:fldCharType="end"/>
          </w:r>
        </w:p>
        <w:p w14:paraId="109F1DD6">
          <w:pPr>
            <w:pStyle w:val="2"/>
            <w:tabs>
              <w:tab w:val="right" w:leader="dot" w:pos="8285"/>
            </w:tabs>
            <w:spacing w:before="95" w:line="219" w:lineRule="auto"/>
            <w:ind w:left="197"/>
            <w:rPr>
              <w:sz w:val="19"/>
              <w:szCs w:val="19"/>
              <w:highlight w:val="none"/>
            </w:rPr>
          </w:pPr>
          <w:r>
            <w:rPr>
              <w:highlight w:val="none"/>
            </w:rPr>
            <w:fldChar w:fldCharType="begin"/>
          </w:r>
          <w:r>
            <w:rPr>
              <w:highlight w:val="none"/>
            </w:rPr>
            <w:instrText xml:space="preserve"> HYPERLINK \l "bookmark25" </w:instrText>
          </w:r>
          <w:r>
            <w:rPr>
              <w:highlight w:val="none"/>
            </w:rPr>
            <w:fldChar w:fldCharType="separate"/>
          </w:r>
          <w:r>
            <w:rPr>
              <w:rFonts w:ascii="宋体" w:hAnsi="宋体" w:eastAsia="宋体" w:cs="宋体"/>
              <w:spacing w:val="8"/>
              <w:sz w:val="19"/>
              <w:szCs w:val="19"/>
              <w:highlight w:val="none"/>
            </w:rPr>
            <w:t>附表八：中标通知书</w:t>
          </w:r>
          <w:r>
            <w:rPr>
              <w:rFonts w:ascii="宋体" w:hAnsi="宋体" w:eastAsia="宋体" w:cs="宋体"/>
              <w:spacing w:val="-78"/>
              <w:sz w:val="19"/>
              <w:szCs w:val="19"/>
              <w:highlight w:val="none"/>
            </w:rPr>
            <w:t xml:space="preserve"> </w:t>
          </w:r>
          <w:r>
            <w:rPr>
              <w:rFonts w:ascii="宋体" w:hAnsi="宋体" w:eastAsia="宋体" w:cs="宋体"/>
              <w:sz w:val="19"/>
              <w:szCs w:val="19"/>
              <w:highlight w:val="none"/>
            </w:rPr>
            <w:tab/>
          </w:r>
          <w:r>
            <w:rPr>
              <w:spacing w:val="10"/>
              <w:sz w:val="19"/>
              <w:szCs w:val="19"/>
              <w:highlight w:val="none"/>
            </w:rPr>
            <w:t>47</w:t>
          </w:r>
          <w:r>
            <w:rPr>
              <w:spacing w:val="10"/>
              <w:sz w:val="19"/>
              <w:szCs w:val="19"/>
              <w:highlight w:val="none"/>
            </w:rPr>
            <w:fldChar w:fldCharType="end"/>
          </w:r>
        </w:p>
        <w:p w14:paraId="296BA181">
          <w:pPr>
            <w:pStyle w:val="2"/>
            <w:tabs>
              <w:tab w:val="right" w:leader="dot" w:pos="8305"/>
            </w:tabs>
            <w:spacing w:before="51" w:line="259" w:lineRule="exact"/>
            <w:ind w:left="197"/>
            <w:rPr>
              <w:sz w:val="19"/>
              <w:szCs w:val="19"/>
              <w:highlight w:val="none"/>
            </w:rPr>
          </w:pPr>
          <w:r>
            <w:rPr>
              <w:highlight w:val="none"/>
            </w:rPr>
            <w:fldChar w:fldCharType="begin"/>
          </w:r>
          <w:r>
            <w:rPr>
              <w:highlight w:val="none"/>
            </w:rPr>
            <w:instrText xml:space="preserve"> HYPERLINK \l "bookmark26" </w:instrText>
          </w:r>
          <w:r>
            <w:rPr>
              <w:highlight w:val="none"/>
            </w:rPr>
            <w:fldChar w:fldCharType="separate"/>
          </w:r>
          <w:r>
            <w:rPr>
              <w:rFonts w:ascii="宋体" w:hAnsi="宋体" w:eastAsia="宋体" w:cs="宋体"/>
              <w:spacing w:val="8"/>
              <w:position w:val="1"/>
              <w:sz w:val="19"/>
              <w:szCs w:val="19"/>
              <w:highlight w:val="none"/>
            </w:rPr>
            <w:t>附表九：中标结果通知书</w:t>
          </w:r>
          <w:r>
            <w:rPr>
              <w:rFonts w:ascii="宋体" w:hAnsi="宋体" w:eastAsia="宋体" w:cs="宋体"/>
              <w:spacing w:val="-74"/>
              <w:position w:val="1"/>
              <w:sz w:val="19"/>
              <w:szCs w:val="19"/>
              <w:highlight w:val="none"/>
            </w:rPr>
            <w:t xml:space="preserve"> </w:t>
          </w:r>
          <w:r>
            <w:rPr>
              <w:rFonts w:ascii="宋体" w:hAnsi="宋体" w:eastAsia="宋体" w:cs="宋体"/>
              <w:position w:val="1"/>
              <w:sz w:val="19"/>
              <w:szCs w:val="19"/>
              <w:highlight w:val="none"/>
            </w:rPr>
            <w:tab/>
          </w:r>
          <w:r>
            <w:rPr>
              <w:spacing w:val="9"/>
              <w:position w:val="1"/>
              <w:sz w:val="19"/>
              <w:szCs w:val="19"/>
              <w:highlight w:val="none"/>
            </w:rPr>
            <w:t>48</w:t>
          </w:r>
          <w:r>
            <w:rPr>
              <w:spacing w:val="9"/>
              <w:position w:val="1"/>
              <w:sz w:val="19"/>
              <w:szCs w:val="19"/>
              <w:highlight w:val="none"/>
            </w:rPr>
            <w:fldChar w:fldCharType="end"/>
          </w:r>
        </w:p>
        <w:p w14:paraId="1C95AC9E">
          <w:pPr>
            <w:pStyle w:val="2"/>
            <w:tabs>
              <w:tab w:val="right" w:leader="dot" w:pos="8295"/>
            </w:tabs>
            <w:spacing w:before="41" w:line="259" w:lineRule="exact"/>
            <w:ind w:left="197"/>
            <w:rPr>
              <w:sz w:val="19"/>
              <w:szCs w:val="19"/>
              <w:highlight w:val="none"/>
            </w:rPr>
          </w:pPr>
          <w:r>
            <w:rPr>
              <w:highlight w:val="none"/>
            </w:rPr>
            <w:fldChar w:fldCharType="begin"/>
          </w:r>
          <w:r>
            <w:rPr>
              <w:highlight w:val="none"/>
            </w:rPr>
            <w:instrText xml:space="preserve"> HYPERLINK \l "bookmark27" </w:instrText>
          </w:r>
          <w:r>
            <w:rPr>
              <w:highlight w:val="none"/>
            </w:rPr>
            <w:fldChar w:fldCharType="separate"/>
          </w:r>
          <w:r>
            <w:rPr>
              <w:rFonts w:ascii="宋体" w:hAnsi="宋体" w:eastAsia="宋体" w:cs="宋体"/>
              <w:spacing w:val="5"/>
              <w:position w:val="1"/>
              <w:sz w:val="19"/>
              <w:szCs w:val="19"/>
              <w:highlight w:val="none"/>
            </w:rPr>
            <w:t>附表十：异议函</w:t>
          </w:r>
          <w:r>
            <w:rPr>
              <w:rFonts w:ascii="宋体" w:hAnsi="宋体" w:eastAsia="宋体" w:cs="宋体"/>
              <w:spacing w:val="-81"/>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23"/>
              <w:position w:val="1"/>
              <w:sz w:val="19"/>
              <w:szCs w:val="19"/>
              <w:highlight w:val="none"/>
            </w:rPr>
            <w:t xml:space="preserve"> </w:t>
          </w:r>
          <w:r>
            <w:rPr>
              <w:spacing w:val="-1"/>
              <w:position w:val="1"/>
              <w:sz w:val="19"/>
              <w:szCs w:val="19"/>
              <w:highlight w:val="none"/>
            </w:rPr>
            <w:t>49</w:t>
          </w:r>
          <w:r>
            <w:rPr>
              <w:spacing w:val="-1"/>
              <w:position w:val="1"/>
              <w:sz w:val="19"/>
              <w:szCs w:val="19"/>
              <w:highlight w:val="none"/>
            </w:rPr>
            <w:fldChar w:fldCharType="end"/>
          </w:r>
        </w:p>
        <w:p w14:paraId="7F4F1A81">
          <w:pPr>
            <w:pStyle w:val="2"/>
            <w:tabs>
              <w:tab w:val="right" w:leader="dot" w:pos="8300"/>
            </w:tabs>
            <w:spacing w:before="41" w:line="259" w:lineRule="exact"/>
            <w:ind w:left="197"/>
            <w:rPr>
              <w:sz w:val="19"/>
              <w:szCs w:val="19"/>
              <w:highlight w:val="none"/>
            </w:rPr>
          </w:pPr>
          <w:r>
            <w:rPr>
              <w:highlight w:val="none"/>
            </w:rPr>
            <w:fldChar w:fldCharType="begin"/>
          </w:r>
          <w:r>
            <w:rPr>
              <w:highlight w:val="none"/>
            </w:rPr>
            <w:instrText xml:space="preserve"> HYPERLINK \l "bookmark28" </w:instrText>
          </w:r>
          <w:r>
            <w:rPr>
              <w:highlight w:val="none"/>
            </w:rPr>
            <w:fldChar w:fldCharType="separate"/>
          </w:r>
          <w:r>
            <w:rPr>
              <w:rFonts w:ascii="宋体" w:hAnsi="宋体" w:eastAsia="宋体" w:cs="宋体"/>
              <w:spacing w:val="6"/>
              <w:position w:val="1"/>
              <w:sz w:val="19"/>
              <w:szCs w:val="19"/>
              <w:highlight w:val="none"/>
            </w:rPr>
            <w:t>附表十一：异议答复函</w:t>
          </w:r>
          <w:r>
            <w:rPr>
              <w:rFonts w:ascii="宋体" w:hAnsi="宋体" w:eastAsia="宋体" w:cs="宋体"/>
              <w:spacing w:val="-57"/>
              <w:position w:val="1"/>
              <w:sz w:val="19"/>
              <w:szCs w:val="19"/>
              <w:highlight w:val="none"/>
            </w:rPr>
            <w:t xml:space="preserve"> </w:t>
          </w:r>
          <w:r>
            <w:rPr>
              <w:rFonts w:ascii="宋体" w:hAnsi="宋体" w:eastAsia="宋体" w:cs="宋体"/>
              <w:position w:val="1"/>
              <w:sz w:val="19"/>
              <w:szCs w:val="19"/>
              <w:highlight w:val="none"/>
            </w:rPr>
            <w:tab/>
          </w:r>
          <w:r>
            <w:rPr>
              <w:spacing w:val="12"/>
              <w:position w:val="1"/>
              <w:sz w:val="19"/>
              <w:szCs w:val="19"/>
              <w:highlight w:val="none"/>
            </w:rPr>
            <w:t>50</w:t>
          </w:r>
          <w:r>
            <w:rPr>
              <w:spacing w:val="12"/>
              <w:position w:val="1"/>
              <w:sz w:val="19"/>
              <w:szCs w:val="19"/>
              <w:highlight w:val="none"/>
            </w:rPr>
            <w:fldChar w:fldCharType="end"/>
          </w:r>
        </w:p>
        <w:p w14:paraId="1CCD610B">
          <w:pPr>
            <w:pStyle w:val="2"/>
            <w:tabs>
              <w:tab w:val="right" w:leader="dot" w:pos="8280"/>
            </w:tabs>
            <w:spacing w:before="71" w:line="259" w:lineRule="exact"/>
            <w:ind w:left="197"/>
            <w:rPr>
              <w:sz w:val="19"/>
              <w:szCs w:val="19"/>
              <w:highlight w:val="none"/>
            </w:rPr>
          </w:pPr>
          <w:r>
            <w:rPr>
              <w:highlight w:val="none"/>
            </w:rPr>
            <w:fldChar w:fldCharType="begin"/>
          </w:r>
          <w:r>
            <w:rPr>
              <w:highlight w:val="none"/>
            </w:rPr>
            <w:instrText xml:space="preserve"> HYPERLINK \l "bookmark29" </w:instrText>
          </w:r>
          <w:r>
            <w:rPr>
              <w:highlight w:val="none"/>
            </w:rPr>
            <w:fldChar w:fldCharType="separate"/>
          </w:r>
          <w:r>
            <w:rPr>
              <w:rFonts w:ascii="宋体" w:hAnsi="宋体" w:eastAsia="宋体" w:cs="宋体"/>
              <w:spacing w:val="8"/>
              <w:position w:val="1"/>
              <w:sz w:val="19"/>
              <w:szCs w:val="19"/>
              <w:highlight w:val="none"/>
            </w:rPr>
            <w:t>附表十二：授权委托书</w:t>
          </w:r>
          <w:r>
            <w:rPr>
              <w:rFonts w:ascii="宋体" w:hAnsi="宋体" w:eastAsia="宋体" w:cs="宋体"/>
              <w:spacing w:val="-77"/>
              <w:position w:val="1"/>
              <w:sz w:val="19"/>
              <w:szCs w:val="19"/>
              <w:highlight w:val="none"/>
            </w:rPr>
            <w:t xml:space="preserve"> </w:t>
          </w:r>
          <w:r>
            <w:rPr>
              <w:rFonts w:ascii="宋体" w:hAnsi="宋体" w:eastAsia="宋体" w:cs="宋体"/>
              <w:position w:val="1"/>
              <w:sz w:val="19"/>
              <w:szCs w:val="19"/>
              <w:highlight w:val="none"/>
            </w:rPr>
            <w:tab/>
          </w:r>
          <w:r>
            <w:rPr>
              <w:spacing w:val="2"/>
              <w:position w:val="1"/>
              <w:sz w:val="19"/>
              <w:szCs w:val="19"/>
              <w:highlight w:val="none"/>
            </w:rPr>
            <w:t>51</w:t>
          </w:r>
          <w:r>
            <w:rPr>
              <w:spacing w:val="2"/>
              <w:position w:val="1"/>
              <w:sz w:val="19"/>
              <w:szCs w:val="19"/>
              <w:highlight w:val="none"/>
            </w:rPr>
            <w:fldChar w:fldCharType="end"/>
          </w:r>
        </w:p>
        <w:p w14:paraId="217614D3">
          <w:pPr>
            <w:pStyle w:val="2"/>
            <w:tabs>
              <w:tab w:val="right" w:leader="dot" w:pos="8300"/>
            </w:tabs>
            <w:spacing w:before="192" w:line="221" w:lineRule="auto"/>
            <w:rPr>
              <w:sz w:val="19"/>
              <w:szCs w:val="19"/>
              <w:highlight w:val="none"/>
            </w:rPr>
          </w:pPr>
          <w:r>
            <w:rPr>
              <w:highlight w:val="none"/>
            </w:rPr>
            <w:fldChar w:fldCharType="begin"/>
          </w:r>
          <w:r>
            <w:rPr>
              <w:highlight w:val="none"/>
            </w:rPr>
            <w:instrText xml:space="preserve"> HYPERLINK \l "bookmark30" </w:instrText>
          </w:r>
          <w:r>
            <w:rPr>
              <w:highlight w:val="none"/>
            </w:rPr>
            <w:fldChar w:fldCharType="separate"/>
          </w:r>
          <w:r>
            <w:rPr>
              <w:rFonts w:ascii="黑体" w:hAnsi="黑体" w:eastAsia="黑体" w:cs="黑体"/>
              <w:b/>
              <w:bCs/>
              <w:spacing w:val="7"/>
              <w:highlight w:val="none"/>
            </w:rPr>
            <w:t>第三章</w:t>
          </w:r>
          <w:r>
            <w:rPr>
              <w:rFonts w:ascii="黑体" w:hAnsi="黑体" w:eastAsia="黑体" w:cs="黑体"/>
              <w:spacing w:val="7"/>
              <w:highlight w:val="none"/>
            </w:rPr>
            <w:t xml:space="preserve"> </w:t>
          </w:r>
          <w:r>
            <w:rPr>
              <w:rFonts w:ascii="黑体" w:hAnsi="黑体" w:eastAsia="黑体" w:cs="黑体"/>
              <w:b/>
              <w:bCs/>
              <w:spacing w:val="7"/>
              <w:highlight w:val="none"/>
            </w:rPr>
            <w:t>评标办法(综合评估法)</w:t>
          </w:r>
          <w:r>
            <w:rPr>
              <w:rFonts w:ascii="黑体" w:hAnsi="黑体" w:eastAsia="黑体" w:cs="黑体"/>
              <w:b/>
              <w:bCs/>
              <w:highlight w:val="none"/>
            </w:rPr>
            <w:tab/>
          </w:r>
          <w:r>
            <w:rPr>
              <w:b/>
              <w:bCs/>
              <w:sz w:val="19"/>
              <w:szCs w:val="19"/>
              <w:highlight w:val="none"/>
            </w:rPr>
            <w:t>52</w:t>
          </w:r>
          <w:r>
            <w:rPr>
              <w:b/>
              <w:bCs/>
              <w:sz w:val="19"/>
              <w:szCs w:val="19"/>
              <w:highlight w:val="none"/>
            </w:rPr>
            <w:fldChar w:fldCharType="end"/>
          </w:r>
        </w:p>
        <w:p w14:paraId="33876CA5">
          <w:pPr>
            <w:pStyle w:val="2"/>
            <w:tabs>
              <w:tab w:val="right" w:leader="dot" w:pos="8280"/>
            </w:tabs>
            <w:spacing w:before="157" w:line="259" w:lineRule="exact"/>
            <w:ind w:left="197"/>
            <w:rPr>
              <w:sz w:val="19"/>
              <w:szCs w:val="19"/>
              <w:highlight w:val="none"/>
            </w:rPr>
          </w:pPr>
          <w:r>
            <w:rPr>
              <w:highlight w:val="none"/>
            </w:rPr>
            <w:fldChar w:fldCharType="begin"/>
          </w:r>
          <w:r>
            <w:rPr>
              <w:highlight w:val="none"/>
            </w:rPr>
            <w:instrText xml:space="preserve"> HYPERLINK \l "bookmark31" </w:instrText>
          </w:r>
          <w:r>
            <w:rPr>
              <w:highlight w:val="none"/>
            </w:rPr>
            <w:fldChar w:fldCharType="separate"/>
          </w:r>
          <w:r>
            <w:rPr>
              <w:rFonts w:ascii="宋体" w:hAnsi="宋体" w:eastAsia="宋体" w:cs="宋体"/>
              <w:spacing w:val="5"/>
              <w:position w:val="1"/>
              <w:sz w:val="19"/>
              <w:szCs w:val="19"/>
              <w:highlight w:val="none"/>
            </w:rPr>
            <w:t>评标办法前附表</w:t>
          </w:r>
          <w:r>
            <w:rPr>
              <w:rFonts w:ascii="宋体" w:hAnsi="宋体" w:eastAsia="宋体" w:cs="宋体"/>
              <w:spacing w:val="-71"/>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42"/>
              <w:position w:val="1"/>
              <w:sz w:val="19"/>
              <w:szCs w:val="19"/>
              <w:highlight w:val="none"/>
            </w:rPr>
            <w:t xml:space="preserve"> </w:t>
          </w:r>
          <w:r>
            <w:rPr>
              <w:spacing w:val="-3"/>
              <w:position w:val="1"/>
              <w:sz w:val="19"/>
              <w:szCs w:val="19"/>
              <w:highlight w:val="none"/>
            </w:rPr>
            <w:t>52</w:t>
          </w:r>
          <w:r>
            <w:rPr>
              <w:spacing w:val="-3"/>
              <w:position w:val="1"/>
              <w:sz w:val="19"/>
              <w:szCs w:val="19"/>
              <w:highlight w:val="none"/>
            </w:rPr>
            <w:fldChar w:fldCharType="end"/>
          </w:r>
        </w:p>
        <w:p w14:paraId="016B99EF">
          <w:pPr>
            <w:pStyle w:val="2"/>
            <w:tabs>
              <w:tab w:val="right" w:leader="dot" w:pos="8290"/>
            </w:tabs>
            <w:spacing w:before="42" w:line="259" w:lineRule="exact"/>
            <w:ind w:left="197"/>
            <w:rPr>
              <w:sz w:val="19"/>
              <w:szCs w:val="19"/>
              <w:highlight w:val="none"/>
            </w:rPr>
          </w:pPr>
          <w:r>
            <w:rPr>
              <w:highlight w:val="none"/>
            </w:rPr>
            <w:fldChar w:fldCharType="begin"/>
          </w:r>
          <w:r>
            <w:rPr>
              <w:highlight w:val="none"/>
            </w:rPr>
            <w:instrText xml:space="preserve"> HYPERLINK \l "bookmark32" </w:instrText>
          </w:r>
          <w:r>
            <w:rPr>
              <w:highlight w:val="none"/>
            </w:rPr>
            <w:fldChar w:fldCharType="separate"/>
          </w:r>
          <w:r>
            <w:rPr>
              <w:rFonts w:ascii="宋体" w:hAnsi="宋体" w:eastAsia="宋体" w:cs="宋体"/>
              <w:spacing w:val="7"/>
              <w:position w:val="1"/>
              <w:sz w:val="19"/>
              <w:szCs w:val="19"/>
              <w:highlight w:val="none"/>
            </w:rPr>
            <w:t>评标办法正文部分</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51"/>
              <w:position w:val="1"/>
              <w:sz w:val="19"/>
              <w:szCs w:val="19"/>
              <w:highlight w:val="none"/>
            </w:rPr>
            <w:t xml:space="preserve"> </w:t>
          </w:r>
          <w:r>
            <w:rPr>
              <w:spacing w:val="-3"/>
              <w:position w:val="1"/>
              <w:sz w:val="19"/>
              <w:szCs w:val="19"/>
              <w:highlight w:val="none"/>
            </w:rPr>
            <w:t>59</w:t>
          </w:r>
          <w:r>
            <w:rPr>
              <w:spacing w:val="-3"/>
              <w:position w:val="1"/>
              <w:sz w:val="19"/>
              <w:szCs w:val="19"/>
              <w:highlight w:val="none"/>
            </w:rPr>
            <w:fldChar w:fldCharType="end"/>
          </w:r>
        </w:p>
        <w:p w14:paraId="05149992">
          <w:pPr>
            <w:pStyle w:val="2"/>
            <w:tabs>
              <w:tab w:val="right" w:leader="dot" w:pos="8290"/>
            </w:tabs>
            <w:spacing w:before="192" w:line="222" w:lineRule="auto"/>
            <w:rPr>
              <w:sz w:val="19"/>
              <w:szCs w:val="19"/>
              <w:highlight w:val="none"/>
            </w:rPr>
          </w:pPr>
          <w:r>
            <w:rPr>
              <w:highlight w:val="none"/>
            </w:rPr>
            <w:fldChar w:fldCharType="begin"/>
          </w:r>
          <w:r>
            <w:rPr>
              <w:highlight w:val="none"/>
            </w:rPr>
            <w:instrText xml:space="preserve"> HYPERLINK \l "bookmark33" </w:instrText>
          </w:r>
          <w:r>
            <w:rPr>
              <w:highlight w:val="none"/>
            </w:rPr>
            <w:fldChar w:fldCharType="separate"/>
          </w:r>
          <w:r>
            <w:rPr>
              <w:rFonts w:ascii="黑体" w:hAnsi="黑体" w:eastAsia="黑体" w:cs="黑体"/>
              <w:b/>
              <w:bCs/>
              <w:spacing w:val="-11"/>
              <w:highlight w:val="none"/>
            </w:rPr>
            <w:t>第四章</w:t>
          </w:r>
          <w:r>
            <w:rPr>
              <w:rFonts w:ascii="黑体" w:hAnsi="黑体" w:eastAsia="黑体" w:cs="黑体"/>
              <w:spacing w:val="-11"/>
              <w:highlight w:val="none"/>
            </w:rPr>
            <w:t xml:space="preserve"> </w:t>
          </w:r>
          <w:r>
            <w:rPr>
              <w:rFonts w:ascii="黑体" w:hAnsi="黑体" w:eastAsia="黑体" w:cs="黑体"/>
              <w:b/>
              <w:bCs/>
              <w:spacing w:val="-11"/>
              <w:highlight w:val="none"/>
            </w:rPr>
            <w:t>合同条款及格式</w:t>
          </w:r>
          <w:r>
            <w:rPr>
              <w:rFonts w:ascii="黑体" w:hAnsi="黑体" w:eastAsia="黑体" w:cs="黑体"/>
              <w:spacing w:val="-75"/>
              <w:highlight w:val="none"/>
            </w:rPr>
            <w:t xml:space="preserve"> </w:t>
          </w:r>
          <w:r>
            <w:rPr>
              <w:rFonts w:ascii="黑体" w:hAnsi="黑体" w:eastAsia="黑体" w:cs="黑体"/>
              <w:highlight w:val="none"/>
            </w:rPr>
            <w:tab/>
          </w:r>
          <w:r>
            <w:rPr>
              <w:rFonts w:ascii="黑体" w:hAnsi="黑体" w:eastAsia="黑体" w:cs="黑体"/>
              <w:spacing w:val="-13"/>
              <w:highlight w:val="none"/>
            </w:rPr>
            <w:t xml:space="preserve"> </w:t>
          </w:r>
          <w:r>
            <w:rPr>
              <w:b/>
              <w:bCs/>
              <w:spacing w:val="-3"/>
              <w:sz w:val="19"/>
              <w:szCs w:val="19"/>
              <w:highlight w:val="none"/>
            </w:rPr>
            <w:t>63</w:t>
          </w:r>
          <w:r>
            <w:rPr>
              <w:b/>
              <w:bCs/>
              <w:spacing w:val="-3"/>
              <w:sz w:val="19"/>
              <w:szCs w:val="19"/>
              <w:highlight w:val="none"/>
            </w:rPr>
            <w:fldChar w:fldCharType="end"/>
          </w:r>
        </w:p>
        <w:p w14:paraId="4066534F">
          <w:pPr>
            <w:pStyle w:val="2"/>
            <w:tabs>
              <w:tab w:val="right" w:leader="dot" w:pos="8280"/>
            </w:tabs>
            <w:spacing w:before="166" w:line="259" w:lineRule="exact"/>
            <w:ind w:left="197"/>
            <w:rPr>
              <w:sz w:val="19"/>
              <w:szCs w:val="19"/>
              <w:highlight w:val="none"/>
            </w:rPr>
          </w:pPr>
          <w:r>
            <w:rPr>
              <w:highlight w:val="none"/>
            </w:rPr>
            <w:fldChar w:fldCharType="begin"/>
          </w:r>
          <w:r>
            <w:rPr>
              <w:highlight w:val="none"/>
            </w:rPr>
            <w:instrText xml:space="preserve"> HYPERLINK \l "bookmark34" </w:instrText>
          </w:r>
          <w:r>
            <w:rPr>
              <w:highlight w:val="none"/>
            </w:rPr>
            <w:fldChar w:fldCharType="separate"/>
          </w:r>
          <w:r>
            <w:rPr>
              <w:rFonts w:ascii="宋体" w:hAnsi="宋体" w:eastAsia="宋体" w:cs="宋体"/>
              <w:spacing w:val="11"/>
              <w:position w:val="1"/>
              <w:sz w:val="19"/>
              <w:szCs w:val="19"/>
              <w:highlight w:val="none"/>
            </w:rPr>
            <w:t>第一节</w:t>
          </w:r>
          <w:r>
            <w:rPr>
              <w:rFonts w:ascii="宋体" w:hAnsi="宋体" w:eastAsia="宋体" w:cs="宋体"/>
              <w:spacing w:val="48"/>
              <w:position w:val="1"/>
              <w:sz w:val="19"/>
              <w:szCs w:val="19"/>
              <w:highlight w:val="none"/>
            </w:rPr>
            <w:t xml:space="preserve"> </w:t>
          </w:r>
          <w:r>
            <w:rPr>
              <w:rFonts w:ascii="宋体" w:hAnsi="宋体" w:eastAsia="宋体" w:cs="宋体"/>
              <w:spacing w:val="11"/>
              <w:position w:val="1"/>
              <w:sz w:val="19"/>
              <w:szCs w:val="19"/>
              <w:highlight w:val="none"/>
            </w:rPr>
            <w:t>合同协议书</w:t>
          </w:r>
          <w:r>
            <w:rPr>
              <w:rFonts w:ascii="宋体" w:hAnsi="宋体" w:eastAsia="宋体" w:cs="宋体"/>
              <w:spacing w:val="-78"/>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42"/>
              <w:position w:val="1"/>
              <w:sz w:val="19"/>
              <w:szCs w:val="19"/>
              <w:highlight w:val="none"/>
            </w:rPr>
            <w:t xml:space="preserve"> </w:t>
          </w:r>
          <w:r>
            <w:rPr>
              <w:spacing w:val="-2"/>
              <w:position w:val="1"/>
              <w:sz w:val="19"/>
              <w:szCs w:val="19"/>
              <w:highlight w:val="none"/>
            </w:rPr>
            <w:t>63</w:t>
          </w:r>
          <w:r>
            <w:rPr>
              <w:spacing w:val="-2"/>
              <w:position w:val="1"/>
              <w:sz w:val="19"/>
              <w:szCs w:val="19"/>
              <w:highlight w:val="none"/>
            </w:rPr>
            <w:fldChar w:fldCharType="end"/>
          </w:r>
        </w:p>
        <w:p w14:paraId="7DC5F415">
          <w:pPr>
            <w:pStyle w:val="2"/>
            <w:tabs>
              <w:tab w:val="right" w:leader="dot" w:pos="8280"/>
            </w:tabs>
            <w:spacing w:before="61" w:line="259" w:lineRule="exact"/>
            <w:ind w:left="197"/>
            <w:rPr>
              <w:sz w:val="19"/>
              <w:szCs w:val="19"/>
              <w:highlight w:val="none"/>
            </w:rPr>
          </w:pPr>
          <w:r>
            <w:rPr>
              <w:highlight w:val="none"/>
            </w:rPr>
            <w:fldChar w:fldCharType="begin"/>
          </w:r>
          <w:r>
            <w:rPr>
              <w:highlight w:val="none"/>
            </w:rPr>
            <w:instrText xml:space="preserve"> HYPERLINK \l "bookmark35" </w:instrText>
          </w:r>
          <w:r>
            <w:rPr>
              <w:highlight w:val="none"/>
            </w:rPr>
            <w:fldChar w:fldCharType="separate"/>
          </w:r>
          <w:r>
            <w:rPr>
              <w:rFonts w:ascii="宋体" w:hAnsi="宋体" w:eastAsia="宋体" w:cs="宋体"/>
              <w:spacing w:val="4"/>
              <w:position w:val="1"/>
              <w:sz w:val="19"/>
              <w:szCs w:val="19"/>
              <w:highlight w:val="none"/>
            </w:rPr>
            <w:t>一、工程概况</w:t>
          </w:r>
          <w:r>
            <w:rPr>
              <w:rFonts w:ascii="宋体" w:hAnsi="宋体" w:eastAsia="宋体" w:cs="宋体"/>
              <w:spacing w:val="-71"/>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32"/>
              <w:position w:val="1"/>
              <w:sz w:val="19"/>
              <w:szCs w:val="19"/>
              <w:highlight w:val="none"/>
            </w:rPr>
            <w:t xml:space="preserve"> </w:t>
          </w:r>
          <w:r>
            <w:rPr>
              <w:spacing w:val="-2"/>
              <w:position w:val="1"/>
              <w:sz w:val="19"/>
              <w:szCs w:val="19"/>
              <w:highlight w:val="none"/>
            </w:rPr>
            <w:t>63</w:t>
          </w:r>
          <w:r>
            <w:rPr>
              <w:spacing w:val="-2"/>
              <w:position w:val="1"/>
              <w:sz w:val="19"/>
              <w:szCs w:val="19"/>
              <w:highlight w:val="none"/>
            </w:rPr>
            <w:fldChar w:fldCharType="end"/>
          </w:r>
        </w:p>
        <w:p w14:paraId="4900A15A">
          <w:pPr>
            <w:pStyle w:val="2"/>
            <w:tabs>
              <w:tab w:val="right" w:leader="dot" w:pos="8280"/>
            </w:tabs>
            <w:spacing w:before="52" w:line="259" w:lineRule="exact"/>
            <w:ind w:left="197"/>
            <w:rPr>
              <w:sz w:val="19"/>
              <w:szCs w:val="19"/>
              <w:highlight w:val="none"/>
            </w:rPr>
          </w:pPr>
          <w:r>
            <w:rPr>
              <w:highlight w:val="none"/>
            </w:rPr>
            <w:fldChar w:fldCharType="begin"/>
          </w:r>
          <w:r>
            <w:rPr>
              <w:highlight w:val="none"/>
            </w:rPr>
            <w:instrText xml:space="preserve"> HYPERLINK \l "bookmark36" </w:instrText>
          </w:r>
          <w:r>
            <w:rPr>
              <w:highlight w:val="none"/>
            </w:rPr>
            <w:fldChar w:fldCharType="separate"/>
          </w:r>
          <w:r>
            <w:rPr>
              <w:rFonts w:ascii="宋体" w:hAnsi="宋体" w:eastAsia="宋体" w:cs="宋体"/>
              <w:spacing w:val="8"/>
              <w:position w:val="1"/>
              <w:sz w:val="19"/>
              <w:szCs w:val="19"/>
              <w:highlight w:val="none"/>
            </w:rPr>
            <w:t>二、合同工期</w:t>
          </w:r>
          <w:r>
            <w:rPr>
              <w:rFonts w:ascii="宋体" w:hAnsi="宋体" w:eastAsia="宋体" w:cs="宋体"/>
              <w:spacing w:val="-75"/>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52"/>
              <w:position w:val="1"/>
              <w:sz w:val="19"/>
              <w:szCs w:val="19"/>
              <w:highlight w:val="none"/>
            </w:rPr>
            <w:t xml:space="preserve"> </w:t>
          </w:r>
          <w:r>
            <w:rPr>
              <w:spacing w:val="-2"/>
              <w:position w:val="1"/>
              <w:sz w:val="19"/>
              <w:szCs w:val="19"/>
              <w:highlight w:val="none"/>
            </w:rPr>
            <w:t>63</w:t>
          </w:r>
          <w:r>
            <w:rPr>
              <w:spacing w:val="-2"/>
              <w:position w:val="1"/>
              <w:sz w:val="19"/>
              <w:szCs w:val="19"/>
              <w:highlight w:val="none"/>
            </w:rPr>
            <w:fldChar w:fldCharType="end"/>
          </w:r>
        </w:p>
        <w:p w14:paraId="08C77595">
          <w:pPr>
            <w:pStyle w:val="2"/>
            <w:tabs>
              <w:tab w:val="right" w:leader="dot" w:pos="8280"/>
            </w:tabs>
            <w:spacing w:before="41" w:line="259" w:lineRule="exact"/>
            <w:ind w:left="197"/>
            <w:rPr>
              <w:sz w:val="19"/>
              <w:szCs w:val="19"/>
              <w:highlight w:val="none"/>
            </w:rPr>
          </w:pPr>
          <w:r>
            <w:rPr>
              <w:highlight w:val="none"/>
            </w:rPr>
            <w:fldChar w:fldCharType="begin"/>
          </w:r>
          <w:r>
            <w:rPr>
              <w:highlight w:val="none"/>
            </w:rPr>
            <w:instrText xml:space="preserve"> HYPERLINK \l "bookmark37" </w:instrText>
          </w:r>
          <w:r>
            <w:rPr>
              <w:highlight w:val="none"/>
            </w:rPr>
            <w:fldChar w:fldCharType="separate"/>
          </w:r>
          <w:r>
            <w:rPr>
              <w:rFonts w:ascii="宋体" w:hAnsi="宋体" w:eastAsia="宋体" w:cs="宋体"/>
              <w:spacing w:val="4"/>
              <w:position w:val="1"/>
              <w:sz w:val="19"/>
              <w:szCs w:val="19"/>
              <w:highlight w:val="none"/>
            </w:rPr>
            <w:t>三、质量标准</w:t>
          </w:r>
          <w:r>
            <w:rPr>
              <w:rFonts w:ascii="宋体" w:hAnsi="宋体" w:eastAsia="宋体" w:cs="宋体"/>
              <w:spacing w:val="-71"/>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32"/>
              <w:position w:val="1"/>
              <w:sz w:val="19"/>
              <w:szCs w:val="19"/>
              <w:highlight w:val="none"/>
            </w:rPr>
            <w:t xml:space="preserve"> </w:t>
          </w:r>
          <w:r>
            <w:rPr>
              <w:spacing w:val="-2"/>
              <w:position w:val="1"/>
              <w:sz w:val="19"/>
              <w:szCs w:val="19"/>
              <w:highlight w:val="none"/>
            </w:rPr>
            <w:t>63</w:t>
          </w:r>
          <w:r>
            <w:rPr>
              <w:spacing w:val="-2"/>
              <w:position w:val="1"/>
              <w:sz w:val="19"/>
              <w:szCs w:val="19"/>
              <w:highlight w:val="none"/>
            </w:rPr>
            <w:fldChar w:fldCharType="end"/>
          </w:r>
        </w:p>
        <w:p w14:paraId="67652269">
          <w:pPr>
            <w:pStyle w:val="2"/>
            <w:tabs>
              <w:tab w:val="right" w:leader="dot" w:pos="8280"/>
            </w:tabs>
            <w:spacing w:before="69" w:line="259" w:lineRule="exact"/>
            <w:ind w:left="197"/>
            <w:rPr>
              <w:sz w:val="19"/>
              <w:szCs w:val="19"/>
              <w:highlight w:val="none"/>
            </w:rPr>
          </w:pPr>
          <w:r>
            <w:rPr>
              <w:highlight w:val="none"/>
            </w:rPr>
            <w:fldChar w:fldCharType="begin"/>
          </w:r>
          <w:r>
            <w:rPr>
              <w:highlight w:val="none"/>
            </w:rPr>
            <w:instrText xml:space="preserve"> HYPERLINK \l "bookmark38" </w:instrText>
          </w:r>
          <w:r>
            <w:rPr>
              <w:highlight w:val="none"/>
            </w:rPr>
            <w:fldChar w:fldCharType="separate"/>
          </w:r>
          <w:r>
            <w:rPr>
              <w:rFonts w:ascii="宋体" w:hAnsi="宋体" w:eastAsia="宋体" w:cs="宋体"/>
              <w:spacing w:val="6"/>
              <w:position w:val="1"/>
              <w:sz w:val="19"/>
              <w:szCs w:val="19"/>
              <w:highlight w:val="none"/>
            </w:rPr>
            <w:t>四</w:t>
          </w:r>
          <w:r>
            <w:rPr>
              <w:rFonts w:ascii="宋体" w:hAnsi="宋体" w:eastAsia="宋体" w:cs="宋体"/>
              <w:spacing w:val="-43"/>
              <w:position w:val="1"/>
              <w:sz w:val="19"/>
              <w:szCs w:val="19"/>
              <w:highlight w:val="none"/>
            </w:rPr>
            <w:t xml:space="preserve"> </w:t>
          </w:r>
          <w:r>
            <w:rPr>
              <w:rFonts w:ascii="宋体" w:hAnsi="宋体" w:eastAsia="宋体" w:cs="宋体"/>
              <w:spacing w:val="6"/>
              <w:position w:val="1"/>
              <w:sz w:val="19"/>
              <w:szCs w:val="19"/>
              <w:highlight w:val="none"/>
            </w:rPr>
            <w:t>、签约合同价与合同价格形式</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63</w:t>
          </w:r>
          <w:r>
            <w:rPr>
              <w:position w:val="1"/>
              <w:sz w:val="19"/>
              <w:szCs w:val="19"/>
              <w:highlight w:val="none"/>
            </w:rPr>
            <w:fldChar w:fldCharType="end"/>
          </w:r>
        </w:p>
        <w:p w14:paraId="0CA9CFA6">
          <w:pPr>
            <w:pStyle w:val="2"/>
            <w:tabs>
              <w:tab w:val="right" w:leader="dot" w:pos="8300"/>
            </w:tabs>
            <w:spacing w:before="42" w:line="259" w:lineRule="exact"/>
            <w:ind w:left="197"/>
            <w:rPr>
              <w:sz w:val="19"/>
              <w:szCs w:val="19"/>
              <w:highlight w:val="none"/>
            </w:rPr>
          </w:pPr>
          <w:r>
            <w:rPr>
              <w:highlight w:val="none"/>
            </w:rPr>
            <w:fldChar w:fldCharType="begin"/>
          </w:r>
          <w:r>
            <w:rPr>
              <w:highlight w:val="none"/>
            </w:rPr>
            <w:instrText xml:space="preserve"> HYPERLINK \l "bookmark39" </w:instrText>
          </w:r>
          <w:r>
            <w:rPr>
              <w:highlight w:val="none"/>
            </w:rPr>
            <w:fldChar w:fldCharType="separate"/>
          </w:r>
          <w:r>
            <w:rPr>
              <w:rFonts w:ascii="宋体" w:hAnsi="宋体" w:eastAsia="宋体" w:cs="宋体"/>
              <w:spacing w:val="6"/>
              <w:position w:val="1"/>
              <w:sz w:val="19"/>
              <w:szCs w:val="19"/>
              <w:highlight w:val="none"/>
            </w:rPr>
            <w:t>五、工程总承包项目经理</w:t>
          </w:r>
          <w:r>
            <w:rPr>
              <w:rFonts w:ascii="宋体" w:hAnsi="宋体" w:eastAsia="宋体" w:cs="宋体"/>
              <w:spacing w:val="-62"/>
              <w:position w:val="1"/>
              <w:sz w:val="19"/>
              <w:szCs w:val="19"/>
              <w:highlight w:val="none"/>
            </w:rPr>
            <w:t xml:space="preserve"> </w:t>
          </w:r>
          <w:r>
            <w:rPr>
              <w:rFonts w:ascii="宋体" w:hAnsi="宋体" w:eastAsia="宋体" w:cs="宋体"/>
              <w:position w:val="1"/>
              <w:sz w:val="19"/>
              <w:szCs w:val="19"/>
              <w:highlight w:val="none"/>
            </w:rPr>
            <w:tab/>
          </w:r>
          <w:r>
            <w:rPr>
              <w:spacing w:val="12"/>
              <w:position w:val="1"/>
              <w:sz w:val="19"/>
              <w:szCs w:val="19"/>
              <w:highlight w:val="none"/>
            </w:rPr>
            <w:t>64</w:t>
          </w:r>
          <w:r>
            <w:rPr>
              <w:spacing w:val="12"/>
              <w:position w:val="1"/>
              <w:sz w:val="19"/>
              <w:szCs w:val="19"/>
              <w:highlight w:val="none"/>
            </w:rPr>
            <w:fldChar w:fldCharType="end"/>
          </w:r>
        </w:p>
        <w:p w14:paraId="1C85130D">
          <w:pPr>
            <w:pStyle w:val="2"/>
            <w:tabs>
              <w:tab w:val="right" w:leader="dot" w:pos="8300"/>
            </w:tabs>
            <w:spacing w:before="71" w:line="259" w:lineRule="exact"/>
            <w:ind w:left="197"/>
            <w:rPr>
              <w:sz w:val="19"/>
              <w:szCs w:val="19"/>
              <w:highlight w:val="none"/>
            </w:rPr>
          </w:pPr>
          <w:r>
            <w:rPr>
              <w:highlight w:val="none"/>
            </w:rPr>
            <w:fldChar w:fldCharType="begin"/>
          </w:r>
          <w:r>
            <w:rPr>
              <w:highlight w:val="none"/>
            </w:rPr>
            <w:instrText xml:space="preserve"> HYPERLINK \l "bookmark40" </w:instrText>
          </w:r>
          <w:r>
            <w:rPr>
              <w:highlight w:val="none"/>
            </w:rPr>
            <w:fldChar w:fldCharType="separate"/>
          </w:r>
          <w:r>
            <w:rPr>
              <w:rFonts w:ascii="宋体" w:hAnsi="宋体" w:eastAsia="宋体" w:cs="宋体"/>
              <w:spacing w:val="7"/>
              <w:position w:val="1"/>
              <w:sz w:val="19"/>
              <w:szCs w:val="19"/>
              <w:highlight w:val="none"/>
            </w:rPr>
            <w:t>六、合同文件构成</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42"/>
              <w:position w:val="1"/>
              <w:sz w:val="19"/>
              <w:szCs w:val="19"/>
              <w:highlight w:val="none"/>
            </w:rPr>
            <w:t xml:space="preserve"> </w:t>
          </w:r>
          <w:r>
            <w:rPr>
              <w:spacing w:val="-2"/>
              <w:position w:val="1"/>
              <w:sz w:val="19"/>
              <w:szCs w:val="19"/>
              <w:highlight w:val="none"/>
            </w:rPr>
            <w:t>64</w:t>
          </w:r>
          <w:r>
            <w:rPr>
              <w:spacing w:val="-2"/>
              <w:position w:val="1"/>
              <w:sz w:val="19"/>
              <w:szCs w:val="19"/>
              <w:highlight w:val="none"/>
            </w:rPr>
            <w:fldChar w:fldCharType="end"/>
          </w:r>
        </w:p>
      </w:sdtContent>
    </w:sdt>
    <w:p w14:paraId="7B020224">
      <w:pPr>
        <w:spacing w:line="259" w:lineRule="exact"/>
        <w:rPr>
          <w:sz w:val="19"/>
          <w:szCs w:val="19"/>
          <w:highlight w:val="none"/>
        </w:rPr>
        <w:sectPr>
          <w:headerReference r:id="rId5" w:type="default"/>
          <w:footerReference r:id="rId6" w:type="default"/>
          <w:pgSz w:w="11910" w:h="16840"/>
          <w:pgMar w:top="400" w:right="1786" w:bottom="1133" w:left="1782" w:header="0" w:footer="1036" w:gutter="0"/>
          <w:cols w:space="720" w:num="1"/>
        </w:sectPr>
      </w:pPr>
    </w:p>
    <w:p w14:paraId="39CBD485">
      <w:pPr>
        <w:pStyle w:val="2"/>
        <w:spacing w:line="243" w:lineRule="auto"/>
        <w:rPr>
          <w:highlight w:val="none"/>
        </w:rPr>
      </w:pPr>
    </w:p>
    <w:p w14:paraId="1E5D7F34">
      <w:pPr>
        <w:pStyle w:val="2"/>
        <w:spacing w:line="244" w:lineRule="auto"/>
        <w:rPr>
          <w:highlight w:val="none"/>
        </w:rPr>
      </w:pPr>
    </w:p>
    <w:p w14:paraId="532C312D">
      <w:pPr>
        <w:pStyle w:val="2"/>
        <w:spacing w:line="244" w:lineRule="auto"/>
        <w:rPr>
          <w:highlight w:val="none"/>
        </w:rPr>
      </w:pPr>
    </w:p>
    <w:p w14:paraId="26BB2188">
      <w:pPr>
        <w:pStyle w:val="2"/>
        <w:spacing w:line="244" w:lineRule="auto"/>
        <w:rPr>
          <w:highlight w:val="none"/>
        </w:rPr>
      </w:pPr>
    </w:p>
    <w:sdt>
      <w:sdtPr>
        <w:rPr>
          <w:rFonts w:ascii="黑体" w:hAnsi="黑体" w:eastAsia="黑体" w:cs="黑体"/>
          <w:sz w:val="19"/>
          <w:szCs w:val="19"/>
          <w:highlight w:val="none"/>
        </w:rPr>
        <w:id w:val="147464465"/>
        <w:docPartObj>
          <w:docPartGallery w:val="Table of Contents"/>
          <w:docPartUnique/>
        </w:docPartObj>
      </w:sdtPr>
      <w:sdtEndPr>
        <w:rPr>
          <w:rFonts w:ascii="Arial" w:hAnsi="Arial" w:eastAsia="Arial" w:cs="Arial"/>
          <w:sz w:val="19"/>
          <w:szCs w:val="19"/>
          <w:highlight w:val="none"/>
        </w:rPr>
      </w:sdtEndPr>
      <w:sdtContent>
        <w:p w14:paraId="7ACBB95E">
          <w:pPr>
            <w:pStyle w:val="2"/>
            <w:tabs>
              <w:tab w:val="right" w:leader="dot" w:pos="8297"/>
            </w:tabs>
            <w:spacing w:before="62" w:line="259" w:lineRule="exact"/>
            <w:ind w:left="203"/>
            <w:rPr>
              <w:sz w:val="19"/>
              <w:szCs w:val="19"/>
              <w:highlight w:val="none"/>
            </w:rPr>
          </w:pPr>
          <w:r>
            <w:rPr>
              <w:highlight w:val="none"/>
            </w:rPr>
            <w:fldChar w:fldCharType="begin"/>
          </w:r>
          <w:r>
            <w:rPr>
              <w:highlight w:val="none"/>
            </w:rPr>
            <w:instrText xml:space="preserve"> HYPERLINK \l "bookmark41" </w:instrText>
          </w:r>
          <w:r>
            <w:rPr>
              <w:highlight w:val="none"/>
            </w:rPr>
            <w:fldChar w:fldCharType="separate"/>
          </w:r>
          <w:r>
            <w:rPr>
              <w:rFonts w:ascii="黑体" w:hAnsi="黑体" w:eastAsia="黑体" w:cs="黑体"/>
              <w:spacing w:val="2"/>
              <w:position w:val="1"/>
              <w:sz w:val="19"/>
              <w:szCs w:val="19"/>
              <w:highlight w:val="none"/>
            </w:rPr>
            <w:t>七、承诺</w:t>
          </w:r>
          <w:r>
            <w:rPr>
              <w:rFonts w:ascii="黑体" w:hAnsi="黑体" w:eastAsia="黑体" w:cs="黑体"/>
              <w:spacing w:val="-75"/>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3"/>
              <w:position w:val="1"/>
              <w:sz w:val="19"/>
              <w:szCs w:val="19"/>
              <w:highlight w:val="none"/>
            </w:rPr>
            <w:t xml:space="preserve"> </w:t>
          </w:r>
          <w:r>
            <w:rPr>
              <w:spacing w:val="-2"/>
              <w:position w:val="1"/>
              <w:sz w:val="19"/>
              <w:szCs w:val="19"/>
              <w:highlight w:val="none"/>
            </w:rPr>
            <w:t>65</w:t>
          </w:r>
          <w:r>
            <w:rPr>
              <w:spacing w:val="-2"/>
              <w:position w:val="1"/>
              <w:sz w:val="19"/>
              <w:szCs w:val="19"/>
              <w:highlight w:val="none"/>
            </w:rPr>
            <w:fldChar w:fldCharType="end"/>
          </w:r>
        </w:p>
        <w:p w14:paraId="27279F69">
          <w:pPr>
            <w:pStyle w:val="2"/>
            <w:tabs>
              <w:tab w:val="right" w:leader="dot" w:pos="8297"/>
            </w:tabs>
            <w:spacing w:before="61" w:line="259" w:lineRule="exact"/>
            <w:ind w:left="203"/>
            <w:rPr>
              <w:sz w:val="19"/>
              <w:szCs w:val="19"/>
              <w:highlight w:val="none"/>
            </w:rPr>
          </w:pPr>
          <w:r>
            <w:rPr>
              <w:highlight w:val="none"/>
            </w:rPr>
            <w:fldChar w:fldCharType="begin"/>
          </w:r>
          <w:r>
            <w:rPr>
              <w:highlight w:val="none"/>
            </w:rPr>
            <w:instrText xml:space="preserve"> HYPERLINK \l "bookmark42" </w:instrText>
          </w:r>
          <w:r>
            <w:rPr>
              <w:highlight w:val="none"/>
            </w:rPr>
            <w:fldChar w:fldCharType="separate"/>
          </w:r>
          <w:r>
            <w:rPr>
              <w:rFonts w:ascii="黑体" w:hAnsi="黑体" w:eastAsia="黑体" w:cs="黑体"/>
              <w:spacing w:val="6"/>
              <w:position w:val="1"/>
              <w:sz w:val="19"/>
              <w:szCs w:val="19"/>
              <w:highlight w:val="none"/>
            </w:rPr>
            <w:t>八、订立时间</w:t>
          </w:r>
          <w:r>
            <w:rPr>
              <w:rFonts w:ascii="黑体" w:hAnsi="黑体" w:eastAsia="黑体" w:cs="黑体"/>
              <w:spacing w:val="-83"/>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23"/>
              <w:position w:val="1"/>
              <w:sz w:val="19"/>
              <w:szCs w:val="19"/>
              <w:highlight w:val="none"/>
            </w:rPr>
            <w:t xml:space="preserve"> </w:t>
          </w:r>
          <w:r>
            <w:rPr>
              <w:spacing w:val="-2"/>
              <w:position w:val="1"/>
              <w:sz w:val="19"/>
              <w:szCs w:val="19"/>
              <w:highlight w:val="none"/>
            </w:rPr>
            <w:t>65</w:t>
          </w:r>
          <w:r>
            <w:rPr>
              <w:spacing w:val="-2"/>
              <w:position w:val="1"/>
              <w:sz w:val="19"/>
              <w:szCs w:val="19"/>
              <w:highlight w:val="none"/>
            </w:rPr>
            <w:fldChar w:fldCharType="end"/>
          </w:r>
        </w:p>
        <w:p w14:paraId="74572DF8">
          <w:pPr>
            <w:pStyle w:val="2"/>
            <w:tabs>
              <w:tab w:val="right" w:leader="dot" w:pos="8297"/>
            </w:tabs>
            <w:spacing w:before="51" w:line="259" w:lineRule="exact"/>
            <w:ind w:left="203"/>
            <w:rPr>
              <w:sz w:val="19"/>
              <w:szCs w:val="19"/>
              <w:highlight w:val="none"/>
            </w:rPr>
          </w:pPr>
          <w:r>
            <w:rPr>
              <w:highlight w:val="none"/>
            </w:rPr>
            <w:fldChar w:fldCharType="begin"/>
          </w:r>
          <w:r>
            <w:rPr>
              <w:highlight w:val="none"/>
            </w:rPr>
            <w:instrText xml:space="preserve"> HYPERLINK \l "bookmark43" </w:instrText>
          </w:r>
          <w:r>
            <w:rPr>
              <w:highlight w:val="none"/>
            </w:rPr>
            <w:fldChar w:fldCharType="separate"/>
          </w:r>
          <w:r>
            <w:rPr>
              <w:rFonts w:ascii="黑体" w:hAnsi="黑体" w:eastAsia="黑体" w:cs="黑体"/>
              <w:spacing w:val="8"/>
              <w:position w:val="1"/>
              <w:sz w:val="19"/>
              <w:szCs w:val="19"/>
              <w:highlight w:val="none"/>
            </w:rPr>
            <w:t>九、订立地点</w:t>
          </w:r>
          <w:r>
            <w:rPr>
              <w:rFonts w:ascii="黑体" w:hAnsi="黑体" w:eastAsia="黑体" w:cs="黑体"/>
              <w:spacing w:val="-75"/>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43"/>
              <w:position w:val="1"/>
              <w:sz w:val="19"/>
              <w:szCs w:val="19"/>
              <w:highlight w:val="none"/>
            </w:rPr>
            <w:t xml:space="preserve"> </w:t>
          </w:r>
          <w:r>
            <w:rPr>
              <w:spacing w:val="-2"/>
              <w:position w:val="1"/>
              <w:sz w:val="19"/>
              <w:szCs w:val="19"/>
              <w:highlight w:val="none"/>
            </w:rPr>
            <w:t>65</w:t>
          </w:r>
          <w:r>
            <w:rPr>
              <w:spacing w:val="-2"/>
              <w:position w:val="1"/>
              <w:sz w:val="19"/>
              <w:szCs w:val="19"/>
              <w:highlight w:val="none"/>
            </w:rPr>
            <w:fldChar w:fldCharType="end"/>
          </w:r>
        </w:p>
        <w:p w14:paraId="78B4779A">
          <w:pPr>
            <w:pStyle w:val="2"/>
            <w:tabs>
              <w:tab w:val="right" w:leader="dot" w:pos="8297"/>
            </w:tabs>
            <w:spacing w:before="38" w:line="259" w:lineRule="exact"/>
            <w:ind w:left="203"/>
            <w:rPr>
              <w:sz w:val="19"/>
              <w:szCs w:val="19"/>
              <w:highlight w:val="none"/>
            </w:rPr>
          </w:pPr>
          <w:r>
            <w:rPr>
              <w:highlight w:val="none"/>
            </w:rPr>
            <w:fldChar w:fldCharType="begin"/>
          </w:r>
          <w:r>
            <w:rPr>
              <w:highlight w:val="none"/>
            </w:rPr>
            <w:instrText xml:space="preserve"> HYPERLINK \l "bookmark44" </w:instrText>
          </w:r>
          <w:r>
            <w:rPr>
              <w:highlight w:val="none"/>
            </w:rPr>
            <w:fldChar w:fldCharType="separate"/>
          </w:r>
          <w:r>
            <w:rPr>
              <w:rFonts w:ascii="黑体" w:hAnsi="黑体" w:eastAsia="黑体" w:cs="黑体"/>
              <w:spacing w:val="7"/>
              <w:position w:val="1"/>
              <w:sz w:val="19"/>
              <w:szCs w:val="19"/>
              <w:highlight w:val="none"/>
            </w:rPr>
            <w:t>十、合同生效</w:t>
          </w:r>
          <w:r>
            <w:rPr>
              <w:rFonts w:ascii="黑体" w:hAnsi="黑体" w:eastAsia="黑体" w:cs="黑体"/>
              <w:spacing w:val="-69"/>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43"/>
              <w:position w:val="1"/>
              <w:sz w:val="19"/>
              <w:szCs w:val="19"/>
              <w:highlight w:val="none"/>
            </w:rPr>
            <w:t xml:space="preserve"> </w:t>
          </w:r>
          <w:r>
            <w:rPr>
              <w:spacing w:val="-2"/>
              <w:position w:val="1"/>
              <w:sz w:val="19"/>
              <w:szCs w:val="19"/>
              <w:highlight w:val="none"/>
            </w:rPr>
            <w:t>65</w:t>
          </w:r>
          <w:r>
            <w:rPr>
              <w:spacing w:val="-2"/>
              <w:position w:val="1"/>
              <w:sz w:val="19"/>
              <w:szCs w:val="19"/>
              <w:highlight w:val="none"/>
            </w:rPr>
            <w:fldChar w:fldCharType="end"/>
          </w:r>
        </w:p>
        <w:p w14:paraId="12F83989">
          <w:pPr>
            <w:pStyle w:val="2"/>
            <w:tabs>
              <w:tab w:val="right" w:leader="dot" w:pos="8297"/>
            </w:tabs>
            <w:spacing w:before="62" w:line="259" w:lineRule="exact"/>
            <w:ind w:left="203"/>
            <w:rPr>
              <w:sz w:val="19"/>
              <w:szCs w:val="19"/>
              <w:highlight w:val="none"/>
            </w:rPr>
          </w:pPr>
          <w:r>
            <w:rPr>
              <w:highlight w:val="none"/>
            </w:rPr>
            <w:fldChar w:fldCharType="begin"/>
          </w:r>
          <w:r>
            <w:rPr>
              <w:highlight w:val="none"/>
            </w:rPr>
            <w:instrText xml:space="preserve"> HYPERLINK \l "bookmark45" </w:instrText>
          </w:r>
          <w:r>
            <w:rPr>
              <w:highlight w:val="none"/>
            </w:rPr>
            <w:fldChar w:fldCharType="separate"/>
          </w:r>
          <w:r>
            <w:rPr>
              <w:rFonts w:ascii="黑体" w:hAnsi="黑体" w:eastAsia="黑体" w:cs="黑体"/>
              <w:spacing w:val="4"/>
              <w:position w:val="1"/>
              <w:sz w:val="19"/>
              <w:szCs w:val="19"/>
              <w:highlight w:val="none"/>
            </w:rPr>
            <w:t>十一、合同份数</w:t>
          </w:r>
          <w:r>
            <w:rPr>
              <w:rFonts w:ascii="黑体" w:hAnsi="黑体" w:eastAsia="黑体" w:cs="黑体"/>
              <w:spacing w:val="-64"/>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33"/>
              <w:position w:val="1"/>
              <w:sz w:val="19"/>
              <w:szCs w:val="19"/>
              <w:highlight w:val="none"/>
            </w:rPr>
            <w:t xml:space="preserve"> </w:t>
          </w:r>
          <w:r>
            <w:rPr>
              <w:spacing w:val="-2"/>
              <w:position w:val="1"/>
              <w:sz w:val="19"/>
              <w:szCs w:val="19"/>
              <w:highlight w:val="none"/>
            </w:rPr>
            <w:t>65</w:t>
          </w:r>
          <w:r>
            <w:rPr>
              <w:spacing w:val="-2"/>
              <w:position w:val="1"/>
              <w:sz w:val="19"/>
              <w:szCs w:val="19"/>
              <w:highlight w:val="none"/>
            </w:rPr>
            <w:fldChar w:fldCharType="end"/>
          </w:r>
        </w:p>
        <w:p w14:paraId="6B16EFF1">
          <w:pPr>
            <w:pStyle w:val="2"/>
            <w:tabs>
              <w:tab w:val="right" w:leader="dot" w:pos="8190"/>
            </w:tabs>
            <w:spacing w:before="70" w:line="259" w:lineRule="exact"/>
            <w:ind w:left="203"/>
            <w:rPr>
              <w:sz w:val="19"/>
              <w:szCs w:val="19"/>
              <w:highlight w:val="none"/>
            </w:rPr>
          </w:pPr>
          <w:r>
            <w:rPr>
              <w:highlight w:val="none"/>
            </w:rPr>
            <w:fldChar w:fldCharType="begin"/>
          </w:r>
          <w:r>
            <w:rPr>
              <w:highlight w:val="none"/>
            </w:rPr>
            <w:instrText xml:space="preserve"> HYPERLINK \l "bookmark46" </w:instrText>
          </w:r>
          <w:r>
            <w:rPr>
              <w:highlight w:val="none"/>
            </w:rPr>
            <w:fldChar w:fldCharType="separate"/>
          </w:r>
          <w:r>
            <w:rPr>
              <w:rFonts w:ascii="黑体" w:hAnsi="黑体" w:eastAsia="黑体" w:cs="黑体"/>
              <w:spacing w:val="5"/>
              <w:position w:val="1"/>
              <w:sz w:val="19"/>
              <w:szCs w:val="19"/>
              <w:highlight w:val="none"/>
            </w:rPr>
            <w:t>第二节</w:t>
          </w:r>
          <w:r>
            <w:rPr>
              <w:rFonts w:ascii="黑体" w:hAnsi="黑体" w:eastAsia="黑体" w:cs="黑体"/>
              <w:spacing w:val="27"/>
              <w:position w:val="1"/>
              <w:sz w:val="19"/>
              <w:szCs w:val="19"/>
              <w:highlight w:val="none"/>
            </w:rPr>
            <w:t xml:space="preserve"> </w:t>
          </w:r>
          <w:r>
            <w:rPr>
              <w:rFonts w:ascii="黑体" w:hAnsi="黑体" w:eastAsia="黑体" w:cs="黑体"/>
              <w:spacing w:val="5"/>
              <w:position w:val="1"/>
              <w:sz w:val="19"/>
              <w:szCs w:val="19"/>
              <w:highlight w:val="none"/>
            </w:rPr>
            <w:t>通用合同条件</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6</w:t>
          </w:r>
          <w:r>
            <w:rPr>
              <w:spacing w:val="1"/>
              <w:position w:val="1"/>
              <w:sz w:val="19"/>
              <w:szCs w:val="19"/>
              <w:highlight w:val="none"/>
            </w:rPr>
            <w:fldChar w:fldCharType="end"/>
          </w:r>
        </w:p>
        <w:p w14:paraId="76C9C98B">
          <w:pPr>
            <w:pStyle w:val="2"/>
            <w:tabs>
              <w:tab w:val="right" w:leader="dot" w:pos="8190"/>
            </w:tabs>
            <w:spacing w:before="40" w:line="259" w:lineRule="exact"/>
            <w:ind w:left="203"/>
            <w:rPr>
              <w:sz w:val="19"/>
              <w:szCs w:val="19"/>
              <w:highlight w:val="none"/>
            </w:rPr>
          </w:pPr>
          <w:r>
            <w:rPr>
              <w:highlight w:val="none"/>
            </w:rPr>
            <w:fldChar w:fldCharType="begin"/>
          </w:r>
          <w:r>
            <w:rPr>
              <w:highlight w:val="none"/>
            </w:rPr>
            <w:instrText xml:space="preserve"> HYPERLINK \l "bookmark47" </w:instrText>
          </w:r>
          <w:r>
            <w:rPr>
              <w:highlight w:val="none"/>
            </w:rPr>
            <w:fldChar w:fldCharType="separate"/>
          </w:r>
          <w:r>
            <w:rPr>
              <w:rFonts w:ascii="黑体" w:hAnsi="黑体" w:eastAsia="黑体" w:cs="黑体"/>
              <w:spacing w:val="-3"/>
              <w:position w:val="1"/>
              <w:sz w:val="19"/>
              <w:szCs w:val="19"/>
              <w:highlight w:val="none"/>
            </w:rPr>
            <w:t>第</w:t>
          </w:r>
          <w:r>
            <w:rPr>
              <w:rFonts w:ascii="黑体" w:hAnsi="黑体" w:eastAsia="黑体" w:cs="黑体"/>
              <w:spacing w:val="-11"/>
              <w:position w:val="1"/>
              <w:sz w:val="19"/>
              <w:szCs w:val="19"/>
              <w:highlight w:val="none"/>
            </w:rPr>
            <w:t xml:space="preserve"> </w:t>
          </w:r>
          <w:r>
            <w:rPr>
              <w:rFonts w:ascii="黑体" w:hAnsi="黑体" w:eastAsia="黑体" w:cs="黑体"/>
              <w:spacing w:val="-3"/>
              <w:position w:val="1"/>
              <w:sz w:val="19"/>
              <w:szCs w:val="19"/>
              <w:highlight w:val="none"/>
            </w:rPr>
            <w:t>1</w:t>
          </w:r>
          <w:r>
            <w:rPr>
              <w:rFonts w:ascii="黑体" w:hAnsi="黑体" w:eastAsia="黑体" w:cs="黑体"/>
              <w:spacing w:val="-23"/>
              <w:position w:val="1"/>
              <w:sz w:val="19"/>
              <w:szCs w:val="19"/>
              <w:highlight w:val="none"/>
            </w:rPr>
            <w:t xml:space="preserve"> </w:t>
          </w:r>
          <w:r>
            <w:rPr>
              <w:rFonts w:ascii="黑体" w:hAnsi="黑体" w:eastAsia="黑体" w:cs="黑体"/>
              <w:spacing w:val="-3"/>
              <w:position w:val="1"/>
              <w:sz w:val="19"/>
              <w:szCs w:val="19"/>
              <w:highlight w:val="none"/>
            </w:rPr>
            <w:t>条</w:t>
          </w:r>
          <w:r>
            <w:rPr>
              <w:rFonts w:ascii="黑体" w:hAnsi="黑体" w:eastAsia="黑体" w:cs="黑体"/>
              <w:spacing w:val="14"/>
              <w:position w:val="1"/>
              <w:sz w:val="19"/>
              <w:szCs w:val="19"/>
              <w:highlight w:val="none"/>
            </w:rPr>
            <w:t xml:space="preserve"> </w:t>
          </w:r>
          <w:r>
            <w:rPr>
              <w:rFonts w:ascii="黑体" w:hAnsi="黑体" w:eastAsia="黑体" w:cs="黑体"/>
              <w:spacing w:val="-3"/>
              <w:position w:val="1"/>
              <w:sz w:val="19"/>
              <w:szCs w:val="19"/>
              <w:highlight w:val="none"/>
            </w:rPr>
            <w:t>一般约定</w:t>
          </w:r>
          <w:r>
            <w:rPr>
              <w:rFonts w:ascii="黑体" w:hAnsi="黑体" w:eastAsia="黑体" w:cs="黑体"/>
              <w:spacing w:val="-76"/>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6</w:t>
          </w:r>
          <w:r>
            <w:rPr>
              <w:spacing w:val="1"/>
              <w:position w:val="1"/>
              <w:sz w:val="19"/>
              <w:szCs w:val="19"/>
              <w:highlight w:val="none"/>
            </w:rPr>
            <w:fldChar w:fldCharType="end"/>
          </w:r>
        </w:p>
        <w:p w14:paraId="132F575E">
          <w:pPr>
            <w:pStyle w:val="2"/>
            <w:tabs>
              <w:tab w:val="right" w:leader="dot" w:pos="8295"/>
            </w:tabs>
            <w:spacing w:before="72" w:line="259" w:lineRule="exact"/>
            <w:ind w:left="203"/>
            <w:rPr>
              <w:sz w:val="19"/>
              <w:szCs w:val="19"/>
              <w:highlight w:val="none"/>
            </w:rPr>
          </w:pPr>
          <w:r>
            <w:rPr>
              <w:highlight w:val="none"/>
            </w:rPr>
            <w:fldChar w:fldCharType="begin"/>
          </w:r>
          <w:r>
            <w:rPr>
              <w:highlight w:val="none"/>
            </w:rPr>
            <w:instrText xml:space="preserve"> HYPERLINK \l "bookmark48" </w:instrText>
          </w:r>
          <w:r>
            <w:rPr>
              <w:highlight w:val="none"/>
            </w:rPr>
            <w:fldChar w:fldCharType="separate"/>
          </w:r>
          <w:r>
            <w:rPr>
              <w:rFonts w:ascii="黑体" w:hAnsi="黑体" w:eastAsia="黑体" w:cs="黑体"/>
              <w:spacing w:val="-2"/>
              <w:position w:val="1"/>
              <w:sz w:val="19"/>
              <w:szCs w:val="19"/>
              <w:highlight w:val="none"/>
            </w:rPr>
            <w:t>第</w:t>
          </w:r>
          <w:r>
            <w:rPr>
              <w:rFonts w:ascii="黑体" w:hAnsi="黑体" w:eastAsia="黑体" w:cs="黑体"/>
              <w:spacing w:val="-32"/>
              <w:position w:val="1"/>
              <w:sz w:val="19"/>
              <w:szCs w:val="19"/>
              <w:highlight w:val="none"/>
            </w:rPr>
            <w:t xml:space="preserve"> </w:t>
          </w:r>
          <w:r>
            <w:rPr>
              <w:rFonts w:ascii="黑体" w:hAnsi="黑体" w:eastAsia="黑体" w:cs="黑体"/>
              <w:spacing w:val="-2"/>
              <w:position w:val="1"/>
              <w:sz w:val="19"/>
              <w:szCs w:val="19"/>
              <w:highlight w:val="none"/>
            </w:rPr>
            <w:t>2</w:t>
          </w:r>
          <w:r>
            <w:rPr>
              <w:rFonts w:ascii="黑体" w:hAnsi="黑体" w:eastAsia="黑体" w:cs="黑体"/>
              <w:spacing w:val="-33"/>
              <w:position w:val="1"/>
              <w:sz w:val="19"/>
              <w:szCs w:val="19"/>
              <w:highlight w:val="none"/>
            </w:rPr>
            <w:t xml:space="preserve"> </w:t>
          </w:r>
          <w:r>
            <w:rPr>
              <w:rFonts w:ascii="黑体" w:hAnsi="黑体" w:eastAsia="黑体" w:cs="黑体"/>
              <w:spacing w:val="-2"/>
              <w:position w:val="1"/>
              <w:sz w:val="19"/>
              <w:szCs w:val="19"/>
              <w:highlight w:val="none"/>
            </w:rPr>
            <w:t>条</w:t>
          </w:r>
          <w:r>
            <w:rPr>
              <w:rFonts w:ascii="黑体" w:hAnsi="黑体" w:eastAsia="黑体" w:cs="黑体"/>
              <w:spacing w:val="14"/>
              <w:position w:val="1"/>
              <w:sz w:val="19"/>
              <w:szCs w:val="19"/>
              <w:highlight w:val="none"/>
            </w:rPr>
            <w:t xml:space="preserve"> </w:t>
          </w:r>
          <w:r>
            <w:rPr>
              <w:rFonts w:ascii="黑体" w:hAnsi="黑体" w:eastAsia="黑体" w:cs="黑体"/>
              <w:spacing w:val="-2"/>
              <w:position w:val="1"/>
              <w:sz w:val="19"/>
              <w:szCs w:val="19"/>
              <w:highlight w:val="none"/>
            </w:rPr>
            <w:t>发包人</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75</w:t>
          </w:r>
          <w:r>
            <w:rPr>
              <w:spacing w:val="-1"/>
              <w:position w:val="1"/>
              <w:sz w:val="19"/>
              <w:szCs w:val="19"/>
              <w:highlight w:val="none"/>
            </w:rPr>
            <w:fldChar w:fldCharType="end"/>
          </w:r>
        </w:p>
        <w:p w14:paraId="2255B76D">
          <w:pPr>
            <w:pStyle w:val="2"/>
            <w:tabs>
              <w:tab w:val="right" w:leader="dot" w:pos="8170"/>
            </w:tabs>
            <w:spacing w:before="75" w:line="221" w:lineRule="auto"/>
            <w:ind w:left="203"/>
            <w:rPr>
              <w:sz w:val="19"/>
              <w:szCs w:val="19"/>
              <w:highlight w:val="none"/>
            </w:rPr>
          </w:pPr>
          <w:r>
            <w:rPr>
              <w:highlight w:val="none"/>
            </w:rPr>
            <w:fldChar w:fldCharType="begin"/>
          </w:r>
          <w:r>
            <w:rPr>
              <w:highlight w:val="none"/>
            </w:rPr>
            <w:instrText xml:space="preserve"> HYPERLINK \l "bookmark49" </w:instrText>
          </w:r>
          <w:r>
            <w:rPr>
              <w:highlight w:val="none"/>
            </w:rPr>
            <w:fldChar w:fldCharType="separate"/>
          </w:r>
          <w:r>
            <w:rPr>
              <w:rFonts w:ascii="黑体" w:hAnsi="黑体" w:eastAsia="黑体" w:cs="黑体"/>
              <w:spacing w:val="3"/>
              <w:sz w:val="19"/>
              <w:szCs w:val="19"/>
              <w:highlight w:val="none"/>
            </w:rPr>
            <w:t>第</w:t>
          </w:r>
          <w:r>
            <w:rPr>
              <w:rFonts w:ascii="黑体" w:hAnsi="黑体" w:eastAsia="黑体" w:cs="黑体"/>
              <w:spacing w:val="-31"/>
              <w:sz w:val="19"/>
              <w:szCs w:val="19"/>
              <w:highlight w:val="none"/>
            </w:rPr>
            <w:t xml:space="preserve"> </w:t>
          </w:r>
          <w:r>
            <w:rPr>
              <w:rFonts w:ascii="黑体" w:hAnsi="黑体" w:eastAsia="黑体" w:cs="黑体"/>
              <w:spacing w:val="3"/>
              <w:sz w:val="19"/>
              <w:szCs w:val="19"/>
              <w:highlight w:val="none"/>
            </w:rPr>
            <w:t>3</w:t>
          </w:r>
          <w:r>
            <w:rPr>
              <w:rFonts w:ascii="黑体" w:hAnsi="黑体" w:eastAsia="黑体" w:cs="黑体"/>
              <w:spacing w:val="-33"/>
              <w:sz w:val="19"/>
              <w:szCs w:val="19"/>
              <w:highlight w:val="none"/>
            </w:rPr>
            <w:t xml:space="preserve"> </w:t>
          </w:r>
          <w:r>
            <w:rPr>
              <w:rFonts w:ascii="黑体" w:hAnsi="黑体" w:eastAsia="黑体" w:cs="黑体"/>
              <w:spacing w:val="3"/>
              <w:sz w:val="19"/>
              <w:szCs w:val="19"/>
              <w:highlight w:val="none"/>
            </w:rPr>
            <w:t>条 发包人的管理</w:t>
          </w:r>
          <w:r>
            <w:rPr>
              <w:rFonts w:ascii="黑体" w:hAnsi="黑体" w:eastAsia="黑体" w:cs="黑体"/>
              <w:spacing w:val="-73"/>
              <w:sz w:val="19"/>
              <w:szCs w:val="19"/>
              <w:highlight w:val="none"/>
            </w:rPr>
            <w:t xml:space="preserve"> </w:t>
          </w:r>
          <w:r>
            <w:rPr>
              <w:rFonts w:ascii="黑体" w:hAnsi="黑体" w:eastAsia="黑体" w:cs="黑体"/>
              <w:sz w:val="19"/>
              <w:szCs w:val="19"/>
              <w:highlight w:val="none"/>
            </w:rPr>
            <w:tab/>
          </w:r>
          <w:r>
            <w:rPr>
              <w:sz w:val="19"/>
              <w:szCs w:val="19"/>
              <w:highlight w:val="none"/>
            </w:rPr>
            <w:t>7</w:t>
          </w:r>
          <w:r>
            <w:rPr>
              <w:sz w:val="19"/>
              <w:szCs w:val="19"/>
              <w:highlight w:val="none"/>
            </w:rPr>
            <w:fldChar w:fldCharType="end"/>
          </w:r>
        </w:p>
        <w:p w14:paraId="0CB4B950">
          <w:pPr>
            <w:pStyle w:val="2"/>
            <w:tabs>
              <w:tab w:val="right" w:leader="dot" w:pos="8287"/>
            </w:tabs>
            <w:spacing w:before="49" w:line="259" w:lineRule="exact"/>
            <w:ind w:left="203"/>
            <w:rPr>
              <w:sz w:val="19"/>
              <w:szCs w:val="19"/>
              <w:highlight w:val="none"/>
            </w:rPr>
          </w:pPr>
          <w:r>
            <w:rPr>
              <w:highlight w:val="none"/>
            </w:rPr>
            <w:fldChar w:fldCharType="begin"/>
          </w:r>
          <w:r>
            <w:rPr>
              <w:highlight w:val="none"/>
            </w:rPr>
            <w:instrText xml:space="preserve"> HYPERLINK \l "bookmark50" </w:instrText>
          </w:r>
          <w:r>
            <w:rPr>
              <w:highlight w:val="none"/>
            </w:rPr>
            <w:fldChar w:fldCharType="separate"/>
          </w:r>
          <w:r>
            <w:rPr>
              <w:rFonts w:ascii="黑体" w:hAnsi="黑体" w:eastAsia="黑体" w:cs="黑体"/>
              <w:spacing w:val="-4"/>
              <w:position w:val="1"/>
              <w:sz w:val="19"/>
              <w:szCs w:val="19"/>
              <w:highlight w:val="none"/>
            </w:rPr>
            <w:t>第</w:t>
          </w:r>
          <w:r>
            <w:rPr>
              <w:rFonts w:ascii="黑体" w:hAnsi="黑体" w:eastAsia="黑体" w:cs="黑体"/>
              <w:spacing w:val="-21"/>
              <w:position w:val="1"/>
              <w:sz w:val="19"/>
              <w:szCs w:val="19"/>
              <w:highlight w:val="none"/>
            </w:rPr>
            <w:t xml:space="preserve"> </w:t>
          </w:r>
          <w:r>
            <w:rPr>
              <w:rFonts w:ascii="黑体" w:hAnsi="黑体" w:eastAsia="黑体" w:cs="黑体"/>
              <w:spacing w:val="-4"/>
              <w:position w:val="1"/>
              <w:sz w:val="19"/>
              <w:szCs w:val="19"/>
              <w:highlight w:val="none"/>
            </w:rPr>
            <w:t>4</w:t>
          </w:r>
          <w:r>
            <w:rPr>
              <w:rFonts w:ascii="黑体" w:hAnsi="黑体" w:eastAsia="黑体" w:cs="黑体"/>
              <w:spacing w:val="-18"/>
              <w:position w:val="1"/>
              <w:sz w:val="19"/>
              <w:szCs w:val="19"/>
              <w:highlight w:val="none"/>
            </w:rPr>
            <w:t xml:space="preserve"> </w:t>
          </w:r>
          <w:r>
            <w:rPr>
              <w:rFonts w:ascii="黑体" w:hAnsi="黑体" w:eastAsia="黑体" w:cs="黑体"/>
              <w:spacing w:val="-4"/>
              <w:position w:val="1"/>
              <w:sz w:val="19"/>
              <w:szCs w:val="19"/>
              <w:highlight w:val="none"/>
            </w:rPr>
            <w:t>条 承包人</w:t>
          </w:r>
          <w:r>
            <w:rPr>
              <w:rFonts w:ascii="黑体" w:hAnsi="黑体" w:eastAsia="黑体" w:cs="黑体"/>
              <w:spacing w:val="-70"/>
              <w:position w:val="1"/>
              <w:sz w:val="19"/>
              <w:szCs w:val="19"/>
              <w:highlight w:val="none"/>
            </w:rPr>
            <w:t xml:space="preserve"> </w:t>
          </w:r>
          <w:r>
            <w:rPr>
              <w:rFonts w:ascii="黑体" w:hAnsi="黑体" w:eastAsia="黑体" w:cs="黑体"/>
              <w:position w:val="1"/>
              <w:sz w:val="19"/>
              <w:szCs w:val="19"/>
              <w:highlight w:val="none"/>
            </w:rPr>
            <w:tab/>
          </w:r>
          <w:r>
            <w:rPr>
              <w:position w:val="1"/>
              <w:sz w:val="19"/>
              <w:szCs w:val="19"/>
              <w:highlight w:val="none"/>
            </w:rPr>
            <w:t>80</w:t>
          </w:r>
          <w:r>
            <w:rPr>
              <w:position w:val="1"/>
              <w:sz w:val="19"/>
              <w:szCs w:val="19"/>
              <w:highlight w:val="none"/>
            </w:rPr>
            <w:fldChar w:fldCharType="end"/>
          </w:r>
        </w:p>
        <w:p w14:paraId="53CEFE3F">
          <w:pPr>
            <w:pStyle w:val="2"/>
            <w:tabs>
              <w:tab w:val="right" w:leader="dot" w:pos="8295"/>
            </w:tabs>
            <w:spacing w:before="61" w:line="259" w:lineRule="exact"/>
            <w:ind w:left="203"/>
            <w:rPr>
              <w:sz w:val="19"/>
              <w:szCs w:val="19"/>
              <w:highlight w:val="none"/>
            </w:rPr>
          </w:pPr>
          <w:r>
            <w:rPr>
              <w:highlight w:val="none"/>
            </w:rPr>
            <w:fldChar w:fldCharType="begin"/>
          </w:r>
          <w:r>
            <w:rPr>
              <w:highlight w:val="none"/>
            </w:rPr>
            <w:instrText xml:space="preserve"> HYPERLINK \l "bookmark51" </w:instrText>
          </w:r>
          <w:r>
            <w:rPr>
              <w:highlight w:val="none"/>
            </w:rPr>
            <w:fldChar w:fldCharType="separate"/>
          </w:r>
          <w:r>
            <w:rPr>
              <w:rFonts w:ascii="黑体" w:hAnsi="黑体" w:eastAsia="黑体" w:cs="黑体"/>
              <w:spacing w:val="-5"/>
              <w:position w:val="1"/>
              <w:sz w:val="19"/>
              <w:szCs w:val="19"/>
              <w:highlight w:val="none"/>
            </w:rPr>
            <w:t>第</w:t>
          </w:r>
          <w:r>
            <w:rPr>
              <w:rFonts w:ascii="黑体" w:hAnsi="黑体" w:eastAsia="黑体" w:cs="黑体"/>
              <w:spacing w:val="-24"/>
              <w:position w:val="1"/>
              <w:sz w:val="19"/>
              <w:szCs w:val="19"/>
              <w:highlight w:val="none"/>
            </w:rPr>
            <w:t xml:space="preserve"> </w:t>
          </w:r>
          <w:r>
            <w:rPr>
              <w:rFonts w:ascii="黑体" w:hAnsi="黑体" w:eastAsia="黑体" w:cs="黑体"/>
              <w:spacing w:val="-5"/>
              <w:position w:val="1"/>
              <w:sz w:val="19"/>
              <w:szCs w:val="19"/>
              <w:highlight w:val="none"/>
            </w:rPr>
            <w:t>5</w:t>
          </w:r>
          <w:r>
            <w:rPr>
              <w:rFonts w:ascii="黑体" w:hAnsi="黑体" w:eastAsia="黑体" w:cs="黑体"/>
              <w:spacing w:val="-23"/>
              <w:position w:val="1"/>
              <w:sz w:val="19"/>
              <w:szCs w:val="19"/>
              <w:highlight w:val="none"/>
            </w:rPr>
            <w:t xml:space="preserve"> </w:t>
          </w:r>
          <w:r>
            <w:rPr>
              <w:rFonts w:ascii="黑体" w:hAnsi="黑体" w:eastAsia="黑体" w:cs="黑体"/>
              <w:spacing w:val="-5"/>
              <w:position w:val="1"/>
              <w:sz w:val="19"/>
              <w:szCs w:val="19"/>
              <w:highlight w:val="none"/>
            </w:rPr>
            <w:t>条 设计</w:t>
          </w:r>
          <w:r>
            <w:rPr>
              <w:rFonts w:ascii="黑体" w:hAnsi="黑体" w:eastAsia="黑体" w:cs="黑体"/>
              <w:spacing w:val="-59"/>
              <w:position w:val="1"/>
              <w:sz w:val="19"/>
              <w:szCs w:val="19"/>
              <w:highlight w:val="none"/>
            </w:rPr>
            <w:t xml:space="preserve"> </w:t>
          </w:r>
          <w:r>
            <w:rPr>
              <w:rFonts w:ascii="黑体" w:hAnsi="黑体" w:eastAsia="黑体" w:cs="黑体"/>
              <w:position w:val="1"/>
              <w:sz w:val="19"/>
              <w:szCs w:val="19"/>
              <w:highlight w:val="none"/>
            </w:rPr>
            <w:tab/>
          </w:r>
          <w:r>
            <w:rPr>
              <w:position w:val="1"/>
              <w:sz w:val="19"/>
              <w:szCs w:val="19"/>
              <w:highlight w:val="none"/>
            </w:rPr>
            <w:t>86</w:t>
          </w:r>
          <w:r>
            <w:rPr>
              <w:position w:val="1"/>
              <w:sz w:val="19"/>
              <w:szCs w:val="19"/>
              <w:highlight w:val="none"/>
            </w:rPr>
            <w:fldChar w:fldCharType="end"/>
          </w:r>
        </w:p>
        <w:p w14:paraId="32352BFE">
          <w:pPr>
            <w:pStyle w:val="2"/>
            <w:tabs>
              <w:tab w:val="right" w:leader="dot" w:pos="8175"/>
            </w:tabs>
            <w:spacing w:before="41" w:line="259" w:lineRule="exact"/>
            <w:ind w:left="203"/>
            <w:rPr>
              <w:sz w:val="19"/>
              <w:szCs w:val="19"/>
              <w:highlight w:val="none"/>
            </w:rPr>
          </w:pPr>
          <w:r>
            <w:rPr>
              <w:highlight w:val="none"/>
            </w:rPr>
            <w:fldChar w:fldCharType="begin"/>
          </w:r>
          <w:r>
            <w:rPr>
              <w:highlight w:val="none"/>
            </w:rPr>
            <w:instrText xml:space="preserve"> HYPERLINK \l "bookmark52" </w:instrText>
          </w:r>
          <w:r>
            <w:rPr>
              <w:highlight w:val="none"/>
            </w:rPr>
            <w:fldChar w:fldCharType="separate"/>
          </w:r>
          <w:r>
            <w:rPr>
              <w:rFonts w:ascii="黑体" w:hAnsi="黑体" w:eastAsia="黑体" w:cs="黑体"/>
              <w:spacing w:val="2"/>
              <w:position w:val="1"/>
              <w:sz w:val="19"/>
              <w:szCs w:val="19"/>
              <w:highlight w:val="none"/>
            </w:rPr>
            <w:t>第</w:t>
          </w:r>
          <w:r>
            <w:rPr>
              <w:rFonts w:ascii="黑体" w:hAnsi="黑体" w:eastAsia="黑体" w:cs="黑体"/>
              <w:spacing w:val="-19"/>
              <w:position w:val="1"/>
              <w:sz w:val="19"/>
              <w:szCs w:val="19"/>
              <w:highlight w:val="none"/>
            </w:rPr>
            <w:t xml:space="preserve"> </w:t>
          </w:r>
          <w:r>
            <w:rPr>
              <w:rFonts w:ascii="黑体" w:hAnsi="黑体" w:eastAsia="黑体" w:cs="黑体"/>
              <w:spacing w:val="2"/>
              <w:position w:val="1"/>
              <w:sz w:val="19"/>
              <w:szCs w:val="19"/>
              <w:highlight w:val="none"/>
            </w:rPr>
            <w:t>6</w:t>
          </w:r>
          <w:r>
            <w:rPr>
              <w:rFonts w:ascii="黑体" w:hAnsi="黑体" w:eastAsia="黑体" w:cs="黑体"/>
              <w:spacing w:val="-18"/>
              <w:position w:val="1"/>
              <w:sz w:val="19"/>
              <w:szCs w:val="19"/>
              <w:highlight w:val="none"/>
            </w:rPr>
            <w:t xml:space="preserve"> </w:t>
          </w:r>
          <w:r>
            <w:rPr>
              <w:rFonts w:ascii="黑体" w:hAnsi="黑体" w:eastAsia="黑体" w:cs="黑体"/>
              <w:spacing w:val="2"/>
              <w:position w:val="1"/>
              <w:sz w:val="19"/>
              <w:szCs w:val="19"/>
              <w:highlight w:val="none"/>
            </w:rPr>
            <w:t>条 材料、工程设备</w:t>
          </w:r>
          <w:r>
            <w:rPr>
              <w:rFonts w:ascii="黑体" w:hAnsi="黑体" w:eastAsia="黑体" w:cs="黑体"/>
              <w:spacing w:val="-72"/>
              <w:position w:val="1"/>
              <w:sz w:val="19"/>
              <w:szCs w:val="19"/>
              <w:highlight w:val="none"/>
            </w:rPr>
            <w:t xml:space="preserve"> </w:t>
          </w:r>
          <w:r>
            <w:rPr>
              <w:rFonts w:ascii="黑体" w:hAnsi="黑体" w:eastAsia="黑体" w:cs="黑体"/>
              <w:position w:val="1"/>
              <w:sz w:val="19"/>
              <w:szCs w:val="19"/>
              <w:highlight w:val="none"/>
            </w:rPr>
            <w:tab/>
          </w:r>
          <w:r>
            <w:rPr>
              <w:spacing w:val="-4"/>
              <w:position w:val="1"/>
              <w:sz w:val="19"/>
              <w:szCs w:val="19"/>
              <w:highlight w:val="none"/>
            </w:rPr>
            <w:t>89</w:t>
          </w:r>
          <w:r>
            <w:rPr>
              <w:spacing w:val="-4"/>
              <w:position w:val="1"/>
              <w:sz w:val="19"/>
              <w:szCs w:val="19"/>
              <w:highlight w:val="none"/>
            </w:rPr>
            <w:fldChar w:fldCharType="end"/>
          </w:r>
        </w:p>
        <w:p w14:paraId="6D458FF9">
          <w:pPr>
            <w:pStyle w:val="2"/>
            <w:tabs>
              <w:tab w:val="right" w:leader="dot" w:pos="8295"/>
            </w:tabs>
            <w:spacing w:before="71" w:line="259" w:lineRule="exact"/>
            <w:ind w:left="203"/>
            <w:rPr>
              <w:sz w:val="19"/>
              <w:szCs w:val="19"/>
              <w:highlight w:val="none"/>
            </w:rPr>
          </w:pPr>
          <w:r>
            <w:rPr>
              <w:highlight w:val="none"/>
            </w:rPr>
            <w:fldChar w:fldCharType="begin"/>
          </w:r>
          <w:r>
            <w:rPr>
              <w:highlight w:val="none"/>
            </w:rPr>
            <w:instrText xml:space="preserve"> HYPERLINK \l "bookmark53" </w:instrText>
          </w:r>
          <w:r>
            <w:rPr>
              <w:highlight w:val="none"/>
            </w:rPr>
            <w:fldChar w:fldCharType="separate"/>
          </w:r>
          <w:r>
            <w:rPr>
              <w:rFonts w:ascii="黑体" w:hAnsi="黑体" w:eastAsia="黑体" w:cs="黑体"/>
              <w:spacing w:val="-12"/>
              <w:position w:val="1"/>
              <w:sz w:val="19"/>
              <w:szCs w:val="19"/>
              <w:highlight w:val="none"/>
            </w:rPr>
            <w:t>第</w:t>
          </w:r>
          <w:r>
            <w:rPr>
              <w:rFonts w:ascii="黑体" w:hAnsi="黑体" w:eastAsia="黑体" w:cs="黑体"/>
              <w:spacing w:val="-24"/>
              <w:position w:val="1"/>
              <w:sz w:val="19"/>
              <w:szCs w:val="19"/>
              <w:highlight w:val="none"/>
            </w:rPr>
            <w:t xml:space="preserve"> </w:t>
          </w:r>
          <w:r>
            <w:rPr>
              <w:rFonts w:ascii="黑体" w:hAnsi="黑体" w:eastAsia="黑体" w:cs="黑体"/>
              <w:spacing w:val="-12"/>
              <w:position w:val="1"/>
              <w:sz w:val="19"/>
              <w:szCs w:val="19"/>
              <w:highlight w:val="none"/>
            </w:rPr>
            <w:t>7</w:t>
          </w:r>
          <w:r>
            <w:rPr>
              <w:rFonts w:ascii="黑体" w:hAnsi="黑体" w:eastAsia="黑体" w:cs="黑体"/>
              <w:spacing w:val="-28"/>
              <w:position w:val="1"/>
              <w:sz w:val="19"/>
              <w:szCs w:val="19"/>
              <w:highlight w:val="none"/>
            </w:rPr>
            <w:t xml:space="preserve"> </w:t>
          </w:r>
          <w:r>
            <w:rPr>
              <w:rFonts w:ascii="黑体" w:hAnsi="黑体" w:eastAsia="黑体" w:cs="黑体"/>
              <w:spacing w:val="-12"/>
              <w:position w:val="1"/>
              <w:sz w:val="19"/>
              <w:szCs w:val="19"/>
              <w:highlight w:val="none"/>
            </w:rPr>
            <w:t>条 施工</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spacing w:val="12"/>
              <w:position w:val="1"/>
              <w:sz w:val="19"/>
              <w:szCs w:val="19"/>
              <w:highlight w:val="none"/>
            </w:rPr>
            <w:t>95</w:t>
          </w:r>
          <w:r>
            <w:rPr>
              <w:spacing w:val="12"/>
              <w:position w:val="1"/>
              <w:sz w:val="19"/>
              <w:szCs w:val="19"/>
              <w:highlight w:val="none"/>
            </w:rPr>
            <w:fldChar w:fldCharType="end"/>
          </w:r>
        </w:p>
        <w:p w14:paraId="459D15A6">
          <w:pPr>
            <w:pStyle w:val="2"/>
            <w:tabs>
              <w:tab w:val="right" w:leader="dot" w:pos="8279"/>
            </w:tabs>
            <w:spacing w:before="41" w:line="259" w:lineRule="exact"/>
            <w:ind w:left="203"/>
            <w:rPr>
              <w:sz w:val="19"/>
              <w:szCs w:val="19"/>
              <w:highlight w:val="none"/>
            </w:rPr>
          </w:pPr>
          <w:r>
            <w:rPr>
              <w:highlight w:val="none"/>
            </w:rPr>
            <w:fldChar w:fldCharType="begin"/>
          </w:r>
          <w:r>
            <w:rPr>
              <w:highlight w:val="none"/>
            </w:rPr>
            <w:instrText xml:space="preserve"> HYPERLINK \l "bookmark54" </w:instrText>
          </w:r>
          <w:r>
            <w:rPr>
              <w:highlight w:val="none"/>
            </w:rPr>
            <w:fldChar w:fldCharType="separate"/>
          </w:r>
          <w:r>
            <w:rPr>
              <w:rFonts w:ascii="黑体" w:hAnsi="黑体" w:eastAsia="黑体" w:cs="黑体"/>
              <w:spacing w:val="3"/>
              <w:position w:val="1"/>
              <w:sz w:val="19"/>
              <w:szCs w:val="19"/>
              <w:highlight w:val="none"/>
            </w:rPr>
            <w:t>第</w:t>
          </w:r>
          <w:r>
            <w:rPr>
              <w:rFonts w:ascii="黑体" w:hAnsi="黑体" w:eastAsia="黑体" w:cs="黑体"/>
              <w:spacing w:val="-31"/>
              <w:position w:val="1"/>
              <w:sz w:val="19"/>
              <w:szCs w:val="19"/>
              <w:highlight w:val="none"/>
            </w:rPr>
            <w:t xml:space="preserve"> </w:t>
          </w:r>
          <w:r>
            <w:rPr>
              <w:rFonts w:ascii="黑体" w:hAnsi="黑体" w:eastAsia="黑体" w:cs="黑体"/>
              <w:spacing w:val="3"/>
              <w:position w:val="1"/>
              <w:sz w:val="19"/>
              <w:szCs w:val="19"/>
              <w:highlight w:val="none"/>
            </w:rPr>
            <w:t>8</w:t>
          </w:r>
          <w:r>
            <w:rPr>
              <w:rFonts w:ascii="黑体" w:hAnsi="黑体" w:eastAsia="黑体" w:cs="黑体"/>
              <w:spacing w:val="-28"/>
              <w:position w:val="1"/>
              <w:sz w:val="19"/>
              <w:szCs w:val="19"/>
              <w:highlight w:val="none"/>
            </w:rPr>
            <w:t xml:space="preserve"> </w:t>
          </w:r>
          <w:r>
            <w:rPr>
              <w:rFonts w:ascii="黑体" w:hAnsi="黑体" w:eastAsia="黑体" w:cs="黑体"/>
              <w:spacing w:val="3"/>
              <w:position w:val="1"/>
              <w:sz w:val="19"/>
              <w:szCs w:val="19"/>
              <w:highlight w:val="none"/>
            </w:rPr>
            <w:t>条 工期和进度</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position w:val="1"/>
              <w:sz w:val="19"/>
              <w:szCs w:val="19"/>
              <w:highlight w:val="none"/>
            </w:rPr>
            <w:t>102</w:t>
          </w:r>
          <w:r>
            <w:rPr>
              <w:position w:val="1"/>
              <w:sz w:val="19"/>
              <w:szCs w:val="19"/>
              <w:highlight w:val="none"/>
            </w:rPr>
            <w:fldChar w:fldCharType="end"/>
          </w:r>
        </w:p>
        <w:p w14:paraId="2B9EF438">
          <w:pPr>
            <w:pStyle w:val="2"/>
            <w:tabs>
              <w:tab w:val="right" w:leader="dot" w:pos="8279"/>
            </w:tabs>
            <w:spacing w:before="60" w:line="259" w:lineRule="exact"/>
            <w:ind w:left="203"/>
            <w:rPr>
              <w:sz w:val="19"/>
              <w:szCs w:val="19"/>
              <w:highlight w:val="none"/>
            </w:rPr>
          </w:pPr>
          <w:r>
            <w:rPr>
              <w:highlight w:val="none"/>
            </w:rPr>
            <w:fldChar w:fldCharType="begin"/>
          </w:r>
          <w:r>
            <w:rPr>
              <w:highlight w:val="none"/>
            </w:rPr>
            <w:instrText xml:space="preserve"> HYPERLINK \l "bookmark55" </w:instrText>
          </w:r>
          <w:r>
            <w:rPr>
              <w:highlight w:val="none"/>
            </w:rPr>
            <w:fldChar w:fldCharType="separate"/>
          </w:r>
          <w:r>
            <w:rPr>
              <w:rFonts w:ascii="黑体" w:hAnsi="黑体" w:eastAsia="黑体" w:cs="黑体"/>
              <w:spacing w:val="1"/>
              <w:position w:val="1"/>
              <w:sz w:val="19"/>
              <w:szCs w:val="19"/>
              <w:highlight w:val="none"/>
            </w:rPr>
            <w:t>第</w:t>
          </w:r>
          <w:r>
            <w:rPr>
              <w:rFonts w:ascii="黑体" w:hAnsi="黑体" w:eastAsia="黑体" w:cs="黑体"/>
              <w:spacing w:val="-29"/>
              <w:position w:val="1"/>
              <w:sz w:val="19"/>
              <w:szCs w:val="19"/>
              <w:highlight w:val="none"/>
            </w:rPr>
            <w:t xml:space="preserve"> </w:t>
          </w:r>
          <w:r>
            <w:rPr>
              <w:rFonts w:ascii="黑体" w:hAnsi="黑体" w:eastAsia="黑体" w:cs="黑体"/>
              <w:spacing w:val="1"/>
              <w:position w:val="1"/>
              <w:sz w:val="19"/>
              <w:szCs w:val="19"/>
              <w:highlight w:val="none"/>
            </w:rPr>
            <w:t>9</w:t>
          </w:r>
          <w:r>
            <w:rPr>
              <w:rFonts w:ascii="黑体" w:hAnsi="黑体" w:eastAsia="黑体" w:cs="黑体"/>
              <w:spacing w:val="-23"/>
              <w:position w:val="1"/>
              <w:sz w:val="19"/>
              <w:szCs w:val="19"/>
              <w:highlight w:val="none"/>
            </w:rPr>
            <w:t xml:space="preserve"> </w:t>
          </w:r>
          <w:r>
            <w:rPr>
              <w:rFonts w:ascii="黑体" w:hAnsi="黑体" w:eastAsia="黑体" w:cs="黑体"/>
              <w:spacing w:val="1"/>
              <w:position w:val="1"/>
              <w:sz w:val="19"/>
              <w:szCs w:val="19"/>
              <w:highlight w:val="none"/>
            </w:rPr>
            <w:t>条 竣工试验</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108</w:t>
          </w:r>
          <w:r>
            <w:rPr>
              <w:spacing w:val="3"/>
              <w:position w:val="1"/>
              <w:sz w:val="19"/>
              <w:szCs w:val="19"/>
              <w:highlight w:val="none"/>
            </w:rPr>
            <w:fldChar w:fldCharType="end"/>
          </w:r>
        </w:p>
        <w:p w14:paraId="194BF20E">
          <w:pPr>
            <w:pStyle w:val="2"/>
            <w:tabs>
              <w:tab w:val="right" w:leader="dot" w:pos="8114"/>
            </w:tabs>
            <w:spacing w:before="42" w:line="259" w:lineRule="exact"/>
            <w:ind w:left="203"/>
            <w:rPr>
              <w:sz w:val="19"/>
              <w:szCs w:val="19"/>
              <w:highlight w:val="none"/>
            </w:rPr>
          </w:pPr>
          <w:r>
            <w:rPr>
              <w:highlight w:val="none"/>
            </w:rPr>
            <w:fldChar w:fldCharType="begin"/>
          </w:r>
          <w:r>
            <w:rPr>
              <w:highlight w:val="none"/>
            </w:rPr>
            <w:instrText xml:space="preserve"> HYPERLINK \l "bookmark56" </w:instrText>
          </w:r>
          <w:r>
            <w:rPr>
              <w:highlight w:val="none"/>
            </w:rPr>
            <w:fldChar w:fldCharType="separate"/>
          </w:r>
          <w:r>
            <w:rPr>
              <w:rFonts w:ascii="黑体" w:hAnsi="黑体" w:eastAsia="黑体" w:cs="黑体"/>
              <w:spacing w:val="14"/>
              <w:position w:val="1"/>
              <w:sz w:val="19"/>
              <w:szCs w:val="19"/>
              <w:highlight w:val="none"/>
            </w:rPr>
            <w:t>第10条 验收和工程接收</w:t>
          </w:r>
          <w:r>
            <w:rPr>
              <w:rFonts w:ascii="黑体" w:hAnsi="黑体" w:eastAsia="黑体" w:cs="黑体"/>
              <w:spacing w:val="-69"/>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52"/>
              <w:position w:val="1"/>
              <w:sz w:val="19"/>
              <w:szCs w:val="19"/>
              <w:highlight w:val="none"/>
            </w:rPr>
            <w:t xml:space="preserve"> </w:t>
          </w:r>
          <w:r>
            <w:rPr>
              <w:spacing w:val="-6"/>
              <w:position w:val="1"/>
              <w:sz w:val="19"/>
              <w:szCs w:val="19"/>
              <w:highlight w:val="none"/>
            </w:rPr>
            <w:t>10</w:t>
          </w:r>
          <w:r>
            <w:rPr>
              <w:spacing w:val="-6"/>
              <w:position w:val="1"/>
              <w:sz w:val="19"/>
              <w:szCs w:val="19"/>
              <w:highlight w:val="none"/>
            </w:rPr>
            <w:fldChar w:fldCharType="end"/>
          </w:r>
        </w:p>
        <w:p w14:paraId="6393C1E9">
          <w:pPr>
            <w:pStyle w:val="2"/>
            <w:tabs>
              <w:tab w:val="right" w:leader="dot" w:pos="8174"/>
            </w:tabs>
            <w:spacing w:before="50" w:line="259" w:lineRule="exact"/>
            <w:ind w:left="203"/>
            <w:rPr>
              <w:sz w:val="19"/>
              <w:szCs w:val="19"/>
              <w:highlight w:val="none"/>
            </w:rPr>
          </w:pPr>
          <w:r>
            <w:rPr>
              <w:highlight w:val="none"/>
            </w:rPr>
            <w:fldChar w:fldCharType="begin"/>
          </w:r>
          <w:r>
            <w:rPr>
              <w:highlight w:val="none"/>
            </w:rPr>
            <w:instrText xml:space="preserve"> HYPERLINK \l "bookmark57" </w:instrText>
          </w:r>
          <w:r>
            <w:rPr>
              <w:highlight w:val="none"/>
            </w:rPr>
            <w:fldChar w:fldCharType="separate"/>
          </w:r>
          <w:r>
            <w:rPr>
              <w:rFonts w:ascii="黑体" w:hAnsi="黑体" w:eastAsia="黑体" w:cs="黑体"/>
              <w:spacing w:val="14"/>
              <w:position w:val="1"/>
              <w:sz w:val="19"/>
              <w:szCs w:val="19"/>
              <w:highlight w:val="none"/>
            </w:rPr>
            <w:t>第11条 缺陷责任与保修</w:t>
          </w:r>
          <w:r>
            <w:rPr>
              <w:rFonts w:ascii="黑体" w:hAnsi="黑体" w:eastAsia="黑体" w:cs="黑体"/>
              <w:spacing w:val="-69"/>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8"/>
              <w:position w:val="1"/>
              <w:sz w:val="19"/>
              <w:szCs w:val="19"/>
              <w:highlight w:val="none"/>
            </w:rPr>
            <w:t xml:space="preserve"> </w:t>
          </w:r>
          <w:r>
            <w:rPr>
              <w:spacing w:val="-6"/>
              <w:position w:val="1"/>
              <w:sz w:val="19"/>
              <w:szCs w:val="19"/>
              <w:highlight w:val="none"/>
            </w:rPr>
            <w:t>13</w:t>
          </w:r>
          <w:r>
            <w:rPr>
              <w:spacing w:val="-6"/>
              <w:position w:val="1"/>
              <w:sz w:val="19"/>
              <w:szCs w:val="19"/>
              <w:highlight w:val="none"/>
            </w:rPr>
            <w:fldChar w:fldCharType="end"/>
          </w:r>
        </w:p>
        <w:p w14:paraId="00AAD0C1">
          <w:pPr>
            <w:pStyle w:val="2"/>
            <w:tabs>
              <w:tab w:val="right" w:leader="dot" w:pos="8194"/>
            </w:tabs>
            <w:spacing w:before="71" w:line="259" w:lineRule="exact"/>
            <w:ind w:left="203"/>
            <w:rPr>
              <w:sz w:val="19"/>
              <w:szCs w:val="19"/>
              <w:highlight w:val="none"/>
            </w:rPr>
          </w:pPr>
          <w:r>
            <w:rPr>
              <w:highlight w:val="none"/>
            </w:rPr>
            <w:fldChar w:fldCharType="begin"/>
          </w:r>
          <w:r>
            <w:rPr>
              <w:highlight w:val="none"/>
            </w:rPr>
            <w:instrText xml:space="preserve"> HYPERLINK \l "bookmark58" </w:instrText>
          </w:r>
          <w:r>
            <w:rPr>
              <w:highlight w:val="none"/>
            </w:rPr>
            <w:fldChar w:fldCharType="separate"/>
          </w:r>
          <w:r>
            <w:rPr>
              <w:rFonts w:ascii="黑体" w:hAnsi="黑体" w:eastAsia="黑体" w:cs="黑体"/>
              <w:spacing w:val="16"/>
              <w:position w:val="1"/>
              <w:sz w:val="19"/>
              <w:szCs w:val="19"/>
              <w:highlight w:val="none"/>
            </w:rPr>
            <w:t>第12条 竣工后试验</w:t>
          </w:r>
          <w:r>
            <w:rPr>
              <w:rFonts w:ascii="黑体" w:hAnsi="黑体" w:eastAsia="黑体" w:cs="黑体"/>
              <w:spacing w:val="-72"/>
              <w:position w:val="1"/>
              <w:sz w:val="19"/>
              <w:szCs w:val="19"/>
              <w:highlight w:val="none"/>
            </w:rPr>
            <w:t xml:space="preserve"> </w:t>
          </w:r>
          <w:r>
            <w:rPr>
              <w:rFonts w:ascii="黑体" w:hAnsi="黑体" w:eastAsia="黑体" w:cs="黑体"/>
              <w:position w:val="1"/>
              <w:sz w:val="19"/>
              <w:szCs w:val="19"/>
              <w:highlight w:val="none"/>
            </w:rPr>
            <w:tab/>
          </w:r>
          <w:r>
            <w:rPr>
              <w:spacing w:val="-4"/>
              <w:position w:val="1"/>
              <w:sz w:val="19"/>
              <w:szCs w:val="19"/>
              <w:highlight w:val="none"/>
            </w:rPr>
            <w:t>15</w:t>
          </w:r>
          <w:r>
            <w:rPr>
              <w:spacing w:val="-4"/>
              <w:position w:val="1"/>
              <w:sz w:val="19"/>
              <w:szCs w:val="19"/>
              <w:highlight w:val="none"/>
            </w:rPr>
            <w:fldChar w:fldCharType="end"/>
          </w:r>
        </w:p>
        <w:p w14:paraId="170C7F82">
          <w:pPr>
            <w:pStyle w:val="2"/>
            <w:tabs>
              <w:tab w:val="right" w:leader="dot" w:pos="8184"/>
            </w:tabs>
            <w:spacing w:before="76" w:line="222" w:lineRule="auto"/>
            <w:ind w:left="203"/>
            <w:rPr>
              <w:sz w:val="19"/>
              <w:szCs w:val="19"/>
              <w:highlight w:val="none"/>
            </w:rPr>
          </w:pPr>
          <w:r>
            <w:rPr>
              <w:highlight w:val="none"/>
            </w:rPr>
            <w:fldChar w:fldCharType="begin"/>
          </w:r>
          <w:r>
            <w:rPr>
              <w:highlight w:val="none"/>
            </w:rPr>
            <w:instrText xml:space="preserve"> HYPERLINK \l "bookmark59" </w:instrText>
          </w:r>
          <w:r>
            <w:rPr>
              <w:highlight w:val="none"/>
            </w:rPr>
            <w:fldChar w:fldCharType="separate"/>
          </w:r>
          <w:r>
            <w:rPr>
              <w:rFonts w:ascii="黑体" w:hAnsi="黑体" w:eastAsia="黑体" w:cs="黑体"/>
              <w:spacing w:val="17"/>
              <w:sz w:val="19"/>
              <w:szCs w:val="19"/>
              <w:highlight w:val="none"/>
            </w:rPr>
            <w:t>第13条 变更与调整</w:t>
          </w:r>
          <w:r>
            <w:rPr>
              <w:rFonts w:ascii="黑体" w:hAnsi="黑体" w:eastAsia="黑体" w:cs="黑体"/>
              <w:spacing w:val="-72"/>
              <w:sz w:val="19"/>
              <w:szCs w:val="19"/>
              <w:highlight w:val="none"/>
            </w:rPr>
            <w:t xml:space="preserve"> </w:t>
          </w:r>
          <w:r>
            <w:rPr>
              <w:rFonts w:ascii="黑体" w:hAnsi="黑体" w:eastAsia="黑体" w:cs="黑体"/>
              <w:sz w:val="19"/>
              <w:szCs w:val="19"/>
              <w:highlight w:val="none"/>
            </w:rPr>
            <w:tab/>
          </w:r>
          <w:r>
            <w:rPr>
              <w:spacing w:val="-4"/>
              <w:sz w:val="19"/>
              <w:szCs w:val="19"/>
              <w:highlight w:val="none"/>
            </w:rPr>
            <w:t>17</w:t>
          </w:r>
          <w:r>
            <w:rPr>
              <w:spacing w:val="-4"/>
              <w:sz w:val="19"/>
              <w:szCs w:val="19"/>
              <w:highlight w:val="none"/>
            </w:rPr>
            <w:fldChar w:fldCharType="end"/>
          </w:r>
        </w:p>
        <w:p w14:paraId="6443B464">
          <w:pPr>
            <w:pStyle w:val="2"/>
            <w:tabs>
              <w:tab w:val="right" w:leader="dot" w:pos="8279"/>
            </w:tabs>
            <w:spacing w:before="91" w:line="222" w:lineRule="auto"/>
            <w:ind w:left="203"/>
            <w:rPr>
              <w:sz w:val="19"/>
              <w:szCs w:val="19"/>
              <w:highlight w:val="none"/>
            </w:rPr>
          </w:pPr>
          <w:r>
            <w:rPr>
              <w:highlight w:val="none"/>
            </w:rPr>
            <w:fldChar w:fldCharType="begin"/>
          </w:r>
          <w:r>
            <w:rPr>
              <w:highlight w:val="none"/>
            </w:rPr>
            <w:instrText xml:space="preserve"> HYPERLINK \l "bookmark60" </w:instrText>
          </w:r>
          <w:r>
            <w:rPr>
              <w:highlight w:val="none"/>
            </w:rPr>
            <w:fldChar w:fldCharType="separate"/>
          </w:r>
          <w:r>
            <w:rPr>
              <w:rFonts w:ascii="黑体" w:hAnsi="黑体" w:eastAsia="黑体" w:cs="黑体"/>
              <w:spacing w:val="14"/>
              <w:sz w:val="19"/>
              <w:szCs w:val="19"/>
              <w:highlight w:val="none"/>
            </w:rPr>
            <w:t>第14条 合同价格与支付</w:t>
          </w:r>
          <w:r>
            <w:rPr>
              <w:rFonts w:ascii="黑体" w:hAnsi="黑体" w:eastAsia="黑体" w:cs="黑体"/>
              <w:spacing w:val="-69"/>
              <w:sz w:val="19"/>
              <w:szCs w:val="19"/>
              <w:highlight w:val="none"/>
            </w:rPr>
            <w:t xml:space="preserve"> </w:t>
          </w:r>
          <w:r>
            <w:rPr>
              <w:rFonts w:ascii="黑体" w:hAnsi="黑体" w:eastAsia="黑体" w:cs="黑体"/>
              <w:sz w:val="19"/>
              <w:szCs w:val="19"/>
              <w:highlight w:val="none"/>
            </w:rPr>
            <w:tab/>
          </w:r>
          <w:r>
            <w:rPr>
              <w:rFonts w:ascii="黑体" w:hAnsi="黑体" w:eastAsia="黑体" w:cs="黑体"/>
              <w:spacing w:val="7"/>
              <w:sz w:val="19"/>
              <w:szCs w:val="19"/>
              <w:highlight w:val="none"/>
            </w:rPr>
            <w:t xml:space="preserve"> </w:t>
          </w:r>
          <w:r>
            <w:rPr>
              <w:spacing w:val="-5"/>
              <w:sz w:val="19"/>
              <w:szCs w:val="19"/>
              <w:highlight w:val="none"/>
            </w:rPr>
            <w:t>122</w:t>
          </w:r>
          <w:r>
            <w:rPr>
              <w:spacing w:val="-5"/>
              <w:sz w:val="19"/>
              <w:szCs w:val="19"/>
              <w:highlight w:val="none"/>
            </w:rPr>
            <w:fldChar w:fldCharType="end"/>
          </w:r>
        </w:p>
        <w:p w14:paraId="05A741F9">
          <w:pPr>
            <w:pStyle w:val="2"/>
            <w:tabs>
              <w:tab w:val="right" w:leader="dot" w:pos="8279"/>
            </w:tabs>
            <w:spacing w:before="38" w:line="259" w:lineRule="exact"/>
            <w:ind w:left="203"/>
            <w:rPr>
              <w:sz w:val="19"/>
              <w:szCs w:val="19"/>
              <w:highlight w:val="none"/>
            </w:rPr>
          </w:pPr>
          <w:r>
            <w:rPr>
              <w:highlight w:val="none"/>
            </w:rPr>
            <w:fldChar w:fldCharType="begin"/>
          </w:r>
          <w:r>
            <w:rPr>
              <w:highlight w:val="none"/>
            </w:rPr>
            <w:instrText xml:space="preserve"> HYPERLINK \l "bookmark61" </w:instrText>
          </w:r>
          <w:r>
            <w:rPr>
              <w:highlight w:val="none"/>
            </w:rPr>
            <w:fldChar w:fldCharType="separate"/>
          </w:r>
          <w:r>
            <w:rPr>
              <w:rFonts w:ascii="黑体" w:hAnsi="黑体" w:eastAsia="黑体" w:cs="黑体"/>
              <w:spacing w:val="20"/>
              <w:position w:val="1"/>
              <w:sz w:val="19"/>
              <w:szCs w:val="19"/>
              <w:highlight w:val="none"/>
            </w:rPr>
            <w:t>第15条 违约</w:t>
          </w:r>
          <w:r>
            <w:rPr>
              <w:rFonts w:ascii="黑体" w:hAnsi="黑体" w:eastAsia="黑体" w:cs="黑体"/>
              <w:spacing w:val="-82"/>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128</w:t>
          </w:r>
          <w:r>
            <w:rPr>
              <w:spacing w:val="-3"/>
              <w:position w:val="1"/>
              <w:sz w:val="19"/>
              <w:szCs w:val="19"/>
              <w:highlight w:val="none"/>
            </w:rPr>
            <w:fldChar w:fldCharType="end"/>
          </w:r>
        </w:p>
        <w:p w14:paraId="4F51E262">
          <w:pPr>
            <w:pStyle w:val="2"/>
            <w:tabs>
              <w:tab w:val="right" w:leader="dot" w:pos="8279"/>
            </w:tabs>
            <w:spacing w:before="51" w:line="259" w:lineRule="exact"/>
            <w:ind w:left="203"/>
            <w:rPr>
              <w:sz w:val="19"/>
              <w:szCs w:val="19"/>
              <w:highlight w:val="none"/>
            </w:rPr>
          </w:pPr>
          <w:r>
            <w:rPr>
              <w:highlight w:val="none"/>
            </w:rPr>
            <w:fldChar w:fldCharType="begin"/>
          </w:r>
          <w:r>
            <w:rPr>
              <w:highlight w:val="none"/>
            </w:rPr>
            <w:instrText xml:space="preserve"> HYPERLINK \l "bookmark62" </w:instrText>
          </w:r>
          <w:r>
            <w:rPr>
              <w:highlight w:val="none"/>
            </w:rPr>
            <w:fldChar w:fldCharType="separate"/>
          </w:r>
          <w:r>
            <w:rPr>
              <w:rFonts w:ascii="黑体" w:hAnsi="黑体" w:eastAsia="黑体" w:cs="黑体"/>
              <w:spacing w:val="15"/>
              <w:position w:val="1"/>
              <w:sz w:val="19"/>
              <w:szCs w:val="19"/>
              <w:highlight w:val="none"/>
            </w:rPr>
            <w:t>第16条 合同解除</w:t>
          </w:r>
          <w:r>
            <w:rPr>
              <w:rFonts w:ascii="黑体" w:hAnsi="黑体" w:eastAsia="黑体" w:cs="黑体"/>
              <w:spacing w:val="-67"/>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130</w:t>
          </w:r>
          <w:r>
            <w:rPr>
              <w:spacing w:val="-3"/>
              <w:position w:val="1"/>
              <w:sz w:val="19"/>
              <w:szCs w:val="19"/>
              <w:highlight w:val="none"/>
            </w:rPr>
            <w:fldChar w:fldCharType="end"/>
          </w:r>
        </w:p>
        <w:p w14:paraId="491AA776">
          <w:pPr>
            <w:pStyle w:val="2"/>
            <w:tabs>
              <w:tab w:val="right" w:leader="dot" w:pos="8289"/>
            </w:tabs>
            <w:spacing w:before="60" w:line="259" w:lineRule="exact"/>
            <w:ind w:left="203"/>
            <w:rPr>
              <w:sz w:val="19"/>
              <w:szCs w:val="19"/>
              <w:highlight w:val="none"/>
            </w:rPr>
          </w:pPr>
          <w:r>
            <w:rPr>
              <w:highlight w:val="none"/>
            </w:rPr>
            <w:fldChar w:fldCharType="begin"/>
          </w:r>
          <w:r>
            <w:rPr>
              <w:highlight w:val="none"/>
            </w:rPr>
            <w:instrText xml:space="preserve"> HYPERLINK \l "bookmark63" </w:instrText>
          </w:r>
          <w:r>
            <w:rPr>
              <w:highlight w:val="none"/>
            </w:rPr>
            <w:fldChar w:fldCharType="separate"/>
          </w:r>
          <w:r>
            <w:rPr>
              <w:rFonts w:ascii="黑体" w:hAnsi="黑体" w:eastAsia="黑体" w:cs="黑体"/>
              <w:spacing w:val="16"/>
              <w:position w:val="1"/>
              <w:sz w:val="19"/>
              <w:szCs w:val="19"/>
              <w:highlight w:val="none"/>
            </w:rPr>
            <w:t>第17条 不可抗力</w:t>
          </w:r>
          <w:r>
            <w:rPr>
              <w:rFonts w:ascii="黑体" w:hAnsi="黑体" w:eastAsia="黑体" w:cs="黑体"/>
              <w:spacing w:val="-76"/>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134</w:t>
          </w:r>
          <w:r>
            <w:rPr>
              <w:spacing w:val="-3"/>
              <w:position w:val="1"/>
              <w:sz w:val="19"/>
              <w:szCs w:val="19"/>
              <w:highlight w:val="none"/>
            </w:rPr>
            <w:fldChar w:fldCharType="end"/>
          </w:r>
        </w:p>
        <w:p w14:paraId="06381795">
          <w:pPr>
            <w:pStyle w:val="2"/>
            <w:tabs>
              <w:tab w:val="right" w:leader="dot" w:pos="8289"/>
            </w:tabs>
            <w:spacing w:before="52" w:line="259" w:lineRule="exact"/>
            <w:ind w:left="203"/>
            <w:rPr>
              <w:sz w:val="19"/>
              <w:szCs w:val="19"/>
              <w:highlight w:val="none"/>
            </w:rPr>
          </w:pPr>
          <w:r>
            <w:rPr>
              <w:highlight w:val="none"/>
            </w:rPr>
            <w:fldChar w:fldCharType="begin"/>
          </w:r>
          <w:r>
            <w:rPr>
              <w:highlight w:val="none"/>
            </w:rPr>
            <w:instrText xml:space="preserve"> HYPERLINK \l "bookmark64" </w:instrText>
          </w:r>
          <w:r>
            <w:rPr>
              <w:highlight w:val="none"/>
            </w:rPr>
            <w:fldChar w:fldCharType="separate"/>
          </w:r>
          <w:r>
            <w:rPr>
              <w:rFonts w:ascii="黑体" w:hAnsi="黑体" w:eastAsia="黑体" w:cs="黑体"/>
              <w:spacing w:val="18"/>
              <w:position w:val="1"/>
              <w:sz w:val="19"/>
              <w:szCs w:val="19"/>
              <w:highlight w:val="none"/>
            </w:rPr>
            <w:t>第18条 保险</w:t>
          </w:r>
          <w:r>
            <w:rPr>
              <w:rFonts w:ascii="黑体" w:hAnsi="黑体" w:eastAsia="黑体" w:cs="黑体"/>
              <w:spacing w:val="-68"/>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136</w:t>
          </w:r>
          <w:r>
            <w:rPr>
              <w:spacing w:val="-3"/>
              <w:position w:val="1"/>
              <w:sz w:val="19"/>
              <w:szCs w:val="19"/>
              <w:highlight w:val="none"/>
            </w:rPr>
            <w:fldChar w:fldCharType="end"/>
          </w:r>
        </w:p>
        <w:p w14:paraId="1B052FBD">
          <w:pPr>
            <w:pStyle w:val="2"/>
            <w:tabs>
              <w:tab w:val="right" w:leader="dot" w:pos="8289"/>
            </w:tabs>
            <w:spacing w:before="61" w:line="259" w:lineRule="exact"/>
            <w:ind w:left="203"/>
            <w:rPr>
              <w:sz w:val="19"/>
              <w:szCs w:val="19"/>
              <w:highlight w:val="none"/>
            </w:rPr>
          </w:pPr>
          <w:r>
            <w:rPr>
              <w:highlight w:val="none"/>
            </w:rPr>
            <w:fldChar w:fldCharType="begin"/>
          </w:r>
          <w:r>
            <w:rPr>
              <w:highlight w:val="none"/>
            </w:rPr>
            <w:instrText xml:space="preserve"> HYPERLINK \l "bookmark65" </w:instrText>
          </w:r>
          <w:r>
            <w:rPr>
              <w:highlight w:val="none"/>
            </w:rPr>
            <w:fldChar w:fldCharType="separate"/>
          </w:r>
          <w:r>
            <w:rPr>
              <w:rFonts w:ascii="黑体" w:hAnsi="黑体" w:eastAsia="黑体" w:cs="黑体"/>
              <w:spacing w:val="18"/>
              <w:position w:val="1"/>
              <w:sz w:val="19"/>
              <w:szCs w:val="19"/>
              <w:highlight w:val="none"/>
            </w:rPr>
            <w:t>第19条 索赔</w:t>
          </w:r>
          <w:r>
            <w:rPr>
              <w:rFonts w:ascii="黑体" w:hAnsi="黑体" w:eastAsia="黑体" w:cs="黑体"/>
              <w:spacing w:val="-68"/>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138</w:t>
          </w:r>
          <w:r>
            <w:rPr>
              <w:spacing w:val="-3"/>
              <w:position w:val="1"/>
              <w:sz w:val="19"/>
              <w:szCs w:val="19"/>
              <w:highlight w:val="none"/>
            </w:rPr>
            <w:fldChar w:fldCharType="end"/>
          </w:r>
        </w:p>
        <w:p w14:paraId="135990A1">
          <w:pPr>
            <w:pStyle w:val="2"/>
            <w:tabs>
              <w:tab w:val="right" w:leader="dot" w:pos="8289"/>
            </w:tabs>
            <w:spacing w:before="41" w:line="259" w:lineRule="exact"/>
            <w:ind w:left="203"/>
            <w:rPr>
              <w:sz w:val="19"/>
              <w:szCs w:val="19"/>
              <w:highlight w:val="none"/>
            </w:rPr>
          </w:pPr>
          <w:r>
            <w:rPr>
              <w:highlight w:val="none"/>
            </w:rPr>
            <w:fldChar w:fldCharType="begin"/>
          </w:r>
          <w:r>
            <w:rPr>
              <w:highlight w:val="none"/>
            </w:rPr>
            <w:instrText xml:space="preserve"> HYPERLINK \l "bookmark66" </w:instrText>
          </w:r>
          <w:r>
            <w:rPr>
              <w:highlight w:val="none"/>
            </w:rPr>
            <w:fldChar w:fldCharType="separate"/>
          </w:r>
          <w:r>
            <w:rPr>
              <w:rFonts w:ascii="黑体" w:hAnsi="黑体" w:eastAsia="黑体" w:cs="黑体"/>
              <w:spacing w:val="17"/>
              <w:position w:val="1"/>
              <w:sz w:val="19"/>
              <w:szCs w:val="19"/>
              <w:highlight w:val="none"/>
            </w:rPr>
            <w:t>第20条 争议解决</w:t>
          </w:r>
          <w:r>
            <w:rPr>
              <w:rFonts w:ascii="黑体" w:hAnsi="黑体" w:eastAsia="黑体" w:cs="黑体"/>
              <w:spacing w:val="-65"/>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139</w:t>
          </w:r>
          <w:r>
            <w:rPr>
              <w:spacing w:val="-3"/>
              <w:position w:val="1"/>
              <w:sz w:val="19"/>
              <w:szCs w:val="19"/>
              <w:highlight w:val="none"/>
            </w:rPr>
            <w:fldChar w:fldCharType="end"/>
          </w:r>
        </w:p>
        <w:p w14:paraId="6CB0C7AB">
          <w:pPr>
            <w:pStyle w:val="2"/>
            <w:tabs>
              <w:tab w:val="right" w:leader="dot" w:pos="8279"/>
            </w:tabs>
            <w:spacing w:before="105" w:line="222" w:lineRule="auto"/>
            <w:ind w:left="203"/>
            <w:rPr>
              <w:sz w:val="19"/>
              <w:szCs w:val="19"/>
              <w:highlight w:val="none"/>
            </w:rPr>
          </w:pPr>
          <w:r>
            <w:rPr>
              <w:highlight w:val="none"/>
            </w:rPr>
            <w:fldChar w:fldCharType="begin"/>
          </w:r>
          <w:r>
            <w:rPr>
              <w:highlight w:val="none"/>
            </w:rPr>
            <w:instrText xml:space="preserve"> HYPERLINK \l "bookmark67" </w:instrText>
          </w:r>
          <w:r>
            <w:rPr>
              <w:highlight w:val="none"/>
            </w:rPr>
            <w:fldChar w:fldCharType="separate"/>
          </w:r>
          <w:r>
            <w:rPr>
              <w:rFonts w:ascii="黑体" w:hAnsi="黑体" w:eastAsia="黑体" w:cs="黑体"/>
              <w:spacing w:val="3"/>
              <w:sz w:val="19"/>
              <w:szCs w:val="19"/>
              <w:highlight w:val="none"/>
            </w:rPr>
            <w:t>第三节</w:t>
          </w:r>
          <w:r>
            <w:rPr>
              <w:rFonts w:ascii="黑体" w:hAnsi="黑体" w:eastAsia="黑体" w:cs="黑体"/>
              <w:spacing w:val="35"/>
              <w:w w:val="101"/>
              <w:sz w:val="19"/>
              <w:szCs w:val="19"/>
              <w:highlight w:val="none"/>
            </w:rPr>
            <w:t xml:space="preserve"> </w:t>
          </w:r>
          <w:r>
            <w:rPr>
              <w:rFonts w:ascii="黑体" w:hAnsi="黑体" w:eastAsia="黑体" w:cs="黑体"/>
              <w:spacing w:val="3"/>
              <w:sz w:val="19"/>
              <w:szCs w:val="19"/>
              <w:highlight w:val="none"/>
            </w:rPr>
            <w:t>专用合同条件</w:t>
          </w:r>
          <w:r>
            <w:rPr>
              <w:rFonts w:ascii="黑体" w:hAnsi="黑体" w:eastAsia="黑体" w:cs="黑体"/>
              <w:spacing w:val="-74"/>
              <w:sz w:val="19"/>
              <w:szCs w:val="19"/>
              <w:highlight w:val="none"/>
            </w:rPr>
            <w:t xml:space="preserve"> </w:t>
          </w:r>
          <w:r>
            <w:rPr>
              <w:rFonts w:ascii="黑体" w:hAnsi="黑体" w:eastAsia="黑体" w:cs="黑体"/>
              <w:sz w:val="19"/>
              <w:szCs w:val="19"/>
              <w:highlight w:val="none"/>
            </w:rPr>
            <w:tab/>
          </w:r>
          <w:r>
            <w:rPr>
              <w:sz w:val="19"/>
              <w:szCs w:val="19"/>
              <w:highlight w:val="none"/>
            </w:rPr>
            <w:t>141</w:t>
          </w:r>
          <w:r>
            <w:rPr>
              <w:sz w:val="19"/>
              <w:szCs w:val="19"/>
              <w:highlight w:val="none"/>
            </w:rPr>
            <w:fldChar w:fldCharType="end"/>
          </w:r>
        </w:p>
        <w:p w14:paraId="746A4134">
          <w:pPr>
            <w:pStyle w:val="2"/>
            <w:tabs>
              <w:tab w:val="right" w:leader="dot" w:pos="8279"/>
            </w:tabs>
            <w:spacing w:before="81" w:line="221" w:lineRule="auto"/>
            <w:ind w:left="203"/>
            <w:rPr>
              <w:sz w:val="19"/>
              <w:szCs w:val="19"/>
              <w:highlight w:val="none"/>
            </w:rPr>
          </w:pPr>
          <w:r>
            <w:rPr>
              <w:highlight w:val="none"/>
            </w:rPr>
            <w:fldChar w:fldCharType="begin"/>
          </w:r>
          <w:r>
            <w:rPr>
              <w:highlight w:val="none"/>
            </w:rPr>
            <w:instrText xml:space="preserve"> HYPERLINK \l "bookmark68" </w:instrText>
          </w:r>
          <w:r>
            <w:rPr>
              <w:highlight w:val="none"/>
            </w:rPr>
            <w:fldChar w:fldCharType="separate"/>
          </w:r>
          <w:r>
            <w:rPr>
              <w:rFonts w:ascii="黑体" w:hAnsi="黑体" w:eastAsia="黑体" w:cs="黑体"/>
              <w:spacing w:val="-2"/>
              <w:sz w:val="19"/>
              <w:szCs w:val="19"/>
              <w:highlight w:val="none"/>
            </w:rPr>
            <w:t>第</w:t>
          </w:r>
          <w:r>
            <w:rPr>
              <w:rFonts w:ascii="黑体" w:hAnsi="黑体" w:eastAsia="黑体" w:cs="黑体"/>
              <w:spacing w:val="-15"/>
              <w:sz w:val="19"/>
              <w:szCs w:val="19"/>
              <w:highlight w:val="none"/>
            </w:rPr>
            <w:t xml:space="preserve"> </w:t>
          </w:r>
          <w:r>
            <w:rPr>
              <w:rFonts w:ascii="黑体" w:hAnsi="黑体" w:eastAsia="黑体" w:cs="黑体"/>
              <w:spacing w:val="-2"/>
              <w:sz w:val="19"/>
              <w:szCs w:val="19"/>
              <w:highlight w:val="none"/>
            </w:rPr>
            <w:t>1</w:t>
          </w:r>
          <w:r>
            <w:rPr>
              <w:rFonts w:ascii="黑体" w:hAnsi="黑体" w:eastAsia="黑体" w:cs="黑体"/>
              <w:spacing w:val="-28"/>
              <w:sz w:val="19"/>
              <w:szCs w:val="19"/>
              <w:highlight w:val="none"/>
            </w:rPr>
            <w:t xml:space="preserve"> </w:t>
          </w:r>
          <w:r>
            <w:rPr>
              <w:rFonts w:ascii="黑体" w:hAnsi="黑体" w:eastAsia="黑体" w:cs="黑体"/>
              <w:spacing w:val="-2"/>
              <w:sz w:val="19"/>
              <w:szCs w:val="19"/>
              <w:highlight w:val="none"/>
            </w:rPr>
            <w:t>条</w:t>
          </w:r>
          <w:r>
            <w:rPr>
              <w:rFonts w:ascii="黑体" w:hAnsi="黑体" w:eastAsia="黑体" w:cs="黑体"/>
              <w:spacing w:val="16"/>
              <w:sz w:val="19"/>
              <w:szCs w:val="19"/>
              <w:highlight w:val="none"/>
            </w:rPr>
            <w:t xml:space="preserve"> </w:t>
          </w:r>
          <w:r>
            <w:rPr>
              <w:rFonts w:ascii="黑体" w:hAnsi="黑体" w:eastAsia="黑体" w:cs="黑体"/>
              <w:spacing w:val="-2"/>
              <w:sz w:val="19"/>
              <w:szCs w:val="19"/>
              <w:highlight w:val="none"/>
            </w:rPr>
            <w:t>一般约定</w:t>
          </w:r>
          <w:r>
            <w:rPr>
              <w:rFonts w:ascii="黑体" w:hAnsi="黑体" w:eastAsia="黑体" w:cs="黑体"/>
              <w:spacing w:val="-76"/>
              <w:sz w:val="19"/>
              <w:szCs w:val="19"/>
              <w:highlight w:val="none"/>
            </w:rPr>
            <w:t xml:space="preserve"> </w:t>
          </w:r>
          <w:r>
            <w:rPr>
              <w:rFonts w:ascii="黑体" w:hAnsi="黑体" w:eastAsia="黑体" w:cs="黑体"/>
              <w:sz w:val="19"/>
              <w:szCs w:val="19"/>
              <w:highlight w:val="none"/>
            </w:rPr>
            <w:tab/>
          </w:r>
          <w:r>
            <w:rPr>
              <w:rFonts w:ascii="黑体" w:hAnsi="黑体" w:eastAsia="黑体" w:cs="黑体"/>
              <w:spacing w:val="-63"/>
              <w:sz w:val="19"/>
              <w:szCs w:val="19"/>
              <w:highlight w:val="none"/>
            </w:rPr>
            <w:t xml:space="preserve"> </w:t>
          </w:r>
          <w:r>
            <w:rPr>
              <w:spacing w:val="-5"/>
              <w:sz w:val="19"/>
              <w:szCs w:val="19"/>
              <w:highlight w:val="none"/>
            </w:rPr>
            <w:t>141</w:t>
          </w:r>
          <w:r>
            <w:rPr>
              <w:spacing w:val="-5"/>
              <w:sz w:val="19"/>
              <w:szCs w:val="19"/>
              <w:highlight w:val="none"/>
            </w:rPr>
            <w:fldChar w:fldCharType="end"/>
          </w:r>
        </w:p>
        <w:p w14:paraId="090135FA">
          <w:pPr>
            <w:pStyle w:val="2"/>
            <w:tabs>
              <w:tab w:val="right" w:leader="dot" w:pos="8279"/>
            </w:tabs>
            <w:spacing w:before="38" w:line="259" w:lineRule="exact"/>
            <w:ind w:left="203"/>
            <w:rPr>
              <w:sz w:val="19"/>
              <w:szCs w:val="19"/>
              <w:highlight w:val="none"/>
            </w:rPr>
          </w:pPr>
          <w:r>
            <w:rPr>
              <w:highlight w:val="none"/>
            </w:rPr>
            <w:fldChar w:fldCharType="begin"/>
          </w:r>
          <w:r>
            <w:rPr>
              <w:highlight w:val="none"/>
            </w:rPr>
            <w:instrText xml:space="preserve"> HYPERLINK \l "bookmark69" </w:instrText>
          </w:r>
          <w:r>
            <w:rPr>
              <w:highlight w:val="none"/>
            </w:rPr>
            <w:fldChar w:fldCharType="separate"/>
          </w:r>
          <w:r>
            <w:rPr>
              <w:rFonts w:ascii="黑体" w:hAnsi="黑体" w:eastAsia="黑体" w:cs="黑体"/>
              <w:spacing w:val="-4"/>
              <w:position w:val="1"/>
              <w:sz w:val="19"/>
              <w:szCs w:val="19"/>
              <w:highlight w:val="none"/>
            </w:rPr>
            <w:t>第</w:t>
          </w:r>
          <w:r>
            <w:rPr>
              <w:rFonts w:ascii="黑体" w:hAnsi="黑体" w:eastAsia="黑体" w:cs="黑体"/>
              <w:spacing w:val="-21"/>
              <w:position w:val="1"/>
              <w:sz w:val="19"/>
              <w:szCs w:val="19"/>
              <w:highlight w:val="none"/>
            </w:rPr>
            <w:t xml:space="preserve"> </w:t>
          </w:r>
          <w:r>
            <w:rPr>
              <w:rFonts w:ascii="黑体" w:hAnsi="黑体" w:eastAsia="黑体" w:cs="黑体"/>
              <w:spacing w:val="-4"/>
              <w:position w:val="1"/>
              <w:sz w:val="19"/>
              <w:szCs w:val="19"/>
              <w:highlight w:val="none"/>
            </w:rPr>
            <w:t>2</w:t>
          </w:r>
          <w:r>
            <w:rPr>
              <w:rFonts w:ascii="黑体" w:hAnsi="黑体" w:eastAsia="黑体" w:cs="黑体"/>
              <w:spacing w:val="-18"/>
              <w:position w:val="1"/>
              <w:sz w:val="19"/>
              <w:szCs w:val="19"/>
              <w:highlight w:val="none"/>
            </w:rPr>
            <w:t xml:space="preserve"> </w:t>
          </w:r>
          <w:r>
            <w:rPr>
              <w:rFonts w:ascii="黑体" w:hAnsi="黑体" w:eastAsia="黑体" w:cs="黑体"/>
              <w:spacing w:val="-4"/>
              <w:position w:val="1"/>
              <w:sz w:val="19"/>
              <w:szCs w:val="19"/>
              <w:highlight w:val="none"/>
            </w:rPr>
            <w:t>条 发包人</w:t>
          </w:r>
          <w:r>
            <w:rPr>
              <w:rFonts w:ascii="黑体" w:hAnsi="黑体" w:eastAsia="黑体" w:cs="黑体"/>
              <w:spacing w:val="-70"/>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43"/>
              <w:position w:val="1"/>
              <w:sz w:val="19"/>
              <w:szCs w:val="19"/>
              <w:highlight w:val="none"/>
            </w:rPr>
            <w:t xml:space="preserve"> </w:t>
          </w:r>
          <w:r>
            <w:rPr>
              <w:spacing w:val="-5"/>
              <w:position w:val="1"/>
              <w:sz w:val="19"/>
              <w:szCs w:val="19"/>
              <w:highlight w:val="none"/>
            </w:rPr>
            <w:t>143</w:t>
          </w:r>
          <w:r>
            <w:rPr>
              <w:spacing w:val="-5"/>
              <w:position w:val="1"/>
              <w:sz w:val="19"/>
              <w:szCs w:val="19"/>
              <w:highlight w:val="none"/>
            </w:rPr>
            <w:fldChar w:fldCharType="end"/>
          </w:r>
        </w:p>
        <w:p w14:paraId="7903B1D7">
          <w:pPr>
            <w:pStyle w:val="2"/>
            <w:tabs>
              <w:tab w:val="right" w:leader="dot" w:pos="8299"/>
            </w:tabs>
            <w:spacing w:before="61" w:line="259" w:lineRule="exact"/>
            <w:ind w:left="203"/>
            <w:rPr>
              <w:sz w:val="19"/>
              <w:szCs w:val="19"/>
              <w:highlight w:val="none"/>
            </w:rPr>
          </w:pPr>
          <w:r>
            <w:rPr>
              <w:highlight w:val="none"/>
            </w:rPr>
            <w:fldChar w:fldCharType="begin"/>
          </w:r>
          <w:r>
            <w:rPr>
              <w:highlight w:val="none"/>
            </w:rPr>
            <w:instrText xml:space="preserve"> HYPERLINK \l "bookmark70" </w:instrText>
          </w:r>
          <w:r>
            <w:rPr>
              <w:highlight w:val="none"/>
            </w:rPr>
            <w:fldChar w:fldCharType="separate"/>
          </w:r>
          <w:r>
            <w:rPr>
              <w:rFonts w:ascii="黑体" w:hAnsi="黑体" w:eastAsia="黑体" w:cs="黑体"/>
              <w:spacing w:val="2"/>
              <w:position w:val="1"/>
              <w:sz w:val="19"/>
              <w:szCs w:val="19"/>
              <w:highlight w:val="none"/>
            </w:rPr>
            <w:t>第</w:t>
          </w:r>
          <w:r>
            <w:rPr>
              <w:rFonts w:ascii="黑体" w:hAnsi="黑体" w:eastAsia="黑体" w:cs="黑体"/>
              <w:spacing w:val="-26"/>
              <w:position w:val="1"/>
              <w:sz w:val="19"/>
              <w:szCs w:val="19"/>
              <w:highlight w:val="none"/>
            </w:rPr>
            <w:t xml:space="preserve"> </w:t>
          </w:r>
          <w:r>
            <w:rPr>
              <w:rFonts w:ascii="黑体" w:hAnsi="黑体" w:eastAsia="黑体" w:cs="黑体"/>
              <w:spacing w:val="2"/>
              <w:position w:val="1"/>
              <w:sz w:val="19"/>
              <w:szCs w:val="19"/>
              <w:highlight w:val="none"/>
            </w:rPr>
            <w:t>3</w:t>
          </w:r>
          <w:r>
            <w:rPr>
              <w:rFonts w:ascii="黑体" w:hAnsi="黑体" w:eastAsia="黑体" w:cs="黑体"/>
              <w:spacing w:val="-28"/>
              <w:position w:val="1"/>
              <w:sz w:val="19"/>
              <w:szCs w:val="19"/>
              <w:highlight w:val="none"/>
            </w:rPr>
            <w:t xml:space="preserve"> </w:t>
          </w:r>
          <w:r>
            <w:rPr>
              <w:rFonts w:ascii="黑体" w:hAnsi="黑体" w:eastAsia="黑体" w:cs="黑体"/>
              <w:spacing w:val="2"/>
              <w:position w:val="1"/>
              <w:sz w:val="19"/>
              <w:szCs w:val="19"/>
              <w:highlight w:val="none"/>
            </w:rPr>
            <w:t>条 发包人的管理</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53"/>
              <w:position w:val="1"/>
              <w:sz w:val="19"/>
              <w:szCs w:val="19"/>
              <w:highlight w:val="none"/>
            </w:rPr>
            <w:t xml:space="preserve"> </w:t>
          </w:r>
          <w:r>
            <w:rPr>
              <w:spacing w:val="-5"/>
              <w:position w:val="1"/>
              <w:sz w:val="19"/>
              <w:szCs w:val="19"/>
              <w:highlight w:val="none"/>
            </w:rPr>
            <w:t>143</w:t>
          </w:r>
          <w:r>
            <w:rPr>
              <w:spacing w:val="-5"/>
              <w:position w:val="1"/>
              <w:sz w:val="19"/>
              <w:szCs w:val="19"/>
              <w:highlight w:val="none"/>
            </w:rPr>
            <w:fldChar w:fldCharType="end"/>
          </w:r>
        </w:p>
        <w:p w14:paraId="01BE4DAE">
          <w:pPr>
            <w:pStyle w:val="2"/>
            <w:tabs>
              <w:tab w:val="right" w:leader="dot" w:pos="8289"/>
            </w:tabs>
            <w:spacing w:before="76" w:line="222" w:lineRule="auto"/>
            <w:ind w:left="203"/>
            <w:rPr>
              <w:sz w:val="19"/>
              <w:szCs w:val="19"/>
              <w:highlight w:val="none"/>
            </w:rPr>
          </w:pPr>
          <w:r>
            <w:rPr>
              <w:highlight w:val="none"/>
            </w:rPr>
            <w:fldChar w:fldCharType="begin"/>
          </w:r>
          <w:r>
            <w:rPr>
              <w:highlight w:val="none"/>
            </w:rPr>
            <w:instrText xml:space="preserve"> HYPERLINK \l "bookmark71" </w:instrText>
          </w:r>
          <w:r>
            <w:rPr>
              <w:highlight w:val="none"/>
            </w:rPr>
            <w:fldChar w:fldCharType="separate"/>
          </w:r>
          <w:r>
            <w:rPr>
              <w:rFonts w:ascii="黑体" w:hAnsi="黑体" w:eastAsia="黑体" w:cs="黑体"/>
              <w:spacing w:val="-4"/>
              <w:sz w:val="19"/>
              <w:szCs w:val="19"/>
              <w:highlight w:val="none"/>
            </w:rPr>
            <w:t>第</w:t>
          </w:r>
          <w:r>
            <w:rPr>
              <w:rFonts w:ascii="黑体" w:hAnsi="黑体" w:eastAsia="黑体" w:cs="黑体"/>
              <w:spacing w:val="-21"/>
              <w:sz w:val="19"/>
              <w:szCs w:val="19"/>
              <w:highlight w:val="none"/>
            </w:rPr>
            <w:t xml:space="preserve"> </w:t>
          </w:r>
          <w:r>
            <w:rPr>
              <w:rFonts w:ascii="黑体" w:hAnsi="黑体" w:eastAsia="黑体" w:cs="黑体"/>
              <w:spacing w:val="-4"/>
              <w:sz w:val="19"/>
              <w:szCs w:val="19"/>
              <w:highlight w:val="none"/>
            </w:rPr>
            <w:t>4</w:t>
          </w:r>
          <w:r>
            <w:rPr>
              <w:rFonts w:ascii="黑体" w:hAnsi="黑体" w:eastAsia="黑体" w:cs="黑体"/>
              <w:spacing w:val="-18"/>
              <w:sz w:val="19"/>
              <w:szCs w:val="19"/>
              <w:highlight w:val="none"/>
            </w:rPr>
            <w:t xml:space="preserve"> </w:t>
          </w:r>
          <w:r>
            <w:rPr>
              <w:rFonts w:ascii="黑体" w:hAnsi="黑体" w:eastAsia="黑体" w:cs="黑体"/>
              <w:spacing w:val="-4"/>
              <w:sz w:val="19"/>
              <w:szCs w:val="19"/>
              <w:highlight w:val="none"/>
            </w:rPr>
            <w:t>条 承包人</w:t>
          </w:r>
          <w:r>
            <w:rPr>
              <w:rFonts w:ascii="黑体" w:hAnsi="黑体" w:eastAsia="黑体" w:cs="黑体"/>
              <w:spacing w:val="-70"/>
              <w:sz w:val="19"/>
              <w:szCs w:val="19"/>
              <w:highlight w:val="none"/>
            </w:rPr>
            <w:t xml:space="preserve"> </w:t>
          </w:r>
          <w:r>
            <w:rPr>
              <w:rFonts w:ascii="黑体" w:hAnsi="黑体" w:eastAsia="黑体" w:cs="黑体"/>
              <w:sz w:val="19"/>
              <w:szCs w:val="19"/>
              <w:highlight w:val="none"/>
            </w:rPr>
            <w:tab/>
          </w:r>
          <w:r>
            <w:rPr>
              <w:rFonts w:ascii="黑体" w:hAnsi="黑体" w:eastAsia="黑体" w:cs="黑体"/>
              <w:spacing w:val="-33"/>
              <w:sz w:val="19"/>
              <w:szCs w:val="19"/>
              <w:highlight w:val="none"/>
            </w:rPr>
            <w:t xml:space="preserve"> </w:t>
          </w:r>
          <w:r>
            <w:rPr>
              <w:spacing w:val="-5"/>
              <w:sz w:val="19"/>
              <w:szCs w:val="19"/>
              <w:highlight w:val="none"/>
            </w:rPr>
            <w:t>144</w:t>
          </w:r>
          <w:r>
            <w:rPr>
              <w:spacing w:val="-5"/>
              <w:sz w:val="19"/>
              <w:szCs w:val="19"/>
              <w:highlight w:val="none"/>
            </w:rPr>
            <w:fldChar w:fldCharType="end"/>
          </w:r>
        </w:p>
        <w:p w14:paraId="17BDB14F">
          <w:pPr>
            <w:pStyle w:val="2"/>
            <w:tabs>
              <w:tab w:val="right" w:leader="dot" w:pos="8289"/>
            </w:tabs>
            <w:spacing w:before="67" w:line="259" w:lineRule="exact"/>
            <w:ind w:left="203"/>
            <w:rPr>
              <w:sz w:val="19"/>
              <w:szCs w:val="19"/>
              <w:highlight w:val="none"/>
            </w:rPr>
          </w:pPr>
          <w:r>
            <w:rPr>
              <w:highlight w:val="none"/>
            </w:rPr>
            <w:fldChar w:fldCharType="begin"/>
          </w:r>
          <w:r>
            <w:rPr>
              <w:highlight w:val="none"/>
            </w:rPr>
            <w:instrText xml:space="preserve"> HYPERLINK \l "bookmark72" </w:instrText>
          </w:r>
          <w:r>
            <w:rPr>
              <w:highlight w:val="none"/>
            </w:rPr>
            <w:fldChar w:fldCharType="separate"/>
          </w:r>
          <w:r>
            <w:rPr>
              <w:rFonts w:ascii="黑体" w:hAnsi="黑体" w:eastAsia="黑体" w:cs="黑体"/>
              <w:spacing w:val="-5"/>
              <w:position w:val="1"/>
              <w:sz w:val="19"/>
              <w:szCs w:val="19"/>
              <w:highlight w:val="none"/>
            </w:rPr>
            <w:t>第</w:t>
          </w:r>
          <w:r>
            <w:rPr>
              <w:rFonts w:ascii="黑体" w:hAnsi="黑体" w:eastAsia="黑体" w:cs="黑体"/>
              <w:spacing w:val="-19"/>
              <w:position w:val="1"/>
              <w:sz w:val="19"/>
              <w:szCs w:val="19"/>
              <w:highlight w:val="none"/>
            </w:rPr>
            <w:t xml:space="preserve"> </w:t>
          </w:r>
          <w:r>
            <w:rPr>
              <w:rFonts w:ascii="黑体" w:hAnsi="黑体" w:eastAsia="黑体" w:cs="黑体"/>
              <w:spacing w:val="-5"/>
              <w:position w:val="1"/>
              <w:sz w:val="19"/>
              <w:szCs w:val="19"/>
              <w:highlight w:val="none"/>
            </w:rPr>
            <w:t>5</w:t>
          </w:r>
          <w:r>
            <w:rPr>
              <w:rFonts w:ascii="黑体" w:hAnsi="黑体" w:eastAsia="黑体" w:cs="黑体"/>
              <w:spacing w:val="-18"/>
              <w:position w:val="1"/>
              <w:sz w:val="19"/>
              <w:szCs w:val="19"/>
              <w:highlight w:val="none"/>
            </w:rPr>
            <w:t xml:space="preserve"> </w:t>
          </w:r>
          <w:r>
            <w:rPr>
              <w:rFonts w:ascii="黑体" w:hAnsi="黑体" w:eastAsia="黑体" w:cs="黑体"/>
              <w:spacing w:val="-5"/>
              <w:position w:val="1"/>
              <w:sz w:val="19"/>
              <w:szCs w:val="19"/>
              <w:highlight w:val="none"/>
            </w:rPr>
            <w:t>条 设计</w:t>
          </w:r>
          <w:r>
            <w:rPr>
              <w:rFonts w:ascii="黑体" w:hAnsi="黑体" w:eastAsia="黑体" w:cs="黑体"/>
              <w:spacing w:val="-69"/>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33"/>
              <w:position w:val="1"/>
              <w:sz w:val="19"/>
              <w:szCs w:val="19"/>
              <w:highlight w:val="none"/>
            </w:rPr>
            <w:t xml:space="preserve"> </w:t>
          </w:r>
          <w:r>
            <w:rPr>
              <w:spacing w:val="-5"/>
              <w:position w:val="1"/>
              <w:sz w:val="19"/>
              <w:szCs w:val="19"/>
              <w:highlight w:val="none"/>
            </w:rPr>
            <w:t>146</w:t>
          </w:r>
          <w:r>
            <w:rPr>
              <w:spacing w:val="-5"/>
              <w:position w:val="1"/>
              <w:sz w:val="19"/>
              <w:szCs w:val="19"/>
              <w:highlight w:val="none"/>
            </w:rPr>
            <w:fldChar w:fldCharType="end"/>
          </w:r>
        </w:p>
        <w:p w14:paraId="57A43189">
          <w:pPr>
            <w:pStyle w:val="2"/>
            <w:tabs>
              <w:tab w:val="right" w:leader="dot" w:pos="8279"/>
            </w:tabs>
            <w:spacing w:before="85" w:line="222" w:lineRule="auto"/>
            <w:ind w:left="203"/>
            <w:rPr>
              <w:sz w:val="19"/>
              <w:szCs w:val="19"/>
              <w:highlight w:val="none"/>
            </w:rPr>
          </w:pPr>
          <w:r>
            <w:rPr>
              <w:highlight w:val="none"/>
            </w:rPr>
            <w:fldChar w:fldCharType="begin"/>
          </w:r>
          <w:r>
            <w:rPr>
              <w:highlight w:val="none"/>
            </w:rPr>
            <w:instrText xml:space="preserve"> HYPERLINK \l "bookmark73" </w:instrText>
          </w:r>
          <w:r>
            <w:rPr>
              <w:highlight w:val="none"/>
            </w:rPr>
            <w:fldChar w:fldCharType="separate"/>
          </w:r>
          <w:r>
            <w:rPr>
              <w:rFonts w:ascii="黑体" w:hAnsi="黑体" w:eastAsia="黑体" w:cs="黑体"/>
              <w:spacing w:val="2"/>
              <w:sz w:val="19"/>
              <w:szCs w:val="19"/>
              <w:highlight w:val="none"/>
            </w:rPr>
            <w:t>第</w:t>
          </w:r>
          <w:r>
            <w:rPr>
              <w:rFonts w:ascii="黑体" w:hAnsi="黑体" w:eastAsia="黑体" w:cs="黑体"/>
              <w:spacing w:val="-19"/>
              <w:sz w:val="19"/>
              <w:szCs w:val="19"/>
              <w:highlight w:val="none"/>
            </w:rPr>
            <w:t xml:space="preserve"> </w:t>
          </w:r>
          <w:r>
            <w:rPr>
              <w:rFonts w:ascii="黑体" w:hAnsi="黑体" w:eastAsia="黑体" w:cs="黑体"/>
              <w:spacing w:val="2"/>
              <w:sz w:val="19"/>
              <w:szCs w:val="19"/>
              <w:highlight w:val="none"/>
            </w:rPr>
            <w:t>6</w:t>
          </w:r>
          <w:r>
            <w:rPr>
              <w:rFonts w:ascii="黑体" w:hAnsi="黑体" w:eastAsia="黑体" w:cs="黑体"/>
              <w:spacing w:val="-18"/>
              <w:sz w:val="19"/>
              <w:szCs w:val="19"/>
              <w:highlight w:val="none"/>
            </w:rPr>
            <w:t xml:space="preserve"> </w:t>
          </w:r>
          <w:r>
            <w:rPr>
              <w:rFonts w:ascii="黑体" w:hAnsi="黑体" w:eastAsia="黑体" w:cs="黑体"/>
              <w:spacing w:val="2"/>
              <w:sz w:val="19"/>
              <w:szCs w:val="19"/>
              <w:highlight w:val="none"/>
            </w:rPr>
            <w:t>条 材料、工程设备</w:t>
          </w:r>
          <w:r>
            <w:rPr>
              <w:rFonts w:ascii="黑体" w:hAnsi="黑体" w:eastAsia="黑体" w:cs="黑体"/>
              <w:spacing w:val="-72"/>
              <w:sz w:val="19"/>
              <w:szCs w:val="19"/>
              <w:highlight w:val="none"/>
            </w:rPr>
            <w:t xml:space="preserve"> </w:t>
          </w:r>
          <w:r>
            <w:rPr>
              <w:rFonts w:ascii="黑体" w:hAnsi="黑体" w:eastAsia="黑体" w:cs="黑体"/>
              <w:sz w:val="19"/>
              <w:szCs w:val="19"/>
              <w:highlight w:val="none"/>
            </w:rPr>
            <w:tab/>
          </w:r>
          <w:r>
            <w:rPr>
              <w:spacing w:val="-5"/>
              <w:sz w:val="19"/>
              <w:szCs w:val="19"/>
              <w:highlight w:val="none"/>
            </w:rPr>
            <w:t>147</w:t>
          </w:r>
          <w:r>
            <w:rPr>
              <w:spacing w:val="-5"/>
              <w:sz w:val="19"/>
              <w:szCs w:val="19"/>
              <w:highlight w:val="none"/>
            </w:rPr>
            <w:fldChar w:fldCharType="end"/>
          </w:r>
        </w:p>
        <w:p w14:paraId="5D030C0F">
          <w:pPr>
            <w:pStyle w:val="2"/>
            <w:tabs>
              <w:tab w:val="right" w:leader="dot" w:pos="8279"/>
            </w:tabs>
            <w:spacing w:before="38" w:line="259" w:lineRule="exact"/>
            <w:ind w:left="203"/>
            <w:rPr>
              <w:sz w:val="19"/>
              <w:szCs w:val="19"/>
              <w:highlight w:val="none"/>
            </w:rPr>
          </w:pPr>
          <w:r>
            <w:rPr>
              <w:highlight w:val="none"/>
            </w:rPr>
            <w:fldChar w:fldCharType="begin"/>
          </w:r>
          <w:r>
            <w:rPr>
              <w:highlight w:val="none"/>
            </w:rPr>
            <w:instrText xml:space="preserve"> HYPERLINK \l "bookmark74" </w:instrText>
          </w:r>
          <w:r>
            <w:rPr>
              <w:highlight w:val="none"/>
            </w:rPr>
            <w:fldChar w:fldCharType="separate"/>
          </w:r>
          <w:r>
            <w:rPr>
              <w:rFonts w:ascii="黑体" w:hAnsi="黑体" w:eastAsia="黑体" w:cs="黑体"/>
              <w:spacing w:val="-13"/>
              <w:position w:val="1"/>
              <w:sz w:val="19"/>
              <w:szCs w:val="19"/>
              <w:highlight w:val="none"/>
            </w:rPr>
            <w:t>第</w:t>
          </w:r>
          <w:r>
            <w:rPr>
              <w:rFonts w:ascii="黑体" w:hAnsi="黑体" w:eastAsia="黑体" w:cs="黑体"/>
              <w:spacing w:val="-23"/>
              <w:position w:val="1"/>
              <w:sz w:val="19"/>
              <w:szCs w:val="19"/>
              <w:highlight w:val="none"/>
            </w:rPr>
            <w:t xml:space="preserve"> </w:t>
          </w:r>
          <w:r>
            <w:rPr>
              <w:rFonts w:ascii="黑体" w:hAnsi="黑体" w:eastAsia="黑体" w:cs="黑体"/>
              <w:spacing w:val="-13"/>
              <w:position w:val="1"/>
              <w:sz w:val="19"/>
              <w:szCs w:val="19"/>
              <w:highlight w:val="none"/>
            </w:rPr>
            <w:t>7</w:t>
          </w:r>
          <w:r>
            <w:rPr>
              <w:rFonts w:ascii="黑体" w:hAnsi="黑体" w:eastAsia="黑体" w:cs="黑体"/>
              <w:spacing w:val="-23"/>
              <w:position w:val="1"/>
              <w:sz w:val="19"/>
              <w:szCs w:val="19"/>
              <w:highlight w:val="none"/>
            </w:rPr>
            <w:t xml:space="preserve"> </w:t>
          </w:r>
          <w:r>
            <w:rPr>
              <w:rFonts w:ascii="黑体" w:hAnsi="黑体" w:eastAsia="黑体" w:cs="黑体"/>
              <w:spacing w:val="-13"/>
              <w:position w:val="1"/>
              <w:sz w:val="19"/>
              <w:szCs w:val="19"/>
              <w:highlight w:val="none"/>
            </w:rPr>
            <w:t>条 施工</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148</w:t>
          </w:r>
          <w:r>
            <w:rPr>
              <w:spacing w:val="-3"/>
              <w:position w:val="1"/>
              <w:sz w:val="19"/>
              <w:szCs w:val="19"/>
              <w:highlight w:val="none"/>
            </w:rPr>
            <w:fldChar w:fldCharType="end"/>
          </w:r>
        </w:p>
        <w:p w14:paraId="0D17EF3F">
          <w:pPr>
            <w:pStyle w:val="2"/>
            <w:tabs>
              <w:tab w:val="right" w:leader="dot" w:pos="8279"/>
            </w:tabs>
            <w:spacing w:before="51" w:line="259" w:lineRule="exact"/>
            <w:ind w:left="203"/>
            <w:rPr>
              <w:sz w:val="19"/>
              <w:szCs w:val="19"/>
              <w:highlight w:val="none"/>
            </w:rPr>
          </w:pPr>
          <w:r>
            <w:rPr>
              <w:highlight w:val="none"/>
            </w:rPr>
            <w:fldChar w:fldCharType="begin"/>
          </w:r>
          <w:r>
            <w:rPr>
              <w:highlight w:val="none"/>
            </w:rPr>
            <w:instrText xml:space="preserve"> HYPERLINK \l "bookmark75" </w:instrText>
          </w:r>
          <w:r>
            <w:rPr>
              <w:highlight w:val="none"/>
            </w:rPr>
            <w:fldChar w:fldCharType="separate"/>
          </w:r>
          <w:r>
            <w:rPr>
              <w:rFonts w:ascii="黑体" w:hAnsi="黑体" w:eastAsia="黑体" w:cs="黑体"/>
              <w:spacing w:val="4"/>
              <w:position w:val="1"/>
              <w:sz w:val="19"/>
              <w:szCs w:val="19"/>
              <w:highlight w:val="none"/>
            </w:rPr>
            <w:t>第</w:t>
          </w:r>
          <w:r>
            <w:rPr>
              <w:rFonts w:ascii="黑体" w:hAnsi="黑体" w:eastAsia="黑体" w:cs="黑体"/>
              <w:spacing w:val="-36"/>
              <w:position w:val="1"/>
              <w:sz w:val="19"/>
              <w:szCs w:val="19"/>
              <w:highlight w:val="none"/>
            </w:rPr>
            <w:t xml:space="preserve"> </w:t>
          </w:r>
          <w:r>
            <w:rPr>
              <w:rFonts w:ascii="黑体" w:hAnsi="黑体" w:eastAsia="黑体" w:cs="黑体"/>
              <w:spacing w:val="4"/>
              <w:position w:val="1"/>
              <w:sz w:val="19"/>
              <w:szCs w:val="19"/>
              <w:highlight w:val="none"/>
            </w:rPr>
            <w:t>8</w:t>
          </w:r>
          <w:r>
            <w:rPr>
              <w:rFonts w:ascii="黑体" w:hAnsi="黑体" w:eastAsia="黑体" w:cs="黑体"/>
              <w:spacing w:val="-33"/>
              <w:position w:val="1"/>
              <w:sz w:val="19"/>
              <w:szCs w:val="19"/>
              <w:highlight w:val="none"/>
            </w:rPr>
            <w:t xml:space="preserve"> </w:t>
          </w:r>
          <w:r>
            <w:rPr>
              <w:rFonts w:ascii="黑体" w:hAnsi="黑体" w:eastAsia="黑体" w:cs="黑体"/>
              <w:spacing w:val="4"/>
              <w:position w:val="1"/>
              <w:sz w:val="19"/>
              <w:szCs w:val="19"/>
              <w:highlight w:val="none"/>
            </w:rPr>
            <w:t>条 工期和进度</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position w:val="1"/>
              <w:sz w:val="19"/>
              <w:szCs w:val="19"/>
              <w:highlight w:val="none"/>
            </w:rPr>
            <w:t>149</w:t>
          </w:r>
          <w:r>
            <w:rPr>
              <w:position w:val="1"/>
              <w:sz w:val="19"/>
              <w:szCs w:val="19"/>
              <w:highlight w:val="none"/>
            </w:rPr>
            <w:fldChar w:fldCharType="end"/>
          </w:r>
        </w:p>
        <w:p w14:paraId="63159041">
          <w:pPr>
            <w:pStyle w:val="2"/>
            <w:tabs>
              <w:tab w:val="right" w:leader="dot" w:pos="8289"/>
            </w:tabs>
            <w:spacing w:before="50" w:line="259" w:lineRule="exact"/>
            <w:ind w:left="203"/>
            <w:rPr>
              <w:sz w:val="19"/>
              <w:szCs w:val="19"/>
              <w:highlight w:val="none"/>
            </w:rPr>
          </w:pPr>
          <w:r>
            <w:rPr>
              <w:highlight w:val="none"/>
            </w:rPr>
            <w:fldChar w:fldCharType="begin"/>
          </w:r>
          <w:r>
            <w:rPr>
              <w:highlight w:val="none"/>
            </w:rPr>
            <w:instrText xml:space="preserve"> HYPERLINK \l "bookmark76" </w:instrText>
          </w:r>
          <w:r>
            <w:rPr>
              <w:highlight w:val="none"/>
            </w:rPr>
            <w:fldChar w:fldCharType="separate"/>
          </w:r>
          <w:r>
            <w:rPr>
              <w:rFonts w:ascii="黑体" w:hAnsi="黑体" w:eastAsia="黑体" w:cs="黑体"/>
              <w:spacing w:val="-1"/>
              <w:position w:val="1"/>
              <w:sz w:val="19"/>
              <w:szCs w:val="19"/>
              <w:highlight w:val="none"/>
            </w:rPr>
            <w:t>第</w:t>
          </w:r>
          <w:r>
            <w:rPr>
              <w:rFonts w:ascii="黑体" w:hAnsi="黑体" w:eastAsia="黑体" w:cs="黑体"/>
              <w:spacing w:val="-18"/>
              <w:position w:val="1"/>
              <w:sz w:val="19"/>
              <w:szCs w:val="19"/>
              <w:highlight w:val="none"/>
            </w:rPr>
            <w:t xml:space="preserve"> </w:t>
          </w:r>
          <w:r>
            <w:rPr>
              <w:rFonts w:ascii="黑体" w:hAnsi="黑体" w:eastAsia="黑体" w:cs="黑体"/>
              <w:spacing w:val="-1"/>
              <w:position w:val="1"/>
              <w:sz w:val="19"/>
              <w:szCs w:val="19"/>
              <w:highlight w:val="none"/>
            </w:rPr>
            <w:t>9</w:t>
          </w:r>
          <w:r>
            <w:rPr>
              <w:rFonts w:ascii="黑体" w:hAnsi="黑体" w:eastAsia="黑体" w:cs="黑体"/>
              <w:spacing w:val="-18"/>
              <w:position w:val="1"/>
              <w:sz w:val="19"/>
              <w:szCs w:val="19"/>
              <w:highlight w:val="none"/>
            </w:rPr>
            <w:t xml:space="preserve"> </w:t>
          </w:r>
          <w:r>
            <w:rPr>
              <w:rFonts w:ascii="黑体" w:hAnsi="黑体" w:eastAsia="黑体" w:cs="黑体"/>
              <w:spacing w:val="-1"/>
              <w:position w:val="1"/>
              <w:sz w:val="19"/>
              <w:szCs w:val="19"/>
              <w:highlight w:val="none"/>
            </w:rPr>
            <w:t>条 竣工试验</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53"/>
              <w:position w:val="1"/>
              <w:sz w:val="19"/>
              <w:szCs w:val="19"/>
              <w:highlight w:val="none"/>
            </w:rPr>
            <w:t xml:space="preserve"> </w:t>
          </w:r>
          <w:r>
            <w:rPr>
              <w:spacing w:val="-5"/>
              <w:position w:val="1"/>
              <w:sz w:val="19"/>
              <w:szCs w:val="19"/>
              <w:highlight w:val="none"/>
            </w:rPr>
            <w:t>150</w:t>
          </w:r>
          <w:r>
            <w:rPr>
              <w:spacing w:val="-5"/>
              <w:position w:val="1"/>
              <w:sz w:val="19"/>
              <w:szCs w:val="19"/>
              <w:highlight w:val="none"/>
            </w:rPr>
            <w:fldChar w:fldCharType="end"/>
          </w:r>
        </w:p>
        <w:p w14:paraId="331D284F">
          <w:pPr>
            <w:pStyle w:val="2"/>
            <w:tabs>
              <w:tab w:val="right" w:leader="dot" w:pos="8289"/>
            </w:tabs>
            <w:spacing w:before="72" w:line="259" w:lineRule="exact"/>
            <w:ind w:left="203"/>
            <w:rPr>
              <w:sz w:val="19"/>
              <w:szCs w:val="19"/>
              <w:highlight w:val="none"/>
            </w:rPr>
          </w:pPr>
          <w:r>
            <w:rPr>
              <w:highlight w:val="none"/>
            </w:rPr>
            <w:fldChar w:fldCharType="begin"/>
          </w:r>
          <w:r>
            <w:rPr>
              <w:highlight w:val="none"/>
            </w:rPr>
            <w:instrText xml:space="preserve"> HYPERLINK \l "bookmark77" </w:instrText>
          </w:r>
          <w:r>
            <w:rPr>
              <w:highlight w:val="none"/>
            </w:rPr>
            <w:fldChar w:fldCharType="separate"/>
          </w:r>
          <w:r>
            <w:rPr>
              <w:rFonts w:ascii="黑体" w:hAnsi="黑体" w:eastAsia="黑体" w:cs="黑体"/>
              <w:spacing w:val="14"/>
              <w:position w:val="1"/>
              <w:sz w:val="19"/>
              <w:szCs w:val="19"/>
              <w:highlight w:val="none"/>
            </w:rPr>
            <w:t>第10条 验收和工程接收</w:t>
          </w:r>
          <w:r>
            <w:rPr>
              <w:rFonts w:ascii="黑体" w:hAnsi="黑体" w:eastAsia="黑体" w:cs="黑体"/>
              <w:spacing w:val="-69"/>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150</w:t>
          </w:r>
          <w:r>
            <w:rPr>
              <w:spacing w:val="-3"/>
              <w:position w:val="1"/>
              <w:sz w:val="19"/>
              <w:szCs w:val="19"/>
              <w:highlight w:val="none"/>
            </w:rPr>
            <w:fldChar w:fldCharType="end"/>
          </w:r>
        </w:p>
        <w:p w14:paraId="57FB30A8">
          <w:pPr>
            <w:pStyle w:val="2"/>
            <w:tabs>
              <w:tab w:val="right" w:leader="dot" w:pos="8279"/>
            </w:tabs>
            <w:spacing w:before="50" w:line="259" w:lineRule="exact"/>
            <w:ind w:left="203"/>
            <w:rPr>
              <w:sz w:val="19"/>
              <w:szCs w:val="19"/>
              <w:highlight w:val="none"/>
            </w:rPr>
          </w:pPr>
          <w:r>
            <w:rPr>
              <w:highlight w:val="none"/>
            </w:rPr>
            <w:fldChar w:fldCharType="begin"/>
          </w:r>
          <w:r>
            <w:rPr>
              <w:highlight w:val="none"/>
            </w:rPr>
            <w:instrText xml:space="preserve"> HYPERLINK \l "bookmark78" </w:instrText>
          </w:r>
          <w:r>
            <w:rPr>
              <w:highlight w:val="none"/>
            </w:rPr>
            <w:fldChar w:fldCharType="separate"/>
          </w:r>
          <w:r>
            <w:rPr>
              <w:rFonts w:ascii="黑体" w:hAnsi="黑体" w:eastAsia="黑体" w:cs="黑体"/>
              <w:spacing w:val="14"/>
              <w:position w:val="1"/>
              <w:sz w:val="19"/>
              <w:szCs w:val="19"/>
              <w:highlight w:val="none"/>
            </w:rPr>
            <w:t>第11条 缺陷责任与保修</w:t>
          </w:r>
          <w:r>
            <w:rPr>
              <w:rFonts w:ascii="黑体" w:hAnsi="黑体" w:eastAsia="黑体" w:cs="黑体"/>
              <w:spacing w:val="-69"/>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7"/>
              <w:position w:val="1"/>
              <w:sz w:val="19"/>
              <w:szCs w:val="19"/>
              <w:highlight w:val="none"/>
            </w:rPr>
            <w:t xml:space="preserve"> </w:t>
          </w:r>
          <w:r>
            <w:rPr>
              <w:spacing w:val="-5"/>
              <w:position w:val="1"/>
              <w:sz w:val="19"/>
              <w:szCs w:val="19"/>
              <w:highlight w:val="none"/>
            </w:rPr>
            <w:t>151</w:t>
          </w:r>
          <w:r>
            <w:rPr>
              <w:spacing w:val="-5"/>
              <w:position w:val="1"/>
              <w:sz w:val="19"/>
              <w:szCs w:val="19"/>
              <w:highlight w:val="none"/>
            </w:rPr>
            <w:fldChar w:fldCharType="end"/>
          </w:r>
        </w:p>
        <w:p w14:paraId="63AC57E2">
          <w:pPr>
            <w:pStyle w:val="2"/>
            <w:tabs>
              <w:tab w:val="right" w:leader="dot" w:pos="8279"/>
            </w:tabs>
            <w:spacing w:before="41" w:line="259" w:lineRule="exact"/>
            <w:ind w:left="203"/>
            <w:rPr>
              <w:sz w:val="19"/>
              <w:szCs w:val="19"/>
              <w:highlight w:val="none"/>
            </w:rPr>
          </w:pPr>
          <w:r>
            <w:rPr>
              <w:highlight w:val="none"/>
            </w:rPr>
            <w:fldChar w:fldCharType="begin"/>
          </w:r>
          <w:r>
            <w:rPr>
              <w:highlight w:val="none"/>
            </w:rPr>
            <w:instrText xml:space="preserve"> HYPERLINK \l "bookmark79" </w:instrText>
          </w:r>
          <w:r>
            <w:rPr>
              <w:highlight w:val="none"/>
            </w:rPr>
            <w:fldChar w:fldCharType="separate"/>
          </w:r>
          <w:r>
            <w:rPr>
              <w:rFonts w:ascii="黑体" w:hAnsi="黑体" w:eastAsia="黑体" w:cs="黑体"/>
              <w:spacing w:val="4"/>
              <w:position w:val="1"/>
              <w:sz w:val="19"/>
              <w:szCs w:val="19"/>
              <w:highlight w:val="none"/>
            </w:rPr>
            <w:t>第</w:t>
          </w:r>
          <w:r>
            <w:rPr>
              <w:rFonts w:ascii="黑体" w:hAnsi="黑体" w:eastAsia="黑体" w:cs="黑体"/>
              <w:spacing w:val="-32"/>
              <w:position w:val="1"/>
              <w:sz w:val="19"/>
              <w:szCs w:val="19"/>
              <w:highlight w:val="none"/>
            </w:rPr>
            <w:t xml:space="preserve"> </w:t>
          </w:r>
          <w:r>
            <w:rPr>
              <w:rFonts w:ascii="黑体" w:hAnsi="黑体" w:eastAsia="黑体" w:cs="黑体"/>
              <w:spacing w:val="4"/>
              <w:position w:val="1"/>
              <w:sz w:val="19"/>
              <w:szCs w:val="19"/>
              <w:highlight w:val="none"/>
            </w:rPr>
            <w:t>1</w:t>
          </w:r>
          <w:r>
            <w:rPr>
              <w:rFonts w:ascii="黑体" w:hAnsi="黑体" w:eastAsia="黑体" w:cs="黑体"/>
              <w:spacing w:val="-45"/>
              <w:position w:val="1"/>
              <w:sz w:val="19"/>
              <w:szCs w:val="19"/>
              <w:highlight w:val="none"/>
            </w:rPr>
            <w:t xml:space="preserve"> </w:t>
          </w:r>
          <w:r>
            <w:rPr>
              <w:rFonts w:ascii="黑体" w:hAnsi="黑体" w:eastAsia="黑体" w:cs="黑体"/>
              <w:spacing w:val="4"/>
              <w:position w:val="1"/>
              <w:sz w:val="19"/>
              <w:szCs w:val="19"/>
              <w:highlight w:val="none"/>
            </w:rPr>
            <w:t>2</w:t>
          </w:r>
          <w:r>
            <w:rPr>
              <w:rFonts w:ascii="黑体" w:hAnsi="黑体" w:eastAsia="黑体" w:cs="黑体"/>
              <w:spacing w:val="-42"/>
              <w:position w:val="1"/>
              <w:sz w:val="19"/>
              <w:szCs w:val="19"/>
              <w:highlight w:val="none"/>
            </w:rPr>
            <w:t xml:space="preserve"> </w:t>
          </w:r>
          <w:r>
            <w:rPr>
              <w:rFonts w:ascii="黑体" w:hAnsi="黑体" w:eastAsia="黑体" w:cs="黑体"/>
              <w:spacing w:val="4"/>
              <w:position w:val="1"/>
              <w:sz w:val="19"/>
              <w:szCs w:val="19"/>
              <w:highlight w:val="none"/>
            </w:rPr>
            <w:t>条</w:t>
          </w:r>
          <w:r>
            <w:rPr>
              <w:rFonts w:ascii="黑体" w:hAnsi="黑体" w:eastAsia="黑体" w:cs="黑体"/>
              <w:spacing w:val="-41"/>
              <w:position w:val="1"/>
              <w:sz w:val="19"/>
              <w:szCs w:val="19"/>
              <w:highlight w:val="none"/>
            </w:rPr>
            <w:t xml:space="preserve"> </w:t>
          </w:r>
          <w:r>
            <w:rPr>
              <w:rFonts w:ascii="黑体" w:hAnsi="黑体" w:eastAsia="黑体" w:cs="黑体"/>
              <w:spacing w:val="4"/>
              <w:position w:val="1"/>
              <w:sz w:val="19"/>
              <w:szCs w:val="19"/>
              <w:highlight w:val="none"/>
            </w:rPr>
            <w:t>竣工后试验</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151</w:t>
          </w:r>
          <w:r>
            <w:rPr>
              <w:spacing w:val="-3"/>
              <w:position w:val="1"/>
              <w:sz w:val="19"/>
              <w:szCs w:val="19"/>
              <w:highlight w:val="none"/>
            </w:rPr>
            <w:fldChar w:fldCharType="end"/>
          </w:r>
        </w:p>
        <w:p w14:paraId="37D8BA49">
          <w:pPr>
            <w:pStyle w:val="2"/>
            <w:tabs>
              <w:tab w:val="right" w:leader="dot" w:pos="8279"/>
            </w:tabs>
            <w:spacing w:before="62" w:line="259" w:lineRule="exact"/>
            <w:ind w:left="203"/>
            <w:rPr>
              <w:sz w:val="19"/>
              <w:szCs w:val="19"/>
              <w:highlight w:val="none"/>
            </w:rPr>
          </w:pPr>
          <w:r>
            <w:rPr>
              <w:highlight w:val="none"/>
            </w:rPr>
            <w:fldChar w:fldCharType="begin"/>
          </w:r>
          <w:r>
            <w:rPr>
              <w:highlight w:val="none"/>
            </w:rPr>
            <w:instrText xml:space="preserve"> HYPERLINK \l "bookmark80" </w:instrText>
          </w:r>
          <w:r>
            <w:rPr>
              <w:highlight w:val="none"/>
            </w:rPr>
            <w:fldChar w:fldCharType="separate"/>
          </w:r>
          <w:r>
            <w:rPr>
              <w:rFonts w:ascii="黑体" w:hAnsi="黑体" w:eastAsia="黑体" w:cs="黑体"/>
              <w:spacing w:val="17"/>
              <w:position w:val="1"/>
              <w:sz w:val="19"/>
              <w:szCs w:val="19"/>
              <w:highlight w:val="none"/>
            </w:rPr>
            <w:t>第13条 变更与调整</w:t>
          </w:r>
          <w:r>
            <w:rPr>
              <w:rFonts w:ascii="黑体" w:hAnsi="黑体" w:eastAsia="黑体" w:cs="黑体"/>
              <w:spacing w:val="-72"/>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7"/>
              <w:position w:val="1"/>
              <w:sz w:val="19"/>
              <w:szCs w:val="19"/>
              <w:highlight w:val="none"/>
            </w:rPr>
            <w:t xml:space="preserve"> </w:t>
          </w:r>
          <w:r>
            <w:rPr>
              <w:spacing w:val="-5"/>
              <w:position w:val="1"/>
              <w:sz w:val="19"/>
              <w:szCs w:val="19"/>
              <w:highlight w:val="none"/>
            </w:rPr>
            <w:t>152</w:t>
          </w:r>
          <w:r>
            <w:rPr>
              <w:spacing w:val="-5"/>
              <w:position w:val="1"/>
              <w:sz w:val="19"/>
              <w:szCs w:val="19"/>
              <w:highlight w:val="none"/>
            </w:rPr>
            <w:fldChar w:fldCharType="end"/>
          </w:r>
        </w:p>
        <w:p w14:paraId="35ECC041">
          <w:pPr>
            <w:pStyle w:val="2"/>
            <w:tabs>
              <w:tab w:val="right" w:leader="dot" w:pos="8279"/>
            </w:tabs>
            <w:spacing w:before="41" w:line="259" w:lineRule="exact"/>
            <w:ind w:left="203"/>
            <w:rPr>
              <w:sz w:val="19"/>
              <w:szCs w:val="19"/>
              <w:highlight w:val="none"/>
            </w:rPr>
          </w:pPr>
          <w:r>
            <w:rPr>
              <w:highlight w:val="none"/>
            </w:rPr>
            <w:fldChar w:fldCharType="begin"/>
          </w:r>
          <w:r>
            <w:rPr>
              <w:highlight w:val="none"/>
            </w:rPr>
            <w:instrText xml:space="preserve"> HYPERLINK \l "bookmark81" </w:instrText>
          </w:r>
          <w:r>
            <w:rPr>
              <w:highlight w:val="none"/>
            </w:rPr>
            <w:fldChar w:fldCharType="separate"/>
          </w:r>
          <w:r>
            <w:rPr>
              <w:rFonts w:ascii="黑体" w:hAnsi="黑体" w:eastAsia="黑体" w:cs="黑体"/>
              <w:spacing w:val="14"/>
              <w:position w:val="1"/>
              <w:sz w:val="19"/>
              <w:szCs w:val="19"/>
              <w:highlight w:val="none"/>
            </w:rPr>
            <w:t>第14条 合同价格与支付</w:t>
          </w:r>
          <w:r>
            <w:rPr>
              <w:rFonts w:ascii="黑体" w:hAnsi="黑体" w:eastAsia="黑体" w:cs="黑体"/>
              <w:spacing w:val="-69"/>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7"/>
              <w:position w:val="1"/>
              <w:sz w:val="19"/>
              <w:szCs w:val="19"/>
              <w:highlight w:val="none"/>
            </w:rPr>
            <w:t xml:space="preserve"> </w:t>
          </w:r>
          <w:r>
            <w:rPr>
              <w:spacing w:val="-5"/>
              <w:position w:val="1"/>
              <w:sz w:val="19"/>
              <w:szCs w:val="19"/>
              <w:highlight w:val="none"/>
            </w:rPr>
            <w:t>153</w:t>
          </w:r>
          <w:r>
            <w:rPr>
              <w:spacing w:val="-5"/>
              <w:position w:val="1"/>
              <w:sz w:val="19"/>
              <w:szCs w:val="19"/>
              <w:highlight w:val="none"/>
            </w:rPr>
            <w:fldChar w:fldCharType="end"/>
          </w:r>
        </w:p>
        <w:p w14:paraId="3E91024C">
          <w:pPr>
            <w:pStyle w:val="2"/>
            <w:tabs>
              <w:tab w:val="right" w:leader="dot" w:pos="8299"/>
            </w:tabs>
            <w:spacing w:before="71" w:line="259" w:lineRule="exact"/>
            <w:ind w:left="203"/>
            <w:rPr>
              <w:sz w:val="19"/>
              <w:szCs w:val="19"/>
              <w:highlight w:val="none"/>
            </w:rPr>
          </w:pPr>
          <w:r>
            <w:rPr>
              <w:highlight w:val="none"/>
            </w:rPr>
            <w:fldChar w:fldCharType="begin"/>
          </w:r>
          <w:r>
            <w:rPr>
              <w:highlight w:val="none"/>
            </w:rPr>
            <w:instrText xml:space="preserve"> HYPERLINK \l "bookmark82" </w:instrText>
          </w:r>
          <w:r>
            <w:rPr>
              <w:highlight w:val="none"/>
            </w:rPr>
            <w:fldChar w:fldCharType="separate"/>
          </w:r>
          <w:r>
            <w:rPr>
              <w:rFonts w:ascii="黑体" w:hAnsi="黑体" w:eastAsia="黑体" w:cs="黑体"/>
              <w:position w:val="1"/>
              <w:sz w:val="19"/>
              <w:szCs w:val="19"/>
              <w:highlight w:val="none"/>
            </w:rPr>
            <w:t>第</w:t>
          </w:r>
          <w:r>
            <w:rPr>
              <w:rFonts w:ascii="黑体" w:hAnsi="黑体" w:eastAsia="黑体" w:cs="黑体"/>
              <w:spacing w:val="-34"/>
              <w:position w:val="1"/>
              <w:sz w:val="19"/>
              <w:szCs w:val="19"/>
              <w:highlight w:val="none"/>
            </w:rPr>
            <w:t xml:space="preserve"> </w:t>
          </w:r>
          <w:r>
            <w:rPr>
              <w:rFonts w:ascii="黑体" w:hAnsi="黑体" w:eastAsia="黑体" w:cs="黑体"/>
              <w:position w:val="1"/>
              <w:sz w:val="19"/>
              <w:szCs w:val="19"/>
              <w:highlight w:val="none"/>
            </w:rPr>
            <w:t>1</w:t>
          </w:r>
          <w:r>
            <w:rPr>
              <w:rFonts w:ascii="黑体" w:hAnsi="黑体" w:eastAsia="黑体" w:cs="黑体"/>
              <w:spacing w:val="-48"/>
              <w:position w:val="1"/>
              <w:sz w:val="19"/>
              <w:szCs w:val="19"/>
              <w:highlight w:val="none"/>
            </w:rPr>
            <w:t xml:space="preserve"> </w:t>
          </w:r>
          <w:r>
            <w:rPr>
              <w:rFonts w:ascii="黑体" w:hAnsi="黑体" w:eastAsia="黑体" w:cs="黑体"/>
              <w:position w:val="1"/>
              <w:sz w:val="19"/>
              <w:szCs w:val="19"/>
              <w:highlight w:val="none"/>
            </w:rPr>
            <w:t>5</w:t>
          </w:r>
          <w:r>
            <w:rPr>
              <w:rFonts w:ascii="黑体" w:hAnsi="黑体" w:eastAsia="黑体" w:cs="黑体"/>
              <w:spacing w:val="-42"/>
              <w:position w:val="1"/>
              <w:sz w:val="19"/>
              <w:szCs w:val="19"/>
              <w:highlight w:val="none"/>
            </w:rPr>
            <w:t xml:space="preserve"> </w:t>
          </w:r>
          <w:r>
            <w:rPr>
              <w:rFonts w:ascii="黑体" w:hAnsi="黑体" w:eastAsia="黑体" w:cs="黑体"/>
              <w:position w:val="1"/>
              <w:sz w:val="19"/>
              <w:szCs w:val="19"/>
              <w:highlight w:val="none"/>
            </w:rPr>
            <w:t>条</w:t>
          </w:r>
          <w:r>
            <w:rPr>
              <w:rFonts w:ascii="黑体" w:hAnsi="黑体" w:eastAsia="黑体" w:cs="黑体"/>
              <w:spacing w:val="-21"/>
              <w:position w:val="1"/>
              <w:sz w:val="19"/>
              <w:szCs w:val="19"/>
              <w:highlight w:val="none"/>
            </w:rPr>
            <w:t xml:space="preserve"> </w:t>
          </w:r>
          <w:r>
            <w:rPr>
              <w:rFonts w:ascii="黑体" w:hAnsi="黑体" w:eastAsia="黑体" w:cs="黑体"/>
              <w:position w:val="1"/>
              <w:sz w:val="19"/>
              <w:szCs w:val="19"/>
              <w:highlight w:val="none"/>
            </w:rPr>
            <w:t>违约</w:t>
          </w:r>
          <w:r>
            <w:rPr>
              <w:rFonts w:ascii="黑体" w:hAnsi="黑体" w:eastAsia="黑体" w:cs="黑体"/>
              <w:spacing w:val="-82"/>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155</w:t>
          </w:r>
          <w:r>
            <w:rPr>
              <w:spacing w:val="-3"/>
              <w:position w:val="1"/>
              <w:sz w:val="19"/>
              <w:szCs w:val="19"/>
              <w:highlight w:val="none"/>
            </w:rPr>
            <w:fldChar w:fldCharType="end"/>
          </w:r>
        </w:p>
        <w:p w14:paraId="6F80DFA9">
          <w:pPr>
            <w:pStyle w:val="2"/>
            <w:tabs>
              <w:tab w:val="right" w:leader="dot" w:pos="8299"/>
            </w:tabs>
            <w:spacing w:before="51" w:line="259" w:lineRule="exact"/>
            <w:ind w:left="203"/>
            <w:rPr>
              <w:sz w:val="19"/>
              <w:szCs w:val="19"/>
              <w:highlight w:val="none"/>
            </w:rPr>
          </w:pPr>
          <w:r>
            <w:rPr>
              <w:highlight w:val="none"/>
            </w:rPr>
            <w:fldChar w:fldCharType="begin"/>
          </w:r>
          <w:r>
            <w:rPr>
              <w:highlight w:val="none"/>
            </w:rPr>
            <w:instrText xml:space="preserve"> HYPERLINK \l "bookmark83" </w:instrText>
          </w:r>
          <w:r>
            <w:rPr>
              <w:highlight w:val="none"/>
            </w:rPr>
            <w:fldChar w:fldCharType="separate"/>
          </w:r>
          <w:r>
            <w:rPr>
              <w:rFonts w:ascii="黑体" w:hAnsi="黑体" w:eastAsia="黑体" w:cs="黑体"/>
              <w:spacing w:val="7"/>
              <w:position w:val="1"/>
              <w:sz w:val="19"/>
              <w:szCs w:val="19"/>
              <w:highlight w:val="none"/>
            </w:rPr>
            <w:t xml:space="preserve">第16条 合同解除 </w:t>
          </w:r>
          <w:r>
            <w:rPr>
              <w:rFonts w:ascii="黑体" w:hAnsi="黑体" w:eastAsia="黑体" w:cs="黑体"/>
              <w:position w:val="1"/>
              <w:sz w:val="19"/>
              <w:szCs w:val="19"/>
              <w:highlight w:val="none"/>
            </w:rPr>
            <w:tab/>
          </w:r>
          <w:r>
            <w:rPr>
              <w:spacing w:val="-3"/>
              <w:position w:val="1"/>
              <w:sz w:val="19"/>
              <w:szCs w:val="19"/>
              <w:highlight w:val="none"/>
            </w:rPr>
            <w:t>155</w:t>
          </w:r>
          <w:r>
            <w:rPr>
              <w:spacing w:val="-3"/>
              <w:position w:val="1"/>
              <w:sz w:val="19"/>
              <w:szCs w:val="19"/>
              <w:highlight w:val="none"/>
            </w:rPr>
            <w:fldChar w:fldCharType="end"/>
          </w:r>
        </w:p>
        <w:p w14:paraId="5C381CCC">
          <w:pPr>
            <w:pStyle w:val="2"/>
            <w:tabs>
              <w:tab w:val="right" w:leader="dot" w:pos="8299"/>
            </w:tabs>
            <w:spacing w:before="40" w:line="259" w:lineRule="exact"/>
            <w:ind w:left="203"/>
            <w:rPr>
              <w:sz w:val="19"/>
              <w:szCs w:val="19"/>
              <w:highlight w:val="none"/>
            </w:rPr>
          </w:pPr>
          <w:r>
            <w:rPr>
              <w:highlight w:val="none"/>
            </w:rPr>
            <w:fldChar w:fldCharType="begin"/>
          </w:r>
          <w:r>
            <w:rPr>
              <w:highlight w:val="none"/>
            </w:rPr>
            <w:instrText xml:space="preserve"> HYPERLINK \l "bookmark84" </w:instrText>
          </w:r>
          <w:r>
            <w:rPr>
              <w:highlight w:val="none"/>
            </w:rPr>
            <w:fldChar w:fldCharType="separate"/>
          </w:r>
          <w:r>
            <w:rPr>
              <w:rFonts w:ascii="黑体" w:hAnsi="黑体" w:eastAsia="黑体" w:cs="黑体"/>
              <w:spacing w:val="16"/>
              <w:position w:val="1"/>
              <w:sz w:val="19"/>
              <w:szCs w:val="19"/>
              <w:highlight w:val="none"/>
            </w:rPr>
            <w:t>第17条 不可抗力</w:t>
          </w:r>
          <w:r>
            <w:rPr>
              <w:rFonts w:ascii="黑体" w:hAnsi="黑体" w:eastAsia="黑体" w:cs="黑体"/>
              <w:spacing w:val="-76"/>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155</w:t>
          </w:r>
          <w:r>
            <w:rPr>
              <w:spacing w:val="-3"/>
              <w:position w:val="1"/>
              <w:sz w:val="19"/>
              <w:szCs w:val="19"/>
              <w:highlight w:val="none"/>
            </w:rPr>
            <w:fldChar w:fldCharType="end"/>
          </w:r>
        </w:p>
      </w:sdtContent>
    </w:sdt>
    <w:p w14:paraId="7890D35B">
      <w:pPr>
        <w:spacing w:line="259" w:lineRule="exact"/>
        <w:rPr>
          <w:sz w:val="19"/>
          <w:szCs w:val="19"/>
          <w:highlight w:val="none"/>
        </w:rPr>
        <w:sectPr>
          <w:footerReference r:id="rId7" w:type="default"/>
          <w:pgSz w:w="11910" w:h="16840"/>
          <w:pgMar w:top="400" w:right="1786" w:bottom="1160" w:left="1786" w:header="0" w:footer="1027" w:gutter="0"/>
          <w:cols w:space="720" w:num="1"/>
        </w:sectPr>
      </w:pPr>
    </w:p>
    <w:p w14:paraId="52BB57BE">
      <w:pPr>
        <w:pStyle w:val="2"/>
        <w:spacing w:line="253" w:lineRule="auto"/>
        <w:rPr>
          <w:highlight w:val="none"/>
        </w:rPr>
      </w:pPr>
    </w:p>
    <w:p w14:paraId="10B08AAE">
      <w:pPr>
        <w:pStyle w:val="2"/>
        <w:spacing w:line="254" w:lineRule="auto"/>
        <w:rPr>
          <w:highlight w:val="none"/>
        </w:rPr>
      </w:pPr>
    </w:p>
    <w:p w14:paraId="135E9999">
      <w:pPr>
        <w:pStyle w:val="2"/>
        <w:spacing w:line="254" w:lineRule="auto"/>
        <w:rPr>
          <w:highlight w:val="none"/>
        </w:rPr>
      </w:pPr>
    </w:p>
    <w:p w14:paraId="5EB460C7">
      <w:pPr>
        <w:pStyle w:val="2"/>
        <w:spacing w:line="254" w:lineRule="auto"/>
        <w:rPr>
          <w:highlight w:val="none"/>
        </w:rPr>
      </w:pPr>
    </w:p>
    <w:sdt>
      <w:sdtPr>
        <w:rPr>
          <w:rFonts w:ascii="黑体" w:hAnsi="黑体" w:eastAsia="黑体" w:cs="黑体"/>
          <w:sz w:val="19"/>
          <w:szCs w:val="19"/>
          <w:highlight w:val="none"/>
        </w:rPr>
        <w:id w:val="147480637"/>
        <w:docPartObj>
          <w:docPartGallery w:val="Table of Contents"/>
          <w:docPartUnique/>
        </w:docPartObj>
      </w:sdtPr>
      <w:sdtEndPr>
        <w:rPr>
          <w:rFonts w:ascii="Arial" w:hAnsi="Arial" w:eastAsia="Arial" w:cs="Arial"/>
          <w:sz w:val="17"/>
          <w:szCs w:val="17"/>
          <w:highlight w:val="none"/>
        </w:rPr>
      </w:sdtEndPr>
      <w:sdtContent>
        <w:p w14:paraId="5C5B8999">
          <w:pPr>
            <w:pStyle w:val="2"/>
            <w:tabs>
              <w:tab w:val="right" w:leader="dot" w:pos="8255"/>
            </w:tabs>
            <w:spacing w:before="62" w:line="267" w:lineRule="exact"/>
            <w:ind w:left="200"/>
            <w:rPr>
              <w:sz w:val="17"/>
              <w:szCs w:val="17"/>
              <w:highlight w:val="none"/>
            </w:rPr>
          </w:pPr>
          <w:r>
            <w:rPr>
              <w:highlight w:val="none"/>
            </w:rPr>
            <w:fldChar w:fldCharType="begin"/>
          </w:r>
          <w:r>
            <w:rPr>
              <w:highlight w:val="none"/>
            </w:rPr>
            <w:instrText xml:space="preserve"> HYPERLINK \l "bookmark85" </w:instrText>
          </w:r>
          <w:r>
            <w:rPr>
              <w:highlight w:val="none"/>
            </w:rPr>
            <w:fldChar w:fldCharType="separate"/>
          </w:r>
          <w:r>
            <w:rPr>
              <w:rFonts w:ascii="黑体" w:hAnsi="黑体" w:eastAsia="黑体" w:cs="黑体"/>
              <w:spacing w:val="18"/>
              <w:position w:val="1"/>
              <w:sz w:val="19"/>
              <w:szCs w:val="19"/>
              <w:highlight w:val="none"/>
            </w:rPr>
            <w:t>第18条 保险</w:t>
          </w:r>
          <w:r>
            <w:rPr>
              <w:rFonts w:ascii="黑体" w:hAnsi="黑体" w:eastAsia="黑体" w:cs="黑体"/>
              <w:spacing w:val="-68"/>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156</w:t>
          </w:r>
          <w:r>
            <w:rPr>
              <w:spacing w:val="-3"/>
              <w:position w:val="1"/>
              <w:sz w:val="17"/>
              <w:szCs w:val="17"/>
              <w:highlight w:val="none"/>
            </w:rPr>
            <w:fldChar w:fldCharType="end"/>
          </w:r>
        </w:p>
        <w:p w14:paraId="7DA44832">
          <w:pPr>
            <w:pStyle w:val="2"/>
            <w:tabs>
              <w:tab w:val="right" w:leader="dot" w:pos="8245"/>
            </w:tabs>
            <w:spacing w:before="33" w:line="267" w:lineRule="exact"/>
            <w:ind w:left="200"/>
            <w:rPr>
              <w:sz w:val="17"/>
              <w:szCs w:val="17"/>
              <w:highlight w:val="none"/>
            </w:rPr>
          </w:pPr>
          <w:r>
            <w:rPr>
              <w:highlight w:val="none"/>
            </w:rPr>
            <w:fldChar w:fldCharType="begin"/>
          </w:r>
          <w:r>
            <w:rPr>
              <w:highlight w:val="none"/>
            </w:rPr>
            <w:instrText xml:space="preserve"> HYPERLINK \l "bookmark86" </w:instrText>
          </w:r>
          <w:r>
            <w:rPr>
              <w:highlight w:val="none"/>
            </w:rPr>
            <w:fldChar w:fldCharType="separate"/>
          </w:r>
          <w:r>
            <w:rPr>
              <w:rFonts w:ascii="黑体" w:hAnsi="黑体" w:eastAsia="黑体" w:cs="黑体"/>
              <w:spacing w:val="-3"/>
              <w:position w:val="1"/>
              <w:sz w:val="19"/>
              <w:szCs w:val="19"/>
              <w:highlight w:val="none"/>
            </w:rPr>
            <w:t>第</w:t>
          </w:r>
          <w:r>
            <w:rPr>
              <w:rFonts w:ascii="黑体" w:hAnsi="黑体" w:eastAsia="黑体" w:cs="黑体"/>
              <w:spacing w:val="-36"/>
              <w:position w:val="1"/>
              <w:sz w:val="19"/>
              <w:szCs w:val="19"/>
              <w:highlight w:val="none"/>
            </w:rPr>
            <w:t xml:space="preserve"> </w:t>
          </w:r>
          <w:r>
            <w:rPr>
              <w:rFonts w:ascii="黑体" w:hAnsi="黑体" w:eastAsia="黑体" w:cs="黑体"/>
              <w:spacing w:val="-3"/>
              <w:position w:val="1"/>
              <w:sz w:val="19"/>
              <w:szCs w:val="19"/>
              <w:highlight w:val="none"/>
            </w:rPr>
            <w:t>2</w:t>
          </w:r>
          <w:r>
            <w:rPr>
              <w:rFonts w:ascii="黑体" w:hAnsi="黑体" w:eastAsia="黑体" w:cs="黑体"/>
              <w:spacing w:val="-42"/>
              <w:position w:val="1"/>
              <w:sz w:val="19"/>
              <w:szCs w:val="19"/>
              <w:highlight w:val="none"/>
            </w:rPr>
            <w:t xml:space="preserve"> </w:t>
          </w:r>
          <w:r>
            <w:rPr>
              <w:rFonts w:ascii="黑体" w:hAnsi="黑体" w:eastAsia="黑体" w:cs="黑体"/>
              <w:spacing w:val="-3"/>
              <w:position w:val="1"/>
              <w:sz w:val="19"/>
              <w:szCs w:val="19"/>
              <w:highlight w:val="none"/>
            </w:rPr>
            <w:t>0</w:t>
          </w:r>
          <w:r>
            <w:rPr>
              <w:rFonts w:ascii="黑体" w:hAnsi="黑体" w:eastAsia="黑体" w:cs="黑体"/>
              <w:spacing w:val="-39"/>
              <w:position w:val="1"/>
              <w:sz w:val="19"/>
              <w:szCs w:val="19"/>
              <w:highlight w:val="none"/>
            </w:rPr>
            <w:t xml:space="preserve"> </w:t>
          </w:r>
          <w:r>
            <w:rPr>
              <w:rFonts w:ascii="黑体" w:hAnsi="黑体" w:eastAsia="黑体" w:cs="黑体"/>
              <w:spacing w:val="-3"/>
              <w:position w:val="1"/>
              <w:sz w:val="19"/>
              <w:szCs w:val="19"/>
              <w:highlight w:val="none"/>
            </w:rPr>
            <w:t>条</w:t>
          </w:r>
          <w:r>
            <w:rPr>
              <w:rFonts w:ascii="黑体" w:hAnsi="黑体" w:eastAsia="黑体" w:cs="黑体"/>
              <w:spacing w:val="15"/>
              <w:position w:val="1"/>
              <w:sz w:val="19"/>
              <w:szCs w:val="19"/>
              <w:highlight w:val="none"/>
            </w:rPr>
            <w:t xml:space="preserve"> </w:t>
          </w:r>
          <w:r>
            <w:rPr>
              <w:rFonts w:ascii="黑体" w:hAnsi="黑体" w:eastAsia="黑体" w:cs="黑体"/>
              <w:spacing w:val="-3"/>
              <w:position w:val="1"/>
              <w:sz w:val="19"/>
              <w:szCs w:val="19"/>
              <w:highlight w:val="none"/>
            </w:rPr>
            <w:t>争议解决</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156</w:t>
          </w:r>
          <w:r>
            <w:rPr>
              <w:spacing w:val="-3"/>
              <w:position w:val="1"/>
              <w:sz w:val="17"/>
              <w:szCs w:val="17"/>
              <w:highlight w:val="none"/>
            </w:rPr>
            <w:fldChar w:fldCharType="end"/>
          </w:r>
        </w:p>
        <w:p w14:paraId="08170B4C">
          <w:pPr>
            <w:pStyle w:val="2"/>
            <w:tabs>
              <w:tab w:val="right" w:leader="dot" w:pos="8245"/>
            </w:tabs>
            <w:spacing w:before="64" w:line="268" w:lineRule="exact"/>
            <w:ind w:left="200"/>
            <w:rPr>
              <w:sz w:val="17"/>
              <w:szCs w:val="17"/>
              <w:highlight w:val="none"/>
            </w:rPr>
          </w:pPr>
          <w:r>
            <w:rPr>
              <w:highlight w:val="none"/>
            </w:rPr>
            <w:fldChar w:fldCharType="begin"/>
          </w:r>
          <w:r>
            <w:rPr>
              <w:highlight w:val="none"/>
            </w:rPr>
            <w:instrText xml:space="preserve"> HYPERLINK \l "bookmark87" </w:instrText>
          </w:r>
          <w:r>
            <w:rPr>
              <w:highlight w:val="none"/>
            </w:rPr>
            <w:fldChar w:fldCharType="separate"/>
          </w:r>
          <w:r>
            <w:rPr>
              <w:rFonts w:ascii="黑体" w:hAnsi="黑体" w:eastAsia="黑体" w:cs="黑体"/>
              <w:spacing w:val="7"/>
              <w:position w:val="1"/>
              <w:sz w:val="19"/>
              <w:szCs w:val="19"/>
              <w:highlight w:val="none"/>
            </w:rPr>
            <w:t>专用合同条件附件</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157</w:t>
          </w:r>
          <w:r>
            <w:rPr>
              <w:spacing w:val="-3"/>
              <w:position w:val="1"/>
              <w:sz w:val="17"/>
              <w:szCs w:val="17"/>
              <w:highlight w:val="none"/>
            </w:rPr>
            <w:fldChar w:fldCharType="end"/>
          </w:r>
        </w:p>
        <w:p w14:paraId="3E47B27F">
          <w:pPr>
            <w:pStyle w:val="2"/>
            <w:tabs>
              <w:tab w:val="right" w:leader="dot" w:pos="8255"/>
            </w:tabs>
            <w:spacing w:before="9" w:line="266" w:lineRule="exact"/>
            <w:ind w:left="200"/>
            <w:rPr>
              <w:sz w:val="17"/>
              <w:szCs w:val="17"/>
              <w:highlight w:val="none"/>
            </w:rPr>
          </w:pPr>
          <w:r>
            <w:rPr>
              <w:highlight w:val="none"/>
            </w:rPr>
            <w:fldChar w:fldCharType="begin"/>
          </w:r>
          <w:r>
            <w:rPr>
              <w:highlight w:val="none"/>
            </w:rPr>
            <w:instrText xml:space="preserve"> HYPERLINK \l "bookmark88" </w:instrText>
          </w:r>
          <w:r>
            <w:rPr>
              <w:highlight w:val="none"/>
            </w:rPr>
            <w:fldChar w:fldCharType="separate"/>
          </w:r>
          <w:r>
            <w:rPr>
              <w:rFonts w:ascii="黑体" w:hAnsi="黑体" w:eastAsia="黑体" w:cs="黑体"/>
              <w:spacing w:val="10"/>
              <w:position w:val="1"/>
              <w:sz w:val="19"/>
              <w:szCs w:val="19"/>
              <w:highlight w:val="none"/>
            </w:rPr>
            <w:t>附件1《发包人要求》</w:t>
          </w:r>
          <w:r>
            <w:rPr>
              <w:rFonts w:ascii="黑体" w:hAnsi="黑体" w:eastAsia="黑体" w:cs="黑体"/>
              <w:spacing w:val="-61"/>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158</w:t>
          </w:r>
          <w:r>
            <w:rPr>
              <w:spacing w:val="-3"/>
              <w:position w:val="1"/>
              <w:sz w:val="17"/>
              <w:szCs w:val="17"/>
              <w:highlight w:val="none"/>
            </w:rPr>
            <w:fldChar w:fldCharType="end"/>
          </w:r>
        </w:p>
        <w:p w14:paraId="06688194">
          <w:pPr>
            <w:pStyle w:val="2"/>
            <w:tabs>
              <w:tab w:val="right" w:leader="dot" w:pos="8245"/>
            </w:tabs>
            <w:spacing w:before="63" w:line="267" w:lineRule="exact"/>
            <w:ind w:left="200"/>
            <w:rPr>
              <w:sz w:val="17"/>
              <w:szCs w:val="17"/>
              <w:highlight w:val="none"/>
            </w:rPr>
          </w:pPr>
          <w:r>
            <w:rPr>
              <w:highlight w:val="none"/>
            </w:rPr>
            <w:fldChar w:fldCharType="begin"/>
          </w:r>
          <w:r>
            <w:rPr>
              <w:highlight w:val="none"/>
            </w:rPr>
            <w:instrText xml:space="preserve"> HYPERLINK \l "bookmark89" </w:instrText>
          </w:r>
          <w:r>
            <w:rPr>
              <w:highlight w:val="none"/>
            </w:rPr>
            <w:fldChar w:fldCharType="separate"/>
          </w:r>
          <w:r>
            <w:rPr>
              <w:rFonts w:ascii="黑体" w:hAnsi="黑体" w:eastAsia="黑体" w:cs="黑体"/>
              <w:spacing w:val="18"/>
              <w:position w:val="1"/>
              <w:sz w:val="19"/>
              <w:szCs w:val="19"/>
              <w:highlight w:val="none"/>
            </w:rPr>
            <w:t>附件2发包人供应材料设备一览表</w:t>
          </w:r>
          <w:r>
            <w:rPr>
              <w:rFonts w:ascii="黑体" w:hAnsi="黑体" w:eastAsia="黑体" w:cs="黑体"/>
              <w:spacing w:val="-72"/>
              <w:position w:val="1"/>
              <w:sz w:val="19"/>
              <w:szCs w:val="19"/>
              <w:highlight w:val="none"/>
            </w:rPr>
            <w:t xml:space="preserve"> </w:t>
          </w:r>
          <w:r>
            <w:rPr>
              <w:rFonts w:ascii="黑体" w:hAnsi="黑体" w:eastAsia="黑体" w:cs="黑体"/>
              <w:position w:val="1"/>
              <w:sz w:val="19"/>
              <w:szCs w:val="19"/>
              <w:highlight w:val="none"/>
            </w:rPr>
            <w:tab/>
          </w:r>
          <w:r>
            <w:rPr>
              <w:spacing w:val="-4"/>
              <w:position w:val="1"/>
              <w:sz w:val="17"/>
              <w:szCs w:val="17"/>
              <w:highlight w:val="none"/>
            </w:rPr>
            <w:t>159</w:t>
          </w:r>
          <w:r>
            <w:rPr>
              <w:spacing w:val="-4"/>
              <w:position w:val="1"/>
              <w:sz w:val="17"/>
              <w:szCs w:val="17"/>
              <w:highlight w:val="none"/>
            </w:rPr>
            <w:fldChar w:fldCharType="end"/>
          </w:r>
        </w:p>
        <w:p w14:paraId="5B8E4276">
          <w:pPr>
            <w:pStyle w:val="2"/>
            <w:tabs>
              <w:tab w:val="right" w:leader="dot" w:pos="8245"/>
            </w:tabs>
            <w:spacing w:before="44" w:line="267" w:lineRule="exact"/>
            <w:ind w:left="200"/>
            <w:rPr>
              <w:sz w:val="17"/>
              <w:szCs w:val="17"/>
              <w:highlight w:val="none"/>
            </w:rPr>
          </w:pPr>
          <w:r>
            <w:rPr>
              <w:highlight w:val="none"/>
            </w:rPr>
            <w:fldChar w:fldCharType="begin"/>
          </w:r>
          <w:r>
            <w:rPr>
              <w:highlight w:val="none"/>
            </w:rPr>
            <w:instrText xml:space="preserve"> HYPERLINK \l "bookmark90" </w:instrText>
          </w:r>
          <w:r>
            <w:rPr>
              <w:highlight w:val="none"/>
            </w:rPr>
            <w:fldChar w:fldCharType="separate"/>
          </w:r>
          <w:r>
            <w:rPr>
              <w:rFonts w:ascii="黑体" w:hAnsi="黑体" w:eastAsia="黑体" w:cs="黑体"/>
              <w:spacing w:val="8"/>
              <w:position w:val="1"/>
              <w:sz w:val="19"/>
              <w:szCs w:val="19"/>
              <w:highlight w:val="none"/>
            </w:rPr>
            <w:t>附件3</w:t>
          </w:r>
          <w:r>
            <w:rPr>
              <w:rFonts w:ascii="黑体" w:hAnsi="黑体" w:eastAsia="黑体" w:cs="黑体"/>
              <w:spacing w:val="37"/>
              <w:position w:val="1"/>
              <w:sz w:val="19"/>
              <w:szCs w:val="19"/>
              <w:highlight w:val="none"/>
            </w:rPr>
            <w:t xml:space="preserve"> </w:t>
          </w:r>
          <w:r>
            <w:rPr>
              <w:rFonts w:ascii="黑体" w:hAnsi="黑体" w:eastAsia="黑体" w:cs="黑体"/>
              <w:spacing w:val="8"/>
              <w:position w:val="1"/>
              <w:sz w:val="19"/>
              <w:szCs w:val="19"/>
              <w:highlight w:val="none"/>
            </w:rPr>
            <w:t>工程质量保修书</w:t>
          </w:r>
          <w:r>
            <w:rPr>
              <w:rFonts w:ascii="黑体" w:hAnsi="黑体" w:eastAsia="黑体" w:cs="黑体"/>
              <w:spacing w:val="-84"/>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21"/>
              <w:position w:val="1"/>
              <w:sz w:val="19"/>
              <w:szCs w:val="19"/>
              <w:highlight w:val="none"/>
            </w:rPr>
            <w:t xml:space="preserve"> </w:t>
          </w:r>
          <w:r>
            <w:rPr>
              <w:spacing w:val="-5"/>
              <w:position w:val="1"/>
              <w:sz w:val="17"/>
              <w:szCs w:val="17"/>
              <w:highlight w:val="none"/>
            </w:rPr>
            <w:t>160</w:t>
          </w:r>
          <w:r>
            <w:rPr>
              <w:spacing w:val="-5"/>
              <w:position w:val="1"/>
              <w:sz w:val="17"/>
              <w:szCs w:val="17"/>
              <w:highlight w:val="none"/>
            </w:rPr>
            <w:fldChar w:fldCharType="end"/>
          </w:r>
        </w:p>
        <w:p w14:paraId="5DB342DB">
          <w:pPr>
            <w:pStyle w:val="2"/>
            <w:tabs>
              <w:tab w:val="right" w:leader="dot" w:pos="8245"/>
            </w:tabs>
            <w:spacing w:before="43" w:line="267" w:lineRule="exact"/>
            <w:ind w:left="200"/>
            <w:rPr>
              <w:sz w:val="17"/>
              <w:szCs w:val="17"/>
              <w:highlight w:val="none"/>
            </w:rPr>
          </w:pPr>
          <w:r>
            <w:rPr>
              <w:highlight w:val="none"/>
            </w:rPr>
            <w:fldChar w:fldCharType="begin"/>
          </w:r>
          <w:r>
            <w:rPr>
              <w:highlight w:val="none"/>
            </w:rPr>
            <w:instrText xml:space="preserve"> HYPERLINK \l "bookmark91" </w:instrText>
          </w:r>
          <w:r>
            <w:rPr>
              <w:highlight w:val="none"/>
            </w:rPr>
            <w:fldChar w:fldCharType="separate"/>
          </w:r>
          <w:r>
            <w:rPr>
              <w:rFonts w:ascii="黑体" w:hAnsi="黑体" w:eastAsia="黑体" w:cs="黑体"/>
              <w:spacing w:val="8"/>
              <w:position w:val="1"/>
              <w:sz w:val="19"/>
              <w:szCs w:val="19"/>
              <w:highlight w:val="none"/>
            </w:rPr>
            <w:t>附件4</w:t>
          </w:r>
          <w:r>
            <w:rPr>
              <w:rFonts w:ascii="黑体" w:hAnsi="黑体" w:eastAsia="黑体" w:cs="黑体"/>
              <w:spacing w:val="44"/>
              <w:position w:val="1"/>
              <w:sz w:val="19"/>
              <w:szCs w:val="19"/>
              <w:highlight w:val="none"/>
            </w:rPr>
            <w:t xml:space="preserve"> </w:t>
          </w:r>
          <w:r>
            <w:rPr>
              <w:rFonts w:ascii="黑体" w:hAnsi="黑体" w:eastAsia="黑体" w:cs="黑体"/>
              <w:spacing w:val="8"/>
              <w:position w:val="1"/>
              <w:sz w:val="19"/>
              <w:szCs w:val="19"/>
              <w:highlight w:val="none"/>
            </w:rPr>
            <w:t>主要建设工程文件目录</w:t>
          </w:r>
          <w:r>
            <w:rPr>
              <w:rFonts w:ascii="黑体" w:hAnsi="黑体" w:eastAsia="黑体" w:cs="黑体"/>
              <w:spacing w:val="-75"/>
              <w:position w:val="1"/>
              <w:sz w:val="19"/>
              <w:szCs w:val="19"/>
              <w:highlight w:val="none"/>
            </w:rPr>
            <w:t xml:space="preserve"> </w:t>
          </w:r>
          <w:r>
            <w:rPr>
              <w:rFonts w:ascii="黑体" w:hAnsi="黑体" w:eastAsia="黑体" w:cs="黑体"/>
              <w:position w:val="1"/>
              <w:sz w:val="19"/>
              <w:szCs w:val="19"/>
              <w:highlight w:val="none"/>
            </w:rPr>
            <w:tab/>
          </w:r>
          <w:r>
            <w:rPr>
              <w:spacing w:val="4"/>
              <w:position w:val="1"/>
              <w:sz w:val="17"/>
              <w:szCs w:val="17"/>
              <w:highlight w:val="none"/>
            </w:rPr>
            <w:t>162</w:t>
          </w:r>
          <w:r>
            <w:rPr>
              <w:spacing w:val="4"/>
              <w:position w:val="1"/>
              <w:sz w:val="17"/>
              <w:szCs w:val="17"/>
              <w:highlight w:val="none"/>
            </w:rPr>
            <w:fldChar w:fldCharType="end"/>
          </w:r>
        </w:p>
        <w:p w14:paraId="23FCB78A">
          <w:pPr>
            <w:pStyle w:val="2"/>
            <w:tabs>
              <w:tab w:val="right" w:leader="dot" w:pos="8245"/>
            </w:tabs>
            <w:spacing w:before="62" w:line="266" w:lineRule="exact"/>
            <w:ind w:left="200"/>
            <w:rPr>
              <w:sz w:val="17"/>
              <w:szCs w:val="17"/>
              <w:highlight w:val="none"/>
            </w:rPr>
          </w:pPr>
          <w:r>
            <w:rPr>
              <w:highlight w:val="none"/>
            </w:rPr>
            <w:fldChar w:fldCharType="begin"/>
          </w:r>
          <w:r>
            <w:rPr>
              <w:highlight w:val="none"/>
            </w:rPr>
            <w:instrText xml:space="preserve"> HYPERLINK \l "bookmark92" </w:instrText>
          </w:r>
          <w:r>
            <w:rPr>
              <w:highlight w:val="none"/>
            </w:rPr>
            <w:fldChar w:fldCharType="separate"/>
          </w:r>
          <w:r>
            <w:rPr>
              <w:rFonts w:ascii="黑体" w:hAnsi="黑体" w:eastAsia="黑体" w:cs="黑体"/>
              <w:spacing w:val="8"/>
              <w:position w:val="1"/>
              <w:sz w:val="19"/>
              <w:szCs w:val="19"/>
              <w:highlight w:val="none"/>
            </w:rPr>
            <w:t>附件5</w:t>
          </w:r>
          <w:r>
            <w:rPr>
              <w:rFonts w:ascii="黑体" w:hAnsi="黑体" w:eastAsia="黑体" w:cs="黑体"/>
              <w:spacing w:val="42"/>
              <w:position w:val="1"/>
              <w:sz w:val="19"/>
              <w:szCs w:val="19"/>
              <w:highlight w:val="none"/>
            </w:rPr>
            <w:t xml:space="preserve"> </w:t>
          </w:r>
          <w:r>
            <w:rPr>
              <w:rFonts w:ascii="黑体" w:hAnsi="黑体" w:eastAsia="黑体" w:cs="黑体"/>
              <w:spacing w:val="8"/>
              <w:position w:val="1"/>
              <w:sz w:val="19"/>
              <w:szCs w:val="19"/>
              <w:highlight w:val="none"/>
            </w:rPr>
            <w:t>承包人主要管理人员表</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spacing w:val="4"/>
              <w:position w:val="1"/>
              <w:sz w:val="17"/>
              <w:szCs w:val="17"/>
              <w:highlight w:val="none"/>
            </w:rPr>
            <w:t>163</w:t>
          </w:r>
          <w:r>
            <w:rPr>
              <w:spacing w:val="4"/>
              <w:position w:val="1"/>
              <w:sz w:val="17"/>
              <w:szCs w:val="17"/>
              <w:highlight w:val="none"/>
            </w:rPr>
            <w:fldChar w:fldCharType="end"/>
          </w:r>
        </w:p>
        <w:p w14:paraId="1BAE2073">
          <w:pPr>
            <w:pStyle w:val="2"/>
            <w:tabs>
              <w:tab w:val="right" w:leader="dot" w:pos="8255"/>
            </w:tabs>
            <w:spacing w:before="35" w:line="267" w:lineRule="exact"/>
            <w:ind w:left="200"/>
            <w:rPr>
              <w:sz w:val="17"/>
              <w:szCs w:val="17"/>
              <w:highlight w:val="none"/>
            </w:rPr>
          </w:pPr>
          <w:r>
            <w:rPr>
              <w:highlight w:val="none"/>
            </w:rPr>
            <w:fldChar w:fldCharType="begin"/>
          </w:r>
          <w:r>
            <w:rPr>
              <w:highlight w:val="none"/>
            </w:rPr>
            <w:instrText xml:space="preserve"> HYPERLINK \l "bookmark93" </w:instrText>
          </w:r>
          <w:r>
            <w:rPr>
              <w:highlight w:val="none"/>
            </w:rPr>
            <w:fldChar w:fldCharType="separate"/>
          </w:r>
          <w:r>
            <w:rPr>
              <w:rFonts w:ascii="黑体" w:hAnsi="黑体" w:eastAsia="黑体" w:cs="黑体"/>
              <w:spacing w:val="14"/>
              <w:position w:val="1"/>
              <w:sz w:val="19"/>
              <w:szCs w:val="19"/>
              <w:highlight w:val="none"/>
            </w:rPr>
            <w:t>附件6价格指数权重表</w:t>
          </w:r>
          <w:r>
            <w:rPr>
              <w:rFonts w:ascii="黑体" w:hAnsi="黑体" w:eastAsia="黑体" w:cs="黑体"/>
              <w:spacing w:val="-72"/>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164</w:t>
          </w:r>
          <w:r>
            <w:rPr>
              <w:spacing w:val="-3"/>
              <w:position w:val="1"/>
              <w:sz w:val="17"/>
              <w:szCs w:val="17"/>
              <w:highlight w:val="none"/>
            </w:rPr>
            <w:fldChar w:fldCharType="end"/>
          </w:r>
        </w:p>
        <w:p w14:paraId="252009DC">
          <w:pPr>
            <w:pStyle w:val="2"/>
            <w:tabs>
              <w:tab w:val="right" w:leader="dot" w:pos="8250"/>
            </w:tabs>
            <w:spacing w:before="183" w:line="222" w:lineRule="auto"/>
            <w:ind w:left="2"/>
            <w:rPr>
              <w:sz w:val="17"/>
              <w:szCs w:val="17"/>
              <w:highlight w:val="none"/>
            </w:rPr>
          </w:pPr>
          <w:r>
            <w:rPr>
              <w:highlight w:val="none"/>
            </w:rPr>
            <w:fldChar w:fldCharType="begin"/>
          </w:r>
          <w:r>
            <w:rPr>
              <w:highlight w:val="none"/>
            </w:rPr>
            <w:instrText xml:space="preserve"> HYPERLINK \l "bookmark94" </w:instrText>
          </w:r>
          <w:r>
            <w:rPr>
              <w:highlight w:val="none"/>
            </w:rPr>
            <w:fldChar w:fldCharType="separate"/>
          </w:r>
          <w:r>
            <w:rPr>
              <w:rFonts w:ascii="黑体" w:hAnsi="黑体" w:eastAsia="黑体" w:cs="黑体"/>
              <w:b/>
              <w:bCs/>
              <w:spacing w:val="8"/>
              <w:sz w:val="19"/>
              <w:szCs w:val="19"/>
              <w:highlight w:val="none"/>
            </w:rPr>
            <w:t>第四章</w:t>
          </w:r>
          <w:r>
            <w:rPr>
              <w:rFonts w:ascii="黑体" w:hAnsi="黑体" w:eastAsia="黑体" w:cs="黑体"/>
              <w:spacing w:val="8"/>
              <w:sz w:val="19"/>
              <w:szCs w:val="19"/>
              <w:highlight w:val="none"/>
            </w:rPr>
            <w:t xml:space="preserve"> </w:t>
          </w:r>
          <w:r>
            <w:rPr>
              <w:rFonts w:ascii="黑体" w:hAnsi="黑体" w:eastAsia="黑体" w:cs="黑体"/>
              <w:b/>
              <w:bCs/>
              <w:spacing w:val="8"/>
              <w:sz w:val="19"/>
              <w:szCs w:val="19"/>
              <w:highlight w:val="none"/>
            </w:rPr>
            <w:t>合同条款及格式</w:t>
          </w:r>
          <w:r>
            <w:rPr>
              <w:rFonts w:ascii="黑体" w:hAnsi="黑体" w:eastAsia="黑体" w:cs="黑体"/>
              <w:spacing w:val="-62"/>
              <w:sz w:val="19"/>
              <w:szCs w:val="19"/>
              <w:highlight w:val="none"/>
            </w:rPr>
            <w:t xml:space="preserve"> </w:t>
          </w:r>
          <w:r>
            <w:rPr>
              <w:rFonts w:ascii="黑体" w:hAnsi="黑体" w:eastAsia="黑体" w:cs="黑体"/>
              <w:sz w:val="19"/>
              <w:szCs w:val="19"/>
              <w:highlight w:val="none"/>
            </w:rPr>
            <w:tab/>
          </w:r>
          <w:r>
            <w:rPr>
              <w:b/>
              <w:bCs/>
              <w:spacing w:val="-1"/>
              <w:sz w:val="17"/>
              <w:szCs w:val="17"/>
              <w:highlight w:val="none"/>
            </w:rPr>
            <w:t>165</w:t>
          </w:r>
          <w:r>
            <w:rPr>
              <w:b/>
              <w:bCs/>
              <w:spacing w:val="-1"/>
              <w:sz w:val="17"/>
              <w:szCs w:val="17"/>
              <w:highlight w:val="none"/>
            </w:rPr>
            <w:fldChar w:fldCharType="end"/>
          </w:r>
        </w:p>
        <w:p w14:paraId="05974594">
          <w:pPr>
            <w:pStyle w:val="2"/>
            <w:tabs>
              <w:tab w:val="right" w:leader="dot" w:pos="8255"/>
            </w:tabs>
            <w:spacing w:before="191" w:line="267" w:lineRule="exact"/>
            <w:ind w:left="200"/>
            <w:rPr>
              <w:sz w:val="17"/>
              <w:szCs w:val="17"/>
              <w:highlight w:val="none"/>
            </w:rPr>
          </w:pPr>
          <w:r>
            <w:rPr>
              <w:highlight w:val="none"/>
            </w:rPr>
            <w:fldChar w:fldCharType="begin"/>
          </w:r>
          <w:r>
            <w:rPr>
              <w:highlight w:val="none"/>
            </w:rPr>
            <w:instrText xml:space="preserve"> HYPERLINK \l "bookmark95" </w:instrText>
          </w:r>
          <w:r>
            <w:rPr>
              <w:highlight w:val="none"/>
            </w:rPr>
            <w:fldChar w:fldCharType="separate"/>
          </w:r>
          <w:r>
            <w:rPr>
              <w:rFonts w:ascii="黑体" w:hAnsi="黑体" w:eastAsia="黑体" w:cs="黑体"/>
              <w:spacing w:val="12"/>
              <w:position w:val="1"/>
              <w:sz w:val="19"/>
              <w:szCs w:val="19"/>
              <w:highlight w:val="none"/>
            </w:rPr>
            <w:t>第一节</w:t>
          </w:r>
          <w:r>
            <w:rPr>
              <w:rFonts w:ascii="黑体" w:hAnsi="黑体" w:eastAsia="黑体" w:cs="黑体"/>
              <w:spacing w:val="41"/>
              <w:position w:val="1"/>
              <w:sz w:val="19"/>
              <w:szCs w:val="19"/>
              <w:highlight w:val="none"/>
            </w:rPr>
            <w:t xml:space="preserve"> </w:t>
          </w:r>
          <w:r>
            <w:rPr>
              <w:rFonts w:ascii="黑体" w:hAnsi="黑体" w:eastAsia="黑体" w:cs="黑体"/>
              <w:spacing w:val="12"/>
              <w:position w:val="1"/>
              <w:sz w:val="19"/>
              <w:szCs w:val="19"/>
              <w:highlight w:val="none"/>
            </w:rPr>
            <w:t>通用合同条款</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166</w:t>
          </w:r>
          <w:r>
            <w:rPr>
              <w:spacing w:val="-3"/>
              <w:position w:val="1"/>
              <w:sz w:val="17"/>
              <w:szCs w:val="17"/>
              <w:highlight w:val="none"/>
            </w:rPr>
            <w:fldChar w:fldCharType="end"/>
          </w:r>
        </w:p>
        <w:p w14:paraId="6D9D48B3">
          <w:pPr>
            <w:pStyle w:val="2"/>
            <w:tabs>
              <w:tab w:val="right" w:leader="dot" w:pos="8255"/>
            </w:tabs>
            <w:spacing w:before="33" w:line="266" w:lineRule="exact"/>
            <w:ind w:left="200"/>
            <w:rPr>
              <w:sz w:val="17"/>
              <w:szCs w:val="17"/>
              <w:highlight w:val="none"/>
            </w:rPr>
          </w:pPr>
          <w:r>
            <w:rPr>
              <w:highlight w:val="none"/>
            </w:rPr>
            <w:fldChar w:fldCharType="begin"/>
          </w:r>
          <w:r>
            <w:rPr>
              <w:highlight w:val="none"/>
            </w:rPr>
            <w:instrText xml:space="preserve"> HYPERLINK \l "bookmark96" </w:instrText>
          </w:r>
          <w:r>
            <w:rPr>
              <w:highlight w:val="none"/>
            </w:rPr>
            <w:fldChar w:fldCharType="separate"/>
          </w:r>
          <w:r>
            <w:rPr>
              <w:spacing w:val="6"/>
              <w:position w:val="1"/>
              <w:sz w:val="19"/>
              <w:szCs w:val="19"/>
              <w:highlight w:val="none"/>
            </w:rPr>
            <w:t>1.</w:t>
          </w:r>
          <w:r>
            <w:rPr>
              <w:spacing w:val="32"/>
              <w:position w:val="1"/>
              <w:sz w:val="19"/>
              <w:szCs w:val="19"/>
              <w:highlight w:val="none"/>
            </w:rPr>
            <w:t xml:space="preserve"> </w:t>
          </w:r>
          <w:r>
            <w:rPr>
              <w:rFonts w:ascii="黑体" w:hAnsi="黑体" w:eastAsia="黑体" w:cs="黑体"/>
              <w:spacing w:val="6"/>
              <w:position w:val="1"/>
              <w:sz w:val="19"/>
              <w:szCs w:val="19"/>
              <w:highlight w:val="none"/>
            </w:rPr>
            <w:t>一般约定</w:t>
          </w:r>
          <w:r>
            <w:rPr>
              <w:rFonts w:ascii="黑体" w:hAnsi="黑体" w:eastAsia="黑体" w:cs="黑体"/>
              <w:spacing w:val="-76"/>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9"/>
              <w:position w:val="1"/>
              <w:sz w:val="19"/>
              <w:szCs w:val="19"/>
              <w:highlight w:val="none"/>
            </w:rPr>
            <w:t xml:space="preserve"> </w:t>
          </w:r>
          <w:r>
            <w:rPr>
              <w:spacing w:val="-5"/>
              <w:position w:val="1"/>
              <w:sz w:val="17"/>
              <w:szCs w:val="17"/>
              <w:highlight w:val="none"/>
            </w:rPr>
            <w:t>166</w:t>
          </w:r>
          <w:r>
            <w:rPr>
              <w:spacing w:val="-5"/>
              <w:position w:val="1"/>
              <w:sz w:val="17"/>
              <w:szCs w:val="17"/>
              <w:highlight w:val="none"/>
            </w:rPr>
            <w:fldChar w:fldCharType="end"/>
          </w:r>
        </w:p>
        <w:p w14:paraId="7254320A">
          <w:pPr>
            <w:pStyle w:val="2"/>
            <w:tabs>
              <w:tab w:val="right" w:leader="dot" w:pos="8245"/>
            </w:tabs>
            <w:spacing w:before="67" w:line="221" w:lineRule="auto"/>
            <w:ind w:left="200"/>
            <w:rPr>
              <w:sz w:val="17"/>
              <w:szCs w:val="17"/>
              <w:highlight w:val="none"/>
            </w:rPr>
          </w:pPr>
          <w:r>
            <w:rPr>
              <w:highlight w:val="none"/>
            </w:rPr>
            <w:fldChar w:fldCharType="begin"/>
          </w:r>
          <w:r>
            <w:rPr>
              <w:highlight w:val="none"/>
            </w:rPr>
            <w:instrText xml:space="preserve"> HYPERLINK \l "bookmark97" </w:instrText>
          </w:r>
          <w:r>
            <w:rPr>
              <w:highlight w:val="none"/>
            </w:rPr>
            <w:fldChar w:fldCharType="separate"/>
          </w:r>
          <w:r>
            <w:rPr>
              <w:spacing w:val="5"/>
              <w:sz w:val="19"/>
              <w:szCs w:val="19"/>
              <w:highlight w:val="none"/>
            </w:rPr>
            <w:t xml:space="preserve">2.   </w:t>
          </w:r>
          <w:r>
            <w:rPr>
              <w:rFonts w:ascii="黑体" w:hAnsi="黑体" w:eastAsia="黑体" w:cs="黑体"/>
              <w:spacing w:val="5"/>
              <w:sz w:val="19"/>
              <w:szCs w:val="19"/>
              <w:highlight w:val="none"/>
            </w:rPr>
            <w:t>发包人义务</w:t>
          </w:r>
          <w:r>
            <w:rPr>
              <w:rFonts w:ascii="黑体" w:hAnsi="黑体" w:eastAsia="黑体" w:cs="黑体"/>
              <w:spacing w:val="-73"/>
              <w:sz w:val="19"/>
              <w:szCs w:val="19"/>
              <w:highlight w:val="none"/>
            </w:rPr>
            <w:t xml:space="preserve"> </w:t>
          </w:r>
          <w:r>
            <w:rPr>
              <w:rFonts w:ascii="黑体" w:hAnsi="黑体" w:eastAsia="黑体" w:cs="黑体"/>
              <w:sz w:val="19"/>
              <w:szCs w:val="19"/>
              <w:highlight w:val="none"/>
            </w:rPr>
            <w:tab/>
          </w:r>
          <w:r>
            <w:rPr>
              <w:spacing w:val="-4"/>
              <w:sz w:val="17"/>
              <w:szCs w:val="17"/>
              <w:highlight w:val="none"/>
            </w:rPr>
            <w:t>172</w:t>
          </w:r>
          <w:r>
            <w:rPr>
              <w:spacing w:val="-4"/>
              <w:sz w:val="17"/>
              <w:szCs w:val="17"/>
              <w:highlight w:val="none"/>
            </w:rPr>
            <w:fldChar w:fldCharType="end"/>
          </w:r>
        </w:p>
        <w:p w14:paraId="1D46A041">
          <w:pPr>
            <w:pStyle w:val="2"/>
            <w:tabs>
              <w:tab w:val="right" w:leader="dot" w:pos="8245"/>
            </w:tabs>
            <w:spacing w:before="42" w:line="259" w:lineRule="exact"/>
            <w:ind w:left="200"/>
            <w:rPr>
              <w:sz w:val="17"/>
              <w:szCs w:val="17"/>
              <w:highlight w:val="none"/>
            </w:rPr>
          </w:pPr>
          <w:r>
            <w:rPr>
              <w:highlight w:val="none"/>
            </w:rPr>
            <w:fldChar w:fldCharType="begin"/>
          </w:r>
          <w:r>
            <w:rPr>
              <w:highlight w:val="none"/>
            </w:rPr>
            <w:instrText xml:space="preserve"> HYPERLINK \l "bookmark98" </w:instrText>
          </w:r>
          <w:r>
            <w:rPr>
              <w:highlight w:val="none"/>
            </w:rPr>
            <w:fldChar w:fldCharType="separate"/>
          </w:r>
          <w:r>
            <w:rPr>
              <w:spacing w:val="10"/>
              <w:position w:val="1"/>
              <w:sz w:val="19"/>
              <w:szCs w:val="19"/>
              <w:highlight w:val="none"/>
            </w:rPr>
            <w:t>3.</w:t>
          </w:r>
          <w:r>
            <w:rPr>
              <w:spacing w:val="26"/>
              <w:w w:val="101"/>
              <w:position w:val="1"/>
              <w:sz w:val="19"/>
              <w:szCs w:val="19"/>
              <w:highlight w:val="none"/>
            </w:rPr>
            <w:t xml:space="preserve"> </w:t>
          </w:r>
          <w:r>
            <w:rPr>
              <w:rFonts w:ascii="黑体" w:hAnsi="黑体" w:eastAsia="黑体" w:cs="黑体"/>
              <w:spacing w:val="10"/>
              <w:position w:val="1"/>
              <w:sz w:val="19"/>
              <w:szCs w:val="19"/>
              <w:highlight w:val="none"/>
            </w:rPr>
            <w:t>监理人</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11"/>
              <w:position w:val="1"/>
              <w:sz w:val="19"/>
              <w:szCs w:val="19"/>
              <w:highlight w:val="none"/>
            </w:rPr>
            <w:t xml:space="preserve"> </w:t>
          </w:r>
          <w:r>
            <w:rPr>
              <w:spacing w:val="-5"/>
              <w:position w:val="1"/>
              <w:sz w:val="17"/>
              <w:szCs w:val="17"/>
              <w:highlight w:val="none"/>
            </w:rPr>
            <w:t>173</w:t>
          </w:r>
          <w:r>
            <w:rPr>
              <w:spacing w:val="-5"/>
              <w:position w:val="1"/>
              <w:sz w:val="17"/>
              <w:szCs w:val="17"/>
              <w:highlight w:val="none"/>
            </w:rPr>
            <w:fldChar w:fldCharType="end"/>
          </w:r>
        </w:p>
        <w:p w14:paraId="5F457BAC">
          <w:pPr>
            <w:pStyle w:val="2"/>
            <w:tabs>
              <w:tab w:val="right" w:leader="dot" w:pos="8255"/>
            </w:tabs>
            <w:spacing w:before="83" w:line="222" w:lineRule="auto"/>
            <w:ind w:left="200"/>
            <w:rPr>
              <w:sz w:val="17"/>
              <w:szCs w:val="17"/>
              <w:highlight w:val="none"/>
            </w:rPr>
          </w:pPr>
          <w:r>
            <w:rPr>
              <w:highlight w:val="none"/>
            </w:rPr>
            <w:fldChar w:fldCharType="begin"/>
          </w:r>
          <w:r>
            <w:rPr>
              <w:highlight w:val="none"/>
            </w:rPr>
            <w:instrText xml:space="preserve"> HYPERLINK \l "bookmark99" </w:instrText>
          </w:r>
          <w:r>
            <w:rPr>
              <w:highlight w:val="none"/>
            </w:rPr>
            <w:fldChar w:fldCharType="separate"/>
          </w:r>
          <w:r>
            <w:rPr>
              <w:spacing w:val="11"/>
              <w:sz w:val="19"/>
              <w:szCs w:val="19"/>
              <w:highlight w:val="none"/>
            </w:rPr>
            <w:t>4.</w:t>
          </w:r>
          <w:r>
            <w:rPr>
              <w:spacing w:val="21"/>
              <w:w w:val="101"/>
              <w:sz w:val="19"/>
              <w:szCs w:val="19"/>
              <w:highlight w:val="none"/>
            </w:rPr>
            <w:t xml:space="preserve"> </w:t>
          </w:r>
          <w:r>
            <w:rPr>
              <w:rFonts w:ascii="黑体" w:hAnsi="黑体" w:eastAsia="黑体" w:cs="黑体"/>
              <w:spacing w:val="11"/>
              <w:sz w:val="19"/>
              <w:szCs w:val="19"/>
              <w:highlight w:val="none"/>
            </w:rPr>
            <w:t>承包人</w:t>
          </w:r>
          <w:r>
            <w:rPr>
              <w:rFonts w:ascii="黑体" w:hAnsi="黑体" w:eastAsia="黑体" w:cs="黑体"/>
              <w:spacing w:val="-74"/>
              <w:sz w:val="19"/>
              <w:szCs w:val="19"/>
              <w:highlight w:val="none"/>
            </w:rPr>
            <w:t xml:space="preserve"> </w:t>
          </w:r>
          <w:r>
            <w:rPr>
              <w:rFonts w:ascii="黑体" w:hAnsi="黑体" w:eastAsia="黑体" w:cs="黑体"/>
              <w:sz w:val="19"/>
              <w:szCs w:val="19"/>
              <w:highlight w:val="none"/>
            </w:rPr>
            <w:tab/>
          </w:r>
          <w:r>
            <w:rPr>
              <w:rFonts w:ascii="黑体" w:hAnsi="黑体" w:eastAsia="黑体" w:cs="黑体"/>
              <w:spacing w:val="-1"/>
              <w:sz w:val="19"/>
              <w:szCs w:val="19"/>
              <w:highlight w:val="none"/>
            </w:rPr>
            <w:t xml:space="preserve"> </w:t>
          </w:r>
          <w:r>
            <w:rPr>
              <w:spacing w:val="-5"/>
              <w:sz w:val="17"/>
              <w:szCs w:val="17"/>
              <w:highlight w:val="none"/>
            </w:rPr>
            <w:t>174</w:t>
          </w:r>
          <w:r>
            <w:rPr>
              <w:spacing w:val="-5"/>
              <w:sz w:val="17"/>
              <w:szCs w:val="17"/>
              <w:highlight w:val="none"/>
            </w:rPr>
            <w:fldChar w:fldCharType="end"/>
          </w:r>
        </w:p>
        <w:p w14:paraId="6829BAC4">
          <w:pPr>
            <w:pStyle w:val="2"/>
            <w:tabs>
              <w:tab w:val="right" w:leader="dot" w:pos="8255"/>
            </w:tabs>
            <w:spacing w:before="67" w:line="259" w:lineRule="exact"/>
            <w:ind w:left="200"/>
            <w:rPr>
              <w:sz w:val="17"/>
              <w:szCs w:val="17"/>
              <w:highlight w:val="none"/>
            </w:rPr>
          </w:pPr>
          <w:r>
            <w:rPr>
              <w:highlight w:val="none"/>
            </w:rPr>
            <w:fldChar w:fldCharType="begin"/>
          </w:r>
          <w:r>
            <w:rPr>
              <w:highlight w:val="none"/>
            </w:rPr>
            <w:instrText xml:space="preserve"> HYPERLINK \l "bookmark100" </w:instrText>
          </w:r>
          <w:r>
            <w:rPr>
              <w:highlight w:val="none"/>
            </w:rPr>
            <w:fldChar w:fldCharType="separate"/>
          </w:r>
          <w:r>
            <w:rPr>
              <w:spacing w:val="-7"/>
              <w:position w:val="1"/>
              <w:sz w:val="19"/>
              <w:szCs w:val="19"/>
              <w:highlight w:val="none"/>
            </w:rPr>
            <w:t>5.</w:t>
          </w:r>
          <w:r>
            <w:rPr>
              <w:spacing w:val="19"/>
              <w:position w:val="1"/>
              <w:sz w:val="19"/>
              <w:szCs w:val="19"/>
              <w:highlight w:val="none"/>
            </w:rPr>
            <w:t xml:space="preserve"> </w:t>
          </w:r>
          <w:r>
            <w:rPr>
              <w:rFonts w:ascii="黑体" w:hAnsi="黑体" w:eastAsia="黑体" w:cs="黑体"/>
              <w:spacing w:val="-7"/>
              <w:position w:val="1"/>
              <w:sz w:val="19"/>
              <w:szCs w:val="19"/>
              <w:highlight w:val="none"/>
            </w:rPr>
            <w:t>设</w:t>
          </w:r>
          <w:r>
            <w:rPr>
              <w:rFonts w:ascii="黑体" w:hAnsi="黑体" w:eastAsia="黑体" w:cs="黑体"/>
              <w:spacing w:val="-39"/>
              <w:position w:val="1"/>
              <w:sz w:val="19"/>
              <w:szCs w:val="19"/>
              <w:highlight w:val="none"/>
            </w:rPr>
            <w:t xml:space="preserve"> </w:t>
          </w:r>
          <w:r>
            <w:rPr>
              <w:rFonts w:ascii="黑体" w:hAnsi="黑体" w:eastAsia="黑体" w:cs="黑体"/>
              <w:spacing w:val="-7"/>
              <w:position w:val="1"/>
              <w:sz w:val="19"/>
              <w:szCs w:val="19"/>
              <w:highlight w:val="none"/>
            </w:rPr>
            <w:t>计</w:t>
          </w:r>
          <w:r>
            <w:rPr>
              <w:rFonts w:ascii="黑体" w:hAnsi="黑体" w:eastAsia="黑体" w:cs="黑体"/>
              <w:spacing w:val="-75"/>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179</w:t>
          </w:r>
          <w:r>
            <w:rPr>
              <w:spacing w:val="-3"/>
              <w:position w:val="1"/>
              <w:sz w:val="17"/>
              <w:szCs w:val="17"/>
              <w:highlight w:val="none"/>
            </w:rPr>
            <w:fldChar w:fldCharType="end"/>
          </w:r>
        </w:p>
        <w:p w14:paraId="206AF4C2">
          <w:pPr>
            <w:pStyle w:val="2"/>
            <w:tabs>
              <w:tab w:val="right" w:leader="dot" w:pos="8245"/>
            </w:tabs>
            <w:spacing w:before="51" w:line="259" w:lineRule="exact"/>
            <w:ind w:left="200"/>
            <w:rPr>
              <w:sz w:val="17"/>
              <w:szCs w:val="17"/>
              <w:highlight w:val="none"/>
            </w:rPr>
          </w:pPr>
          <w:r>
            <w:rPr>
              <w:highlight w:val="none"/>
            </w:rPr>
            <w:fldChar w:fldCharType="begin"/>
          </w:r>
          <w:r>
            <w:rPr>
              <w:highlight w:val="none"/>
            </w:rPr>
            <w:instrText xml:space="preserve"> HYPERLINK \l "bookmark101" </w:instrText>
          </w:r>
          <w:r>
            <w:rPr>
              <w:highlight w:val="none"/>
            </w:rPr>
            <w:fldChar w:fldCharType="separate"/>
          </w:r>
          <w:r>
            <w:rPr>
              <w:spacing w:val="9"/>
              <w:position w:val="1"/>
              <w:sz w:val="19"/>
              <w:szCs w:val="19"/>
              <w:highlight w:val="none"/>
            </w:rPr>
            <w:t xml:space="preserve">6. </w:t>
          </w:r>
          <w:r>
            <w:rPr>
              <w:rFonts w:ascii="黑体" w:hAnsi="黑体" w:eastAsia="黑体" w:cs="黑体"/>
              <w:spacing w:val="9"/>
              <w:position w:val="1"/>
              <w:sz w:val="19"/>
              <w:szCs w:val="19"/>
              <w:highlight w:val="none"/>
            </w:rPr>
            <w:t>材料和工程设备</w:t>
          </w:r>
          <w:r>
            <w:rPr>
              <w:rFonts w:ascii="黑体" w:hAnsi="黑体" w:eastAsia="黑体" w:cs="黑体"/>
              <w:spacing w:val="-68"/>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31"/>
              <w:position w:val="1"/>
              <w:sz w:val="19"/>
              <w:szCs w:val="19"/>
              <w:highlight w:val="none"/>
            </w:rPr>
            <w:t xml:space="preserve"> </w:t>
          </w:r>
          <w:r>
            <w:rPr>
              <w:spacing w:val="-5"/>
              <w:position w:val="1"/>
              <w:sz w:val="17"/>
              <w:szCs w:val="17"/>
              <w:highlight w:val="none"/>
            </w:rPr>
            <w:t>181</w:t>
          </w:r>
          <w:r>
            <w:rPr>
              <w:spacing w:val="-5"/>
              <w:position w:val="1"/>
              <w:sz w:val="17"/>
              <w:szCs w:val="17"/>
              <w:highlight w:val="none"/>
            </w:rPr>
            <w:fldChar w:fldCharType="end"/>
          </w:r>
        </w:p>
        <w:p w14:paraId="333C14F4">
          <w:pPr>
            <w:pStyle w:val="2"/>
            <w:tabs>
              <w:tab w:val="right" w:leader="dot" w:pos="8265"/>
            </w:tabs>
            <w:spacing w:before="71" w:line="267" w:lineRule="exact"/>
            <w:ind w:left="200"/>
            <w:rPr>
              <w:sz w:val="17"/>
              <w:szCs w:val="17"/>
              <w:highlight w:val="none"/>
            </w:rPr>
          </w:pPr>
          <w:r>
            <w:rPr>
              <w:highlight w:val="none"/>
            </w:rPr>
            <w:fldChar w:fldCharType="begin"/>
          </w:r>
          <w:r>
            <w:rPr>
              <w:highlight w:val="none"/>
            </w:rPr>
            <w:instrText xml:space="preserve"> HYPERLINK \l "bookmark102" </w:instrText>
          </w:r>
          <w:r>
            <w:rPr>
              <w:highlight w:val="none"/>
            </w:rPr>
            <w:fldChar w:fldCharType="separate"/>
          </w:r>
          <w:r>
            <w:rPr>
              <w:spacing w:val="9"/>
              <w:position w:val="1"/>
              <w:sz w:val="19"/>
              <w:szCs w:val="19"/>
              <w:highlight w:val="none"/>
            </w:rPr>
            <w:t xml:space="preserve">7. </w:t>
          </w:r>
          <w:r>
            <w:rPr>
              <w:rFonts w:ascii="黑体" w:hAnsi="黑体" w:eastAsia="黑体" w:cs="黑体"/>
              <w:spacing w:val="9"/>
              <w:position w:val="1"/>
              <w:sz w:val="19"/>
              <w:szCs w:val="19"/>
              <w:highlight w:val="none"/>
            </w:rPr>
            <w:t>施工设备和临时设施</w:t>
          </w:r>
          <w:r>
            <w:rPr>
              <w:rFonts w:ascii="黑体" w:hAnsi="黑体" w:eastAsia="黑体" w:cs="黑体"/>
              <w:spacing w:val="-66"/>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31"/>
              <w:position w:val="1"/>
              <w:sz w:val="19"/>
              <w:szCs w:val="19"/>
              <w:highlight w:val="none"/>
            </w:rPr>
            <w:t xml:space="preserve"> </w:t>
          </w:r>
          <w:r>
            <w:rPr>
              <w:spacing w:val="-5"/>
              <w:position w:val="1"/>
              <w:sz w:val="17"/>
              <w:szCs w:val="17"/>
              <w:highlight w:val="none"/>
            </w:rPr>
            <w:t>183</w:t>
          </w:r>
          <w:r>
            <w:rPr>
              <w:spacing w:val="-5"/>
              <w:position w:val="1"/>
              <w:sz w:val="17"/>
              <w:szCs w:val="17"/>
              <w:highlight w:val="none"/>
            </w:rPr>
            <w:fldChar w:fldCharType="end"/>
          </w:r>
        </w:p>
        <w:p w14:paraId="5BB7E2F9">
          <w:pPr>
            <w:pStyle w:val="2"/>
            <w:tabs>
              <w:tab w:val="right" w:leader="dot" w:pos="8255"/>
            </w:tabs>
            <w:spacing w:before="13" w:line="259" w:lineRule="exact"/>
            <w:ind w:left="200"/>
            <w:rPr>
              <w:sz w:val="17"/>
              <w:szCs w:val="17"/>
              <w:highlight w:val="none"/>
            </w:rPr>
          </w:pPr>
          <w:r>
            <w:rPr>
              <w:highlight w:val="none"/>
            </w:rPr>
            <w:fldChar w:fldCharType="begin"/>
          </w:r>
          <w:r>
            <w:rPr>
              <w:highlight w:val="none"/>
            </w:rPr>
            <w:instrText xml:space="preserve"> HYPERLINK \l "bookmark103" </w:instrText>
          </w:r>
          <w:r>
            <w:rPr>
              <w:highlight w:val="none"/>
            </w:rPr>
            <w:fldChar w:fldCharType="separate"/>
          </w:r>
          <w:r>
            <w:rPr>
              <w:spacing w:val="6"/>
              <w:position w:val="1"/>
              <w:sz w:val="19"/>
              <w:szCs w:val="19"/>
              <w:highlight w:val="none"/>
            </w:rPr>
            <w:t>8.</w:t>
          </w:r>
          <w:r>
            <w:rPr>
              <w:spacing w:val="17"/>
              <w:w w:val="101"/>
              <w:position w:val="1"/>
              <w:sz w:val="19"/>
              <w:szCs w:val="19"/>
              <w:highlight w:val="none"/>
            </w:rPr>
            <w:t xml:space="preserve"> </w:t>
          </w:r>
          <w:r>
            <w:rPr>
              <w:rFonts w:ascii="黑体" w:hAnsi="黑体" w:eastAsia="黑体" w:cs="黑体"/>
              <w:spacing w:val="6"/>
              <w:position w:val="1"/>
              <w:sz w:val="19"/>
              <w:szCs w:val="19"/>
              <w:highlight w:val="none"/>
            </w:rPr>
            <w:t>交通运输</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184</w:t>
          </w:r>
          <w:r>
            <w:rPr>
              <w:spacing w:val="-3"/>
              <w:position w:val="1"/>
              <w:sz w:val="17"/>
              <w:szCs w:val="17"/>
              <w:highlight w:val="none"/>
            </w:rPr>
            <w:fldChar w:fldCharType="end"/>
          </w:r>
        </w:p>
        <w:p w14:paraId="1171625A">
          <w:pPr>
            <w:pStyle w:val="2"/>
            <w:tabs>
              <w:tab w:val="right" w:leader="dot" w:pos="8265"/>
            </w:tabs>
            <w:spacing w:before="48" w:line="259" w:lineRule="exact"/>
            <w:ind w:left="200"/>
            <w:rPr>
              <w:sz w:val="17"/>
              <w:szCs w:val="17"/>
              <w:highlight w:val="none"/>
            </w:rPr>
          </w:pPr>
          <w:r>
            <w:rPr>
              <w:highlight w:val="none"/>
            </w:rPr>
            <w:fldChar w:fldCharType="begin"/>
          </w:r>
          <w:r>
            <w:rPr>
              <w:highlight w:val="none"/>
            </w:rPr>
            <w:instrText xml:space="preserve"> HYPERLINK \l "bookmark104" </w:instrText>
          </w:r>
          <w:r>
            <w:rPr>
              <w:highlight w:val="none"/>
            </w:rPr>
            <w:fldChar w:fldCharType="separate"/>
          </w:r>
          <w:r>
            <w:rPr>
              <w:spacing w:val="9"/>
              <w:position w:val="1"/>
              <w:sz w:val="19"/>
              <w:szCs w:val="19"/>
              <w:highlight w:val="none"/>
            </w:rPr>
            <w:t xml:space="preserve">9. </w:t>
          </w:r>
          <w:r>
            <w:rPr>
              <w:rFonts w:ascii="黑体" w:hAnsi="黑体" w:eastAsia="黑体" w:cs="黑体"/>
              <w:spacing w:val="9"/>
              <w:position w:val="1"/>
              <w:sz w:val="19"/>
              <w:szCs w:val="19"/>
              <w:highlight w:val="none"/>
            </w:rPr>
            <w:t>测量放线</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185</w:t>
          </w:r>
          <w:r>
            <w:rPr>
              <w:spacing w:val="-3"/>
              <w:position w:val="1"/>
              <w:sz w:val="17"/>
              <w:szCs w:val="17"/>
              <w:highlight w:val="none"/>
            </w:rPr>
            <w:fldChar w:fldCharType="end"/>
          </w:r>
        </w:p>
        <w:p w14:paraId="10831912">
          <w:pPr>
            <w:pStyle w:val="2"/>
            <w:tabs>
              <w:tab w:val="right" w:leader="dot" w:pos="8265"/>
            </w:tabs>
            <w:spacing w:before="74" w:line="259" w:lineRule="exact"/>
            <w:ind w:left="200"/>
            <w:rPr>
              <w:sz w:val="17"/>
              <w:szCs w:val="17"/>
              <w:highlight w:val="none"/>
            </w:rPr>
          </w:pPr>
          <w:r>
            <w:rPr>
              <w:highlight w:val="none"/>
            </w:rPr>
            <w:fldChar w:fldCharType="begin"/>
          </w:r>
          <w:r>
            <w:rPr>
              <w:highlight w:val="none"/>
            </w:rPr>
            <w:instrText xml:space="preserve"> HYPERLINK \l "bookmark105" </w:instrText>
          </w:r>
          <w:r>
            <w:rPr>
              <w:highlight w:val="none"/>
            </w:rPr>
            <w:fldChar w:fldCharType="separate"/>
          </w:r>
          <w:r>
            <w:rPr>
              <w:spacing w:val="7"/>
              <w:position w:val="1"/>
              <w:sz w:val="19"/>
              <w:szCs w:val="19"/>
              <w:highlight w:val="none"/>
            </w:rPr>
            <w:t>10.</w:t>
          </w:r>
          <w:r>
            <w:rPr>
              <w:spacing w:val="31"/>
              <w:position w:val="1"/>
              <w:sz w:val="19"/>
              <w:szCs w:val="19"/>
              <w:highlight w:val="none"/>
            </w:rPr>
            <w:t xml:space="preserve"> </w:t>
          </w:r>
          <w:r>
            <w:rPr>
              <w:rFonts w:ascii="黑体" w:hAnsi="黑体" w:eastAsia="黑体" w:cs="黑体"/>
              <w:spacing w:val="7"/>
              <w:position w:val="1"/>
              <w:sz w:val="19"/>
              <w:szCs w:val="19"/>
              <w:highlight w:val="none"/>
            </w:rPr>
            <w:t>安全、治安保卫和环境保护</w:t>
          </w:r>
          <w:r>
            <w:rPr>
              <w:rFonts w:ascii="黑体" w:hAnsi="黑体" w:eastAsia="黑体" w:cs="黑体"/>
              <w:spacing w:val="-79"/>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185</w:t>
          </w:r>
          <w:r>
            <w:rPr>
              <w:spacing w:val="-3"/>
              <w:position w:val="1"/>
              <w:sz w:val="17"/>
              <w:szCs w:val="17"/>
              <w:highlight w:val="none"/>
            </w:rPr>
            <w:fldChar w:fldCharType="end"/>
          </w:r>
        </w:p>
        <w:p w14:paraId="56A7128A">
          <w:pPr>
            <w:pStyle w:val="2"/>
            <w:tabs>
              <w:tab w:val="right" w:leader="dot" w:pos="8265"/>
            </w:tabs>
            <w:spacing w:before="61" w:line="266" w:lineRule="exact"/>
            <w:ind w:left="200"/>
            <w:rPr>
              <w:sz w:val="17"/>
              <w:szCs w:val="17"/>
              <w:highlight w:val="none"/>
            </w:rPr>
          </w:pPr>
          <w:r>
            <w:rPr>
              <w:highlight w:val="none"/>
            </w:rPr>
            <w:fldChar w:fldCharType="begin"/>
          </w:r>
          <w:r>
            <w:rPr>
              <w:highlight w:val="none"/>
            </w:rPr>
            <w:instrText xml:space="preserve"> HYPERLINK \l "bookmark106" </w:instrText>
          </w:r>
          <w:r>
            <w:rPr>
              <w:highlight w:val="none"/>
            </w:rPr>
            <w:fldChar w:fldCharType="separate"/>
          </w:r>
          <w:r>
            <w:rPr>
              <w:spacing w:val="2"/>
              <w:position w:val="1"/>
              <w:sz w:val="19"/>
              <w:szCs w:val="19"/>
              <w:highlight w:val="none"/>
            </w:rPr>
            <w:t>11.</w:t>
          </w:r>
          <w:r>
            <w:rPr>
              <w:spacing w:val="-10"/>
              <w:position w:val="1"/>
              <w:sz w:val="19"/>
              <w:szCs w:val="19"/>
              <w:highlight w:val="none"/>
            </w:rPr>
            <w:t xml:space="preserve"> </w:t>
          </w:r>
          <w:r>
            <w:rPr>
              <w:rFonts w:ascii="黑体" w:hAnsi="黑体" w:eastAsia="黑体" w:cs="黑体"/>
              <w:spacing w:val="2"/>
              <w:position w:val="1"/>
              <w:sz w:val="19"/>
              <w:szCs w:val="19"/>
              <w:highlight w:val="none"/>
            </w:rPr>
            <w:t>开始工作和竣工</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31"/>
              <w:position w:val="1"/>
              <w:sz w:val="19"/>
              <w:szCs w:val="19"/>
              <w:highlight w:val="none"/>
            </w:rPr>
            <w:t xml:space="preserve"> </w:t>
          </w:r>
          <w:r>
            <w:rPr>
              <w:spacing w:val="-5"/>
              <w:position w:val="1"/>
              <w:sz w:val="17"/>
              <w:szCs w:val="17"/>
              <w:highlight w:val="none"/>
            </w:rPr>
            <w:t>187</w:t>
          </w:r>
          <w:r>
            <w:rPr>
              <w:spacing w:val="-5"/>
              <w:position w:val="1"/>
              <w:sz w:val="17"/>
              <w:szCs w:val="17"/>
              <w:highlight w:val="none"/>
            </w:rPr>
            <w:fldChar w:fldCharType="end"/>
          </w:r>
        </w:p>
        <w:p w14:paraId="5623837B">
          <w:pPr>
            <w:pStyle w:val="2"/>
            <w:tabs>
              <w:tab w:val="right" w:leader="dot" w:pos="8245"/>
            </w:tabs>
            <w:spacing w:before="54" w:line="267" w:lineRule="exact"/>
            <w:ind w:left="200"/>
            <w:rPr>
              <w:sz w:val="17"/>
              <w:szCs w:val="17"/>
              <w:highlight w:val="none"/>
            </w:rPr>
          </w:pPr>
          <w:r>
            <w:rPr>
              <w:highlight w:val="none"/>
            </w:rPr>
            <w:fldChar w:fldCharType="begin"/>
          </w:r>
          <w:r>
            <w:rPr>
              <w:highlight w:val="none"/>
            </w:rPr>
            <w:instrText xml:space="preserve"> HYPERLINK \l "bookmark107" </w:instrText>
          </w:r>
          <w:r>
            <w:rPr>
              <w:highlight w:val="none"/>
            </w:rPr>
            <w:fldChar w:fldCharType="separate"/>
          </w:r>
          <w:r>
            <w:rPr>
              <w:spacing w:val="2"/>
              <w:position w:val="1"/>
              <w:sz w:val="19"/>
              <w:szCs w:val="19"/>
              <w:highlight w:val="none"/>
            </w:rPr>
            <w:t>12.</w:t>
          </w:r>
          <w:r>
            <w:rPr>
              <w:spacing w:val="28"/>
              <w:position w:val="1"/>
              <w:sz w:val="19"/>
              <w:szCs w:val="19"/>
              <w:highlight w:val="none"/>
            </w:rPr>
            <w:t xml:space="preserve"> </w:t>
          </w:r>
          <w:r>
            <w:rPr>
              <w:rFonts w:ascii="黑体" w:hAnsi="黑体" w:eastAsia="黑体" w:cs="黑体"/>
              <w:spacing w:val="2"/>
              <w:position w:val="1"/>
              <w:sz w:val="19"/>
              <w:szCs w:val="19"/>
              <w:highlight w:val="none"/>
            </w:rPr>
            <w:t>暂停工作</w:t>
          </w:r>
          <w:r>
            <w:rPr>
              <w:rFonts w:ascii="黑体" w:hAnsi="黑体" w:eastAsia="黑体" w:cs="黑体"/>
              <w:spacing w:val="-76"/>
              <w:position w:val="1"/>
              <w:sz w:val="19"/>
              <w:szCs w:val="19"/>
              <w:highlight w:val="none"/>
            </w:rPr>
            <w:t xml:space="preserve"> </w:t>
          </w:r>
          <w:r>
            <w:rPr>
              <w:rFonts w:ascii="黑体" w:hAnsi="黑体" w:eastAsia="黑体" w:cs="黑体"/>
              <w:position w:val="1"/>
              <w:sz w:val="19"/>
              <w:szCs w:val="19"/>
              <w:highlight w:val="none"/>
            </w:rPr>
            <w:tab/>
          </w:r>
          <w:r>
            <w:rPr>
              <w:spacing w:val="-2"/>
              <w:position w:val="1"/>
              <w:sz w:val="17"/>
              <w:szCs w:val="17"/>
              <w:highlight w:val="none"/>
            </w:rPr>
            <w:t>189</w:t>
          </w:r>
          <w:r>
            <w:rPr>
              <w:spacing w:val="-2"/>
              <w:position w:val="1"/>
              <w:sz w:val="17"/>
              <w:szCs w:val="17"/>
              <w:highlight w:val="none"/>
            </w:rPr>
            <w:fldChar w:fldCharType="end"/>
          </w:r>
        </w:p>
        <w:p w14:paraId="6BA63FD2">
          <w:pPr>
            <w:pStyle w:val="2"/>
            <w:tabs>
              <w:tab w:val="right" w:leader="dot" w:pos="8245"/>
            </w:tabs>
            <w:spacing w:before="13" w:line="259" w:lineRule="exact"/>
            <w:ind w:left="200"/>
            <w:rPr>
              <w:sz w:val="17"/>
              <w:szCs w:val="17"/>
              <w:highlight w:val="none"/>
            </w:rPr>
          </w:pPr>
          <w:r>
            <w:rPr>
              <w:highlight w:val="none"/>
            </w:rPr>
            <w:fldChar w:fldCharType="begin"/>
          </w:r>
          <w:r>
            <w:rPr>
              <w:highlight w:val="none"/>
            </w:rPr>
            <w:instrText xml:space="preserve"> HYPERLINK \l "bookmark108" </w:instrText>
          </w:r>
          <w:r>
            <w:rPr>
              <w:highlight w:val="none"/>
            </w:rPr>
            <w:fldChar w:fldCharType="separate"/>
          </w:r>
          <w:r>
            <w:rPr>
              <w:spacing w:val="4"/>
              <w:position w:val="1"/>
              <w:sz w:val="19"/>
              <w:szCs w:val="19"/>
              <w:highlight w:val="none"/>
            </w:rPr>
            <w:t>13.</w:t>
          </w:r>
          <w:r>
            <w:rPr>
              <w:spacing w:val="15"/>
              <w:w w:val="101"/>
              <w:position w:val="1"/>
              <w:sz w:val="19"/>
              <w:szCs w:val="19"/>
              <w:highlight w:val="none"/>
            </w:rPr>
            <w:t xml:space="preserve"> </w:t>
          </w:r>
          <w:r>
            <w:rPr>
              <w:rFonts w:ascii="黑体" w:hAnsi="黑体" w:eastAsia="黑体" w:cs="黑体"/>
              <w:spacing w:val="4"/>
              <w:position w:val="1"/>
              <w:sz w:val="19"/>
              <w:szCs w:val="19"/>
              <w:highlight w:val="none"/>
            </w:rPr>
            <w:t>工程质量</w:t>
          </w:r>
          <w:r>
            <w:rPr>
              <w:rFonts w:ascii="黑体" w:hAnsi="黑体" w:eastAsia="黑体" w:cs="黑体"/>
              <w:spacing w:val="-77"/>
              <w:position w:val="1"/>
              <w:sz w:val="19"/>
              <w:szCs w:val="19"/>
              <w:highlight w:val="none"/>
            </w:rPr>
            <w:t xml:space="preserve"> </w:t>
          </w:r>
          <w:r>
            <w:rPr>
              <w:rFonts w:ascii="黑体" w:hAnsi="黑体" w:eastAsia="黑体" w:cs="黑体"/>
              <w:position w:val="1"/>
              <w:sz w:val="19"/>
              <w:szCs w:val="19"/>
              <w:highlight w:val="none"/>
            </w:rPr>
            <w:tab/>
          </w:r>
          <w:r>
            <w:rPr>
              <w:spacing w:val="-2"/>
              <w:position w:val="1"/>
              <w:sz w:val="17"/>
              <w:szCs w:val="17"/>
              <w:highlight w:val="none"/>
            </w:rPr>
            <w:t>190</w:t>
          </w:r>
          <w:r>
            <w:rPr>
              <w:spacing w:val="-2"/>
              <w:position w:val="1"/>
              <w:sz w:val="17"/>
              <w:szCs w:val="17"/>
              <w:highlight w:val="none"/>
            </w:rPr>
            <w:fldChar w:fldCharType="end"/>
          </w:r>
        </w:p>
        <w:p w14:paraId="395DAFC2">
          <w:pPr>
            <w:pStyle w:val="2"/>
            <w:tabs>
              <w:tab w:val="right" w:leader="dot" w:pos="8245"/>
            </w:tabs>
            <w:spacing w:before="71" w:line="266" w:lineRule="exact"/>
            <w:ind w:left="200"/>
            <w:rPr>
              <w:sz w:val="17"/>
              <w:szCs w:val="17"/>
              <w:highlight w:val="none"/>
            </w:rPr>
          </w:pPr>
          <w:r>
            <w:rPr>
              <w:highlight w:val="none"/>
            </w:rPr>
            <w:fldChar w:fldCharType="begin"/>
          </w:r>
          <w:r>
            <w:rPr>
              <w:highlight w:val="none"/>
            </w:rPr>
            <w:instrText xml:space="preserve"> HYPERLINK \l "bookmark109" </w:instrText>
          </w:r>
          <w:r>
            <w:rPr>
              <w:highlight w:val="none"/>
            </w:rPr>
            <w:fldChar w:fldCharType="separate"/>
          </w:r>
          <w:r>
            <w:rPr>
              <w:spacing w:val="3"/>
              <w:position w:val="1"/>
              <w:sz w:val="19"/>
              <w:szCs w:val="19"/>
              <w:highlight w:val="none"/>
            </w:rPr>
            <w:t>14.</w:t>
          </w:r>
          <w:r>
            <w:rPr>
              <w:spacing w:val="15"/>
              <w:position w:val="1"/>
              <w:sz w:val="19"/>
              <w:szCs w:val="19"/>
              <w:highlight w:val="none"/>
            </w:rPr>
            <w:t xml:space="preserve"> </w:t>
          </w:r>
          <w:r>
            <w:rPr>
              <w:rFonts w:ascii="黑体" w:hAnsi="黑体" w:eastAsia="黑体" w:cs="黑体"/>
              <w:spacing w:val="3"/>
              <w:position w:val="1"/>
              <w:sz w:val="19"/>
              <w:szCs w:val="19"/>
              <w:highlight w:val="none"/>
            </w:rPr>
            <w:t>试验和检验</w:t>
          </w:r>
          <w:r>
            <w:rPr>
              <w:rFonts w:ascii="黑体" w:hAnsi="黑体" w:eastAsia="黑体" w:cs="黑体"/>
              <w:spacing w:val="-72"/>
              <w:position w:val="1"/>
              <w:sz w:val="19"/>
              <w:szCs w:val="19"/>
              <w:highlight w:val="none"/>
            </w:rPr>
            <w:t xml:space="preserve"> </w:t>
          </w:r>
          <w:r>
            <w:rPr>
              <w:rFonts w:ascii="黑体" w:hAnsi="黑体" w:eastAsia="黑体" w:cs="黑体"/>
              <w:position w:val="1"/>
              <w:sz w:val="19"/>
              <w:szCs w:val="19"/>
              <w:highlight w:val="none"/>
            </w:rPr>
            <w:tab/>
          </w:r>
          <w:r>
            <w:rPr>
              <w:spacing w:val="-2"/>
              <w:position w:val="1"/>
              <w:sz w:val="17"/>
              <w:szCs w:val="17"/>
              <w:highlight w:val="none"/>
            </w:rPr>
            <w:t>192</w:t>
          </w:r>
          <w:r>
            <w:rPr>
              <w:spacing w:val="-2"/>
              <w:position w:val="1"/>
              <w:sz w:val="17"/>
              <w:szCs w:val="17"/>
              <w:highlight w:val="none"/>
            </w:rPr>
            <w:fldChar w:fldCharType="end"/>
          </w:r>
        </w:p>
        <w:p w14:paraId="4F521865">
          <w:pPr>
            <w:pStyle w:val="2"/>
            <w:tabs>
              <w:tab w:val="right" w:leader="dot" w:pos="8245"/>
            </w:tabs>
            <w:spacing w:before="44" w:line="259" w:lineRule="exact"/>
            <w:ind w:left="200"/>
            <w:rPr>
              <w:sz w:val="17"/>
              <w:szCs w:val="17"/>
              <w:highlight w:val="none"/>
            </w:rPr>
          </w:pPr>
          <w:r>
            <w:rPr>
              <w:highlight w:val="none"/>
            </w:rPr>
            <w:fldChar w:fldCharType="begin"/>
          </w:r>
          <w:r>
            <w:rPr>
              <w:highlight w:val="none"/>
            </w:rPr>
            <w:instrText xml:space="preserve"> HYPERLINK \l "bookmark110" </w:instrText>
          </w:r>
          <w:r>
            <w:rPr>
              <w:highlight w:val="none"/>
            </w:rPr>
            <w:fldChar w:fldCharType="separate"/>
          </w:r>
          <w:r>
            <w:rPr>
              <w:spacing w:val="2"/>
              <w:position w:val="1"/>
              <w:sz w:val="19"/>
              <w:szCs w:val="19"/>
              <w:highlight w:val="none"/>
            </w:rPr>
            <w:t>15.</w:t>
          </w:r>
          <w:r>
            <w:rPr>
              <w:spacing w:val="14"/>
              <w:position w:val="1"/>
              <w:sz w:val="19"/>
              <w:szCs w:val="19"/>
              <w:highlight w:val="none"/>
            </w:rPr>
            <w:t xml:space="preserve"> </w:t>
          </w:r>
          <w:r>
            <w:rPr>
              <w:rFonts w:ascii="黑体" w:hAnsi="黑体" w:eastAsia="黑体" w:cs="黑体"/>
              <w:spacing w:val="2"/>
              <w:position w:val="1"/>
              <w:sz w:val="19"/>
              <w:szCs w:val="19"/>
              <w:highlight w:val="none"/>
            </w:rPr>
            <w:t>变更</w:t>
          </w:r>
          <w:r>
            <w:rPr>
              <w:rFonts w:ascii="黑体" w:hAnsi="黑体" w:eastAsia="黑体" w:cs="黑体"/>
              <w:spacing w:val="-77"/>
              <w:position w:val="1"/>
              <w:sz w:val="19"/>
              <w:szCs w:val="19"/>
              <w:highlight w:val="none"/>
            </w:rPr>
            <w:t xml:space="preserve"> </w:t>
          </w:r>
          <w:r>
            <w:rPr>
              <w:rFonts w:ascii="黑体" w:hAnsi="黑体" w:eastAsia="黑体" w:cs="黑体"/>
              <w:position w:val="1"/>
              <w:sz w:val="19"/>
              <w:szCs w:val="19"/>
              <w:highlight w:val="none"/>
            </w:rPr>
            <w:tab/>
          </w:r>
          <w:r>
            <w:rPr>
              <w:spacing w:val="4"/>
              <w:position w:val="1"/>
              <w:sz w:val="17"/>
              <w:szCs w:val="17"/>
              <w:highlight w:val="none"/>
            </w:rPr>
            <w:t>192</w:t>
          </w:r>
          <w:r>
            <w:rPr>
              <w:spacing w:val="4"/>
              <w:position w:val="1"/>
              <w:sz w:val="17"/>
              <w:szCs w:val="17"/>
              <w:highlight w:val="none"/>
            </w:rPr>
            <w:fldChar w:fldCharType="end"/>
          </w:r>
        </w:p>
        <w:p w14:paraId="75FE2868">
          <w:pPr>
            <w:pStyle w:val="2"/>
            <w:tabs>
              <w:tab w:val="right" w:leader="dot" w:pos="8265"/>
            </w:tabs>
            <w:spacing w:before="51" w:line="259" w:lineRule="exact"/>
            <w:ind w:left="200"/>
            <w:rPr>
              <w:sz w:val="17"/>
              <w:szCs w:val="17"/>
              <w:highlight w:val="none"/>
            </w:rPr>
          </w:pPr>
          <w:r>
            <w:rPr>
              <w:highlight w:val="none"/>
            </w:rPr>
            <w:fldChar w:fldCharType="begin"/>
          </w:r>
          <w:r>
            <w:rPr>
              <w:highlight w:val="none"/>
            </w:rPr>
            <w:instrText xml:space="preserve"> HYPERLINK \l "bookmark111" </w:instrText>
          </w:r>
          <w:r>
            <w:rPr>
              <w:highlight w:val="none"/>
            </w:rPr>
            <w:fldChar w:fldCharType="separate"/>
          </w:r>
          <w:r>
            <w:rPr>
              <w:spacing w:val="5"/>
              <w:position w:val="1"/>
              <w:sz w:val="19"/>
              <w:szCs w:val="19"/>
              <w:highlight w:val="none"/>
            </w:rPr>
            <w:t xml:space="preserve">16. </w:t>
          </w:r>
          <w:r>
            <w:rPr>
              <w:rFonts w:ascii="黑体" w:hAnsi="黑体" w:eastAsia="黑体" w:cs="黑体"/>
              <w:spacing w:val="5"/>
              <w:position w:val="1"/>
              <w:sz w:val="19"/>
              <w:szCs w:val="19"/>
              <w:highlight w:val="none"/>
            </w:rPr>
            <w:t>价格调整</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spacing w:val="4"/>
              <w:position w:val="1"/>
              <w:sz w:val="17"/>
              <w:szCs w:val="17"/>
              <w:highlight w:val="none"/>
            </w:rPr>
            <w:t>195</w:t>
          </w:r>
          <w:r>
            <w:rPr>
              <w:spacing w:val="4"/>
              <w:position w:val="1"/>
              <w:sz w:val="17"/>
              <w:szCs w:val="17"/>
              <w:highlight w:val="none"/>
            </w:rPr>
            <w:fldChar w:fldCharType="end"/>
          </w:r>
        </w:p>
        <w:p w14:paraId="27964965">
          <w:pPr>
            <w:pStyle w:val="2"/>
            <w:tabs>
              <w:tab w:val="right" w:leader="dot" w:pos="8245"/>
            </w:tabs>
            <w:spacing w:before="71" w:line="267" w:lineRule="exact"/>
            <w:ind w:left="200"/>
            <w:rPr>
              <w:sz w:val="17"/>
              <w:szCs w:val="17"/>
              <w:highlight w:val="none"/>
            </w:rPr>
          </w:pPr>
          <w:r>
            <w:rPr>
              <w:highlight w:val="none"/>
            </w:rPr>
            <w:fldChar w:fldCharType="begin"/>
          </w:r>
          <w:r>
            <w:rPr>
              <w:highlight w:val="none"/>
            </w:rPr>
            <w:instrText xml:space="preserve"> HYPERLINK \l "bookmark112" </w:instrText>
          </w:r>
          <w:r>
            <w:rPr>
              <w:highlight w:val="none"/>
            </w:rPr>
            <w:fldChar w:fldCharType="separate"/>
          </w:r>
          <w:r>
            <w:rPr>
              <w:spacing w:val="6"/>
              <w:position w:val="1"/>
              <w:sz w:val="19"/>
              <w:szCs w:val="19"/>
              <w:highlight w:val="none"/>
            </w:rPr>
            <w:t xml:space="preserve">17. </w:t>
          </w:r>
          <w:r>
            <w:rPr>
              <w:rFonts w:ascii="黑体" w:hAnsi="黑体" w:eastAsia="黑体" w:cs="黑体"/>
              <w:spacing w:val="6"/>
              <w:position w:val="1"/>
              <w:sz w:val="19"/>
              <w:szCs w:val="19"/>
              <w:highlight w:val="none"/>
            </w:rPr>
            <w:t>合同价格与支付</w:t>
          </w:r>
          <w:r>
            <w:rPr>
              <w:rFonts w:ascii="黑体" w:hAnsi="黑体" w:eastAsia="黑体" w:cs="黑体"/>
              <w:spacing w:val="-69"/>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7"/>
              <w:szCs w:val="17"/>
              <w:highlight w:val="none"/>
            </w:rPr>
            <w:t>196</w:t>
          </w:r>
          <w:r>
            <w:rPr>
              <w:spacing w:val="-3"/>
              <w:position w:val="1"/>
              <w:sz w:val="17"/>
              <w:szCs w:val="17"/>
              <w:highlight w:val="none"/>
            </w:rPr>
            <w:fldChar w:fldCharType="end"/>
          </w:r>
        </w:p>
        <w:p w14:paraId="34598188">
          <w:pPr>
            <w:pStyle w:val="2"/>
            <w:tabs>
              <w:tab w:val="right" w:leader="dot" w:pos="8267"/>
            </w:tabs>
            <w:spacing w:before="12" w:line="259" w:lineRule="exact"/>
            <w:ind w:left="200"/>
            <w:rPr>
              <w:sz w:val="17"/>
              <w:szCs w:val="17"/>
              <w:highlight w:val="none"/>
            </w:rPr>
          </w:pPr>
          <w:r>
            <w:rPr>
              <w:highlight w:val="none"/>
            </w:rPr>
            <w:fldChar w:fldCharType="begin"/>
          </w:r>
          <w:r>
            <w:rPr>
              <w:highlight w:val="none"/>
            </w:rPr>
            <w:instrText xml:space="preserve"> HYPERLINK \l "bookmark113" </w:instrText>
          </w:r>
          <w:r>
            <w:rPr>
              <w:highlight w:val="none"/>
            </w:rPr>
            <w:fldChar w:fldCharType="separate"/>
          </w:r>
          <w:r>
            <w:rPr>
              <w:spacing w:val="7"/>
              <w:position w:val="1"/>
              <w:sz w:val="19"/>
              <w:szCs w:val="19"/>
              <w:highlight w:val="none"/>
            </w:rPr>
            <w:t xml:space="preserve">18. </w:t>
          </w:r>
          <w:r>
            <w:rPr>
              <w:rFonts w:ascii="黑体" w:hAnsi="黑体" w:eastAsia="黑体" w:cs="黑体"/>
              <w:spacing w:val="7"/>
              <w:position w:val="1"/>
              <w:sz w:val="19"/>
              <w:szCs w:val="19"/>
              <w:highlight w:val="none"/>
            </w:rPr>
            <w:t>竣工试验和竣工验收</w:t>
          </w:r>
          <w:r>
            <w:rPr>
              <w:rFonts w:ascii="黑体" w:hAnsi="黑体" w:eastAsia="黑体" w:cs="黑体"/>
              <w:spacing w:val="-64"/>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7"/>
              <w:szCs w:val="17"/>
              <w:highlight w:val="none"/>
            </w:rPr>
            <w:t>201</w:t>
          </w:r>
          <w:r>
            <w:rPr>
              <w:spacing w:val="1"/>
              <w:position w:val="1"/>
              <w:sz w:val="17"/>
              <w:szCs w:val="17"/>
              <w:highlight w:val="none"/>
            </w:rPr>
            <w:fldChar w:fldCharType="end"/>
          </w:r>
        </w:p>
        <w:p w14:paraId="736C0E86">
          <w:pPr>
            <w:pStyle w:val="2"/>
            <w:tabs>
              <w:tab w:val="right" w:leader="dot" w:pos="8257"/>
            </w:tabs>
            <w:spacing w:before="51" w:line="259" w:lineRule="exact"/>
            <w:ind w:left="200"/>
            <w:rPr>
              <w:sz w:val="17"/>
              <w:szCs w:val="17"/>
              <w:highlight w:val="none"/>
            </w:rPr>
          </w:pPr>
          <w:r>
            <w:rPr>
              <w:highlight w:val="none"/>
            </w:rPr>
            <w:fldChar w:fldCharType="begin"/>
          </w:r>
          <w:r>
            <w:rPr>
              <w:highlight w:val="none"/>
            </w:rPr>
            <w:instrText xml:space="preserve"> HYPERLINK \l "bookmark114" </w:instrText>
          </w:r>
          <w:r>
            <w:rPr>
              <w:highlight w:val="none"/>
            </w:rPr>
            <w:fldChar w:fldCharType="separate"/>
          </w:r>
          <w:r>
            <w:rPr>
              <w:spacing w:val="7"/>
              <w:position w:val="1"/>
              <w:sz w:val="19"/>
              <w:szCs w:val="19"/>
              <w:highlight w:val="none"/>
            </w:rPr>
            <w:t xml:space="preserve">19. </w:t>
          </w:r>
          <w:r>
            <w:rPr>
              <w:rFonts w:ascii="黑体" w:hAnsi="黑体" w:eastAsia="黑体" w:cs="黑体"/>
              <w:spacing w:val="7"/>
              <w:position w:val="1"/>
              <w:sz w:val="19"/>
              <w:szCs w:val="19"/>
              <w:highlight w:val="none"/>
            </w:rPr>
            <w:t>缺陷责任与保修责任</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7"/>
              <w:szCs w:val="17"/>
              <w:highlight w:val="none"/>
            </w:rPr>
            <w:t>204</w:t>
          </w:r>
          <w:r>
            <w:rPr>
              <w:spacing w:val="1"/>
              <w:position w:val="1"/>
              <w:sz w:val="17"/>
              <w:szCs w:val="17"/>
              <w:highlight w:val="none"/>
            </w:rPr>
            <w:fldChar w:fldCharType="end"/>
          </w:r>
        </w:p>
        <w:p w14:paraId="686FB570">
          <w:pPr>
            <w:pStyle w:val="2"/>
            <w:tabs>
              <w:tab w:val="right" w:leader="dot" w:pos="8267"/>
            </w:tabs>
            <w:spacing w:before="72" w:line="259" w:lineRule="exact"/>
            <w:ind w:left="200"/>
            <w:rPr>
              <w:sz w:val="17"/>
              <w:szCs w:val="17"/>
              <w:highlight w:val="none"/>
            </w:rPr>
          </w:pPr>
          <w:r>
            <w:rPr>
              <w:highlight w:val="none"/>
            </w:rPr>
            <w:fldChar w:fldCharType="begin"/>
          </w:r>
          <w:r>
            <w:rPr>
              <w:highlight w:val="none"/>
            </w:rPr>
            <w:instrText xml:space="preserve"> HYPERLINK \l "bookmark115" </w:instrText>
          </w:r>
          <w:r>
            <w:rPr>
              <w:highlight w:val="none"/>
            </w:rPr>
            <w:fldChar w:fldCharType="separate"/>
          </w:r>
          <w:r>
            <w:rPr>
              <w:spacing w:val="6"/>
              <w:position w:val="1"/>
              <w:sz w:val="19"/>
              <w:szCs w:val="19"/>
              <w:highlight w:val="none"/>
            </w:rPr>
            <w:t>20.</w:t>
          </w:r>
          <w:r>
            <w:rPr>
              <w:spacing w:val="8"/>
              <w:position w:val="1"/>
              <w:sz w:val="19"/>
              <w:szCs w:val="19"/>
              <w:highlight w:val="none"/>
            </w:rPr>
            <w:t xml:space="preserve"> </w:t>
          </w:r>
          <w:r>
            <w:rPr>
              <w:rFonts w:ascii="黑体" w:hAnsi="黑体" w:eastAsia="黑体" w:cs="黑体"/>
              <w:spacing w:val="6"/>
              <w:position w:val="1"/>
              <w:sz w:val="19"/>
              <w:szCs w:val="19"/>
              <w:highlight w:val="none"/>
            </w:rPr>
            <w:t>保险</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spacing w:val="6"/>
              <w:position w:val="1"/>
              <w:sz w:val="17"/>
              <w:szCs w:val="17"/>
              <w:highlight w:val="none"/>
            </w:rPr>
            <w:t>205</w:t>
          </w:r>
          <w:r>
            <w:rPr>
              <w:spacing w:val="6"/>
              <w:position w:val="1"/>
              <w:sz w:val="17"/>
              <w:szCs w:val="17"/>
              <w:highlight w:val="none"/>
            </w:rPr>
            <w:fldChar w:fldCharType="end"/>
          </w:r>
        </w:p>
        <w:p w14:paraId="515C5458">
          <w:pPr>
            <w:pStyle w:val="2"/>
            <w:tabs>
              <w:tab w:val="right" w:leader="dot" w:pos="8257"/>
            </w:tabs>
            <w:spacing w:before="71" w:line="266" w:lineRule="exact"/>
            <w:ind w:left="200"/>
            <w:rPr>
              <w:sz w:val="17"/>
              <w:szCs w:val="17"/>
              <w:highlight w:val="none"/>
            </w:rPr>
          </w:pPr>
          <w:r>
            <w:rPr>
              <w:highlight w:val="none"/>
            </w:rPr>
            <w:fldChar w:fldCharType="begin"/>
          </w:r>
          <w:r>
            <w:rPr>
              <w:highlight w:val="none"/>
            </w:rPr>
            <w:instrText xml:space="preserve"> HYPERLINK \l "bookmark116" </w:instrText>
          </w:r>
          <w:r>
            <w:rPr>
              <w:highlight w:val="none"/>
            </w:rPr>
            <w:fldChar w:fldCharType="separate"/>
          </w:r>
          <w:r>
            <w:rPr>
              <w:spacing w:val="-1"/>
              <w:position w:val="1"/>
              <w:sz w:val="19"/>
              <w:szCs w:val="19"/>
              <w:highlight w:val="none"/>
            </w:rPr>
            <w:t xml:space="preserve">21. </w:t>
          </w:r>
          <w:r>
            <w:rPr>
              <w:rFonts w:ascii="黑体" w:hAnsi="黑体" w:eastAsia="黑体" w:cs="黑体"/>
              <w:spacing w:val="-1"/>
              <w:position w:val="1"/>
              <w:sz w:val="19"/>
              <w:szCs w:val="19"/>
              <w:highlight w:val="none"/>
            </w:rPr>
            <w:t>不可抗力</w:t>
          </w:r>
          <w:r>
            <w:rPr>
              <w:rFonts w:ascii="黑体" w:hAnsi="黑体" w:eastAsia="黑体" w:cs="黑体"/>
              <w:spacing w:val="-85"/>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21"/>
              <w:position w:val="1"/>
              <w:sz w:val="19"/>
              <w:szCs w:val="19"/>
              <w:highlight w:val="none"/>
            </w:rPr>
            <w:t xml:space="preserve"> </w:t>
          </w:r>
          <w:r>
            <w:rPr>
              <w:spacing w:val="-2"/>
              <w:position w:val="1"/>
              <w:sz w:val="17"/>
              <w:szCs w:val="17"/>
              <w:highlight w:val="none"/>
            </w:rPr>
            <w:t>207</w:t>
          </w:r>
          <w:r>
            <w:rPr>
              <w:spacing w:val="-2"/>
              <w:position w:val="1"/>
              <w:sz w:val="17"/>
              <w:szCs w:val="17"/>
              <w:highlight w:val="none"/>
            </w:rPr>
            <w:fldChar w:fldCharType="end"/>
          </w:r>
        </w:p>
        <w:p w14:paraId="194097E6">
          <w:pPr>
            <w:pStyle w:val="2"/>
            <w:tabs>
              <w:tab w:val="right" w:leader="dot" w:pos="8257"/>
            </w:tabs>
            <w:spacing w:before="46" w:line="268" w:lineRule="exact"/>
            <w:ind w:left="200"/>
            <w:rPr>
              <w:sz w:val="17"/>
              <w:szCs w:val="17"/>
              <w:highlight w:val="none"/>
            </w:rPr>
          </w:pPr>
          <w:r>
            <w:rPr>
              <w:highlight w:val="none"/>
            </w:rPr>
            <w:fldChar w:fldCharType="begin"/>
          </w:r>
          <w:r>
            <w:rPr>
              <w:highlight w:val="none"/>
            </w:rPr>
            <w:instrText xml:space="preserve"> HYPERLINK \l "bookmark117" </w:instrText>
          </w:r>
          <w:r>
            <w:rPr>
              <w:highlight w:val="none"/>
            </w:rPr>
            <w:fldChar w:fldCharType="separate"/>
          </w:r>
          <w:r>
            <w:rPr>
              <w:spacing w:val="6"/>
              <w:position w:val="1"/>
              <w:sz w:val="19"/>
              <w:szCs w:val="19"/>
              <w:highlight w:val="none"/>
            </w:rPr>
            <w:t>22.</w:t>
          </w:r>
          <w:r>
            <w:rPr>
              <w:spacing w:val="8"/>
              <w:position w:val="1"/>
              <w:sz w:val="19"/>
              <w:szCs w:val="19"/>
              <w:highlight w:val="none"/>
            </w:rPr>
            <w:t xml:space="preserve"> </w:t>
          </w:r>
          <w:r>
            <w:rPr>
              <w:rFonts w:ascii="黑体" w:hAnsi="黑体" w:eastAsia="黑体" w:cs="黑体"/>
              <w:spacing w:val="6"/>
              <w:position w:val="1"/>
              <w:sz w:val="19"/>
              <w:szCs w:val="19"/>
              <w:highlight w:val="none"/>
            </w:rPr>
            <w:t>违约</w:t>
          </w:r>
          <w:r>
            <w:rPr>
              <w:rFonts w:ascii="黑体" w:hAnsi="黑体" w:eastAsia="黑体" w:cs="黑体"/>
              <w:spacing w:val="-81"/>
              <w:position w:val="1"/>
              <w:sz w:val="19"/>
              <w:szCs w:val="19"/>
              <w:highlight w:val="none"/>
            </w:rPr>
            <w:t xml:space="preserve"> </w:t>
          </w:r>
          <w:r>
            <w:rPr>
              <w:rFonts w:ascii="黑体" w:hAnsi="黑体" w:eastAsia="黑体" w:cs="黑体"/>
              <w:position w:val="1"/>
              <w:sz w:val="19"/>
              <w:szCs w:val="19"/>
              <w:highlight w:val="none"/>
            </w:rPr>
            <w:tab/>
          </w:r>
          <w:r>
            <w:rPr>
              <w:spacing w:val="6"/>
              <w:position w:val="1"/>
              <w:sz w:val="17"/>
              <w:szCs w:val="17"/>
              <w:highlight w:val="none"/>
            </w:rPr>
            <w:t>208</w:t>
          </w:r>
          <w:r>
            <w:rPr>
              <w:spacing w:val="6"/>
              <w:position w:val="1"/>
              <w:sz w:val="17"/>
              <w:szCs w:val="17"/>
              <w:highlight w:val="none"/>
            </w:rPr>
            <w:fldChar w:fldCharType="end"/>
          </w:r>
        </w:p>
        <w:p w14:paraId="3E558921">
          <w:pPr>
            <w:pStyle w:val="2"/>
            <w:tabs>
              <w:tab w:val="right" w:leader="dot" w:pos="8164"/>
            </w:tabs>
            <w:spacing w:before="171" w:line="222" w:lineRule="auto"/>
            <w:rPr>
              <w:sz w:val="17"/>
              <w:szCs w:val="17"/>
              <w:highlight w:val="none"/>
            </w:rPr>
          </w:pPr>
          <w:r>
            <w:rPr>
              <w:highlight w:val="none"/>
            </w:rPr>
            <w:fldChar w:fldCharType="begin"/>
          </w:r>
          <w:r>
            <w:rPr>
              <w:highlight w:val="none"/>
            </w:rPr>
            <w:instrText xml:space="preserve"> HYPERLINK \l "bookmark118" </w:instrText>
          </w:r>
          <w:r>
            <w:rPr>
              <w:highlight w:val="none"/>
            </w:rPr>
            <w:fldChar w:fldCharType="separate"/>
          </w:r>
          <w:r>
            <w:rPr>
              <w:b/>
              <w:bCs/>
              <w:spacing w:val="7"/>
              <w:sz w:val="19"/>
              <w:szCs w:val="19"/>
              <w:highlight w:val="none"/>
            </w:rPr>
            <w:t xml:space="preserve">22.3  </w:t>
          </w:r>
          <w:r>
            <w:rPr>
              <w:rFonts w:ascii="黑体" w:hAnsi="黑体" w:eastAsia="黑体" w:cs="黑体"/>
              <w:b/>
              <w:bCs/>
              <w:spacing w:val="7"/>
              <w:sz w:val="19"/>
              <w:szCs w:val="19"/>
              <w:highlight w:val="none"/>
            </w:rPr>
            <w:t>第三人造成的违约</w:t>
          </w:r>
          <w:r>
            <w:rPr>
              <w:rFonts w:ascii="黑体" w:hAnsi="黑体" w:eastAsia="黑体" w:cs="黑体"/>
              <w:spacing w:val="-76"/>
              <w:sz w:val="19"/>
              <w:szCs w:val="19"/>
              <w:highlight w:val="none"/>
            </w:rPr>
            <w:t xml:space="preserve"> </w:t>
          </w:r>
          <w:r>
            <w:rPr>
              <w:rFonts w:ascii="黑体" w:hAnsi="黑体" w:eastAsia="黑体" w:cs="黑体"/>
              <w:sz w:val="19"/>
              <w:szCs w:val="19"/>
              <w:highlight w:val="none"/>
            </w:rPr>
            <w:tab/>
          </w:r>
          <w:r>
            <w:rPr>
              <w:b/>
              <w:bCs/>
              <w:spacing w:val="3"/>
              <w:sz w:val="17"/>
              <w:szCs w:val="17"/>
              <w:highlight w:val="none"/>
            </w:rPr>
            <w:t>21</w:t>
          </w:r>
          <w:r>
            <w:rPr>
              <w:b/>
              <w:bCs/>
              <w:spacing w:val="3"/>
              <w:sz w:val="17"/>
              <w:szCs w:val="17"/>
              <w:highlight w:val="none"/>
            </w:rPr>
            <w:fldChar w:fldCharType="end"/>
          </w:r>
        </w:p>
        <w:p w14:paraId="5A8FC902">
          <w:pPr>
            <w:pStyle w:val="2"/>
            <w:tabs>
              <w:tab w:val="right" w:leader="dot" w:pos="8247"/>
            </w:tabs>
            <w:spacing w:before="170" w:line="259" w:lineRule="exact"/>
            <w:ind w:left="200"/>
            <w:rPr>
              <w:sz w:val="17"/>
              <w:szCs w:val="17"/>
              <w:highlight w:val="none"/>
            </w:rPr>
          </w:pPr>
          <w:r>
            <w:rPr>
              <w:highlight w:val="none"/>
            </w:rPr>
            <w:fldChar w:fldCharType="begin"/>
          </w:r>
          <w:r>
            <w:rPr>
              <w:highlight w:val="none"/>
            </w:rPr>
            <w:instrText xml:space="preserve"> HYPERLINK \l "bookmark119" </w:instrText>
          </w:r>
          <w:r>
            <w:rPr>
              <w:highlight w:val="none"/>
            </w:rPr>
            <w:fldChar w:fldCharType="separate"/>
          </w:r>
          <w:r>
            <w:rPr>
              <w:spacing w:val="-5"/>
              <w:position w:val="1"/>
              <w:sz w:val="19"/>
              <w:szCs w:val="19"/>
              <w:highlight w:val="none"/>
            </w:rPr>
            <w:t>23.</w:t>
          </w:r>
          <w:r>
            <w:rPr>
              <w:spacing w:val="8"/>
              <w:position w:val="1"/>
              <w:sz w:val="19"/>
              <w:szCs w:val="19"/>
              <w:highlight w:val="none"/>
            </w:rPr>
            <w:t xml:space="preserve"> </w:t>
          </w:r>
          <w:r>
            <w:rPr>
              <w:rFonts w:ascii="黑体" w:hAnsi="黑体" w:eastAsia="黑体" w:cs="黑体"/>
              <w:spacing w:val="-5"/>
              <w:position w:val="1"/>
              <w:sz w:val="19"/>
              <w:szCs w:val="19"/>
              <w:highlight w:val="none"/>
            </w:rPr>
            <w:t>索</w:t>
          </w:r>
          <w:r>
            <w:rPr>
              <w:rFonts w:ascii="黑体" w:hAnsi="黑体" w:eastAsia="黑体" w:cs="黑体"/>
              <w:spacing w:val="-40"/>
              <w:position w:val="1"/>
              <w:sz w:val="19"/>
              <w:szCs w:val="19"/>
              <w:highlight w:val="none"/>
            </w:rPr>
            <w:t xml:space="preserve"> </w:t>
          </w:r>
          <w:r>
            <w:rPr>
              <w:rFonts w:ascii="黑体" w:hAnsi="黑体" w:eastAsia="黑体" w:cs="黑体"/>
              <w:spacing w:val="-5"/>
              <w:position w:val="1"/>
              <w:sz w:val="19"/>
              <w:szCs w:val="19"/>
              <w:highlight w:val="none"/>
            </w:rPr>
            <w:t>赔</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7"/>
              <w:szCs w:val="17"/>
              <w:highlight w:val="none"/>
            </w:rPr>
            <w:t>211</w:t>
          </w:r>
          <w:r>
            <w:rPr>
              <w:spacing w:val="-1"/>
              <w:position w:val="1"/>
              <w:sz w:val="17"/>
              <w:szCs w:val="17"/>
              <w:highlight w:val="none"/>
            </w:rPr>
            <w:fldChar w:fldCharType="end"/>
          </w:r>
        </w:p>
        <w:p w14:paraId="71E320CF">
          <w:pPr>
            <w:pStyle w:val="2"/>
            <w:tabs>
              <w:tab w:val="right" w:leader="dot" w:pos="8247"/>
            </w:tabs>
            <w:spacing w:before="85" w:line="222" w:lineRule="auto"/>
            <w:ind w:left="200"/>
            <w:rPr>
              <w:sz w:val="17"/>
              <w:szCs w:val="17"/>
              <w:highlight w:val="none"/>
            </w:rPr>
          </w:pPr>
          <w:r>
            <w:rPr>
              <w:highlight w:val="none"/>
            </w:rPr>
            <w:fldChar w:fldCharType="begin"/>
          </w:r>
          <w:r>
            <w:rPr>
              <w:highlight w:val="none"/>
            </w:rPr>
            <w:instrText xml:space="preserve"> HYPERLINK \l "bookmark120" </w:instrText>
          </w:r>
          <w:r>
            <w:rPr>
              <w:highlight w:val="none"/>
            </w:rPr>
            <w:fldChar w:fldCharType="separate"/>
          </w:r>
          <w:r>
            <w:rPr>
              <w:spacing w:val="6"/>
              <w:sz w:val="19"/>
              <w:szCs w:val="19"/>
              <w:highlight w:val="none"/>
            </w:rPr>
            <w:t>24.</w:t>
          </w:r>
          <w:r>
            <w:rPr>
              <w:spacing w:val="19"/>
              <w:w w:val="101"/>
              <w:sz w:val="19"/>
              <w:szCs w:val="19"/>
              <w:highlight w:val="none"/>
            </w:rPr>
            <w:t xml:space="preserve"> </w:t>
          </w:r>
          <w:r>
            <w:rPr>
              <w:rFonts w:ascii="黑体" w:hAnsi="黑体" w:eastAsia="黑体" w:cs="黑体"/>
              <w:spacing w:val="6"/>
              <w:sz w:val="19"/>
              <w:szCs w:val="19"/>
              <w:highlight w:val="none"/>
            </w:rPr>
            <w:t>争议的解决</w:t>
          </w:r>
          <w:r>
            <w:rPr>
              <w:rFonts w:ascii="黑体" w:hAnsi="黑体" w:eastAsia="黑体" w:cs="黑体"/>
              <w:spacing w:val="-71"/>
              <w:sz w:val="19"/>
              <w:szCs w:val="19"/>
              <w:highlight w:val="none"/>
            </w:rPr>
            <w:t xml:space="preserve"> </w:t>
          </w:r>
          <w:r>
            <w:rPr>
              <w:rFonts w:ascii="黑体" w:hAnsi="黑体" w:eastAsia="黑体" w:cs="黑体"/>
              <w:sz w:val="19"/>
              <w:szCs w:val="19"/>
              <w:highlight w:val="none"/>
            </w:rPr>
            <w:tab/>
          </w:r>
          <w:r>
            <w:rPr>
              <w:spacing w:val="1"/>
              <w:sz w:val="17"/>
              <w:szCs w:val="17"/>
              <w:highlight w:val="none"/>
            </w:rPr>
            <w:t>212</w:t>
          </w:r>
          <w:r>
            <w:rPr>
              <w:spacing w:val="1"/>
              <w:sz w:val="17"/>
              <w:szCs w:val="17"/>
              <w:highlight w:val="none"/>
            </w:rPr>
            <w:fldChar w:fldCharType="end"/>
          </w:r>
        </w:p>
        <w:p w14:paraId="58A918B6">
          <w:pPr>
            <w:pStyle w:val="2"/>
            <w:tabs>
              <w:tab w:val="right" w:leader="dot" w:pos="8257"/>
            </w:tabs>
            <w:spacing w:before="91" w:line="222" w:lineRule="auto"/>
            <w:ind w:left="200"/>
            <w:rPr>
              <w:sz w:val="17"/>
              <w:szCs w:val="17"/>
              <w:highlight w:val="none"/>
            </w:rPr>
          </w:pPr>
          <w:r>
            <w:rPr>
              <w:highlight w:val="none"/>
            </w:rPr>
            <w:fldChar w:fldCharType="begin"/>
          </w:r>
          <w:r>
            <w:rPr>
              <w:highlight w:val="none"/>
            </w:rPr>
            <w:instrText xml:space="preserve"> HYPERLINK \l "bookmark121" </w:instrText>
          </w:r>
          <w:r>
            <w:rPr>
              <w:highlight w:val="none"/>
            </w:rPr>
            <w:fldChar w:fldCharType="separate"/>
          </w:r>
          <w:r>
            <w:rPr>
              <w:rFonts w:ascii="黑体" w:hAnsi="黑体" w:eastAsia="黑体" w:cs="黑体"/>
              <w:spacing w:val="7"/>
              <w:sz w:val="19"/>
              <w:szCs w:val="19"/>
              <w:highlight w:val="none"/>
            </w:rPr>
            <w:t>第二节 专用合同条款</w:t>
          </w:r>
          <w:r>
            <w:rPr>
              <w:rFonts w:ascii="黑体" w:hAnsi="黑体" w:eastAsia="黑体" w:cs="黑体"/>
              <w:spacing w:val="-71"/>
              <w:sz w:val="19"/>
              <w:szCs w:val="19"/>
              <w:highlight w:val="none"/>
            </w:rPr>
            <w:t xml:space="preserve"> </w:t>
          </w:r>
          <w:r>
            <w:rPr>
              <w:rFonts w:ascii="黑体" w:hAnsi="黑体" w:eastAsia="黑体" w:cs="黑体"/>
              <w:sz w:val="19"/>
              <w:szCs w:val="19"/>
              <w:highlight w:val="none"/>
            </w:rPr>
            <w:tab/>
          </w:r>
          <w:r>
            <w:rPr>
              <w:spacing w:val="2"/>
              <w:sz w:val="17"/>
              <w:szCs w:val="17"/>
              <w:highlight w:val="none"/>
            </w:rPr>
            <w:t>214</w:t>
          </w:r>
          <w:r>
            <w:rPr>
              <w:spacing w:val="2"/>
              <w:sz w:val="17"/>
              <w:szCs w:val="17"/>
              <w:highlight w:val="none"/>
            </w:rPr>
            <w:fldChar w:fldCharType="end"/>
          </w:r>
        </w:p>
        <w:p w14:paraId="09B28325">
          <w:pPr>
            <w:pStyle w:val="2"/>
            <w:tabs>
              <w:tab w:val="right" w:leader="dot" w:pos="8257"/>
            </w:tabs>
            <w:spacing w:before="82" w:line="221" w:lineRule="auto"/>
            <w:ind w:left="200"/>
            <w:rPr>
              <w:sz w:val="17"/>
              <w:szCs w:val="17"/>
              <w:highlight w:val="none"/>
            </w:rPr>
          </w:pPr>
          <w:r>
            <w:rPr>
              <w:highlight w:val="none"/>
            </w:rPr>
            <w:fldChar w:fldCharType="begin"/>
          </w:r>
          <w:r>
            <w:rPr>
              <w:highlight w:val="none"/>
            </w:rPr>
            <w:instrText xml:space="preserve"> HYPERLINK \l "bookmark122" </w:instrText>
          </w:r>
          <w:r>
            <w:rPr>
              <w:highlight w:val="none"/>
            </w:rPr>
            <w:fldChar w:fldCharType="separate"/>
          </w:r>
          <w:r>
            <w:rPr>
              <w:spacing w:val="7"/>
              <w:sz w:val="19"/>
              <w:szCs w:val="19"/>
              <w:highlight w:val="none"/>
            </w:rPr>
            <w:t xml:space="preserve">1. </w:t>
          </w:r>
          <w:r>
            <w:rPr>
              <w:rFonts w:ascii="黑体" w:hAnsi="黑体" w:eastAsia="黑体" w:cs="黑体"/>
              <w:spacing w:val="7"/>
              <w:sz w:val="19"/>
              <w:szCs w:val="19"/>
              <w:highlight w:val="none"/>
            </w:rPr>
            <w:t>一般约定</w:t>
          </w:r>
          <w:r>
            <w:rPr>
              <w:rFonts w:ascii="黑体" w:hAnsi="黑体" w:eastAsia="黑体" w:cs="黑体"/>
              <w:spacing w:val="-76"/>
              <w:sz w:val="19"/>
              <w:szCs w:val="19"/>
              <w:highlight w:val="none"/>
            </w:rPr>
            <w:t xml:space="preserve"> </w:t>
          </w:r>
          <w:r>
            <w:rPr>
              <w:rFonts w:ascii="黑体" w:hAnsi="黑体" w:eastAsia="黑体" w:cs="黑体"/>
              <w:sz w:val="19"/>
              <w:szCs w:val="19"/>
              <w:highlight w:val="none"/>
            </w:rPr>
            <w:tab/>
          </w:r>
          <w:r>
            <w:rPr>
              <w:spacing w:val="1"/>
              <w:sz w:val="17"/>
              <w:szCs w:val="17"/>
              <w:highlight w:val="none"/>
            </w:rPr>
            <w:t>214</w:t>
          </w:r>
          <w:r>
            <w:rPr>
              <w:spacing w:val="1"/>
              <w:sz w:val="17"/>
              <w:szCs w:val="17"/>
              <w:highlight w:val="none"/>
            </w:rPr>
            <w:fldChar w:fldCharType="end"/>
          </w:r>
        </w:p>
        <w:p w14:paraId="0E94CFC3">
          <w:pPr>
            <w:pStyle w:val="2"/>
            <w:tabs>
              <w:tab w:val="right" w:leader="dot" w:pos="8267"/>
            </w:tabs>
            <w:spacing w:before="59" w:line="266" w:lineRule="exact"/>
            <w:ind w:left="200"/>
            <w:rPr>
              <w:sz w:val="17"/>
              <w:szCs w:val="17"/>
              <w:highlight w:val="none"/>
            </w:rPr>
          </w:pPr>
          <w:r>
            <w:rPr>
              <w:highlight w:val="none"/>
            </w:rPr>
            <w:fldChar w:fldCharType="begin"/>
          </w:r>
          <w:r>
            <w:rPr>
              <w:highlight w:val="none"/>
            </w:rPr>
            <w:instrText xml:space="preserve"> HYPERLINK \l "bookmark123" </w:instrText>
          </w:r>
          <w:r>
            <w:rPr>
              <w:highlight w:val="none"/>
            </w:rPr>
            <w:fldChar w:fldCharType="separate"/>
          </w:r>
          <w:r>
            <w:rPr>
              <w:spacing w:val="-3"/>
              <w:position w:val="1"/>
              <w:sz w:val="19"/>
              <w:szCs w:val="19"/>
              <w:highlight w:val="none"/>
            </w:rPr>
            <w:t>2.</w:t>
          </w:r>
          <w:r>
            <w:rPr>
              <w:spacing w:val="39"/>
              <w:w w:val="101"/>
              <w:position w:val="1"/>
              <w:sz w:val="19"/>
              <w:szCs w:val="19"/>
              <w:highlight w:val="none"/>
            </w:rPr>
            <w:t xml:space="preserve"> </w:t>
          </w:r>
          <w:r>
            <w:rPr>
              <w:rFonts w:ascii="黑体" w:hAnsi="黑体" w:eastAsia="黑体" w:cs="黑体"/>
              <w:spacing w:val="-3"/>
              <w:position w:val="1"/>
              <w:sz w:val="19"/>
              <w:szCs w:val="19"/>
              <w:highlight w:val="none"/>
            </w:rPr>
            <w:t>发包人义务</w:t>
          </w:r>
          <w:r>
            <w:rPr>
              <w:rFonts w:ascii="黑体" w:hAnsi="黑体" w:eastAsia="黑体" w:cs="黑体"/>
              <w:spacing w:val="-76"/>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7"/>
              <w:szCs w:val="17"/>
              <w:highlight w:val="none"/>
            </w:rPr>
            <w:t>215</w:t>
          </w:r>
          <w:r>
            <w:rPr>
              <w:spacing w:val="1"/>
              <w:position w:val="1"/>
              <w:sz w:val="17"/>
              <w:szCs w:val="17"/>
              <w:highlight w:val="none"/>
            </w:rPr>
            <w:fldChar w:fldCharType="end"/>
          </w:r>
        </w:p>
        <w:p w14:paraId="2EC9B979">
          <w:pPr>
            <w:pStyle w:val="2"/>
            <w:tabs>
              <w:tab w:val="right" w:leader="dot" w:pos="8267"/>
            </w:tabs>
            <w:spacing w:before="27" w:line="259" w:lineRule="exact"/>
            <w:ind w:left="200"/>
            <w:rPr>
              <w:sz w:val="17"/>
              <w:szCs w:val="17"/>
              <w:highlight w:val="none"/>
            </w:rPr>
          </w:pPr>
          <w:r>
            <w:rPr>
              <w:highlight w:val="none"/>
            </w:rPr>
            <w:fldChar w:fldCharType="begin"/>
          </w:r>
          <w:r>
            <w:rPr>
              <w:highlight w:val="none"/>
            </w:rPr>
            <w:instrText xml:space="preserve"> HYPERLINK \l "bookmark124" </w:instrText>
          </w:r>
          <w:r>
            <w:rPr>
              <w:highlight w:val="none"/>
            </w:rPr>
            <w:fldChar w:fldCharType="separate"/>
          </w:r>
          <w:r>
            <w:rPr>
              <w:spacing w:val="10"/>
              <w:position w:val="1"/>
              <w:sz w:val="19"/>
              <w:szCs w:val="19"/>
              <w:highlight w:val="none"/>
            </w:rPr>
            <w:t>3.</w:t>
          </w:r>
          <w:r>
            <w:rPr>
              <w:spacing w:val="26"/>
              <w:w w:val="101"/>
              <w:position w:val="1"/>
              <w:sz w:val="19"/>
              <w:szCs w:val="19"/>
              <w:highlight w:val="none"/>
            </w:rPr>
            <w:t xml:space="preserve"> </w:t>
          </w:r>
          <w:r>
            <w:rPr>
              <w:rFonts w:ascii="黑体" w:hAnsi="黑体" w:eastAsia="黑体" w:cs="黑体"/>
              <w:spacing w:val="10"/>
              <w:position w:val="1"/>
              <w:sz w:val="19"/>
              <w:szCs w:val="19"/>
              <w:highlight w:val="none"/>
            </w:rPr>
            <w:t>监理人</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1"/>
              <w:position w:val="1"/>
              <w:sz w:val="19"/>
              <w:szCs w:val="19"/>
              <w:highlight w:val="none"/>
            </w:rPr>
            <w:t xml:space="preserve"> </w:t>
          </w:r>
          <w:r>
            <w:rPr>
              <w:spacing w:val="-2"/>
              <w:position w:val="1"/>
              <w:sz w:val="17"/>
              <w:szCs w:val="17"/>
              <w:highlight w:val="none"/>
            </w:rPr>
            <w:t>215</w:t>
          </w:r>
          <w:r>
            <w:rPr>
              <w:spacing w:val="-2"/>
              <w:position w:val="1"/>
              <w:sz w:val="17"/>
              <w:szCs w:val="17"/>
              <w:highlight w:val="none"/>
            </w:rPr>
            <w:fldChar w:fldCharType="end"/>
          </w:r>
        </w:p>
        <w:p w14:paraId="718B272E">
          <w:pPr>
            <w:pStyle w:val="2"/>
            <w:tabs>
              <w:tab w:val="right" w:leader="dot" w:pos="8267"/>
            </w:tabs>
            <w:spacing w:before="79" w:line="268" w:lineRule="exact"/>
            <w:ind w:left="200"/>
            <w:rPr>
              <w:sz w:val="17"/>
              <w:szCs w:val="17"/>
              <w:highlight w:val="none"/>
            </w:rPr>
          </w:pPr>
          <w:r>
            <w:rPr>
              <w:highlight w:val="none"/>
            </w:rPr>
            <w:fldChar w:fldCharType="begin"/>
          </w:r>
          <w:r>
            <w:rPr>
              <w:highlight w:val="none"/>
            </w:rPr>
            <w:instrText xml:space="preserve"> HYPERLINK \l "bookmark125" </w:instrText>
          </w:r>
          <w:r>
            <w:rPr>
              <w:highlight w:val="none"/>
            </w:rPr>
            <w:fldChar w:fldCharType="separate"/>
          </w:r>
          <w:r>
            <w:rPr>
              <w:spacing w:val="11"/>
              <w:position w:val="1"/>
              <w:sz w:val="19"/>
              <w:szCs w:val="19"/>
              <w:highlight w:val="none"/>
            </w:rPr>
            <w:t>4.</w:t>
          </w:r>
          <w:r>
            <w:rPr>
              <w:spacing w:val="21"/>
              <w:w w:val="101"/>
              <w:position w:val="1"/>
              <w:sz w:val="19"/>
              <w:szCs w:val="19"/>
              <w:highlight w:val="none"/>
            </w:rPr>
            <w:t xml:space="preserve"> </w:t>
          </w:r>
          <w:r>
            <w:rPr>
              <w:rFonts w:ascii="黑体" w:hAnsi="黑体" w:eastAsia="黑体" w:cs="黑体"/>
              <w:spacing w:val="11"/>
              <w:position w:val="1"/>
              <w:sz w:val="19"/>
              <w:szCs w:val="19"/>
              <w:highlight w:val="none"/>
            </w:rPr>
            <w:t>承包人</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1"/>
              <w:position w:val="1"/>
              <w:sz w:val="19"/>
              <w:szCs w:val="19"/>
              <w:highlight w:val="none"/>
            </w:rPr>
            <w:t xml:space="preserve"> </w:t>
          </w:r>
          <w:r>
            <w:rPr>
              <w:spacing w:val="-2"/>
              <w:position w:val="1"/>
              <w:sz w:val="17"/>
              <w:szCs w:val="17"/>
              <w:highlight w:val="none"/>
            </w:rPr>
            <w:t>215</w:t>
          </w:r>
          <w:r>
            <w:rPr>
              <w:spacing w:val="-2"/>
              <w:position w:val="1"/>
              <w:sz w:val="17"/>
              <w:szCs w:val="17"/>
              <w:highlight w:val="none"/>
            </w:rPr>
            <w:fldChar w:fldCharType="end"/>
          </w:r>
        </w:p>
        <w:p w14:paraId="1676ADDC">
          <w:pPr>
            <w:pStyle w:val="2"/>
            <w:tabs>
              <w:tab w:val="right" w:leader="dot" w:pos="8267"/>
            </w:tabs>
            <w:spacing w:before="31" w:line="259" w:lineRule="exact"/>
            <w:ind w:left="200"/>
            <w:rPr>
              <w:sz w:val="17"/>
              <w:szCs w:val="17"/>
              <w:highlight w:val="none"/>
            </w:rPr>
          </w:pPr>
          <w:r>
            <w:rPr>
              <w:highlight w:val="none"/>
            </w:rPr>
            <w:fldChar w:fldCharType="begin"/>
          </w:r>
          <w:r>
            <w:rPr>
              <w:highlight w:val="none"/>
            </w:rPr>
            <w:instrText xml:space="preserve"> HYPERLINK \l "bookmark126" </w:instrText>
          </w:r>
          <w:r>
            <w:rPr>
              <w:highlight w:val="none"/>
            </w:rPr>
            <w:fldChar w:fldCharType="separate"/>
          </w:r>
          <w:r>
            <w:rPr>
              <w:spacing w:val="-9"/>
              <w:position w:val="1"/>
              <w:sz w:val="19"/>
              <w:szCs w:val="19"/>
              <w:highlight w:val="none"/>
            </w:rPr>
            <w:t>5</w:t>
          </w:r>
          <w:r>
            <w:rPr>
              <w:spacing w:val="21"/>
              <w:position w:val="1"/>
              <w:sz w:val="19"/>
              <w:szCs w:val="19"/>
              <w:highlight w:val="none"/>
            </w:rPr>
            <w:t xml:space="preserve"> </w:t>
          </w:r>
          <w:r>
            <w:rPr>
              <w:rFonts w:ascii="黑体" w:hAnsi="黑体" w:eastAsia="黑体" w:cs="黑体"/>
              <w:spacing w:val="-9"/>
              <w:position w:val="1"/>
              <w:sz w:val="19"/>
              <w:szCs w:val="19"/>
              <w:highlight w:val="none"/>
            </w:rPr>
            <w:t>设</w:t>
          </w:r>
          <w:r>
            <w:rPr>
              <w:rFonts w:ascii="黑体" w:hAnsi="黑体" w:eastAsia="黑体" w:cs="黑体"/>
              <w:spacing w:val="-29"/>
              <w:position w:val="1"/>
              <w:sz w:val="19"/>
              <w:szCs w:val="19"/>
              <w:highlight w:val="none"/>
            </w:rPr>
            <w:t xml:space="preserve"> </w:t>
          </w:r>
          <w:r>
            <w:rPr>
              <w:rFonts w:ascii="黑体" w:hAnsi="黑体" w:eastAsia="黑体" w:cs="黑体"/>
              <w:spacing w:val="-9"/>
              <w:position w:val="1"/>
              <w:sz w:val="19"/>
              <w:szCs w:val="19"/>
              <w:highlight w:val="none"/>
            </w:rPr>
            <w:t>计</w:t>
          </w:r>
          <w:r>
            <w:rPr>
              <w:rFonts w:ascii="黑体" w:hAnsi="黑体" w:eastAsia="黑体" w:cs="黑体"/>
              <w:spacing w:val="-75"/>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7"/>
              <w:szCs w:val="17"/>
              <w:highlight w:val="none"/>
            </w:rPr>
            <w:t>215</w:t>
          </w:r>
          <w:r>
            <w:rPr>
              <w:spacing w:val="1"/>
              <w:position w:val="1"/>
              <w:sz w:val="17"/>
              <w:szCs w:val="17"/>
              <w:highlight w:val="none"/>
            </w:rPr>
            <w:fldChar w:fldCharType="end"/>
          </w:r>
        </w:p>
        <w:p w14:paraId="0C5B92AF">
          <w:pPr>
            <w:pStyle w:val="2"/>
            <w:tabs>
              <w:tab w:val="right" w:leader="dot" w:pos="8257"/>
            </w:tabs>
            <w:spacing w:before="71" w:line="259" w:lineRule="exact"/>
            <w:ind w:left="200"/>
            <w:rPr>
              <w:sz w:val="17"/>
              <w:szCs w:val="17"/>
              <w:highlight w:val="none"/>
            </w:rPr>
          </w:pPr>
          <w:r>
            <w:rPr>
              <w:highlight w:val="none"/>
            </w:rPr>
            <w:fldChar w:fldCharType="begin"/>
          </w:r>
          <w:r>
            <w:rPr>
              <w:highlight w:val="none"/>
            </w:rPr>
            <w:instrText xml:space="preserve"> HYPERLINK \l "bookmark127" </w:instrText>
          </w:r>
          <w:r>
            <w:rPr>
              <w:highlight w:val="none"/>
            </w:rPr>
            <w:fldChar w:fldCharType="separate"/>
          </w:r>
          <w:r>
            <w:rPr>
              <w:spacing w:val="8"/>
              <w:position w:val="1"/>
              <w:sz w:val="19"/>
              <w:szCs w:val="19"/>
              <w:highlight w:val="none"/>
            </w:rPr>
            <w:t>6.</w:t>
          </w:r>
          <w:r>
            <w:rPr>
              <w:spacing w:val="32"/>
              <w:position w:val="1"/>
              <w:sz w:val="19"/>
              <w:szCs w:val="19"/>
              <w:highlight w:val="none"/>
            </w:rPr>
            <w:t xml:space="preserve"> </w:t>
          </w:r>
          <w:r>
            <w:rPr>
              <w:rFonts w:ascii="黑体" w:hAnsi="黑体" w:eastAsia="黑体" w:cs="黑体"/>
              <w:spacing w:val="8"/>
              <w:position w:val="1"/>
              <w:sz w:val="19"/>
              <w:szCs w:val="19"/>
              <w:highlight w:val="none"/>
            </w:rPr>
            <w:t>材料和工程设备</w:t>
          </w:r>
          <w:r>
            <w:rPr>
              <w:rFonts w:ascii="黑体" w:hAnsi="黑体" w:eastAsia="黑体" w:cs="黑体"/>
              <w:spacing w:val="-72"/>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41"/>
              <w:position w:val="1"/>
              <w:sz w:val="19"/>
              <w:szCs w:val="19"/>
              <w:highlight w:val="none"/>
            </w:rPr>
            <w:t xml:space="preserve"> </w:t>
          </w:r>
          <w:r>
            <w:rPr>
              <w:spacing w:val="-2"/>
              <w:position w:val="1"/>
              <w:sz w:val="17"/>
              <w:szCs w:val="17"/>
              <w:highlight w:val="none"/>
            </w:rPr>
            <w:t>216</w:t>
          </w:r>
          <w:r>
            <w:rPr>
              <w:spacing w:val="-2"/>
              <w:position w:val="1"/>
              <w:sz w:val="17"/>
              <w:szCs w:val="17"/>
              <w:highlight w:val="none"/>
            </w:rPr>
            <w:fldChar w:fldCharType="end"/>
          </w:r>
        </w:p>
      </w:sdtContent>
    </w:sdt>
    <w:p w14:paraId="38F4FEF0">
      <w:pPr>
        <w:pStyle w:val="2"/>
        <w:spacing w:line="293" w:lineRule="auto"/>
        <w:rPr>
          <w:highlight w:val="none"/>
        </w:rPr>
      </w:pPr>
    </w:p>
    <w:p w14:paraId="7FD70CE8">
      <w:pPr>
        <w:spacing w:before="49" w:line="185" w:lineRule="auto"/>
        <w:ind w:left="4070"/>
        <w:rPr>
          <w:rFonts w:ascii="Times New Roman" w:hAnsi="Times New Roman" w:eastAsia="Times New Roman" w:cs="Times New Roman"/>
          <w:sz w:val="17"/>
          <w:szCs w:val="17"/>
          <w:highlight w:val="none"/>
        </w:rPr>
      </w:pPr>
      <w:r>
        <w:rPr>
          <w:rFonts w:ascii="Times New Roman" w:hAnsi="Times New Roman" w:eastAsia="Times New Roman" w:cs="Times New Roman"/>
          <w:spacing w:val="-5"/>
          <w:w w:val="72"/>
          <w:sz w:val="17"/>
          <w:szCs w:val="17"/>
          <w:highlight w:val="none"/>
        </w:rPr>
        <w:t>IⅢI</w:t>
      </w:r>
    </w:p>
    <w:p w14:paraId="057131B5">
      <w:pPr>
        <w:spacing w:line="185" w:lineRule="auto"/>
        <w:rPr>
          <w:rFonts w:ascii="Times New Roman" w:hAnsi="Times New Roman" w:eastAsia="Times New Roman" w:cs="Times New Roman"/>
          <w:sz w:val="17"/>
          <w:szCs w:val="17"/>
          <w:highlight w:val="none"/>
        </w:rPr>
        <w:sectPr>
          <w:pgSz w:w="11910" w:h="16840"/>
          <w:pgMar w:top="400" w:right="1786" w:bottom="400" w:left="1779" w:header="0" w:footer="0" w:gutter="0"/>
          <w:cols w:space="720" w:num="1"/>
        </w:sectPr>
      </w:pPr>
    </w:p>
    <w:p w14:paraId="2A8378AF">
      <w:pPr>
        <w:pStyle w:val="2"/>
        <w:spacing w:line="248" w:lineRule="auto"/>
        <w:rPr>
          <w:highlight w:val="none"/>
        </w:rPr>
      </w:pPr>
    </w:p>
    <w:p w14:paraId="44BEBA1F">
      <w:pPr>
        <w:pStyle w:val="2"/>
        <w:spacing w:line="248" w:lineRule="auto"/>
        <w:rPr>
          <w:highlight w:val="none"/>
        </w:rPr>
      </w:pPr>
    </w:p>
    <w:p w14:paraId="04A650D0">
      <w:pPr>
        <w:pStyle w:val="2"/>
        <w:spacing w:line="249" w:lineRule="auto"/>
        <w:rPr>
          <w:highlight w:val="none"/>
        </w:rPr>
      </w:pPr>
    </w:p>
    <w:p w14:paraId="3D6BC010">
      <w:pPr>
        <w:pStyle w:val="2"/>
        <w:spacing w:line="249" w:lineRule="auto"/>
        <w:rPr>
          <w:highlight w:val="none"/>
        </w:rPr>
      </w:pPr>
    </w:p>
    <w:sdt>
      <w:sdtPr>
        <w:rPr>
          <w:rFonts w:ascii="Arial" w:hAnsi="Arial" w:eastAsia="Arial" w:cs="Arial"/>
          <w:sz w:val="19"/>
          <w:szCs w:val="19"/>
          <w:highlight w:val="none"/>
        </w:rPr>
        <w:id w:val="147461631"/>
        <w:docPartObj>
          <w:docPartGallery w:val="Table of Contents"/>
          <w:docPartUnique/>
        </w:docPartObj>
      </w:sdtPr>
      <w:sdtEndPr>
        <w:rPr>
          <w:rFonts w:ascii="Arial" w:hAnsi="Arial" w:eastAsia="Arial" w:cs="Arial"/>
          <w:sz w:val="19"/>
          <w:szCs w:val="19"/>
          <w:highlight w:val="none"/>
        </w:rPr>
      </w:sdtEndPr>
      <w:sdtContent>
        <w:p w14:paraId="172A4B49">
          <w:pPr>
            <w:pStyle w:val="2"/>
            <w:tabs>
              <w:tab w:val="right" w:leader="dot" w:pos="8310"/>
            </w:tabs>
            <w:spacing w:before="62" w:line="259" w:lineRule="exact"/>
            <w:ind w:left="210"/>
            <w:rPr>
              <w:sz w:val="19"/>
              <w:szCs w:val="19"/>
              <w:highlight w:val="none"/>
            </w:rPr>
          </w:pPr>
          <w:r>
            <w:rPr>
              <w:highlight w:val="none"/>
            </w:rPr>
            <w:fldChar w:fldCharType="begin"/>
          </w:r>
          <w:r>
            <w:rPr>
              <w:highlight w:val="none"/>
            </w:rPr>
            <w:instrText xml:space="preserve"> HYPERLINK \l "bookmark128" </w:instrText>
          </w:r>
          <w:r>
            <w:rPr>
              <w:highlight w:val="none"/>
            </w:rPr>
            <w:fldChar w:fldCharType="separate"/>
          </w:r>
          <w:r>
            <w:rPr>
              <w:spacing w:val="10"/>
              <w:position w:val="1"/>
              <w:sz w:val="19"/>
              <w:szCs w:val="19"/>
              <w:highlight w:val="none"/>
            </w:rPr>
            <w:t>7.</w:t>
          </w:r>
          <w:r>
            <w:rPr>
              <w:spacing w:val="36"/>
              <w:w w:val="101"/>
              <w:position w:val="1"/>
              <w:sz w:val="19"/>
              <w:szCs w:val="19"/>
              <w:highlight w:val="none"/>
            </w:rPr>
            <w:t xml:space="preserve"> </w:t>
          </w:r>
          <w:r>
            <w:rPr>
              <w:rFonts w:ascii="黑体" w:hAnsi="黑体" w:eastAsia="黑体" w:cs="黑体"/>
              <w:spacing w:val="10"/>
              <w:position w:val="1"/>
              <w:sz w:val="19"/>
              <w:szCs w:val="19"/>
              <w:highlight w:val="none"/>
            </w:rPr>
            <w:t>施工设备和临时设施</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spacing w:val="5"/>
              <w:position w:val="1"/>
              <w:sz w:val="19"/>
              <w:szCs w:val="19"/>
              <w:highlight w:val="none"/>
            </w:rPr>
            <w:t>216</w:t>
          </w:r>
          <w:r>
            <w:rPr>
              <w:spacing w:val="5"/>
              <w:position w:val="1"/>
              <w:sz w:val="19"/>
              <w:szCs w:val="19"/>
              <w:highlight w:val="none"/>
            </w:rPr>
            <w:fldChar w:fldCharType="end"/>
          </w:r>
        </w:p>
        <w:p w14:paraId="3C264B66">
          <w:pPr>
            <w:pStyle w:val="2"/>
            <w:tabs>
              <w:tab w:val="right" w:leader="dot" w:pos="8300"/>
            </w:tabs>
            <w:spacing w:before="41" w:line="259" w:lineRule="exact"/>
            <w:ind w:left="210"/>
            <w:rPr>
              <w:sz w:val="19"/>
              <w:szCs w:val="19"/>
              <w:highlight w:val="none"/>
            </w:rPr>
          </w:pPr>
          <w:r>
            <w:rPr>
              <w:highlight w:val="none"/>
            </w:rPr>
            <w:fldChar w:fldCharType="begin"/>
          </w:r>
          <w:r>
            <w:rPr>
              <w:highlight w:val="none"/>
            </w:rPr>
            <w:instrText xml:space="preserve"> HYPERLINK \l "bookmark129" </w:instrText>
          </w:r>
          <w:r>
            <w:rPr>
              <w:highlight w:val="none"/>
            </w:rPr>
            <w:fldChar w:fldCharType="separate"/>
          </w:r>
          <w:r>
            <w:rPr>
              <w:spacing w:val="4"/>
              <w:position w:val="1"/>
              <w:sz w:val="19"/>
              <w:szCs w:val="19"/>
              <w:highlight w:val="none"/>
            </w:rPr>
            <w:t>8.</w:t>
          </w:r>
          <w:r>
            <w:rPr>
              <w:spacing w:val="39"/>
              <w:w w:val="101"/>
              <w:position w:val="1"/>
              <w:sz w:val="19"/>
              <w:szCs w:val="19"/>
              <w:highlight w:val="none"/>
            </w:rPr>
            <w:t xml:space="preserve"> </w:t>
          </w:r>
          <w:r>
            <w:rPr>
              <w:rFonts w:ascii="黑体" w:hAnsi="黑体" w:eastAsia="黑体" w:cs="黑体"/>
              <w:spacing w:val="4"/>
              <w:position w:val="1"/>
              <w:sz w:val="19"/>
              <w:szCs w:val="19"/>
              <w:highlight w:val="none"/>
            </w:rPr>
            <w:t>交通运输</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1"/>
              <w:position w:val="1"/>
              <w:sz w:val="19"/>
              <w:szCs w:val="19"/>
              <w:highlight w:val="none"/>
            </w:rPr>
            <w:t xml:space="preserve"> </w:t>
          </w:r>
          <w:r>
            <w:rPr>
              <w:spacing w:val="-2"/>
              <w:position w:val="1"/>
              <w:sz w:val="19"/>
              <w:szCs w:val="19"/>
              <w:highlight w:val="none"/>
            </w:rPr>
            <w:t>217</w:t>
          </w:r>
          <w:r>
            <w:rPr>
              <w:spacing w:val="-2"/>
              <w:position w:val="1"/>
              <w:sz w:val="19"/>
              <w:szCs w:val="19"/>
              <w:highlight w:val="none"/>
            </w:rPr>
            <w:fldChar w:fldCharType="end"/>
          </w:r>
        </w:p>
        <w:p w14:paraId="1CC71B16">
          <w:pPr>
            <w:pStyle w:val="2"/>
            <w:tabs>
              <w:tab w:val="right" w:leader="dot" w:pos="8312"/>
            </w:tabs>
            <w:spacing w:before="192" w:line="222" w:lineRule="auto"/>
            <w:rPr>
              <w:sz w:val="19"/>
              <w:szCs w:val="19"/>
              <w:highlight w:val="none"/>
            </w:rPr>
          </w:pPr>
          <w:bookmarkStart w:id="0" w:name="bookmark130"/>
          <w:bookmarkEnd w:id="0"/>
          <w:r>
            <w:rPr>
              <w:highlight w:val="none"/>
            </w:rPr>
            <w:fldChar w:fldCharType="begin"/>
          </w:r>
          <w:r>
            <w:rPr>
              <w:highlight w:val="none"/>
            </w:rPr>
            <w:instrText xml:space="preserve"> HYPERLINK \l "bookmark131" </w:instrText>
          </w:r>
          <w:r>
            <w:rPr>
              <w:highlight w:val="none"/>
            </w:rPr>
            <w:fldChar w:fldCharType="separate"/>
          </w:r>
          <w:r>
            <w:rPr>
              <w:b/>
              <w:bCs/>
              <w:spacing w:val="-10"/>
              <w:highlight w:val="none"/>
            </w:rPr>
            <w:t xml:space="preserve">8.2.1    </w:t>
          </w:r>
          <w:r>
            <w:rPr>
              <w:rFonts w:ascii="黑体" w:hAnsi="黑体" w:eastAsia="黑体" w:cs="黑体"/>
              <w:b/>
              <w:bCs/>
              <w:spacing w:val="-10"/>
              <w:highlight w:val="none"/>
            </w:rPr>
            <w:t>场内施工道路的修建：</w:t>
          </w:r>
          <w:r>
            <w:rPr>
              <w:rFonts w:ascii="黑体" w:hAnsi="黑体" w:eastAsia="黑体" w:cs="黑体"/>
              <w:highlight w:val="none"/>
            </w:rPr>
            <w:tab/>
          </w:r>
          <w:r>
            <w:rPr>
              <w:b/>
              <w:bCs/>
              <w:spacing w:val="1"/>
              <w:sz w:val="19"/>
              <w:szCs w:val="19"/>
              <w:highlight w:val="none"/>
            </w:rPr>
            <w:t>217</w:t>
          </w:r>
          <w:r>
            <w:rPr>
              <w:b/>
              <w:bCs/>
              <w:spacing w:val="1"/>
              <w:sz w:val="19"/>
              <w:szCs w:val="19"/>
              <w:highlight w:val="none"/>
            </w:rPr>
            <w:fldChar w:fldCharType="end"/>
          </w:r>
        </w:p>
        <w:p w14:paraId="64E9AA59">
          <w:pPr>
            <w:pStyle w:val="2"/>
            <w:tabs>
              <w:tab w:val="right" w:leader="dot" w:pos="8300"/>
            </w:tabs>
            <w:spacing w:before="143" w:line="259" w:lineRule="exact"/>
            <w:ind w:left="210"/>
            <w:rPr>
              <w:sz w:val="19"/>
              <w:szCs w:val="19"/>
              <w:highlight w:val="none"/>
            </w:rPr>
          </w:pPr>
          <w:r>
            <w:rPr>
              <w:highlight w:val="none"/>
            </w:rPr>
            <w:fldChar w:fldCharType="begin"/>
          </w:r>
          <w:r>
            <w:rPr>
              <w:highlight w:val="none"/>
            </w:rPr>
            <w:instrText xml:space="preserve"> HYPERLINK \l "bookmark132" </w:instrText>
          </w:r>
          <w:r>
            <w:rPr>
              <w:highlight w:val="none"/>
            </w:rPr>
            <w:fldChar w:fldCharType="separate"/>
          </w:r>
          <w:r>
            <w:rPr>
              <w:spacing w:val="9"/>
              <w:position w:val="1"/>
              <w:sz w:val="19"/>
              <w:szCs w:val="19"/>
              <w:highlight w:val="none"/>
            </w:rPr>
            <w:t>9.</w:t>
          </w:r>
          <w:r>
            <w:rPr>
              <w:spacing w:val="29"/>
              <w:w w:val="101"/>
              <w:position w:val="1"/>
              <w:sz w:val="19"/>
              <w:szCs w:val="19"/>
              <w:highlight w:val="none"/>
            </w:rPr>
            <w:t xml:space="preserve"> </w:t>
          </w:r>
          <w:r>
            <w:rPr>
              <w:rFonts w:ascii="黑体" w:hAnsi="黑体" w:eastAsia="黑体" w:cs="黑体"/>
              <w:spacing w:val="9"/>
              <w:position w:val="1"/>
              <w:sz w:val="19"/>
              <w:szCs w:val="19"/>
              <w:highlight w:val="none"/>
            </w:rPr>
            <w:t>测量放线</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21"/>
              <w:position w:val="1"/>
              <w:sz w:val="19"/>
              <w:szCs w:val="19"/>
              <w:highlight w:val="none"/>
            </w:rPr>
            <w:t xml:space="preserve"> </w:t>
          </w:r>
          <w:r>
            <w:rPr>
              <w:spacing w:val="-2"/>
              <w:position w:val="1"/>
              <w:sz w:val="19"/>
              <w:szCs w:val="19"/>
              <w:highlight w:val="none"/>
            </w:rPr>
            <w:t>217</w:t>
          </w:r>
          <w:r>
            <w:rPr>
              <w:spacing w:val="-2"/>
              <w:position w:val="1"/>
              <w:sz w:val="19"/>
              <w:szCs w:val="19"/>
              <w:highlight w:val="none"/>
            </w:rPr>
            <w:fldChar w:fldCharType="end"/>
          </w:r>
        </w:p>
        <w:p w14:paraId="3369B4BF">
          <w:pPr>
            <w:pStyle w:val="2"/>
            <w:tabs>
              <w:tab w:val="right" w:leader="dot" w:pos="8300"/>
            </w:tabs>
            <w:spacing w:before="91" w:line="217" w:lineRule="auto"/>
            <w:ind w:left="210"/>
            <w:rPr>
              <w:sz w:val="19"/>
              <w:szCs w:val="19"/>
              <w:highlight w:val="none"/>
            </w:rPr>
          </w:pPr>
          <w:r>
            <w:rPr>
              <w:highlight w:val="none"/>
            </w:rPr>
            <w:fldChar w:fldCharType="begin"/>
          </w:r>
          <w:r>
            <w:rPr>
              <w:highlight w:val="none"/>
            </w:rPr>
            <w:instrText xml:space="preserve"> HYPERLINK \l "bookmark133" </w:instrText>
          </w:r>
          <w:r>
            <w:rPr>
              <w:highlight w:val="none"/>
            </w:rPr>
            <w:fldChar w:fldCharType="separate"/>
          </w:r>
          <w:r>
            <w:rPr>
              <w:spacing w:val="-4"/>
              <w:sz w:val="19"/>
              <w:szCs w:val="19"/>
              <w:highlight w:val="none"/>
            </w:rPr>
            <w:t>11.</w:t>
          </w:r>
          <w:r>
            <w:rPr>
              <w:spacing w:val="17"/>
              <w:w w:val="101"/>
              <w:sz w:val="19"/>
              <w:szCs w:val="19"/>
              <w:highlight w:val="none"/>
            </w:rPr>
            <w:t xml:space="preserve"> </w:t>
          </w:r>
          <w:r>
            <w:rPr>
              <w:rFonts w:ascii="黑体" w:hAnsi="黑体" w:eastAsia="黑体" w:cs="黑体"/>
              <w:spacing w:val="-4"/>
              <w:sz w:val="19"/>
              <w:szCs w:val="19"/>
              <w:highlight w:val="none"/>
            </w:rPr>
            <w:t>开工和竣_工</w:t>
          </w:r>
          <w:r>
            <w:rPr>
              <w:rFonts w:ascii="黑体" w:hAnsi="黑体" w:eastAsia="黑体" w:cs="黑体"/>
              <w:spacing w:val="-70"/>
              <w:sz w:val="19"/>
              <w:szCs w:val="19"/>
              <w:highlight w:val="none"/>
            </w:rPr>
            <w:t xml:space="preserve"> </w:t>
          </w:r>
          <w:r>
            <w:rPr>
              <w:rFonts w:ascii="黑体" w:hAnsi="黑体" w:eastAsia="黑体" w:cs="黑体"/>
              <w:sz w:val="19"/>
              <w:szCs w:val="19"/>
              <w:highlight w:val="none"/>
            </w:rPr>
            <w:tab/>
          </w:r>
          <w:r>
            <w:rPr>
              <w:spacing w:val="1"/>
              <w:sz w:val="19"/>
              <w:szCs w:val="19"/>
              <w:highlight w:val="none"/>
            </w:rPr>
            <w:t>217</w:t>
          </w:r>
          <w:r>
            <w:rPr>
              <w:spacing w:val="1"/>
              <w:sz w:val="19"/>
              <w:szCs w:val="19"/>
              <w:highlight w:val="none"/>
            </w:rPr>
            <w:fldChar w:fldCharType="end"/>
          </w:r>
        </w:p>
        <w:p w14:paraId="340927E8">
          <w:pPr>
            <w:pStyle w:val="2"/>
            <w:tabs>
              <w:tab w:val="right" w:leader="dot" w:pos="8310"/>
            </w:tabs>
            <w:spacing w:before="80" w:line="259" w:lineRule="exact"/>
            <w:ind w:left="210"/>
            <w:rPr>
              <w:sz w:val="19"/>
              <w:szCs w:val="19"/>
              <w:highlight w:val="none"/>
            </w:rPr>
          </w:pPr>
          <w:r>
            <w:rPr>
              <w:highlight w:val="none"/>
            </w:rPr>
            <w:fldChar w:fldCharType="begin"/>
          </w:r>
          <w:r>
            <w:rPr>
              <w:highlight w:val="none"/>
            </w:rPr>
            <w:instrText xml:space="preserve"> HYPERLINK \l "bookmark134" </w:instrText>
          </w:r>
          <w:r>
            <w:rPr>
              <w:highlight w:val="none"/>
            </w:rPr>
            <w:fldChar w:fldCharType="separate"/>
          </w:r>
          <w:r>
            <w:rPr>
              <w:spacing w:val="-5"/>
              <w:position w:val="1"/>
              <w:sz w:val="19"/>
              <w:szCs w:val="19"/>
              <w:highlight w:val="none"/>
            </w:rPr>
            <w:t>12.</w:t>
          </w:r>
          <w:r>
            <w:rPr>
              <w:spacing w:val="33"/>
              <w:w w:val="101"/>
              <w:position w:val="1"/>
              <w:sz w:val="19"/>
              <w:szCs w:val="19"/>
              <w:highlight w:val="none"/>
            </w:rPr>
            <w:t xml:space="preserve"> </w:t>
          </w:r>
          <w:r>
            <w:rPr>
              <w:rFonts w:ascii="黑体" w:hAnsi="黑体" w:eastAsia="黑体" w:cs="黑体"/>
              <w:spacing w:val="-5"/>
              <w:position w:val="1"/>
              <w:sz w:val="19"/>
              <w:szCs w:val="19"/>
              <w:highlight w:val="none"/>
            </w:rPr>
            <w:t>暂停施工</w:t>
          </w:r>
          <w:r>
            <w:rPr>
              <w:rFonts w:ascii="黑体" w:hAnsi="黑体" w:eastAsia="黑体" w:cs="黑体"/>
              <w:spacing w:val="-61"/>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41"/>
              <w:position w:val="1"/>
              <w:sz w:val="19"/>
              <w:szCs w:val="19"/>
              <w:highlight w:val="none"/>
            </w:rPr>
            <w:t xml:space="preserve"> </w:t>
          </w:r>
          <w:r>
            <w:rPr>
              <w:spacing w:val="-2"/>
              <w:position w:val="1"/>
              <w:sz w:val="19"/>
              <w:szCs w:val="19"/>
              <w:highlight w:val="none"/>
            </w:rPr>
            <w:t>218</w:t>
          </w:r>
          <w:r>
            <w:rPr>
              <w:spacing w:val="-2"/>
              <w:position w:val="1"/>
              <w:sz w:val="19"/>
              <w:szCs w:val="19"/>
              <w:highlight w:val="none"/>
            </w:rPr>
            <w:fldChar w:fldCharType="end"/>
          </w:r>
        </w:p>
        <w:p w14:paraId="3463D0CF">
          <w:pPr>
            <w:pStyle w:val="2"/>
            <w:tabs>
              <w:tab w:val="right" w:leader="dot" w:pos="8310"/>
            </w:tabs>
            <w:spacing w:before="39" w:line="259" w:lineRule="exact"/>
            <w:ind w:left="210"/>
            <w:rPr>
              <w:sz w:val="19"/>
              <w:szCs w:val="19"/>
              <w:highlight w:val="none"/>
            </w:rPr>
          </w:pPr>
          <w:r>
            <w:rPr>
              <w:highlight w:val="none"/>
            </w:rPr>
            <w:fldChar w:fldCharType="begin"/>
          </w:r>
          <w:r>
            <w:rPr>
              <w:highlight w:val="none"/>
            </w:rPr>
            <w:instrText xml:space="preserve"> HYPERLINK \l "bookmark135" </w:instrText>
          </w:r>
          <w:r>
            <w:rPr>
              <w:highlight w:val="none"/>
            </w:rPr>
            <w:fldChar w:fldCharType="separate"/>
          </w:r>
          <w:r>
            <w:rPr>
              <w:spacing w:val="2"/>
              <w:position w:val="1"/>
              <w:sz w:val="19"/>
              <w:szCs w:val="19"/>
              <w:highlight w:val="none"/>
            </w:rPr>
            <w:t>15.</w:t>
          </w:r>
          <w:r>
            <w:rPr>
              <w:spacing w:val="33"/>
              <w:w w:val="101"/>
              <w:position w:val="1"/>
              <w:sz w:val="19"/>
              <w:szCs w:val="19"/>
              <w:highlight w:val="none"/>
            </w:rPr>
            <w:t xml:space="preserve"> </w:t>
          </w:r>
          <w:r>
            <w:rPr>
              <w:rFonts w:ascii="黑体" w:hAnsi="黑体" w:eastAsia="黑体" w:cs="黑体"/>
              <w:spacing w:val="2"/>
              <w:position w:val="1"/>
              <w:sz w:val="19"/>
              <w:szCs w:val="19"/>
              <w:highlight w:val="none"/>
            </w:rPr>
            <w:t>变更</w:t>
          </w:r>
          <w:r>
            <w:rPr>
              <w:rFonts w:ascii="黑体" w:hAnsi="黑体" w:eastAsia="黑体" w:cs="黑体"/>
              <w:spacing w:val="-77"/>
              <w:position w:val="1"/>
              <w:sz w:val="19"/>
              <w:szCs w:val="19"/>
              <w:highlight w:val="none"/>
            </w:rPr>
            <w:t xml:space="preserve"> </w:t>
          </w:r>
          <w:r>
            <w:rPr>
              <w:rFonts w:ascii="黑体" w:hAnsi="黑体" w:eastAsia="黑体" w:cs="黑体"/>
              <w:position w:val="1"/>
              <w:sz w:val="19"/>
              <w:szCs w:val="19"/>
              <w:highlight w:val="none"/>
            </w:rPr>
            <w:tab/>
          </w:r>
          <w:r>
            <w:rPr>
              <w:spacing w:val="5"/>
              <w:position w:val="1"/>
              <w:sz w:val="19"/>
              <w:szCs w:val="19"/>
              <w:highlight w:val="none"/>
            </w:rPr>
            <w:t>218</w:t>
          </w:r>
          <w:r>
            <w:rPr>
              <w:spacing w:val="5"/>
              <w:position w:val="1"/>
              <w:sz w:val="19"/>
              <w:szCs w:val="19"/>
              <w:highlight w:val="none"/>
            </w:rPr>
            <w:fldChar w:fldCharType="end"/>
          </w:r>
        </w:p>
        <w:p w14:paraId="6064945A">
          <w:pPr>
            <w:pStyle w:val="2"/>
            <w:tabs>
              <w:tab w:val="right" w:leader="dot" w:pos="8310"/>
            </w:tabs>
            <w:spacing w:before="71" w:line="259" w:lineRule="exact"/>
            <w:ind w:left="210"/>
            <w:rPr>
              <w:sz w:val="19"/>
              <w:szCs w:val="19"/>
              <w:highlight w:val="none"/>
            </w:rPr>
          </w:pPr>
          <w:r>
            <w:rPr>
              <w:highlight w:val="none"/>
            </w:rPr>
            <w:fldChar w:fldCharType="begin"/>
          </w:r>
          <w:r>
            <w:rPr>
              <w:highlight w:val="none"/>
            </w:rPr>
            <w:instrText xml:space="preserve"> HYPERLINK \l "bookmark136" </w:instrText>
          </w:r>
          <w:r>
            <w:rPr>
              <w:highlight w:val="none"/>
            </w:rPr>
            <w:fldChar w:fldCharType="separate"/>
          </w:r>
          <w:r>
            <w:rPr>
              <w:spacing w:val="6"/>
              <w:position w:val="1"/>
              <w:sz w:val="19"/>
              <w:szCs w:val="19"/>
              <w:highlight w:val="none"/>
            </w:rPr>
            <w:t>16.</w:t>
          </w:r>
          <w:r>
            <w:rPr>
              <w:spacing w:val="28"/>
              <w:w w:val="101"/>
              <w:position w:val="1"/>
              <w:sz w:val="19"/>
              <w:szCs w:val="19"/>
              <w:highlight w:val="none"/>
            </w:rPr>
            <w:t xml:space="preserve"> </w:t>
          </w:r>
          <w:r>
            <w:rPr>
              <w:rFonts w:ascii="黑体" w:hAnsi="黑体" w:eastAsia="黑体" w:cs="黑体"/>
              <w:spacing w:val="6"/>
              <w:position w:val="1"/>
              <w:sz w:val="19"/>
              <w:szCs w:val="19"/>
              <w:highlight w:val="none"/>
            </w:rPr>
            <w:t>价格调整</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spacing w:val="-3"/>
              <w:position w:val="1"/>
              <w:sz w:val="19"/>
              <w:szCs w:val="19"/>
              <w:highlight w:val="none"/>
            </w:rPr>
            <w:t>218</w:t>
          </w:r>
          <w:r>
            <w:rPr>
              <w:spacing w:val="-3"/>
              <w:position w:val="1"/>
              <w:sz w:val="19"/>
              <w:szCs w:val="19"/>
              <w:highlight w:val="none"/>
            </w:rPr>
            <w:fldChar w:fldCharType="end"/>
          </w:r>
        </w:p>
        <w:p w14:paraId="20867F7E">
          <w:pPr>
            <w:pStyle w:val="2"/>
            <w:tabs>
              <w:tab w:val="right" w:leader="dot" w:pos="8310"/>
            </w:tabs>
            <w:spacing w:before="43" w:line="259" w:lineRule="exact"/>
            <w:ind w:left="210"/>
            <w:rPr>
              <w:sz w:val="19"/>
              <w:szCs w:val="19"/>
              <w:highlight w:val="none"/>
            </w:rPr>
          </w:pPr>
          <w:r>
            <w:rPr>
              <w:highlight w:val="none"/>
            </w:rPr>
            <w:fldChar w:fldCharType="begin"/>
          </w:r>
          <w:r>
            <w:rPr>
              <w:highlight w:val="none"/>
            </w:rPr>
            <w:instrText xml:space="preserve"> HYPERLINK \l "bookmark137" </w:instrText>
          </w:r>
          <w:r>
            <w:rPr>
              <w:highlight w:val="none"/>
            </w:rPr>
            <w:fldChar w:fldCharType="separate"/>
          </w:r>
          <w:r>
            <w:rPr>
              <w:spacing w:val="9"/>
              <w:position w:val="1"/>
              <w:sz w:val="19"/>
              <w:szCs w:val="19"/>
              <w:highlight w:val="none"/>
            </w:rPr>
            <w:t>17.</w:t>
          </w:r>
          <w:r>
            <w:rPr>
              <w:spacing w:val="30"/>
              <w:w w:val="101"/>
              <w:position w:val="1"/>
              <w:sz w:val="19"/>
              <w:szCs w:val="19"/>
              <w:highlight w:val="none"/>
            </w:rPr>
            <w:t xml:space="preserve"> </w:t>
          </w:r>
          <w:r>
            <w:rPr>
              <w:rFonts w:ascii="黑体" w:hAnsi="黑体" w:eastAsia="黑体" w:cs="黑体"/>
              <w:spacing w:val="9"/>
              <w:position w:val="1"/>
              <w:sz w:val="19"/>
              <w:szCs w:val="19"/>
              <w:highlight w:val="none"/>
            </w:rPr>
            <w:t>计量与支付</w:t>
          </w:r>
          <w:r>
            <w:rPr>
              <w:rFonts w:ascii="黑体" w:hAnsi="黑体" w:eastAsia="黑体" w:cs="黑体"/>
              <w:spacing w:val="-76"/>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218</w:t>
          </w:r>
          <w:r>
            <w:rPr>
              <w:spacing w:val="1"/>
              <w:position w:val="1"/>
              <w:sz w:val="19"/>
              <w:szCs w:val="19"/>
              <w:highlight w:val="none"/>
            </w:rPr>
            <w:fldChar w:fldCharType="end"/>
          </w:r>
        </w:p>
        <w:p w14:paraId="0A9EDFD1">
          <w:pPr>
            <w:pStyle w:val="2"/>
            <w:tabs>
              <w:tab w:val="right" w:leader="dot" w:pos="8312"/>
            </w:tabs>
            <w:spacing w:before="191" w:line="222" w:lineRule="auto"/>
            <w:rPr>
              <w:sz w:val="19"/>
              <w:szCs w:val="19"/>
              <w:highlight w:val="none"/>
            </w:rPr>
          </w:pPr>
          <w:r>
            <w:rPr>
              <w:highlight w:val="none"/>
            </w:rPr>
            <w:fldChar w:fldCharType="begin"/>
          </w:r>
          <w:r>
            <w:rPr>
              <w:highlight w:val="none"/>
            </w:rPr>
            <w:instrText xml:space="preserve"> HYPERLINK \l "bookmark138" </w:instrText>
          </w:r>
          <w:r>
            <w:rPr>
              <w:highlight w:val="none"/>
            </w:rPr>
            <w:fldChar w:fldCharType="separate"/>
          </w:r>
          <w:r>
            <w:rPr>
              <w:b/>
              <w:bCs/>
              <w:spacing w:val="-5"/>
              <w:highlight w:val="none"/>
            </w:rPr>
            <w:t xml:space="preserve">17.2.2  </w:t>
          </w:r>
          <w:r>
            <w:rPr>
              <w:rFonts w:ascii="黑体" w:hAnsi="黑体" w:eastAsia="黑体" w:cs="黑体"/>
              <w:b/>
              <w:bCs/>
              <w:spacing w:val="-5"/>
              <w:highlight w:val="none"/>
            </w:rPr>
            <w:t>预付款保函</w:t>
          </w:r>
          <w:r>
            <w:rPr>
              <w:rFonts w:ascii="黑体" w:hAnsi="黑体" w:eastAsia="黑体" w:cs="黑体"/>
              <w:spacing w:val="-83"/>
              <w:highlight w:val="none"/>
            </w:rPr>
            <w:t xml:space="preserve"> </w:t>
          </w:r>
          <w:r>
            <w:rPr>
              <w:rFonts w:ascii="黑体" w:hAnsi="黑体" w:eastAsia="黑体" w:cs="黑体"/>
              <w:highlight w:val="none"/>
            </w:rPr>
            <w:tab/>
          </w:r>
          <w:r>
            <w:rPr>
              <w:b/>
              <w:bCs/>
              <w:spacing w:val="-1"/>
              <w:sz w:val="19"/>
              <w:szCs w:val="19"/>
              <w:highlight w:val="none"/>
            </w:rPr>
            <w:t>218</w:t>
          </w:r>
          <w:r>
            <w:rPr>
              <w:b/>
              <w:bCs/>
              <w:spacing w:val="-1"/>
              <w:sz w:val="19"/>
              <w:szCs w:val="19"/>
              <w:highlight w:val="none"/>
            </w:rPr>
            <w:fldChar w:fldCharType="end"/>
          </w:r>
        </w:p>
        <w:p w14:paraId="17DC4661">
          <w:pPr>
            <w:pStyle w:val="2"/>
            <w:tabs>
              <w:tab w:val="right" w:leader="dot" w:pos="8250"/>
            </w:tabs>
            <w:spacing w:before="155" w:line="259" w:lineRule="exact"/>
            <w:ind w:left="210"/>
            <w:rPr>
              <w:sz w:val="19"/>
              <w:szCs w:val="19"/>
              <w:highlight w:val="none"/>
            </w:rPr>
          </w:pPr>
          <w:r>
            <w:rPr>
              <w:highlight w:val="none"/>
            </w:rPr>
            <w:fldChar w:fldCharType="begin"/>
          </w:r>
          <w:r>
            <w:rPr>
              <w:highlight w:val="none"/>
            </w:rPr>
            <w:instrText xml:space="preserve"> HYPERLINK \l "bookmark139" </w:instrText>
          </w:r>
          <w:r>
            <w:rPr>
              <w:highlight w:val="none"/>
            </w:rPr>
            <w:fldChar w:fldCharType="separate"/>
          </w:r>
          <w:r>
            <w:rPr>
              <w:spacing w:val="7"/>
              <w:position w:val="1"/>
              <w:sz w:val="19"/>
              <w:szCs w:val="19"/>
              <w:highlight w:val="none"/>
            </w:rPr>
            <w:t>18.</w:t>
          </w:r>
          <w:r>
            <w:rPr>
              <w:spacing w:val="44"/>
              <w:position w:val="1"/>
              <w:sz w:val="19"/>
              <w:szCs w:val="19"/>
              <w:highlight w:val="none"/>
            </w:rPr>
            <w:t xml:space="preserve"> </w:t>
          </w:r>
          <w:r>
            <w:rPr>
              <w:rFonts w:ascii="黑体" w:hAnsi="黑体" w:eastAsia="黑体" w:cs="黑体"/>
              <w:spacing w:val="7"/>
              <w:position w:val="1"/>
              <w:sz w:val="19"/>
              <w:szCs w:val="19"/>
              <w:highlight w:val="none"/>
            </w:rPr>
            <w:t>竣工试验和竣工验收</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31"/>
              <w:position w:val="1"/>
              <w:sz w:val="19"/>
              <w:szCs w:val="19"/>
              <w:highlight w:val="none"/>
            </w:rPr>
            <w:t xml:space="preserve"> </w:t>
          </w:r>
          <w:r>
            <w:rPr>
              <w:spacing w:val="-2"/>
              <w:position w:val="1"/>
              <w:sz w:val="19"/>
              <w:szCs w:val="19"/>
              <w:highlight w:val="none"/>
            </w:rPr>
            <w:t>219</w:t>
          </w:r>
          <w:r>
            <w:rPr>
              <w:spacing w:val="-2"/>
              <w:position w:val="1"/>
              <w:sz w:val="19"/>
              <w:szCs w:val="19"/>
              <w:highlight w:val="none"/>
            </w:rPr>
            <w:fldChar w:fldCharType="end"/>
          </w:r>
        </w:p>
        <w:p w14:paraId="4F483DB5">
          <w:pPr>
            <w:pStyle w:val="2"/>
            <w:tabs>
              <w:tab w:val="right" w:leader="dot" w:pos="8310"/>
            </w:tabs>
            <w:spacing w:before="51" w:line="259" w:lineRule="exact"/>
            <w:ind w:left="210"/>
            <w:rPr>
              <w:sz w:val="19"/>
              <w:szCs w:val="19"/>
              <w:highlight w:val="none"/>
            </w:rPr>
          </w:pPr>
          <w:r>
            <w:rPr>
              <w:highlight w:val="none"/>
            </w:rPr>
            <w:fldChar w:fldCharType="begin"/>
          </w:r>
          <w:r>
            <w:rPr>
              <w:highlight w:val="none"/>
            </w:rPr>
            <w:instrText xml:space="preserve"> HYPERLINK \l "bookmark140" </w:instrText>
          </w:r>
          <w:r>
            <w:rPr>
              <w:highlight w:val="none"/>
            </w:rPr>
            <w:fldChar w:fldCharType="separate"/>
          </w:r>
          <w:r>
            <w:rPr>
              <w:spacing w:val="9"/>
              <w:position w:val="1"/>
              <w:sz w:val="19"/>
              <w:szCs w:val="19"/>
              <w:highlight w:val="none"/>
            </w:rPr>
            <w:t>19.</w:t>
          </w:r>
          <w:r>
            <w:rPr>
              <w:spacing w:val="34"/>
              <w:w w:val="101"/>
              <w:position w:val="1"/>
              <w:sz w:val="19"/>
              <w:szCs w:val="19"/>
              <w:highlight w:val="none"/>
            </w:rPr>
            <w:t xml:space="preserve"> </w:t>
          </w:r>
          <w:r>
            <w:rPr>
              <w:rFonts w:ascii="黑体" w:hAnsi="黑体" w:eastAsia="黑体" w:cs="黑体"/>
              <w:spacing w:val="9"/>
              <w:position w:val="1"/>
              <w:sz w:val="19"/>
              <w:szCs w:val="19"/>
              <w:highlight w:val="none"/>
            </w:rPr>
            <w:t>缺陷责任与保修责任</w:t>
          </w:r>
          <w:r>
            <w:rPr>
              <w:rFonts w:ascii="黑体" w:hAnsi="黑体" w:eastAsia="黑体" w:cs="黑体"/>
              <w:spacing w:val="-76"/>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219</w:t>
          </w:r>
          <w:r>
            <w:rPr>
              <w:spacing w:val="1"/>
              <w:position w:val="1"/>
              <w:sz w:val="19"/>
              <w:szCs w:val="19"/>
              <w:highlight w:val="none"/>
            </w:rPr>
            <w:fldChar w:fldCharType="end"/>
          </w:r>
        </w:p>
        <w:p w14:paraId="300C9920">
          <w:pPr>
            <w:pStyle w:val="2"/>
            <w:tabs>
              <w:tab w:val="right" w:leader="dot" w:pos="8310"/>
            </w:tabs>
            <w:spacing w:before="72" w:line="259" w:lineRule="exact"/>
            <w:ind w:left="210"/>
            <w:rPr>
              <w:sz w:val="19"/>
              <w:szCs w:val="19"/>
              <w:highlight w:val="none"/>
            </w:rPr>
          </w:pPr>
          <w:r>
            <w:rPr>
              <w:highlight w:val="none"/>
            </w:rPr>
            <w:fldChar w:fldCharType="begin"/>
          </w:r>
          <w:r>
            <w:rPr>
              <w:highlight w:val="none"/>
            </w:rPr>
            <w:instrText xml:space="preserve"> HYPERLINK \l "bookmark141" </w:instrText>
          </w:r>
          <w:r>
            <w:rPr>
              <w:highlight w:val="none"/>
            </w:rPr>
            <w:fldChar w:fldCharType="separate"/>
          </w:r>
          <w:r>
            <w:rPr>
              <w:spacing w:val="6"/>
              <w:position w:val="1"/>
              <w:sz w:val="19"/>
              <w:szCs w:val="19"/>
              <w:highlight w:val="none"/>
            </w:rPr>
            <w:t>20.</w:t>
          </w:r>
          <w:r>
            <w:rPr>
              <w:spacing w:val="28"/>
              <w:w w:val="101"/>
              <w:position w:val="1"/>
              <w:sz w:val="19"/>
              <w:szCs w:val="19"/>
              <w:highlight w:val="none"/>
            </w:rPr>
            <w:t xml:space="preserve"> </w:t>
          </w:r>
          <w:r>
            <w:rPr>
              <w:rFonts w:ascii="黑体" w:hAnsi="黑体" w:eastAsia="黑体" w:cs="黑体"/>
              <w:spacing w:val="6"/>
              <w:position w:val="1"/>
              <w:sz w:val="19"/>
              <w:szCs w:val="19"/>
              <w:highlight w:val="none"/>
            </w:rPr>
            <w:t>保险</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219</w:t>
          </w:r>
          <w:r>
            <w:rPr>
              <w:spacing w:val="-1"/>
              <w:position w:val="1"/>
              <w:sz w:val="19"/>
              <w:szCs w:val="19"/>
              <w:highlight w:val="none"/>
            </w:rPr>
            <w:fldChar w:fldCharType="end"/>
          </w:r>
        </w:p>
        <w:p w14:paraId="41713EBE">
          <w:pPr>
            <w:pStyle w:val="2"/>
            <w:tabs>
              <w:tab w:val="right" w:leader="dot" w:pos="8205"/>
            </w:tabs>
            <w:spacing w:before="40" w:line="259" w:lineRule="exact"/>
            <w:ind w:left="210"/>
            <w:rPr>
              <w:sz w:val="19"/>
              <w:szCs w:val="19"/>
              <w:highlight w:val="none"/>
            </w:rPr>
          </w:pPr>
          <w:r>
            <w:rPr>
              <w:highlight w:val="none"/>
            </w:rPr>
            <w:fldChar w:fldCharType="begin"/>
          </w:r>
          <w:r>
            <w:rPr>
              <w:highlight w:val="none"/>
            </w:rPr>
            <w:instrText xml:space="preserve"> HYPERLINK \l "bookmark142" </w:instrText>
          </w:r>
          <w:r>
            <w:rPr>
              <w:highlight w:val="none"/>
            </w:rPr>
            <w:fldChar w:fldCharType="separate"/>
          </w:r>
          <w:r>
            <w:rPr>
              <w:spacing w:val="10"/>
              <w:position w:val="1"/>
              <w:sz w:val="19"/>
              <w:szCs w:val="19"/>
              <w:highlight w:val="none"/>
            </w:rPr>
            <w:t>21.</w:t>
          </w:r>
          <w:r>
            <w:rPr>
              <w:spacing w:val="19"/>
              <w:position w:val="1"/>
              <w:sz w:val="19"/>
              <w:szCs w:val="19"/>
              <w:highlight w:val="none"/>
            </w:rPr>
            <w:t xml:space="preserve"> </w:t>
          </w:r>
          <w:r>
            <w:rPr>
              <w:rFonts w:ascii="黑体" w:hAnsi="黑体" w:eastAsia="黑体" w:cs="黑体"/>
              <w:spacing w:val="10"/>
              <w:position w:val="1"/>
              <w:sz w:val="19"/>
              <w:szCs w:val="19"/>
              <w:highlight w:val="none"/>
            </w:rPr>
            <w:t>不可抗力</w:t>
          </w:r>
          <w:r>
            <w:rPr>
              <w:rFonts w:ascii="黑体" w:hAnsi="黑体" w:eastAsia="黑体" w:cs="黑体"/>
              <w:spacing w:val="-82"/>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20</w:t>
          </w:r>
          <w:r>
            <w:rPr>
              <w:spacing w:val="1"/>
              <w:position w:val="1"/>
              <w:sz w:val="19"/>
              <w:szCs w:val="19"/>
              <w:highlight w:val="none"/>
            </w:rPr>
            <w:fldChar w:fldCharType="end"/>
          </w:r>
        </w:p>
        <w:p w14:paraId="215216BF">
          <w:pPr>
            <w:pStyle w:val="2"/>
            <w:tabs>
              <w:tab w:val="right" w:leader="dot" w:pos="8205"/>
            </w:tabs>
            <w:spacing w:before="42" w:line="259" w:lineRule="exact"/>
            <w:ind w:left="210"/>
            <w:rPr>
              <w:sz w:val="19"/>
              <w:szCs w:val="19"/>
              <w:highlight w:val="none"/>
            </w:rPr>
          </w:pPr>
          <w:r>
            <w:rPr>
              <w:highlight w:val="none"/>
            </w:rPr>
            <w:fldChar w:fldCharType="begin"/>
          </w:r>
          <w:r>
            <w:rPr>
              <w:highlight w:val="none"/>
            </w:rPr>
            <w:instrText xml:space="preserve"> HYPERLINK \l "bookmark143" </w:instrText>
          </w:r>
          <w:r>
            <w:rPr>
              <w:highlight w:val="none"/>
            </w:rPr>
            <w:fldChar w:fldCharType="separate"/>
          </w:r>
          <w:r>
            <w:rPr>
              <w:spacing w:val="8"/>
              <w:position w:val="1"/>
              <w:sz w:val="19"/>
              <w:szCs w:val="19"/>
              <w:highlight w:val="none"/>
            </w:rPr>
            <w:t>24.</w:t>
          </w:r>
          <w:r>
            <w:rPr>
              <w:spacing w:val="33"/>
              <w:w w:val="101"/>
              <w:position w:val="1"/>
              <w:sz w:val="19"/>
              <w:szCs w:val="19"/>
              <w:highlight w:val="none"/>
            </w:rPr>
            <w:t xml:space="preserve"> </w:t>
          </w:r>
          <w:r>
            <w:rPr>
              <w:rFonts w:ascii="黑体" w:hAnsi="黑体" w:eastAsia="黑体" w:cs="黑体"/>
              <w:spacing w:val="8"/>
              <w:position w:val="1"/>
              <w:sz w:val="19"/>
              <w:szCs w:val="19"/>
              <w:highlight w:val="none"/>
            </w:rPr>
            <w:t>争议的解决</w:t>
          </w:r>
          <w:r>
            <w:rPr>
              <w:rFonts w:ascii="黑体" w:hAnsi="黑体" w:eastAsia="黑体" w:cs="黑体"/>
              <w:spacing w:val="-71"/>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20</w:t>
          </w:r>
          <w:r>
            <w:rPr>
              <w:spacing w:val="1"/>
              <w:position w:val="1"/>
              <w:sz w:val="19"/>
              <w:szCs w:val="19"/>
              <w:highlight w:val="none"/>
            </w:rPr>
            <w:fldChar w:fldCharType="end"/>
          </w:r>
        </w:p>
        <w:p w14:paraId="6DC10867">
          <w:pPr>
            <w:pStyle w:val="2"/>
            <w:tabs>
              <w:tab w:val="right" w:leader="dot" w:pos="8195"/>
            </w:tabs>
            <w:spacing w:before="105" w:line="222" w:lineRule="auto"/>
            <w:ind w:left="210"/>
            <w:rPr>
              <w:sz w:val="19"/>
              <w:szCs w:val="19"/>
              <w:highlight w:val="none"/>
            </w:rPr>
          </w:pPr>
          <w:r>
            <w:rPr>
              <w:highlight w:val="none"/>
            </w:rPr>
            <w:fldChar w:fldCharType="begin"/>
          </w:r>
          <w:r>
            <w:rPr>
              <w:highlight w:val="none"/>
            </w:rPr>
            <w:instrText xml:space="preserve"> HYPERLINK \l "bookmark144" </w:instrText>
          </w:r>
          <w:r>
            <w:rPr>
              <w:highlight w:val="none"/>
            </w:rPr>
            <w:fldChar w:fldCharType="separate"/>
          </w:r>
          <w:r>
            <w:rPr>
              <w:rFonts w:ascii="黑体" w:hAnsi="黑体" w:eastAsia="黑体" w:cs="黑体"/>
              <w:spacing w:val="8"/>
              <w:sz w:val="19"/>
              <w:szCs w:val="19"/>
              <w:highlight w:val="none"/>
            </w:rPr>
            <w:t>第三节 合同附件格式</w:t>
          </w:r>
          <w:r>
            <w:rPr>
              <w:rFonts w:ascii="黑体" w:hAnsi="黑体" w:eastAsia="黑体" w:cs="黑体"/>
              <w:spacing w:val="-71"/>
              <w:sz w:val="19"/>
              <w:szCs w:val="19"/>
              <w:highlight w:val="none"/>
            </w:rPr>
            <w:t xml:space="preserve"> </w:t>
          </w:r>
          <w:r>
            <w:rPr>
              <w:rFonts w:ascii="黑体" w:hAnsi="黑体" w:eastAsia="黑体" w:cs="黑体"/>
              <w:sz w:val="19"/>
              <w:szCs w:val="19"/>
              <w:highlight w:val="none"/>
            </w:rPr>
            <w:tab/>
          </w:r>
          <w:r>
            <w:rPr>
              <w:spacing w:val="-1"/>
              <w:sz w:val="19"/>
              <w:szCs w:val="19"/>
              <w:highlight w:val="none"/>
            </w:rPr>
            <w:t>21</w:t>
          </w:r>
          <w:r>
            <w:rPr>
              <w:spacing w:val="-1"/>
              <w:sz w:val="19"/>
              <w:szCs w:val="19"/>
              <w:highlight w:val="none"/>
            </w:rPr>
            <w:fldChar w:fldCharType="end"/>
          </w:r>
        </w:p>
        <w:p w14:paraId="617E0154">
          <w:pPr>
            <w:pStyle w:val="2"/>
            <w:tabs>
              <w:tab w:val="right" w:leader="dot" w:pos="8205"/>
            </w:tabs>
            <w:spacing w:before="179" w:line="222" w:lineRule="auto"/>
            <w:rPr>
              <w:sz w:val="19"/>
              <w:szCs w:val="19"/>
              <w:highlight w:val="none"/>
            </w:rPr>
          </w:pPr>
          <w:r>
            <w:rPr>
              <w:highlight w:val="none"/>
            </w:rPr>
            <w:fldChar w:fldCharType="begin"/>
          </w:r>
          <w:r>
            <w:rPr>
              <w:highlight w:val="none"/>
            </w:rPr>
            <w:instrText xml:space="preserve"> HYPERLINK \l "bookmark145" </w:instrText>
          </w:r>
          <w:r>
            <w:rPr>
              <w:highlight w:val="none"/>
            </w:rPr>
            <w:fldChar w:fldCharType="separate"/>
          </w:r>
          <w:r>
            <w:rPr>
              <w:b/>
              <w:bCs/>
              <w:spacing w:val="-13"/>
              <w:highlight w:val="none"/>
            </w:rPr>
            <w:t>1.</w:t>
          </w:r>
          <w:r>
            <w:rPr>
              <w:b/>
              <w:bCs/>
              <w:spacing w:val="-5"/>
              <w:highlight w:val="none"/>
            </w:rPr>
            <w:t xml:space="preserve"> </w:t>
          </w:r>
          <w:r>
            <w:rPr>
              <w:rFonts w:ascii="黑体" w:hAnsi="黑体" w:eastAsia="黑体" w:cs="黑体"/>
              <w:b/>
              <w:bCs/>
              <w:spacing w:val="-13"/>
              <w:highlight w:val="none"/>
            </w:rPr>
            <w:t>本协议书与下列文件一起构成合同文件：</w:t>
          </w:r>
          <w:r>
            <w:rPr>
              <w:rFonts w:ascii="黑体" w:hAnsi="黑体" w:eastAsia="黑体" w:cs="黑体"/>
              <w:highlight w:val="none"/>
            </w:rPr>
            <w:tab/>
          </w:r>
          <w:r>
            <w:rPr>
              <w:rFonts w:ascii="黑体" w:hAnsi="黑体" w:eastAsia="黑体" w:cs="黑体"/>
              <w:spacing w:val="-74"/>
              <w:highlight w:val="none"/>
            </w:rPr>
            <w:t xml:space="preserve"> </w:t>
          </w:r>
          <w:r>
            <w:rPr>
              <w:b/>
              <w:bCs/>
              <w:spacing w:val="-2"/>
              <w:sz w:val="19"/>
              <w:szCs w:val="19"/>
              <w:highlight w:val="none"/>
            </w:rPr>
            <w:t>21</w:t>
          </w:r>
          <w:r>
            <w:rPr>
              <w:b/>
              <w:bCs/>
              <w:spacing w:val="-2"/>
              <w:sz w:val="19"/>
              <w:szCs w:val="19"/>
              <w:highlight w:val="none"/>
            </w:rPr>
            <w:fldChar w:fldCharType="end"/>
          </w:r>
        </w:p>
        <w:p w14:paraId="269238AD">
          <w:pPr>
            <w:pStyle w:val="2"/>
            <w:tabs>
              <w:tab w:val="right" w:leader="dot" w:pos="8195"/>
            </w:tabs>
            <w:spacing w:before="188" w:line="213" w:lineRule="auto"/>
            <w:rPr>
              <w:sz w:val="19"/>
              <w:szCs w:val="19"/>
              <w:highlight w:val="none"/>
            </w:rPr>
          </w:pPr>
          <w:r>
            <w:rPr>
              <w:highlight w:val="none"/>
            </w:rPr>
            <w:fldChar w:fldCharType="begin"/>
          </w:r>
          <w:r>
            <w:rPr>
              <w:highlight w:val="none"/>
            </w:rPr>
            <w:instrText xml:space="preserve"> HYPERLINK \l "bookmark146" </w:instrText>
          </w:r>
          <w:r>
            <w:rPr>
              <w:highlight w:val="none"/>
            </w:rPr>
            <w:fldChar w:fldCharType="separate"/>
          </w:r>
          <w:r>
            <w:rPr>
              <w:b/>
              <w:bCs/>
              <w:spacing w:val="-9"/>
              <w:highlight w:val="none"/>
            </w:rPr>
            <w:t xml:space="preserve">2. </w:t>
          </w:r>
          <w:r>
            <w:rPr>
              <w:rFonts w:ascii="黑体" w:hAnsi="黑体" w:eastAsia="黑体" w:cs="黑体"/>
              <w:b/>
              <w:bCs/>
              <w:spacing w:val="-9"/>
              <w:highlight w:val="none"/>
            </w:rPr>
            <w:t>上述文件互相补充和解释，如有不明确或不一致</w:t>
          </w:r>
          <w:r>
            <w:rPr>
              <w:rFonts w:ascii="黑体" w:hAnsi="黑体" w:eastAsia="黑体" w:cs="黑体"/>
              <w:b/>
              <w:bCs/>
              <w:spacing w:val="-10"/>
              <w:highlight w:val="none"/>
            </w:rPr>
            <w:t>之处，以合同约定次序在先者为准</w:t>
          </w:r>
          <w:r>
            <w:rPr>
              <w:rFonts w:ascii="黑体" w:hAnsi="黑体" w:eastAsia="黑体" w:cs="黑体"/>
              <w:spacing w:val="-83"/>
              <w:highlight w:val="none"/>
            </w:rPr>
            <w:t xml:space="preserve"> </w:t>
          </w:r>
          <w:r>
            <w:rPr>
              <w:rFonts w:ascii="黑体" w:hAnsi="黑体" w:eastAsia="黑体" w:cs="黑体"/>
              <w:highlight w:val="none"/>
            </w:rPr>
            <w:tab/>
          </w:r>
          <w:r>
            <w:rPr>
              <w:rFonts w:ascii="黑体" w:hAnsi="黑体" w:eastAsia="黑体" w:cs="黑体"/>
              <w:spacing w:val="-44"/>
              <w:highlight w:val="none"/>
            </w:rPr>
            <w:t xml:space="preserve"> </w:t>
          </w:r>
          <w:r>
            <w:rPr>
              <w:b/>
              <w:bCs/>
              <w:spacing w:val="-2"/>
              <w:sz w:val="19"/>
              <w:szCs w:val="19"/>
              <w:highlight w:val="none"/>
            </w:rPr>
            <w:t>21</w:t>
          </w:r>
          <w:r>
            <w:rPr>
              <w:b/>
              <w:bCs/>
              <w:spacing w:val="-2"/>
              <w:sz w:val="19"/>
              <w:szCs w:val="19"/>
              <w:highlight w:val="none"/>
            </w:rPr>
            <w:fldChar w:fldCharType="end"/>
          </w:r>
        </w:p>
        <w:p w14:paraId="4E31FC0D">
          <w:pPr>
            <w:pStyle w:val="2"/>
            <w:tabs>
              <w:tab w:val="right" w:leader="dot" w:pos="8205"/>
            </w:tabs>
            <w:spacing w:before="176" w:line="221" w:lineRule="auto"/>
            <w:ind w:left="3"/>
            <w:rPr>
              <w:sz w:val="19"/>
              <w:szCs w:val="19"/>
              <w:highlight w:val="none"/>
            </w:rPr>
          </w:pPr>
          <w:r>
            <w:rPr>
              <w:highlight w:val="none"/>
            </w:rPr>
            <w:fldChar w:fldCharType="begin"/>
          </w:r>
          <w:r>
            <w:rPr>
              <w:highlight w:val="none"/>
            </w:rPr>
            <w:instrText xml:space="preserve"> HYPERLINK \l "bookmark147" </w:instrText>
          </w:r>
          <w:r>
            <w:rPr>
              <w:highlight w:val="none"/>
            </w:rPr>
            <w:fldChar w:fldCharType="separate"/>
          </w:r>
          <w:r>
            <w:rPr>
              <w:rFonts w:ascii="黑体" w:hAnsi="黑体" w:eastAsia="黑体" w:cs="黑体"/>
              <w:b/>
              <w:bCs/>
              <w:spacing w:val="-9"/>
              <w:highlight w:val="none"/>
            </w:rPr>
            <w:t>第五章</w:t>
          </w:r>
          <w:r>
            <w:rPr>
              <w:rFonts w:ascii="黑体" w:hAnsi="黑体" w:eastAsia="黑体" w:cs="黑体"/>
              <w:spacing w:val="-17"/>
              <w:highlight w:val="none"/>
            </w:rPr>
            <w:t xml:space="preserve"> </w:t>
          </w:r>
          <w:r>
            <w:rPr>
              <w:rFonts w:ascii="黑体" w:hAnsi="黑体" w:eastAsia="黑体" w:cs="黑体"/>
              <w:b/>
              <w:bCs/>
              <w:spacing w:val="-9"/>
              <w:highlight w:val="none"/>
            </w:rPr>
            <w:t>发包人要求</w:t>
          </w:r>
          <w:r>
            <w:rPr>
              <w:rFonts w:ascii="黑体" w:hAnsi="黑体" w:eastAsia="黑体" w:cs="黑体"/>
              <w:spacing w:val="-83"/>
              <w:highlight w:val="none"/>
            </w:rPr>
            <w:t xml:space="preserve"> </w:t>
          </w:r>
          <w:r>
            <w:rPr>
              <w:rFonts w:ascii="黑体" w:hAnsi="黑体" w:eastAsia="黑体" w:cs="黑体"/>
              <w:highlight w:val="none"/>
            </w:rPr>
            <w:tab/>
          </w:r>
          <w:r>
            <w:rPr>
              <w:b/>
              <w:bCs/>
              <w:spacing w:val="2"/>
              <w:sz w:val="19"/>
              <w:szCs w:val="19"/>
              <w:highlight w:val="none"/>
            </w:rPr>
            <w:t>24</w:t>
          </w:r>
          <w:r>
            <w:rPr>
              <w:b/>
              <w:bCs/>
              <w:spacing w:val="2"/>
              <w:sz w:val="19"/>
              <w:szCs w:val="19"/>
              <w:highlight w:val="none"/>
            </w:rPr>
            <w:fldChar w:fldCharType="end"/>
          </w:r>
        </w:p>
        <w:p w14:paraId="0D99697A">
          <w:pPr>
            <w:pStyle w:val="2"/>
            <w:tabs>
              <w:tab w:val="right" w:leader="dot" w:pos="8205"/>
            </w:tabs>
            <w:spacing w:before="201" w:line="221" w:lineRule="auto"/>
            <w:ind w:left="210"/>
            <w:rPr>
              <w:sz w:val="19"/>
              <w:szCs w:val="19"/>
              <w:highlight w:val="none"/>
            </w:rPr>
          </w:pPr>
          <w:r>
            <w:rPr>
              <w:highlight w:val="none"/>
            </w:rPr>
            <w:fldChar w:fldCharType="begin"/>
          </w:r>
          <w:r>
            <w:rPr>
              <w:highlight w:val="none"/>
            </w:rPr>
            <w:instrText xml:space="preserve"> HYPERLINK \l "bookmark148" </w:instrText>
          </w:r>
          <w:r>
            <w:rPr>
              <w:highlight w:val="none"/>
            </w:rPr>
            <w:fldChar w:fldCharType="separate"/>
          </w:r>
          <w:r>
            <w:rPr>
              <w:rFonts w:ascii="黑体" w:hAnsi="黑体" w:eastAsia="黑体" w:cs="黑体"/>
              <w:spacing w:val="8"/>
              <w:sz w:val="19"/>
              <w:szCs w:val="19"/>
              <w:highlight w:val="none"/>
            </w:rPr>
            <w:t>发包人要求</w:t>
          </w:r>
          <w:r>
            <w:rPr>
              <w:rFonts w:ascii="黑体" w:hAnsi="黑体" w:eastAsia="黑体" w:cs="黑体"/>
              <w:spacing w:val="-76"/>
              <w:sz w:val="19"/>
              <w:szCs w:val="19"/>
              <w:highlight w:val="none"/>
            </w:rPr>
            <w:t xml:space="preserve"> </w:t>
          </w:r>
          <w:r>
            <w:rPr>
              <w:rFonts w:ascii="黑体" w:hAnsi="黑体" w:eastAsia="黑体" w:cs="黑体"/>
              <w:sz w:val="19"/>
              <w:szCs w:val="19"/>
              <w:highlight w:val="none"/>
            </w:rPr>
            <w:tab/>
          </w:r>
          <w:r>
            <w:rPr>
              <w:spacing w:val="1"/>
              <w:sz w:val="19"/>
              <w:szCs w:val="19"/>
              <w:highlight w:val="none"/>
            </w:rPr>
            <w:t>24</w:t>
          </w:r>
          <w:r>
            <w:rPr>
              <w:spacing w:val="1"/>
              <w:sz w:val="19"/>
              <w:szCs w:val="19"/>
              <w:highlight w:val="none"/>
            </w:rPr>
            <w:fldChar w:fldCharType="end"/>
          </w:r>
        </w:p>
        <w:p w14:paraId="37E8C912">
          <w:pPr>
            <w:pStyle w:val="2"/>
            <w:tabs>
              <w:tab w:val="right" w:leader="dot" w:pos="8205"/>
            </w:tabs>
            <w:spacing w:before="83" w:line="221" w:lineRule="auto"/>
            <w:ind w:left="210"/>
            <w:rPr>
              <w:sz w:val="19"/>
              <w:szCs w:val="19"/>
              <w:highlight w:val="none"/>
            </w:rPr>
          </w:pPr>
          <w:r>
            <w:rPr>
              <w:highlight w:val="none"/>
            </w:rPr>
            <w:fldChar w:fldCharType="begin"/>
          </w:r>
          <w:r>
            <w:rPr>
              <w:highlight w:val="none"/>
            </w:rPr>
            <w:instrText xml:space="preserve"> HYPERLINK \l "bookmark149" </w:instrText>
          </w:r>
          <w:r>
            <w:rPr>
              <w:highlight w:val="none"/>
            </w:rPr>
            <w:fldChar w:fldCharType="separate"/>
          </w:r>
          <w:r>
            <w:rPr>
              <w:rFonts w:ascii="黑体" w:hAnsi="黑体" w:eastAsia="黑体" w:cs="黑体"/>
              <w:spacing w:val="1"/>
              <w:sz w:val="19"/>
              <w:szCs w:val="19"/>
              <w:highlight w:val="none"/>
            </w:rPr>
            <w:t>发包人要求附件清单</w:t>
          </w:r>
          <w:r>
            <w:rPr>
              <w:rFonts w:ascii="黑体" w:hAnsi="黑体" w:eastAsia="黑体" w:cs="黑体"/>
              <w:spacing w:val="-76"/>
              <w:sz w:val="19"/>
              <w:szCs w:val="19"/>
              <w:highlight w:val="none"/>
            </w:rPr>
            <w:t xml:space="preserve"> </w:t>
          </w:r>
          <w:r>
            <w:rPr>
              <w:rFonts w:ascii="黑体" w:hAnsi="黑体" w:eastAsia="黑体" w:cs="黑体"/>
              <w:sz w:val="19"/>
              <w:szCs w:val="19"/>
              <w:highlight w:val="none"/>
            </w:rPr>
            <w:tab/>
          </w:r>
          <w:r>
            <w:rPr>
              <w:spacing w:val="-4"/>
              <w:sz w:val="19"/>
              <w:szCs w:val="19"/>
              <w:highlight w:val="none"/>
            </w:rPr>
            <w:t>27</w:t>
          </w:r>
          <w:r>
            <w:rPr>
              <w:spacing w:val="-4"/>
              <w:sz w:val="19"/>
              <w:szCs w:val="19"/>
              <w:highlight w:val="none"/>
            </w:rPr>
            <w:fldChar w:fldCharType="end"/>
          </w:r>
        </w:p>
        <w:p w14:paraId="23030CA6">
          <w:pPr>
            <w:pStyle w:val="2"/>
            <w:tabs>
              <w:tab w:val="right" w:leader="dot" w:pos="8205"/>
            </w:tabs>
            <w:spacing w:before="190" w:line="221" w:lineRule="auto"/>
            <w:ind w:left="2"/>
            <w:rPr>
              <w:sz w:val="19"/>
              <w:szCs w:val="19"/>
              <w:highlight w:val="none"/>
            </w:rPr>
          </w:pPr>
          <w:r>
            <w:rPr>
              <w:highlight w:val="none"/>
            </w:rPr>
            <w:fldChar w:fldCharType="begin"/>
          </w:r>
          <w:r>
            <w:rPr>
              <w:highlight w:val="none"/>
            </w:rPr>
            <w:instrText xml:space="preserve"> HYPERLINK \l "bookmark150" </w:instrText>
          </w:r>
          <w:r>
            <w:rPr>
              <w:highlight w:val="none"/>
            </w:rPr>
            <w:fldChar w:fldCharType="separate"/>
          </w:r>
          <w:r>
            <w:rPr>
              <w:rFonts w:ascii="黑体" w:hAnsi="黑体" w:eastAsia="黑体" w:cs="黑体"/>
              <w:b/>
              <w:bCs/>
              <w:spacing w:val="-11"/>
              <w:highlight w:val="none"/>
            </w:rPr>
            <w:t>第六章</w:t>
          </w:r>
          <w:r>
            <w:rPr>
              <w:rFonts w:ascii="黑体" w:hAnsi="黑体" w:eastAsia="黑体" w:cs="黑体"/>
              <w:spacing w:val="-11"/>
              <w:highlight w:val="none"/>
            </w:rPr>
            <w:t xml:space="preserve"> </w:t>
          </w:r>
          <w:r>
            <w:rPr>
              <w:rFonts w:ascii="黑体" w:hAnsi="黑体" w:eastAsia="黑体" w:cs="黑体"/>
              <w:b/>
              <w:bCs/>
              <w:spacing w:val="-11"/>
              <w:highlight w:val="none"/>
            </w:rPr>
            <w:t>发包人提供的资料</w:t>
          </w:r>
          <w:r>
            <w:rPr>
              <w:rFonts w:ascii="黑体" w:hAnsi="黑体" w:eastAsia="黑体" w:cs="黑体"/>
              <w:spacing w:val="-77"/>
              <w:highlight w:val="none"/>
            </w:rPr>
            <w:t xml:space="preserve"> </w:t>
          </w:r>
          <w:r>
            <w:rPr>
              <w:rFonts w:ascii="黑体" w:hAnsi="黑体" w:eastAsia="黑体" w:cs="黑体"/>
              <w:highlight w:val="none"/>
            </w:rPr>
            <w:tab/>
          </w:r>
          <w:r>
            <w:rPr>
              <w:b/>
              <w:bCs/>
              <w:spacing w:val="3"/>
              <w:sz w:val="19"/>
              <w:szCs w:val="19"/>
              <w:highlight w:val="none"/>
            </w:rPr>
            <w:t>28</w:t>
          </w:r>
          <w:r>
            <w:rPr>
              <w:b/>
              <w:bCs/>
              <w:spacing w:val="3"/>
              <w:sz w:val="19"/>
              <w:szCs w:val="19"/>
              <w:highlight w:val="none"/>
            </w:rPr>
            <w:fldChar w:fldCharType="end"/>
          </w:r>
        </w:p>
        <w:p w14:paraId="565A5274">
          <w:pPr>
            <w:pStyle w:val="2"/>
            <w:tabs>
              <w:tab w:val="right" w:leader="dot" w:pos="8205"/>
            </w:tabs>
            <w:spacing w:before="177" w:line="259" w:lineRule="exact"/>
            <w:ind w:left="210"/>
            <w:rPr>
              <w:sz w:val="19"/>
              <w:szCs w:val="19"/>
              <w:highlight w:val="none"/>
            </w:rPr>
          </w:pPr>
          <w:r>
            <w:rPr>
              <w:highlight w:val="none"/>
            </w:rPr>
            <w:fldChar w:fldCharType="begin"/>
          </w:r>
          <w:r>
            <w:rPr>
              <w:highlight w:val="none"/>
            </w:rPr>
            <w:instrText xml:space="preserve"> HYPERLINK \l "bookmark151" </w:instrText>
          </w:r>
          <w:r>
            <w:rPr>
              <w:highlight w:val="none"/>
            </w:rPr>
            <w:fldChar w:fldCharType="separate"/>
          </w:r>
          <w:r>
            <w:rPr>
              <w:rFonts w:ascii="黑体" w:hAnsi="黑体" w:eastAsia="黑体" w:cs="黑体"/>
              <w:spacing w:val="7"/>
              <w:position w:val="1"/>
              <w:sz w:val="19"/>
              <w:szCs w:val="19"/>
              <w:highlight w:val="none"/>
            </w:rPr>
            <w:t>发包人提供的资料</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28</w:t>
          </w:r>
          <w:r>
            <w:rPr>
              <w:spacing w:val="1"/>
              <w:position w:val="1"/>
              <w:sz w:val="19"/>
              <w:szCs w:val="19"/>
              <w:highlight w:val="none"/>
            </w:rPr>
            <w:fldChar w:fldCharType="end"/>
          </w:r>
        </w:p>
        <w:p w14:paraId="4FDB0238">
          <w:pPr>
            <w:pStyle w:val="2"/>
            <w:tabs>
              <w:tab w:val="right" w:leader="dot" w:pos="8312"/>
            </w:tabs>
            <w:spacing w:before="173" w:line="222" w:lineRule="auto"/>
            <w:ind w:left="2"/>
            <w:rPr>
              <w:sz w:val="19"/>
              <w:szCs w:val="19"/>
              <w:highlight w:val="none"/>
            </w:rPr>
          </w:pPr>
          <w:r>
            <w:rPr>
              <w:highlight w:val="none"/>
            </w:rPr>
            <w:fldChar w:fldCharType="begin"/>
          </w:r>
          <w:r>
            <w:rPr>
              <w:highlight w:val="none"/>
            </w:rPr>
            <w:instrText xml:space="preserve"> HYPERLINK \l "bookmark152" </w:instrText>
          </w:r>
          <w:r>
            <w:rPr>
              <w:highlight w:val="none"/>
            </w:rPr>
            <w:fldChar w:fldCharType="separate"/>
          </w:r>
          <w:r>
            <w:rPr>
              <w:rFonts w:ascii="黑体" w:hAnsi="黑体" w:eastAsia="黑体" w:cs="黑体"/>
              <w:b/>
              <w:bCs/>
              <w:spacing w:val="-10"/>
              <w:highlight w:val="none"/>
            </w:rPr>
            <w:t>第七章</w:t>
          </w:r>
          <w:r>
            <w:rPr>
              <w:rFonts w:ascii="黑体" w:hAnsi="黑体" w:eastAsia="黑体" w:cs="黑体"/>
              <w:spacing w:val="-10"/>
              <w:highlight w:val="none"/>
            </w:rPr>
            <w:t xml:space="preserve"> </w:t>
          </w:r>
          <w:r>
            <w:rPr>
              <w:rFonts w:ascii="黑体" w:hAnsi="黑体" w:eastAsia="黑体" w:cs="黑体"/>
              <w:b/>
              <w:bCs/>
              <w:spacing w:val="-10"/>
              <w:highlight w:val="none"/>
            </w:rPr>
            <w:t>投标文件格式</w:t>
          </w:r>
          <w:r>
            <w:rPr>
              <w:rFonts w:ascii="黑体" w:hAnsi="黑体" w:eastAsia="黑体" w:cs="黑体"/>
              <w:spacing w:val="-74"/>
              <w:highlight w:val="none"/>
            </w:rPr>
            <w:t xml:space="preserve"> </w:t>
          </w:r>
          <w:r>
            <w:rPr>
              <w:rFonts w:ascii="黑体" w:hAnsi="黑体" w:eastAsia="黑体" w:cs="黑体"/>
              <w:highlight w:val="none"/>
            </w:rPr>
            <w:tab/>
          </w:r>
          <w:r>
            <w:rPr>
              <w:b/>
              <w:bCs/>
              <w:spacing w:val="1"/>
              <w:sz w:val="19"/>
              <w:szCs w:val="19"/>
              <w:highlight w:val="none"/>
            </w:rPr>
            <w:t>232</w:t>
          </w:r>
          <w:r>
            <w:rPr>
              <w:b/>
              <w:bCs/>
              <w:spacing w:val="1"/>
              <w:sz w:val="19"/>
              <w:szCs w:val="19"/>
              <w:highlight w:val="none"/>
            </w:rPr>
            <w:fldChar w:fldCharType="end"/>
          </w:r>
        </w:p>
        <w:p w14:paraId="0AC44783">
          <w:pPr>
            <w:pStyle w:val="2"/>
            <w:tabs>
              <w:tab w:val="right" w:leader="dot" w:pos="8310"/>
            </w:tabs>
            <w:spacing w:before="176" w:line="259" w:lineRule="exact"/>
            <w:ind w:left="210"/>
            <w:rPr>
              <w:sz w:val="19"/>
              <w:szCs w:val="19"/>
              <w:highlight w:val="none"/>
            </w:rPr>
          </w:pPr>
          <w:r>
            <w:rPr>
              <w:highlight w:val="none"/>
            </w:rPr>
            <w:fldChar w:fldCharType="begin"/>
          </w:r>
          <w:r>
            <w:rPr>
              <w:highlight w:val="none"/>
            </w:rPr>
            <w:instrText xml:space="preserve"> HYPERLINK \l "bookmark153" </w:instrText>
          </w:r>
          <w:r>
            <w:rPr>
              <w:highlight w:val="none"/>
            </w:rPr>
            <w:fldChar w:fldCharType="separate"/>
          </w:r>
          <w:r>
            <w:rPr>
              <w:rFonts w:ascii="黑体" w:hAnsi="黑体" w:eastAsia="黑体" w:cs="黑体"/>
              <w:spacing w:val="6"/>
              <w:position w:val="1"/>
              <w:sz w:val="19"/>
              <w:szCs w:val="19"/>
              <w:highlight w:val="none"/>
            </w:rPr>
            <w:t>一</w:t>
          </w:r>
          <w:r>
            <w:rPr>
              <w:rFonts w:ascii="黑体" w:hAnsi="黑体" w:eastAsia="黑体" w:cs="黑体"/>
              <w:spacing w:val="-33"/>
              <w:position w:val="1"/>
              <w:sz w:val="19"/>
              <w:szCs w:val="19"/>
              <w:highlight w:val="none"/>
            </w:rPr>
            <w:t xml:space="preserve"> </w:t>
          </w:r>
          <w:r>
            <w:rPr>
              <w:rFonts w:ascii="黑体" w:hAnsi="黑体" w:eastAsia="黑体" w:cs="黑体"/>
              <w:spacing w:val="6"/>
              <w:position w:val="1"/>
              <w:sz w:val="19"/>
              <w:szCs w:val="19"/>
              <w:highlight w:val="none"/>
            </w:rPr>
            <w:t>、投标函及投标函附录</w:t>
          </w:r>
          <w:r>
            <w:rPr>
              <w:rFonts w:ascii="黑体" w:hAnsi="黑体" w:eastAsia="黑体" w:cs="黑体"/>
              <w:spacing w:val="-65"/>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41"/>
              <w:position w:val="1"/>
              <w:sz w:val="19"/>
              <w:szCs w:val="19"/>
              <w:highlight w:val="none"/>
            </w:rPr>
            <w:t xml:space="preserve"> </w:t>
          </w:r>
          <w:r>
            <w:rPr>
              <w:spacing w:val="-2"/>
              <w:position w:val="1"/>
              <w:sz w:val="19"/>
              <w:szCs w:val="19"/>
              <w:highlight w:val="none"/>
            </w:rPr>
            <w:t>236</w:t>
          </w:r>
          <w:r>
            <w:rPr>
              <w:spacing w:val="-2"/>
              <w:position w:val="1"/>
              <w:sz w:val="19"/>
              <w:szCs w:val="19"/>
              <w:highlight w:val="none"/>
            </w:rPr>
            <w:fldChar w:fldCharType="end"/>
          </w:r>
        </w:p>
        <w:p w14:paraId="3770EC96">
          <w:pPr>
            <w:pStyle w:val="2"/>
            <w:tabs>
              <w:tab w:val="right" w:leader="dot" w:pos="8300"/>
            </w:tabs>
            <w:spacing w:before="43" w:line="259" w:lineRule="exact"/>
            <w:ind w:left="310"/>
            <w:rPr>
              <w:sz w:val="19"/>
              <w:szCs w:val="19"/>
              <w:highlight w:val="none"/>
            </w:rPr>
          </w:pPr>
          <w:r>
            <w:rPr>
              <w:highlight w:val="none"/>
            </w:rPr>
            <w:fldChar w:fldCharType="begin"/>
          </w:r>
          <w:r>
            <w:rPr>
              <w:highlight w:val="none"/>
            </w:rPr>
            <w:instrText xml:space="preserve"> HYPERLINK \l "bookmark154" </w:instrText>
          </w:r>
          <w:r>
            <w:rPr>
              <w:highlight w:val="none"/>
            </w:rPr>
            <w:fldChar w:fldCharType="separate"/>
          </w:r>
          <w:r>
            <w:rPr>
              <w:rFonts w:ascii="宋体" w:hAnsi="宋体" w:eastAsia="宋体" w:cs="宋体"/>
              <w:spacing w:val="6"/>
              <w:position w:val="1"/>
              <w:sz w:val="19"/>
              <w:szCs w:val="19"/>
              <w:highlight w:val="none"/>
            </w:rPr>
            <w:t>(</w:t>
          </w:r>
          <w:r>
            <w:rPr>
              <w:rFonts w:ascii="宋体" w:hAnsi="宋体" w:eastAsia="宋体" w:cs="宋体"/>
              <w:spacing w:val="-32"/>
              <w:position w:val="1"/>
              <w:sz w:val="19"/>
              <w:szCs w:val="19"/>
              <w:highlight w:val="none"/>
            </w:rPr>
            <w:t xml:space="preserve"> </w:t>
          </w:r>
          <w:r>
            <w:rPr>
              <w:rFonts w:ascii="宋体" w:hAnsi="宋体" w:eastAsia="宋体" w:cs="宋体"/>
              <w:spacing w:val="6"/>
              <w:position w:val="1"/>
              <w:sz w:val="19"/>
              <w:szCs w:val="19"/>
              <w:highlight w:val="none"/>
            </w:rPr>
            <w:t>一</w:t>
          </w:r>
          <w:r>
            <w:rPr>
              <w:rFonts w:ascii="宋体" w:hAnsi="宋体" w:eastAsia="宋体" w:cs="宋体"/>
              <w:spacing w:val="-36"/>
              <w:position w:val="1"/>
              <w:sz w:val="19"/>
              <w:szCs w:val="19"/>
              <w:highlight w:val="none"/>
            </w:rPr>
            <w:t xml:space="preserve"> </w:t>
          </w:r>
          <w:r>
            <w:rPr>
              <w:rFonts w:ascii="宋体" w:hAnsi="宋体" w:eastAsia="宋体" w:cs="宋体"/>
              <w:spacing w:val="6"/>
              <w:position w:val="1"/>
              <w:sz w:val="19"/>
              <w:szCs w:val="19"/>
              <w:highlight w:val="none"/>
            </w:rPr>
            <w:t>)投标函</w:t>
          </w:r>
          <w:r>
            <w:rPr>
              <w:rFonts w:ascii="宋体" w:hAnsi="宋体" w:eastAsia="宋体" w:cs="宋体"/>
              <w:spacing w:val="-84"/>
              <w:position w:val="1"/>
              <w:sz w:val="19"/>
              <w:szCs w:val="19"/>
              <w:highlight w:val="none"/>
            </w:rPr>
            <w:t xml:space="preserve"> </w:t>
          </w:r>
          <w:r>
            <w:rPr>
              <w:rFonts w:ascii="宋体" w:hAnsi="宋体" w:eastAsia="宋体" w:cs="宋体"/>
              <w:position w:val="1"/>
              <w:sz w:val="19"/>
              <w:szCs w:val="19"/>
              <w:highlight w:val="none"/>
            </w:rPr>
            <w:tab/>
          </w:r>
          <w:r>
            <w:rPr>
              <w:spacing w:val="1"/>
              <w:position w:val="1"/>
              <w:sz w:val="19"/>
              <w:szCs w:val="19"/>
              <w:highlight w:val="none"/>
            </w:rPr>
            <w:t>236</w:t>
          </w:r>
          <w:r>
            <w:rPr>
              <w:spacing w:val="1"/>
              <w:position w:val="1"/>
              <w:sz w:val="19"/>
              <w:szCs w:val="19"/>
              <w:highlight w:val="none"/>
            </w:rPr>
            <w:fldChar w:fldCharType="end"/>
          </w:r>
        </w:p>
        <w:p w14:paraId="0A48DABE">
          <w:pPr>
            <w:pStyle w:val="2"/>
            <w:tabs>
              <w:tab w:val="right" w:leader="dot" w:pos="8310"/>
            </w:tabs>
            <w:spacing w:before="69" w:line="259" w:lineRule="exact"/>
            <w:ind w:left="310"/>
            <w:rPr>
              <w:sz w:val="19"/>
              <w:szCs w:val="19"/>
              <w:highlight w:val="none"/>
            </w:rPr>
          </w:pPr>
          <w:r>
            <w:rPr>
              <w:highlight w:val="none"/>
            </w:rPr>
            <w:fldChar w:fldCharType="begin"/>
          </w:r>
          <w:r>
            <w:rPr>
              <w:highlight w:val="none"/>
            </w:rPr>
            <w:instrText xml:space="preserve"> HYPERLINK \l "bookmark155" </w:instrText>
          </w:r>
          <w:r>
            <w:rPr>
              <w:highlight w:val="none"/>
            </w:rPr>
            <w:fldChar w:fldCharType="separate"/>
          </w:r>
          <w:r>
            <w:rPr>
              <w:rFonts w:ascii="宋体" w:hAnsi="宋体" w:eastAsia="宋体" w:cs="宋体"/>
              <w:spacing w:val="-1"/>
              <w:position w:val="1"/>
              <w:sz w:val="19"/>
              <w:szCs w:val="19"/>
              <w:highlight w:val="none"/>
            </w:rPr>
            <w:t>(</w:t>
          </w:r>
          <w:r>
            <w:rPr>
              <w:rFonts w:ascii="宋体" w:hAnsi="宋体" w:eastAsia="宋体" w:cs="宋体"/>
              <w:spacing w:val="-29"/>
              <w:position w:val="1"/>
              <w:sz w:val="19"/>
              <w:szCs w:val="19"/>
              <w:highlight w:val="none"/>
            </w:rPr>
            <w:t xml:space="preserve"> </w:t>
          </w:r>
          <w:r>
            <w:rPr>
              <w:rFonts w:ascii="宋体" w:hAnsi="宋体" w:eastAsia="宋体" w:cs="宋体"/>
              <w:spacing w:val="-1"/>
              <w:position w:val="1"/>
              <w:sz w:val="19"/>
              <w:szCs w:val="19"/>
              <w:highlight w:val="none"/>
            </w:rPr>
            <w:t>二</w:t>
          </w:r>
          <w:r>
            <w:rPr>
              <w:rFonts w:ascii="宋体" w:hAnsi="宋体" w:eastAsia="宋体" w:cs="宋体"/>
              <w:spacing w:val="-36"/>
              <w:position w:val="1"/>
              <w:sz w:val="19"/>
              <w:szCs w:val="19"/>
              <w:highlight w:val="none"/>
            </w:rPr>
            <w:t xml:space="preserve"> </w:t>
          </w:r>
          <w:r>
            <w:rPr>
              <w:rFonts w:ascii="宋体" w:hAnsi="宋体" w:eastAsia="宋体" w:cs="宋体"/>
              <w:spacing w:val="-1"/>
              <w:position w:val="1"/>
              <w:sz w:val="19"/>
              <w:szCs w:val="19"/>
              <w:highlight w:val="none"/>
            </w:rPr>
            <w:t>)投标函附录</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spacing w:val="1"/>
              <w:position w:val="1"/>
              <w:sz w:val="19"/>
              <w:szCs w:val="19"/>
              <w:highlight w:val="none"/>
            </w:rPr>
            <w:t>237</w:t>
          </w:r>
          <w:r>
            <w:rPr>
              <w:spacing w:val="1"/>
              <w:position w:val="1"/>
              <w:sz w:val="19"/>
              <w:szCs w:val="19"/>
              <w:highlight w:val="none"/>
            </w:rPr>
            <w:fldChar w:fldCharType="end"/>
          </w:r>
        </w:p>
        <w:p w14:paraId="4C46BFA3">
          <w:pPr>
            <w:pStyle w:val="2"/>
            <w:tabs>
              <w:tab w:val="right" w:leader="dot" w:pos="8310"/>
            </w:tabs>
            <w:spacing w:before="51" w:line="259" w:lineRule="exact"/>
            <w:ind w:left="210"/>
            <w:rPr>
              <w:sz w:val="19"/>
              <w:szCs w:val="19"/>
              <w:highlight w:val="none"/>
            </w:rPr>
          </w:pPr>
          <w:r>
            <w:rPr>
              <w:highlight w:val="none"/>
            </w:rPr>
            <w:fldChar w:fldCharType="begin"/>
          </w:r>
          <w:r>
            <w:rPr>
              <w:highlight w:val="none"/>
            </w:rPr>
            <w:instrText xml:space="preserve"> HYPERLINK \l "bookmark156" </w:instrText>
          </w:r>
          <w:r>
            <w:rPr>
              <w:highlight w:val="none"/>
            </w:rPr>
            <w:fldChar w:fldCharType="separate"/>
          </w:r>
          <w:r>
            <w:rPr>
              <w:rFonts w:ascii="黑体" w:hAnsi="黑体" w:eastAsia="黑体" w:cs="黑体"/>
              <w:spacing w:val="7"/>
              <w:position w:val="1"/>
              <w:sz w:val="19"/>
              <w:szCs w:val="19"/>
              <w:highlight w:val="none"/>
            </w:rPr>
            <w:t>二</w:t>
          </w:r>
          <w:r>
            <w:rPr>
              <w:rFonts w:ascii="黑体" w:hAnsi="黑体" w:eastAsia="黑体" w:cs="黑体"/>
              <w:spacing w:val="-44"/>
              <w:position w:val="1"/>
              <w:sz w:val="19"/>
              <w:szCs w:val="19"/>
              <w:highlight w:val="none"/>
            </w:rPr>
            <w:t xml:space="preserve"> </w:t>
          </w:r>
          <w:r>
            <w:rPr>
              <w:rFonts w:ascii="黑体" w:hAnsi="黑体" w:eastAsia="黑体" w:cs="黑体"/>
              <w:spacing w:val="7"/>
              <w:position w:val="1"/>
              <w:sz w:val="19"/>
              <w:szCs w:val="19"/>
              <w:highlight w:val="none"/>
            </w:rPr>
            <w:t>、法定代表人身份证明</w:t>
          </w:r>
          <w:r>
            <w:rPr>
              <w:rFonts w:ascii="黑体" w:hAnsi="黑体" w:eastAsia="黑体" w:cs="黑体"/>
              <w:spacing w:val="-74"/>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31"/>
              <w:position w:val="1"/>
              <w:sz w:val="19"/>
              <w:szCs w:val="19"/>
              <w:highlight w:val="none"/>
            </w:rPr>
            <w:t xml:space="preserve"> </w:t>
          </w:r>
          <w:r>
            <w:rPr>
              <w:spacing w:val="-2"/>
              <w:position w:val="1"/>
              <w:sz w:val="19"/>
              <w:szCs w:val="19"/>
              <w:highlight w:val="none"/>
            </w:rPr>
            <w:t>239</w:t>
          </w:r>
          <w:r>
            <w:rPr>
              <w:spacing w:val="-2"/>
              <w:position w:val="1"/>
              <w:sz w:val="19"/>
              <w:szCs w:val="19"/>
              <w:highlight w:val="none"/>
            </w:rPr>
            <w:fldChar w:fldCharType="end"/>
          </w:r>
        </w:p>
        <w:p w14:paraId="04E32ABB">
          <w:pPr>
            <w:pStyle w:val="2"/>
            <w:tabs>
              <w:tab w:val="right" w:leader="dot" w:pos="8310"/>
            </w:tabs>
            <w:spacing w:before="42" w:line="259" w:lineRule="exact"/>
            <w:ind w:left="210"/>
            <w:rPr>
              <w:sz w:val="19"/>
              <w:szCs w:val="19"/>
              <w:highlight w:val="none"/>
            </w:rPr>
          </w:pPr>
          <w:r>
            <w:rPr>
              <w:highlight w:val="none"/>
            </w:rPr>
            <w:fldChar w:fldCharType="begin"/>
          </w:r>
          <w:r>
            <w:rPr>
              <w:highlight w:val="none"/>
            </w:rPr>
            <w:instrText xml:space="preserve"> HYPERLINK \l "bookmark157" </w:instrText>
          </w:r>
          <w:r>
            <w:rPr>
              <w:highlight w:val="none"/>
            </w:rPr>
            <w:fldChar w:fldCharType="separate"/>
          </w:r>
          <w:r>
            <w:rPr>
              <w:rFonts w:ascii="黑体" w:hAnsi="黑体" w:eastAsia="黑体" w:cs="黑体"/>
              <w:spacing w:val="2"/>
              <w:position w:val="1"/>
              <w:sz w:val="19"/>
              <w:szCs w:val="19"/>
              <w:highlight w:val="none"/>
            </w:rPr>
            <w:t>三</w:t>
          </w:r>
          <w:r>
            <w:rPr>
              <w:rFonts w:ascii="黑体" w:hAnsi="黑体" w:eastAsia="黑体" w:cs="黑体"/>
              <w:spacing w:val="-33"/>
              <w:position w:val="1"/>
              <w:sz w:val="19"/>
              <w:szCs w:val="19"/>
              <w:highlight w:val="none"/>
            </w:rPr>
            <w:t xml:space="preserve"> </w:t>
          </w:r>
          <w:r>
            <w:rPr>
              <w:rFonts w:ascii="黑体" w:hAnsi="黑体" w:eastAsia="黑体" w:cs="黑体"/>
              <w:spacing w:val="2"/>
              <w:position w:val="1"/>
              <w:sz w:val="19"/>
              <w:szCs w:val="19"/>
              <w:highlight w:val="none"/>
            </w:rPr>
            <w:t>、投标保证金</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240</w:t>
          </w:r>
          <w:r>
            <w:rPr>
              <w:spacing w:val="1"/>
              <w:position w:val="1"/>
              <w:sz w:val="19"/>
              <w:szCs w:val="19"/>
              <w:highlight w:val="none"/>
            </w:rPr>
            <w:fldChar w:fldCharType="end"/>
          </w:r>
        </w:p>
        <w:p w14:paraId="38C866D2">
          <w:pPr>
            <w:pStyle w:val="2"/>
            <w:tabs>
              <w:tab w:val="right" w:leader="dot" w:pos="8300"/>
            </w:tabs>
            <w:spacing w:before="94" w:line="222" w:lineRule="auto"/>
            <w:ind w:left="210"/>
            <w:rPr>
              <w:sz w:val="19"/>
              <w:szCs w:val="19"/>
              <w:highlight w:val="none"/>
            </w:rPr>
          </w:pPr>
          <w:r>
            <w:rPr>
              <w:highlight w:val="none"/>
            </w:rPr>
            <w:fldChar w:fldCharType="begin"/>
          </w:r>
          <w:r>
            <w:rPr>
              <w:highlight w:val="none"/>
            </w:rPr>
            <w:instrText xml:space="preserve"> HYPERLINK \l "bookmark158" </w:instrText>
          </w:r>
          <w:r>
            <w:rPr>
              <w:highlight w:val="none"/>
            </w:rPr>
            <w:fldChar w:fldCharType="separate"/>
          </w:r>
          <w:r>
            <w:rPr>
              <w:rFonts w:ascii="黑体" w:hAnsi="黑体" w:eastAsia="黑体" w:cs="黑体"/>
              <w:spacing w:val="-6"/>
              <w:sz w:val="19"/>
              <w:szCs w:val="19"/>
              <w:highlight w:val="none"/>
            </w:rPr>
            <w:t>四</w:t>
          </w:r>
          <w:r>
            <w:rPr>
              <w:rFonts w:ascii="黑体" w:hAnsi="黑体" w:eastAsia="黑体" w:cs="黑体"/>
              <w:spacing w:val="-30"/>
              <w:sz w:val="19"/>
              <w:szCs w:val="19"/>
              <w:highlight w:val="none"/>
            </w:rPr>
            <w:t xml:space="preserve"> </w:t>
          </w:r>
          <w:r>
            <w:rPr>
              <w:rFonts w:ascii="黑体" w:hAnsi="黑体" w:eastAsia="黑体" w:cs="黑体"/>
              <w:spacing w:val="-6"/>
              <w:sz w:val="19"/>
              <w:szCs w:val="19"/>
              <w:highlight w:val="none"/>
            </w:rPr>
            <w:t>、联合体协议书</w:t>
          </w:r>
          <w:r>
            <w:rPr>
              <w:rFonts w:ascii="黑体" w:hAnsi="黑体" w:eastAsia="黑体" w:cs="黑体"/>
              <w:spacing w:val="-84"/>
              <w:sz w:val="19"/>
              <w:szCs w:val="19"/>
              <w:highlight w:val="none"/>
            </w:rPr>
            <w:t xml:space="preserve"> </w:t>
          </w:r>
          <w:r>
            <w:rPr>
              <w:rFonts w:ascii="黑体" w:hAnsi="黑体" w:eastAsia="黑体" w:cs="黑体"/>
              <w:sz w:val="19"/>
              <w:szCs w:val="19"/>
              <w:highlight w:val="none"/>
            </w:rPr>
            <w:tab/>
          </w:r>
          <w:r>
            <w:rPr>
              <w:sz w:val="19"/>
              <w:szCs w:val="19"/>
              <w:highlight w:val="none"/>
            </w:rPr>
            <w:t>241</w:t>
          </w:r>
          <w:r>
            <w:rPr>
              <w:sz w:val="19"/>
              <w:szCs w:val="19"/>
              <w:highlight w:val="none"/>
            </w:rPr>
            <w:fldChar w:fldCharType="end"/>
          </w:r>
        </w:p>
        <w:p w14:paraId="17EDC8D5">
          <w:pPr>
            <w:pStyle w:val="2"/>
            <w:tabs>
              <w:tab w:val="right" w:leader="dot" w:pos="8300"/>
            </w:tabs>
            <w:spacing w:before="38" w:line="259" w:lineRule="exact"/>
            <w:ind w:left="210"/>
            <w:rPr>
              <w:sz w:val="19"/>
              <w:szCs w:val="19"/>
              <w:highlight w:val="none"/>
            </w:rPr>
          </w:pPr>
          <w:r>
            <w:rPr>
              <w:highlight w:val="none"/>
            </w:rPr>
            <w:fldChar w:fldCharType="begin"/>
          </w:r>
          <w:r>
            <w:rPr>
              <w:highlight w:val="none"/>
            </w:rPr>
            <w:instrText xml:space="preserve"> HYPERLINK \l "bookmark159" </w:instrText>
          </w:r>
          <w:r>
            <w:rPr>
              <w:highlight w:val="none"/>
            </w:rPr>
            <w:fldChar w:fldCharType="separate"/>
          </w:r>
          <w:r>
            <w:rPr>
              <w:rFonts w:ascii="黑体" w:hAnsi="黑体" w:eastAsia="黑体" w:cs="黑体"/>
              <w:spacing w:val="3"/>
              <w:position w:val="1"/>
              <w:sz w:val="19"/>
              <w:szCs w:val="19"/>
              <w:highlight w:val="none"/>
            </w:rPr>
            <w:t>五</w:t>
          </w:r>
          <w:r>
            <w:rPr>
              <w:rFonts w:ascii="黑体" w:hAnsi="黑体" w:eastAsia="黑体" w:cs="黑体"/>
              <w:spacing w:val="-39"/>
              <w:position w:val="1"/>
              <w:sz w:val="19"/>
              <w:szCs w:val="19"/>
              <w:highlight w:val="none"/>
            </w:rPr>
            <w:t xml:space="preserve"> </w:t>
          </w:r>
          <w:r>
            <w:rPr>
              <w:rFonts w:ascii="黑体" w:hAnsi="黑体" w:eastAsia="黑体" w:cs="黑体"/>
              <w:spacing w:val="3"/>
              <w:position w:val="1"/>
              <w:sz w:val="19"/>
              <w:szCs w:val="19"/>
              <w:highlight w:val="none"/>
            </w:rPr>
            <w:t>、拟分包项目情况表</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1"/>
              <w:position w:val="1"/>
              <w:sz w:val="19"/>
              <w:szCs w:val="19"/>
              <w:highlight w:val="none"/>
            </w:rPr>
            <w:t xml:space="preserve"> </w:t>
          </w:r>
          <w:r>
            <w:rPr>
              <w:spacing w:val="-2"/>
              <w:position w:val="1"/>
              <w:sz w:val="19"/>
              <w:szCs w:val="19"/>
              <w:highlight w:val="none"/>
            </w:rPr>
            <w:t>243</w:t>
          </w:r>
          <w:r>
            <w:rPr>
              <w:spacing w:val="-2"/>
              <w:position w:val="1"/>
              <w:sz w:val="19"/>
              <w:szCs w:val="19"/>
              <w:highlight w:val="none"/>
            </w:rPr>
            <w:fldChar w:fldCharType="end"/>
          </w:r>
        </w:p>
        <w:p w14:paraId="214048A5">
          <w:pPr>
            <w:pStyle w:val="2"/>
            <w:tabs>
              <w:tab w:val="right" w:leader="dot" w:pos="8310"/>
            </w:tabs>
            <w:spacing w:before="95" w:line="222" w:lineRule="auto"/>
            <w:ind w:left="210"/>
            <w:rPr>
              <w:sz w:val="19"/>
              <w:szCs w:val="19"/>
              <w:highlight w:val="none"/>
            </w:rPr>
          </w:pPr>
          <w:r>
            <w:rPr>
              <w:highlight w:val="none"/>
            </w:rPr>
            <w:fldChar w:fldCharType="begin"/>
          </w:r>
          <w:r>
            <w:rPr>
              <w:highlight w:val="none"/>
            </w:rPr>
            <w:instrText xml:space="preserve"> HYPERLINK \l "bookmark160" </w:instrText>
          </w:r>
          <w:r>
            <w:rPr>
              <w:highlight w:val="none"/>
            </w:rPr>
            <w:fldChar w:fldCharType="separate"/>
          </w:r>
          <w:r>
            <w:rPr>
              <w:rFonts w:ascii="黑体" w:hAnsi="黑体" w:eastAsia="黑体" w:cs="黑体"/>
              <w:spacing w:val="3"/>
              <w:sz w:val="19"/>
              <w:szCs w:val="19"/>
              <w:highlight w:val="none"/>
            </w:rPr>
            <w:t>六</w:t>
          </w:r>
          <w:r>
            <w:rPr>
              <w:rFonts w:ascii="黑体" w:hAnsi="黑体" w:eastAsia="黑体" w:cs="黑体"/>
              <w:spacing w:val="-35"/>
              <w:sz w:val="19"/>
              <w:szCs w:val="19"/>
              <w:highlight w:val="none"/>
            </w:rPr>
            <w:t xml:space="preserve"> </w:t>
          </w:r>
          <w:r>
            <w:rPr>
              <w:rFonts w:ascii="黑体" w:hAnsi="黑体" w:eastAsia="黑体" w:cs="黑体"/>
              <w:spacing w:val="3"/>
              <w:sz w:val="19"/>
              <w:szCs w:val="19"/>
              <w:highlight w:val="none"/>
            </w:rPr>
            <w:t>、分包意向协议书</w:t>
          </w:r>
          <w:r>
            <w:rPr>
              <w:rFonts w:ascii="黑体" w:hAnsi="黑体" w:eastAsia="黑体" w:cs="黑体"/>
              <w:spacing w:val="-84"/>
              <w:sz w:val="19"/>
              <w:szCs w:val="19"/>
              <w:highlight w:val="none"/>
            </w:rPr>
            <w:t xml:space="preserve"> </w:t>
          </w:r>
          <w:r>
            <w:rPr>
              <w:rFonts w:ascii="黑体" w:hAnsi="黑体" w:eastAsia="黑体" w:cs="黑体"/>
              <w:sz w:val="19"/>
              <w:szCs w:val="19"/>
              <w:highlight w:val="none"/>
            </w:rPr>
            <w:tab/>
          </w:r>
          <w:r>
            <w:rPr>
              <w:spacing w:val="1"/>
              <w:sz w:val="19"/>
              <w:szCs w:val="19"/>
              <w:highlight w:val="none"/>
            </w:rPr>
            <w:t>244</w:t>
          </w:r>
          <w:r>
            <w:rPr>
              <w:spacing w:val="1"/>
              <w:sz w:val="19"/>
              <w:szCs w:val="19"/>
              <w:highlight w:val="none"/>
            </w:rPr>
            <w:fldChar w:fldCharType="end"/>
          </w:r>
        </w:p>
        <w:p w14:paraId="34F54029">
          <w:pPr>
            <w:pStyle w:val="2"/>
            <w:tabs>
              <w:tab w:val="right" w:leader="dot" w:pos="8310"/>
            </w:tabs>
            <w:spacing w:before="57" w:line="259" w:lineRule="exact"/>
            <w:ind w:left="210"/>
            <w:rPr>
              <w:sz w:val="19"/>
              <w:szCs w:val="19"/>
              <w:highlight w:val="none"/>
            </w:rPr>
          </w:pPr>
          <w:r>
            <w:rPr>
              <w:highlight w:val="none"/>
            </w:rPr>
            <w:fldChar w:fldCharType="begin"/>
          </w:r>
          <w:r>
            <w:rPr>
              <w:highlight w:val="none"/>
            </w:rPr>
            <w:instrText xml:space="preserve"> HYPERLINK \l "bookmark161" </w:instrText>
          </w:r>
          <w:r>
            <w:rPr>
              <w:highlight w:val="none"/>
            </w:rPr>
            <w:fldChar w:fldCharType="separate"/>
          </w:r>
          <w:r>
            <w:rPr>
              <w:rFonts w:ascii="黑体" w:hAnsi="黑体" w:eastAsia="黑体" w:cs="黑体"/>
              <w:spacing w:val="4"/>
              <w:position w:val="1"/>
              <w:sz w:val="19"/>
              <w:szCs w:val="19"/>
              <w:highlight w:val="none"/>
            </w:rPr>
            <w:t>七</w:t>
          </w:r>
          <w:r>
            <w:rPr>
              <w:rFonts w:ascii="黑体" w:hAnsi="黑体" w:eastAsia="黑体" w:cs="黑体"/>
              <w:spacing w:val="-42"/>
              <w:position w:val="1"/>
              <w:sz w:val="19"/>
              <w:szCs w:val="19"/>
              <w:highlight w:val="none"/>
            </w:rPr>
            <w:t xml:space="preserve"> </w:t>
          </w:r>
          <w:r>
            <w:rPr>
              <w:rFonts w:ascii="黑体" w:hAnsi="黑体" w:eastAsia="黑体" w:cs="黑体"/>
              <w:spacing w:val="4"/>
              <w:position w:val="1"/>
              <w:sz w:val="19"/>
              <w:szCs w:val="19"/>
              <w:highlight w:val="none"/>
            </w:rPr>
            <w:t>、中小企业声明函</w:t>
          </w:r>
          <w:r>
            <w:rPr>
              <w:rFonts w:ascii="黑体" w:hAnsi="黑体" w:eastAsia="黑体" w:cs="黑体"/>
              <w:spacing w:val="-86"/>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246</w:t>
          </w:r>
          <w:r>
            <w:rPr>
              <w:spacing w:val="1"/>
              <w:position w:val="1"/>
              <w:sz w:val="19"/>
              <w:szCs w:val="19"/>
              <w:highlight w:val="none"/>
            </w:rPr>
            <w:fldChar w:fldCharType="end"/>
          </w:r>
        </w:p>
        <w:p w14:paraId="0A775022">
          <w:pPr>
            <w:pStyle w:val="2"/>
            <w:tabs>
              <w:tab w:val="right" w:leader="dot" w:pos="8300"/>
            </w:tabs>
            <w:spacing w:before="75" w:line="222" w:lineRule="auto"/>
            <w:ind w:left="210"/>
            <w:rPr>
              <w:sz w:val="19"/>
              <w:szCs w:val="19"/>
              <w:highlight w:val="none"/>
            </w:rPr>
          </w:pPr>
          <w:r>
            <w:rPr>
              <w:highlight w:val="none"/>
            </w:rPr>
            <w:fldChar w:fldCharType="begin"/>
          </w:r>
          <w:r>
            <w:rPr>
              <w:highlight w:val="none"/>
            </w:rPr>
            <w:instrText xml:space="preserve"> HYPERLINK \l "bookmark162" </w:instrText>
          </w:r>
          <w:r>
            <w:rPr>
              <w:highlight w:val="none"/>
            </w:rPr>
            <w:fldChar w:fldCharType="separate"/>
          </w:r>
          <w:r>
            <w:rPr>
              <w:rFonts w:ascii="黑体" w:hAnsi="黑体" w:eastAsia="黑体" w:cs="黑体"/>
              <w:spacing w:val="4"/>
              <w:sz w:val="19"/>
              <w:szCs w:val="19"/>
              <w:highlight w:val="none"/>
            </w:rPr>
            <w:t>八</w:t>
          </w:r>
          <w:r>
            <w:rPr>
              <w:rFonts w:ascii="黑体" w:hAnsi="黑体" w:eastAsia="黑体" w:cs="黑体"/>
              <w:spacing w:val="-47"/>
              <w:sz w:val="19"/>
              <w:szCs w:val="19"/>
              <w:highlight w:val="none"/>
            </w:rPr>
            <w:t xml:space="preserve"> </w:t>
          </w:r>
          <w:r>
            <w:rPr>
              <w:rFonts w:ascii="黑体" w:hAnsi="黑体" w:eastAsia="黑体" w:cs="黑体"/>
              <w:spacing w:val="4"/>
              <w:sz w:val="19"/>
              <w:szCs w:val="19"/>
              <w:highlight w:val="none"/>
            </w:rPr>
            <w:t>、项目管理机构</w:t>
          </w:r>
          <w:r>
            <w:rPr>
              <w:rFonts w:ascii="黑体" w:hAnsi="黑体" w:eastAsia="黑体" w:cs="黑体"/>
              <w:spacing w:val="-77"/>
              <w:sz w:val="19"/>
              <w:szCs w:val="19"/>
              <w:highlight w:val="none"/>
            </w:rPr>
            <w:t xml:space="preserve"> </w:t>
          </w:r>
          <w:r>
            <w:rPr>
              <w:rFonts w:ascii="黑体" w:hAnsi="黑体" w:eastAsia="黑体" w:cs="黑体"/>
              <w:sz w:val="19"/>
              <w:szCs w:val="19"/>
              <w:highlight w:val="none"/>
            </w:rPr>
            <w:tab/>
          </w:r>
          <w:r>
            <w:rPr>
              <w:rFonts w:ascii="黑体" w:hAnsi="黑体" w:eastAsia="黑体" w:cs="黑体"/>
              <w:spacing w:val="9"/>
              <w:sz w:val="19"/>
              <w:szCs w:val="19"/>
              <w:highlight w:val="none"/>
            </w:rPr>
            <w:t xml:space="preserve"> </w:t>
          </w:r>
          <w:r>
            <w:rPr>
              <w:spacing w:val="-2"/>
              <w:sz w:val="19"/>
              <w:szCs w:val="19"/>
              <w:highlight w:val="none"/>
            </w:rPr>
            <w:t>247</w:t>
          </w:r>
          <w:r>
            <w:rPr>
              <w:spacing w:val="-2"/>
              <w:sz w:val="19"/>
              <w:szCs w:val="19"/>
              <w:highlight w:val="none"/>
            </w:rPr>
            <w:fldChar w:fldCharType="end"/>
          </w:r>
        </w:p>
        <w:p w14:paraId="38061BD5">
          <w:pPr>
            <w:pStyle w:val="2"/>
            <w:tabs>
              <w:tab w:val="right" w:leader="dot" w:pos="8300"/>
            </w:tabs>
            <w:spacing w:before="48" w:line="259" w:lineRule="exact"/>
            <w:ind w:left="210"/>
            <w:rPr>
              <w:sz w:val="19"/>
              <w:szCs w:val="19"/>
              <w:highlight w:val="none"/>
            </w:rPr>
          </w:pPr>
          <w:r>
            <w:rPr>
              <w:highlight w:val="none"/>
            </w:rPr>
            <w:fldChar w:fldCharType="begin"/>
          </w:r>
          <w:r>
            <w:rPr>
              <w:highlight w:val="none"/>
            </w:rPr>
            <w:instrText xml:space="preserve"> HYPERLINK \l "bookmark163" </w:instrText>
          </w:r>
          <w:r>
            <w:rPr>
              <w:highlight w:val="none"/>
            </w:rPr>
            <w:fldChar w:fldCharType="separate"/>
          </w:r>
          <w:r>
            <w:rPr>
              <w:rFonts w:ascii="黑体" w:hAnsi="黑体" w:eastAsia="黑体" w:cs="黑体"/>
              <w:spacing w:val="3"/>
              <w:position w:val="1"/>
              <w:sz w:val="19"/>
              <w:szCs w:val="19"/>
              <w:highlight w:val="none"/>
            </w:rPr>
            <w:t>九</w:t>
          </w:r>
          <w:r>
            <w:rPr>
              <w:rFonts w:ascii="黑体" w:hAnsi="黑体" w:eastAsia="黑体" w:cs="黑体"/>
              <w:spacing w:val="-42"/>
              <w:position w:val="1"/>
              <w:sz w:val="19"/>
              <w:szCs w:val="19"/>
              <w:highlight w:val="none"/>
            </w:rPr>
            <w:t xml:space="preserve"> </w:t>
          </w:r>
          <w:r>
            <w:rPr>
              <w:rFonts w:ascii="黑体" w:hAnsi="黑体" w:eastAsia="黑体" w:cs="黑体"/>
              <w:spacing w:val="3"/>
              <w:position w:val="1"/>
              <w:sz w:val="19"/>
              <w:szCs w:val="19"/>
              <w:highlight w:val="none"/>
            </w:rPr>
            <w:t>、资格审查资料</w:t>
          </w:r>
          <w:r>
            <w:rPr>
              <w:rFonts w:ascii="黑体" w:hAnsi="黑体" w:eastAsia="黑体" w:cs="黑体"/>
              <w:spacing w:val="-73"/>
              <w:position w:val="1"/>
              <w:sz w:val="19"/>
              <w:szCs w:val="19"/>
              <w:highlight w:val="none"/>
            </w:rPr>
            <w:t xml:space="preserve"> </w:t>
          </w:r>
          <w:r>
            <w:rPr>
              <w:rFonts w:ascii="黑体" w:hAnsi="黑体" w:eastAsia="黑体" w:cs="黑体"/>
              <w:position w:val="1"/>
              <w:sz w:val="19"/>
              <w:szCs w:val="19"/>
              <w:highlight w:val="none"/>
            </w:rPr>
            <w:tab/>
          </w:r>
          <w:r>
            <w:rPr>
              <w:rFonts w:ascii="黑体" w:hAnsi="黑体" w:eastAsia="黑体" w:cs="黑体"/>
              <w:spacing w:val="9"/>
              <w:position w:val="1"/>
              <w:sz w:val="19"/>
              <w:szCs w:val="19"/>
              <w:highlight w:val="none"/>
            </w:rPr>
            <w:t xml:space="preserve"> </w:t>
          </w:r>
          <w:r>
            <w:rPr>
              <w:spacing w:val="-2"/>
              <w:position w:val="1"/>
              <w:sz w:val="19"/>
              <w:szCs w:val="19"/>
              <w:highlight w:val="none"/>
            </w:rPr>
            <w:t>257</w:t>
          </w:r>
          <w:r>
            <w:rPr>
              <w:spacing w:val="-2"/>
              <w:position w:val="1"/>
              <w:sz w:val="19"/>
              <w:szCs w:val="19"/>
              <w:highlight w:val="none"/>
            </w:rPr>
            <w:fldChar w:fldCharType="end"/>
          </w:r>
        </w:p>
        <w:p w14:paraId="3E1B7E14">
          <w:pPr>
            <w:pStyle w:val="2"/>
            <w:tabs>
              <w:tab w:val="right" w:leader="dot" w:pos="8310"/>
            </w:tabs>
            <w:spacing w:before="85" w:line="222" w:lineRule="auto"/>
            <w:ind w:left="210"/>
            <w:rPr>
              <w:sz w:val="19"/>
              <w:szCs w:val="19"/>
              <w:highlight w:val="none"/>
            </w:rPr>
          </w:pPr>
          <w:r>
            <w:rPr>
              <w:highlight w:val="none"/>
            </w:rPr>
            <w:fldChar w:fldCharType="begin"/>
          </w:r>
          <w:r>
            <w:rPr>
              <w:highlight w:val="none"/>
            </w:rPr>
            <w:instrText xml:space="preserve"> HYPERLINK \l "bookmark164" </w:instrText>
          </w:r>
          <w:r>
            <w:rPr>
              <w:highlight w:val="none"/>
            </w:rPr>
            <w:fldChar w:fldCharType="separate"/>
          </w:r>
          <w:r>
            <w:rPr>
              <w:rFonts w:ascii="黑体" w:hAnsi="黑体" w:eastAsia="黑体" w:cs="黑体"/>
              <w:sz w:val="19"/>
              <w:szCs w:val="19"/>
              <w:highlight w:val="none"/>
            </w:rPr>
            <w:t>十</w:t>
          </w:r>
          <w:r>
            <w:rPr>
              <w:rFonts w:ascii="黑体" w:hAnsi="黑体" w:eastAsia="黑体" w:cs="黑体"/>
              <w:spacing w:val="-45"/>
              <w:sz w:val="19"/>
              <w:szCs w:val="19"/>
              <w:highlight w:val="none"/>
            </w:rPr>
            <w:t xml:space="preserve"> </w:t>
          </w:r>
          <w:r>
            <w:rPr>
              <w:rFonts w:ascii="黑体" w:hAnsi="黑体" w:eastAsia="黑体" w:cs="黑体"/>
              <w:sz w:val="19"/>
              <w:szCs w:val="19"/>
              <w:highlight w:val="none"/>
            </w:rPr>
            <w:t>、价格清单</w:t>
          </w:r>
          <w:r>
            <w:rPr>
              <w:rFonts w:ascii="黑体" w:hAnsi="黑体" w:eastAsia="黑体" w:cs="黑体"/>
              <w:spacing w:val="-77"/>
              <w:sz w:val="19"/>
              <w:szCs w:val="19"/>
              <w:highlight w:val="none"/>
            </w:rPr>
            <w:t xml:space="preserve"> </w:t>
          </w:r>
          <w:r>
            <w:rPr>
              <w:rFonts w:ascii="黑体" w:hAnsi="黑体" w:eastAsia="黑体" w:cs="黑体"/>
              <w:sz w:val="19"/>
              <w:szCs w:val="19"/>
              <w:highlight w:val="none"/>
            </w:rPr>
            <w:tab/>
          </w:r>
          <w:r>
            <w:rPr>
              <w:spacing w:val="1"/>
              <w:sz w:val="19"/>
              <w:szCs w:val="19"/>
              <w:highlight w:val="none"/>
            </w:rPr>
            <w:t>274</w:t>
          </w:r>
          <w:r>
            <w:rPr>
              <w:spacing w:val="1"/>
              <w:sz w:val="19"/>
              <w:szCs w:val="19"/>
              <w:highlight w:val="none"/>
            </w:rPr>
            <w:fldChar w:fldCharType="end"/>
          </w:r>
        </w:p>
        <w:p w14:paraId="52914704">
          <w:pPr>
            <w:pStyle w:val="2"/>
            <w:tabs>
              <w:tab w:val="right" w:leader="dot" w:pos="8300"/>
            </w:tabs>
            <w:spacing w:before="101" w:line="218" w:lineRule="auto"/>
            <w:ind w:left="310"/>
            <w:rPr>
              <w:sz w:val="19"/>
              <w:szCs w:val="19"/>
              <w:highlight w:val="none"/>
            </w:rPr>
          </w:pPr>
          <w:r>
            <w:rPr>
              <w:highlight w:val="none"/>
            </w:rPr>
            <w:fldChar w:fldCharType="begin"/>
          </w:r>
          <w:r>
            <w:rPr>
              <w:highlight w:val="none"/>
            </w:rPr>
            <w:instrText xml:space="preserve"> HYPERLINK \l "bookmark165" </w:instrText>
          </w:r>
          <w:r>
            <w:rPr>
              <w:highlight w:val="none"/>
            </w:rPr>
            <w:fldChar w:fldCharType="separate"/>
          </w:r>
          <w:r>
            <w:rPr>
              <w:rFonts w:ascii="宋体" w:hAnsi="宋体" w:eastAsia="宋体" w:cs="宋体"/>
              <w:spacing w:val="4"/>
              <w:sz w:val="19"/>
              <w:szCs w:val="19"/>
              <w:highlight w:val="none"/>
            </w:rPr>
            <w:t>(</w:t>
          </w:r>
          <w:r>
            <w:rPr>
              <w:rFonts w:ascii="宋体" w:hAnsi="宋体" w:eastAsia="宋体" w:cs="宋体"/>
              <w:spacing w:val="-26"/>
              <w:sz w:val="19"/>
              <w:szCs w:val="19"/>
              <w:highlight w:val="none"/>
            </w:rPr>
            <w:t xml:space="preserve"> </w:t>
          </w:r>
          <w:r>
            <w:rPr>
              <w:rFonts w:ascii="宋体" w:hAnsi="宋体" w:eastAsia="宋体" w:cs="宋体"/>
              <w:spacing w:val="4"/>
              <w:sz w:val="19"/>
              <w:szCs w:val="19"/>
              <w:highlight w:val="none"/>
            </w:rPr>
            <w:t>一</w:t>
          </w:r>
          <w:r>
            <w:rPr>
              <w:rFonts w:ascii="宋体" w:hAnsi="宋体" w:eastAsia="宋体" w:cs="宋体"/>
              <w:spacing w:val="-31"/>
              <w:sz w:val="19"/>
              <w:szCs w:val="19"/>
              <w:highlight w:val="none"/>
            </w:rPr>
            <w:t xml:space="preserve"> </w:t>
          </w:r>
          <w:r>
            <w:rPr>
              <w:rFonts w:ascii="宋体" w:hAnsi="宋体" w:eastAsia="宋体" w:cs="宋体"/>
              <w:spacing w:val="4"/>
              <w:sz w:val="19"/>
              <w:szCs w:val="19"/>
              <w:highlight w:val="none"/>
            </w:rPr>
            <w:t>)价格清单说明</w:t>
          </w:r>
          <w:r>
            <w:rPr>
              <w:rFonts w:ascii="宋体" w:hAnsi="宋体" w:eastAsia="宋体" w:cs="宋体"/>
              <w:spacing w:val="-85"/>
              <w:sz w:val="19"/>
              <w:szCs w:val="19"/>
              <w:highlight w:val="none"/>
            </w:rPr>
            <w:t xml:space="preserve"> </w:t>
          </w:r>
          <w:r>
            <w:rPr>
              <w:rFonts w:ascii="宋体" w:hAnsi="宋体" w:eastAsia="宋体" w:cs="宋体"/>
              <w:sz w:val="19"/>
              <w:szCs w:val="19"/>
              <w:highlight w:val="none"/>
            </w:rPr>
            <w:tab/>
          </w:r>
          <w:r>
            <w:rPr>
              <w:spacing w:val="1"/>
              <w:sz w:val="19"/>
              <w:szCs w:val="19"/>
              <w:highlight w:val="none"/>
            </w:rPr>
            <w:t>274</w:t>
          </w:r>
          <w:r>
            <w:rPr>
              <w:spacing w:val="1"/>
              <w:sz w:val="19"/>
              <w:szCs w:val="19"/>
              <w:highlight w:val="none"/>
            </w:rPr>
            <w:fldChar w:fldCharType="end"/>
          </w:r>
        </w:p>
        <w:p w14:paraId="26085F77">
          <w:pPr>
            <w:pStyle w:val="2"/>
            <w:tabs>
              <w:tab w:val="right" w:leader="dot" w:pos="8310"/>
            </w:tabs>
            <w:spacing w:before="51" w:line="259" w:lineRule="exact"/>
            <w:ind w:left="310"/>
            <w:rPr>
              <w:sz w:val="19"/>
              <w:szCs w:val="19"/>
              <w:highlight w:val="none"/>
            </w:rPr>
          </w:pPr>
          <w:r>
            <w:rPr>
              <w:highlight w:val="none"/>
            </w:rPr>
            <w:fldChar w:fldCharType="begin"/>
          </w:r>
          <w:r>
            <w:rPr>
              <w:highlight w:val="none"/>
            </w:rPr>
            <w:instrText xml:space="preserve"> HYPERLINK \l "bookmark166" </w:instrText>
          </w:r>
          <w:r>
            <w:rPr>
              <w:highlight w:val="none"/>
            </w:rPr>
            <w:fldChar w:fldCharType="separate"/>
          </w:r>
          <w:r>
            <w:rPr>
              <w:rFonts w:ascii="宋体" w:hAnsi="宋体" w:eastAsia="宋体" w:cs="宋体"/>
              <w:spacing w:val="2"/>
              <w:position w:val="1"/>
              <w:sz w:val="19"/>
              <w:szCs w:val="19"/>
              <w:highlight w:val="none"/>
            </w:rPr>
            <w:t>(</w:t>
          </w:r>
          <w:r>
            <w:rPr>
              <w:rFonts w:ascii="宋体" w:hAnsi="宋体" w:eastAsia="宋体" w:cs="宋体"/>
              <w:spacing w:val="-32"/>
              <w:position w:val="1"/>
              <w:sz w:val="19"/>
              <w:szCs w:val="19"/>
              <w:highlight w:val="none"/>
            </w:rPr>
            <w:t xml:space="preserve"> </w:t>
          </w:r>
          <w:r>
            <w:rPr>
              <w:rFonts w:ascii="宋体" w:hAnsi="宋体" w:eastAsia="宋体" w:cs="宋体"/>
              <w:spacing w:val="2"/>
              <w:position w:val="1"/>
              <w:sz w:val="19"/>
              <w:szCs w:val="19"/>
              <w:highlight w:val="none"/>
            </w:rPr>
            <w:t>二</w:t>
          </w:r>
          <w:r>
            <w:rPr>
              <w:rFonts w:ascii="宋体" w:hAnsi="宋体" w:eastAsia="宋体" w:cs="宋体"/>
              <w:spacing w:val="-35"/>
              <w:position w:val="1"/>
              <w:sz w:val="19"/>
              <w:szCs w:val="19"/>
              <w:highlight w:val="none"/>
            </w:rPr>
            <w:t xml:space="preserve"> </w:t>
          </w:r>
          <w:r>
            <w:rPr>
              <w:rFonts w:ascii="宋体" w:hAnsi="宋体" w:eastAsia="宋体" w:cs="宋体"/>
              <w:spacing w:val="2"/>
              <w:position w:val="1"/>
              <w:sz w:val="19"/>
              <w:szCs w:val="19"/>
              <w:highlight w:val="none"/>
            </w:rPr>
            <w:t>)价格清单</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spacing w:val="1"/>
              <w:position w:val="1"/>
              <w:sz w:val="19"/>
              <w:szCs w:val="19"/>
              <w:highlight w:val="none"/>
            </w:rPr>
            <w:t>275</w:t>
          </w:r>
          <w:r>
            <w:rPr>
              <w:spacing w:val="1"/>
              <w:position w:val="1"/>
              <w:sz w:val="19"/>
              <w:szCs w:val="19"/>
              <w:highlight w:val="none"/>
            </w:rPr>
            <w:fldChar w:fldCharType="end"/>
          </w:r>
        </w:p>
        <w:p w14:paraId="75676783">
          <w:pPr>
            <w:pStyle w:val="2"/>
            <w:tabs>
              <w:tab w:val="right" w:leader="dot" w:pos="8310"/>
            </w:tabs>
            <w:spacing w:before="42" w:line="259" w:lineRule="exact"/>
            <w:ind w:left="210"/>
            <w:rPr>
              <w:sz w:val="19"/>
              <w:szCs w:val="19"/>
              <w:highlight w:val="none"/>
            </w:rPr>
          </w:pPr>
          <w:r>
            <w:rPr>
              <w:highlight w:val="none"/>
            </w:rPr>
            <w:fldChar w:fldCharType="begin"/>
          </w:r>
          <w:r>
            <w:rPr>
              <w:highlight w:val="none"/>
            </w:rPr>
            <w:instrText xml:space="preserve"> HYPERLINK \l "bookmark167" </w:instrText>
          </w:r>
          <w:r>
            <w:rPr>
              <w:highlight w:val="none"/>
            </w:rPr>
            <w:fldChar w:fldCharType="separate"/>
          </w:r>
          <w:r>
            <w:rPr>
              <w:rFonts w:ascii="黑体" w:hAnsi="黑体" w:eastAsia="黑体" w:cs="黑体"/>
              <w:spacing w:val="7"/>
              <w:position w:val="1"/>
              <w:sz w:val="19"/>
              <w:szCs w:val="19"/>
              <w:highlight w:val="none"/>
            </w:rPr>
            <w:t>十一、承包人建议书</w:t>
          </w:r>
          <w:r>
            <w:rPr>
              <w:rFonts w:ascii="黑体" w:hAnsi="黑体" w:eastAsia="黑体" w:cs="黑体"/>
              <w:spacing w:val="-60"/>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284</w:t>
          </w:r>
          <w:r>
            <w:rPr>
              <w:spacing w:val="1"/>
              <w:position w:val="1"/>
              <w:sz w:val="19"/>
              <w:szCs w:val="19"/>
              <w:highlight w:val="none"/>
            </w:rPr>
            <w:fldChar w:fldCharType="end"/>
          </w:r>
        </w:p>
        <w:p w14:paraId="4B7D8A48">
          <w:pPr>
            <w:pStyle w:val="2"/>
            <w:tabs>
              <w:tab w:val="right" w:leader="dot" w:pos="8320"/>
            </w:tabs>
            <w:spacing w:before="61" w:line="259" w:lineRule="exact"/>
            <w:ind w:left="210"/>
            <w:rPr>
              <w:sz w:val="19"/>
              <w:szCs w:val="19"/>
              <w:highlight w:val="none"/>
            </w:rPr>
          </w:pPr>
          <w:r>
            <w:rPr>
              <w:highlight w:val="none"/>
            </w:rPr>
            <w:fldChar w:fldCharType="begin"/>
          </w:r>
          <w:r>
            <w:rPr>
              <w:highlight w:val="none"/>
            </w:rPr>
            <w:instrText xml:space="preserve"> HYPERLINK \l "bookmark168" </w:instrText>
          </w:r>
          <w:r>
            <w:rPr>
              <w:highlight w:val="none"/>
            </w:rPr>
            <w:fldChar w:fldCharType="separate"/>
          </w:r>
          <w:r>
            <w:rPr>
              <w:rFonts w:ascii="黑体" w:hAnsi="黑体" w:eastAsia="黑体" w:cs="黑体"/>
              <w:spacing w:val="8"/>
              <w:position w:val="1"/>
              <w:sz w:val="19"/>
              <w:szCs w:val="19"/>
              <w:highlight w:val="none"/>
            </w:rPr>
            <w:t>十二、承包人实施计划</w:t>
          </w:r>
          <w:r>
            <w:rPr>
              <w:rFonts w:ascii="黑体" w:hAnsi="黑体" w:eastAsia="黑体" w:cs="黑体"/>
              <w:spacing w:val="-77"/>
              <w:position w:val="1"/>
              <w:sz w:val="19"/>
              <w:szCs w:val="19"/>
              <w:highlight w:val="none"/>
            </w:rPr>
            <w:t xml:space="preserve"> </w:t>
          </w:r>
          <w:r>
            <w:rPr>
              <w:rFonts w:ascii="黑体" w:hAnsi="黑体" w:eastAsia="黑体" w:cs="黑体"/>
              <w:position w:val="1"/>
              <w:sz w:val="19"/>
              <w:szCs w:val="19"/>
              <w:highlight w:val="none"/>
            </w:rPr>
            <w:tab/>
          </w:r>
          <w:r>
            <w:rPr>
              <w:spacing w:val="1"/>
              <w:position w:val="1"/>
              <w:sz w:val="19"/>
              <w:szCs w:val="19"/>
              <w:highlight w:val="none"/>
            </w:rPr>
            <w:t>285</w:t>
          </w:r>
          <w:r>
            <w:rPr>
              <w:spacing w:val="1"/>
              <w:position w:val="1"/>
              <w:sz w:val="19"/>
              <w:szCs w:val="19"/>
              <w:highlight w:val="none"/>
            </w:rPr>
            <w:fldChar w:fldCharType="end"/>
          </w:r>
        </w:p>
      </w:sdtContent>
    </w:sdt>
    <w:p w14:paraId="6A600503">
      <w:pPr>
        <w:spacing w:line="259" w:lineRule="exact"/>
        <w:rPr>
          <w:sz w:val="19"/>
          <w:szCs w:val="19"/>
          <w:highlight w:val="none"/>
        </w:rPr>
        <w:sectPr>
          <w:footerReference r:id="rId8" w:type="default"/>
          <w:pgSz w:w="11910" w:h="16840"/>
          <w:pgMar w:top="400" w:right="1786" w:bottom="1197" w:left="1769" w:header="0" w:footer="1019" w:gutter="0"/>
          <w:cols w:space="720" w:num="1"/>
        </w:sectPr>
      </w:pPr>
    </w:p>
    <w:p w14:paraId="6EA09CEA">
      <w:pPr>
        <w:pStyle w:val="2"/>
        <w:spacing w:line="249" w:lineRule="auto"/>
        <w:rPr>
          <w:highlight w:val="none"/>
        </w:rPr>
      </w:pPr>
    </w:p>
    <w:p w14:paraId="14D8DC41">
      <w:pPr>
        <w:pStyle w:val="2"/>
        <w:spacing w:line="249" w:lineRule="auto"/>
        <w:rPr>
          <w:highlight w:val="none"/>
        </w:rPr>
      </w:pPr>
    </w:p>
    <w:p w14:paraId="09AE76EE">
      <w:pPr>
        <w:pStyle w:val="2"/>
        <w:spacing w:line="249" w:lineRule="auto"/>
        <w:rPr>
          <w:highlight w:val="none"/>
        </w:rPr>
      </w:pPr>
    </w:p>
    <w:p w14:paraId="685BD438">
      <w:pPr>
        <w:pStyle w:val="2"/>
        <w:spacing w:line="249" w:lineRule="auto"/>
        <w:rPr>
          <w:highlight w:val="none"/>
        </w:rPr>
      </w:pPr>
    </w:p>
    <w:sdt>
      <w:sdtPr>
        <w:rPr>
          <w:rFonts w:ascii="宋体" w:hAnsi="宋体" w:eastAsia="宋体" w:cs="宋体"/>
          <w:sz w:val="19"/>
          <w:szCs w:val="19"/>
          <w:highlight w:val="none"/>
        </w:rPr>
        <w:id w:val="147468346"/>
        <w:docPartObj>
          <w:docPartGallery w:val="Table of Contents"/>
          <w:docPartUnique/>
        </w:docPartObj>
      </w:sdtPr>
      <w:sdtEndPr>
        <w:rPr>
          <w:rFonts w:ascii="Arial" w:hAnsi="Arial" w:eastAsia="Arial" w:cs="Arial"/>
          <w:sz w:val="19"/>
          <w:szCs w:val="19"/>
          <w:highlight w:val="none"/>
        </w:rPr>
      </w:sdtEndPr>
      <w:sdtContent>
        <w:p w14:paraId="4A146840">
          <w:pPr>
            <w:pStyle w:val="2"/>
            <w:tabs>
              <w:tab w:val="right" w:leader="dot" w:pos="8284"/>
            </w:tabs>
            <w:spacing w:before="61" w:line="259" w:lineRule="exact"/>
            <w:ind w:left="203"/>
            <w:rPr>
              <w:sz w:val="19"/>
              <w:szCs w:val="19"/>
              <w:highlight w:val="none"/>
            </w:rPr>
          </w:pPr>
          <w:bookmarkStart w:id="1" w:name="bookmark169"/>
          <w:bookmarkEnd w:id="1"/>
          <w:r>
            <w:rPr>
              <w:highlight w:val="none"/>
            </w:rPr>
            <w:fldChar w:fldCharType="begin"/>
          </w:r>
          <w:r>
            <w:rPr>
              <w:highlight w:val="none"/>
            </w:rPr>
            <w:instrText xml:space="preserve"> HYPERLINK \l "bookmark170" </w:instrText>
          </w:r>
          <w:r>
            <w:rPr>
              <w:highlight w:val="none"/>
            </w:rPr>
            <w:fldChar w:fldCharType="separate"/>
          </w:r>
          <w:r>
            <w:rPr>
              <w:rFonts w:ascii="宋体" w:hAnsi="宋体" w:eastAsia="宋体" w:cs="宋体"/>
              <w:spacing w:val="6"/>
              <w:position w:val="1"/>
              <w:sz w:val="19"/>
              <w:szCs w:val="19"/>
              <w:highlight w:val="none"/>
            </w:rPr>
            <w:t>十三、其他资料</w:t>
          </w:r>
          <w:r>
            <w:rPr>
              <w:rFonts w:ascii="宋体" w:hAnsi="宋体" w:eastAsia="宋体" w:cs="宋体"/>
              <w:spacing w:val="-69"/>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293</w:t>
          </w:r>
          <w:r>
            <w:rPr>
              <w:position w:val="1"/>
              <w:sz w:val="19"/>
              <w:szCs w:val="19"/>
              <w:highlight w:val="none"/>
            </w:rPr>
            <w:fldChar w:fldCharType="end"/>
          </w:r>
        </w:p>
        <w:p w14:paraId="10732113">
          <w:pPr>
            <w:pStyle w:val="2"/>
            <w:tabs>
              <w:tab w:val="right" w:leader="dot" w:pos="8294"/>
            </w:tabs>
            <w:spacing w:before="39" w:line="259" w:lineRule="exact"/>
            <w:ind w:left="203"/>
            <w:rPr>
              <w:sz w:val="19"/>
              <w:szCs w:val="19"/>
              <w:highlight w:val="none"/>
            </w:rPr>
          </w:pPr>
          <w:r>
            <w:rPr>
              <w:highlight w:val="none"/>
            </w:rPr>
            <w:fldChar w:fldCharType="begin"/>
          </w:r>
          <w:r>
            <w:rPr>
              <w:highlight w:val="none"/>
            </w:rPr>
            <w:instrText xml:space="preserve"> HYPERLINK \l "bookmark171" </w:instrText>
          </w:r>
          <w:r>
            <w:rPr>
              <w:highlight w:val="none"/>
            </w:rPr>
            <w:fldChar w:fldCharType="separate"/>
          </w:r>
          <w:r>
            <w:rPr>
              <w:rFonts w:ascii="宋体" w:hAnsi="宋体" w:eastAsia="宋体" w:cs="宋体"/>
              <w:spacing w:val="17"/>
              <w:position w:val="1"/>
              <w:sz w:val="19"/>
              <w:szCs w:val="19"/>
              <w:highlight w:val="none"/>
            </w:rPr>
            <w:t>十四、投标函附表2</w:t>
          </w:r>
          <w:r>
            <w:rPr>
              <w:rFonts w:ascii="宋体" w:hAnsi="宋体" w:eastAsia="宋体" w:cs="宋体"/>
              <w:spacing w:val="-75"/>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294</w:t>
          </w:r>
          <w:r>
            <w:rPr>
              <w:position w:val="1"/>
              <w:sz w:val="19"/>
              <w:szCs w:val="19"/>
              <w:highlight w:val="none"/>
            </w:rPr>
            <w:fldChar w:fldCharType="end"/>
          </w:r>
        </w:p>
        <w:p w14:paraId="0310A77B">
          <w:pPr>
            <w:pStyle w:val="2"/>
            <w:tabs>
              <w:tab w:val="right" w:leader="dot" w:pos="8294"/>
            </w:tabs>
            <w:spacing w:before="53" w:line="259" w:lineRule="exact"/>
            <w:ind w:left="203"/>
            <w:rPr>
              <w:sz w:val="19"/>
              <w:szCs w:val="19"/>
              <w:highlight w:val="none"/>
            </w:rPr>
          </w:pPr>
          <w:r>
            <w:rPr>
              <w:highlight w:val="none"/>
            </w:rPr>
            <w:fldChar w:fldCharType="begin"/>
          </w:r>
          <w:r>
            <w:rPr>
              <w:highlight w:val="none"/>
            </w:rPr>
            <w:instrText xml:space="preserve"> HYPERLINK \l "bookmark172" </w:instrText>
          </w:r>
          <w:r>
            <w:rPr>
              <w:highlight w:val="none"/>
            </w:rPr>
            <w:fldChar w:fldCharType="separate"/>
          </w:r>
          <w:r>
            <w:rPr>
              <w:rFonts w:ascii="宋体" w:hAnsi="宋体" w:eastAsia="宋体" w:cs="宋体"/>
              <w:spacing w:val="-16"/>
              <w:w w:val="92"/>
              <w:position w:val="1"/>
              <w:sz w:val="19"/>
              <w:szCs w:val="19"/>
              <w:highlight w:val="none"/>
            </w:rPr>
            <w:t>序号</w:t>
          </w:r>
          <w:r>
            <w:rPr>
              <w:rFonts w:ascii="宋体" w:hAnsi="宋体" w:eastAsia="宋体" w:cs="宋体"/>
              <w:spacing w:val="-74"/>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42"/>
              <w:position w:val="1"/>
              <w:sz w:val="19"/>
              <w:szCs w:val="19"/>
              <w:highlight w:val="none"/>
            </w:rPr>
            <w:t xml:space="preserve"> </w:t>
          </w:r>
          <w:r>
            <w:rPr>
              <w:spacing w:val="-2"/>
              <w:position w:val="1"/>
              <w:sz w:val="19"/>
              <w:szCs w:val="19"/>
              <w:highlight w:val="none"/>
            </w:rPr>
            <w:t>294</w:t>
          </w:r>
          <w:r>
            <w:rPr>
              <w:spacing w:val="-2"/>
              <w:position w:val="1"/>
              <w:sz w:val="19"/>
              <w:szCs w:val="19"/>
              <w:highlight w:val="none"/>
            </w:rPr>
            <w:fldChar w:fldCharType="end"/>
          </w:r>
        </w:p>
        <w:p w14:paraId="5415B5DA">
          <w:pPr>
            <w:pStyle w:val="2"/>
            <w:tabs>
              <w:tab w:val="right" w:leader="dot" w:pos="8294"/>
            </w:tabs>
            <w:spacing w:before="40" w:line="259" w:lineRule="exact"/>
            <w:ind w:left="203"/>
            <w:rPr>
              <w:sz w:val="19"/>
              <w:szCs w:val="19"/>
              <w:highlight w:val="none"/>
            </w:rPr>
          </w:pPr>
          <w:r>
            <w:rPr>
              <w:highlight w:val="none"/>
            </w:rPr>
            <w:fldChar w:fldCharType="begin"/>
          </w:r>
          <w:r>
            <w:rPr>
              <w:highlight w:val="none"/>
            </w:rPr>
            <w:instrText xml:space="preserve"> HYPERLINK \l "bookmark173" </w:instrText>
          </w:r>
          <w:r>
            <w:rPr>
              <w:highlight w:val="none"/>
            </w:rPr>
            <w:fldChar w:fldCharType="separate"/>
          </w:r>
          <w:r>
            <w:rPr>
              <w:rFonts w:ascii="宋体" w:hAnsi="宋体" w:eastAsia="宋体" w:cs="宋体"/>
              <w:spacing w:val="6"/>
              <w:position w:val="1"/>
              <w:sz w:val="19"/>
              <w:szCs w:val="19"/>
              <w:highlight w:val="none"/>
            </w:rPr>
            <w:t>投标单位名称</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294</w:t>
          </w:r>
          <w:r>
            <w:rPr>
              <w:position w:val="1"/>
              <w:sz w:val="19"/>
              <w:szCs w:val="19"/>
              <w:highlight w:val="none"/>
            </w:rPr>
            <w:fldChar w:fldCharType="end"/>
          </w:r>
        </w:p>
        <w:p w14:paraId="1572FD9F">
          <w:pPr>
            <w:pStyle w:val="2"/>
            <w:tabs>
              <w:tab w:val="right" w:leader="dot" w:pos="8294"/>
            </w:tabs>
            <w:spacing w:before="69" w:line="258" w:lineRule="exact"/>
            <w:ind w:left="203"/>
            <w:rPr>
              <w:sz w:val="19"/>
              <w:szCs w:val="19"/>
              <w:highlight w:val="none"/>
            </w:rPr>
          </w:pPr>
          <w:r>
            <w:rPr>
              <w:highlight w:val="none"/>
            </w:rPr>
            <w:fldChar w:fldCharType="begin"/>
          </w:r>
          <w:r>
            <w:rPr>
              <w:highlight w:val="none"/>
            </w:rPr>
            <w:instrText xml:space="preserve"> HYPERLINK \l "bookmark174" </w:instrText>
          </w:r>
          <w:r>
            <w:rPr>
              <w:highlight w:val="none"/>
            </w:rPr>
            <w:fldChar w:fldCharType="separate"/>
          </w:r>
          <w:r>
            <w:rPr>
              <w:rFonts w:ascii="宋体" w:hAnsi="宋体" w:eastAsia="宋体" w:cs="宋体"/>
              <w:spacing w:val="27"/>
              <w:position w:val="1"/>
              <w:sz w:val="19"/>
              <w:szCs w:val="19"/>
              <w:highlight w:val="none"/>
            </w:rPr>
            <w:t>投标报价(元)</w:t>
          </w:r>
          <w:r>
            <w:rPr>
              <w:rFonts w:ascii="宋体" w:hAnsi="宋体" w:eastAsia="宋体" w:cs="宋体"/>
              <w:position w:val="1"/>
              <w:sz w:val="19"/>
              <w:szCs w:val="19"/>
              <w:highlight w:val="none"/>
            </w:rPr>
            <w:tab/>
          </w:r>
          <w:r>
            <w:rPr>
              <w:spacing w:val="5"/>
              <w:position w:val="1"/>
              <w:sz w:val="19"/>
              <w:szCs w:val="19"/>
              <w:highlight w:val="none"/>
            </w:rPr>
            <w:t>294</w:t>
          </w:r>
          <w:r>
            <w:rPr>
              <w:spacing w:val="5"/>
              <w:position w:val="1"/>
              <w:sz w:val="19"/>
              <w:szCs w:val="19"/>
              <w:highlight w:val="none"/>
            </w:rPr>
            <w:fldChar w:fldCharType="end"/>
          </w:r>
        </w:p>
        <w:p w14:paraId="5BF7B221">
          <w:pPr>
            <w:pStyle w:val="2"/>
            <w:tabs>
              <w:tab w:val="right" w:leader="dot" w:pos="8234"/>
            </w:tabs>
            <w:spacing w:before="52" w:line="258" w:lineRule="exact"/>
            <w:ind w:left="203"/>
            <w:rPr>
              <w:sz w:val="19"/>
              <w:szCs w:val="19"/>
              <w:highlight w:val="none"/>
            </w:rPr>
          </w:pPr>
          <w:r>
            <w:rPr>
              <w:highlight w:val="none"/>
            </w:rPr>
            <w:fldChar w:fldCharType="begin"/>
          </w:r>
          <w:r>
            <w:rPr>
              <w:highlight w:val="none"/>
            </w:rPr>
            <w:instrText xml:space="preserve"> HYPERLINK \l "bookmark175" </w:instrText>
          </w:r>
          <w:r>
            <w:rPr>
              <w:highlight w:val="none"/>
            </w:rPr>
            <w:fldChar w:fldCharType="separate"/>
          </w:r>
          <w:r>
            <w:rPr>
              <w:rFonts w:ascii="宋体" w:hAnsi="宋体" w:eastAsia="宋体" w:cs="宋体"/>
              <w:spacing w:val="25"/>
              <w:position w:val="1"/>
              <w:sz w:val="19"/>
              <w:szCs w:val="19"/>
              <w:highlight w:val="none"/>
            </w:rPr>
            <w:t>设计费报价(元)</w:t>
          </w:r>
          <w:r>
            <w:rPr>
              <w:rFonts w:ascii="宋体" w:hAnsi="宋体" w:eastAsia="宋体" w:cs="宋体"/>
              <w:position w:val="1"/>
              <w:sz w:val="19"/>
              <w:szCs w:val="19"/>
              <w:highlight w:val="none"/>
            </w:rPr>
            <w:tab/>
          </w:r>
          <w:r>
            <w:rPr>
              <w:position w:val="1"/>
              <w:sz w:val="19"/>
              <w:szCs w:val="19"/>
              <w:highlight w:val="none"/>
            </w:rPr>
            <w:t>294</w:t>
          </w:r>
          <w:r>
            <w:rPr>
              <w:position w:val="1"/>
              <w:sz w:val="19"/>
              <w:szCs w:val="19"/>
              <w:highlight w:val="none"/>
            </w:rPr>
            <w:fldChar w:fldCharType="end"/>
          </w:r>
        </w:p>
        <w:p w14:paraId="549D5A81">
          <w:pPr>
            <w:pStyle w:val="2"/>
            <w:tabs>
              <w:tab w:val="right" w:leader="dot" w:pos="8294"/>
            </w:tabs>
            <w:spacing w:before="51" w:line="259" w:lineRule="exact"/>
            <w:ind w:left="203"/>
            <w:rPr>
              <w:sz w:val="19"/>
              <w:szCs w:val="19"/>
              <w:highlight w:val="none"/>
            </w:rPr>
          </w:pPr>
          <w:r>
            <w:rPr>
              <w:highlight w:val="none"/>
            </w:rPr>
            <w:fldChar w:fldCharType="begin"/>
          </w:r>
          <w:r>
            <w:rPr>
              <w:highlight w:val="none"/>
            </w:rPr>
            <w:instrText xml:space="preserve"> HYPERLINK \l "bookmark176" </w:instrText>
          </w:r>
          <w:r>
            <w:rPr>
              <w:highlight w:val="none"/>
            </w:rPr>
            <w:fldChar w:fldCharType="separate"/>
          </w:r>
          <w:r>
            <w:rPr>
              <w:rFonts w:ascii="宋体" w:hAnsi="宋体" w:eastAsia="宋体" w:cs="宋体"/>
              <w:spacing w:val="20"/>
              <w:position w:val="1"/>
              <w:sz w:val="19"/>
              <w:szCs w:val="19"/>
              <w:highlight w:val="none"/>
            </w:rPr>
            <w:t>工程费报价下浮率(%)</w:t>
          </w:r>
          <w:r>
            <w:rPr>
              <w:rFonts w:ascii="宋体" w:hAnsi="宋体" w:eastAsia="宋体" w:cs="宋体"/>
              <w:position w:val="1"/>
              <w:sz w:val="19"/>
              <w:szCs w:val="19"/>
              <w:highlight w:val="none"/>
            </w:rPr>
            <w:tab/>
          </w:r>
          <w:r>
            <w:rPr>
              <w:rFonts w:ascii="宋体" w:hAnsi="宋体" w:eastAsia="宋体" w:cs="宋体"/>
              <w:spacing w:val="-12"/>
              <w:position w:val="1"/>
              <w:sz w:val="19"/>
              <w:szCs w:val="19"/>
              <w:highlight w:val="none"/>
            </w:rPr>
            <w:t xml:space="preserve"> </w:t>
          </w:r>
          <w:r>
            <w:rPr>
              <w:spacing w:val="-2"/>
              <w:position w:val="1"/>
              <w:sz w:val="19"/>
              <w:szCs w:val="19"/>
              <w:highlight w:val="none"/>
            </w:rPr>
            <w:t>294</w:t>
          </w:r>
          <w:r>
            <w:rPr>
              <w:spacing w:val="-2"/>
              <w:position w:val="1"/>
              <w:sz w:val="19"/>
              <w:szCs w:val="19"/>
              <w:highlight w:val="none"/>
            </w:rPr>
            <w:fldChar w:fldCharType="end"/>
          </w:r>
        </w:p>
        <w:p w14:paraId="6EF95B0E">
          <w:pPr>
            <w:pStyle w:val="2"/>
            <w:tabs>
              <w:tab w:val="right" w:leader="dot" w:pos="8234"/>
            </w:tabs>
            <w:spacing w:before="53" w:line="259" w:lineRule="exact"/>
            <w:ind w:left="203"/>
            <w:rPr>
              <w:sz w:val="19"/>
              <w:szCs w:val="19"/>
              <w:highlight w:val="none"/>
            </w:rPr>
          </w:pPr>
          <w:r>
            <w:rPr>
              <w:highlight w:val="none"/>
            </w:rPr>
            <w:fldChar w:fldCharType="begin"/>
          </w:r>
          <w:r>
            <w:rPr>
              <w:highlight w:val="none"/>
            </w:rPr>
            <w:instrText xml:space="preserve"> HYPERLINK \l "bookmark177" </w:instrText>
          </w:r>
          <w:r>
            <w:rPr>
              <w:highlight w:val="none"/>
            </w:rPr>
            <w:fldChar w:fldCharType="separate"/>
          </w:r>
          <w:r>
            <w:rPr>
              <w:rFonts w:ascii="宋体" w:hAnsi="宋体" w:eastAsia="宋体" w:cs="宋体"/>
              <w:spacing w:val="-3"/>
              <w:position w:val="1"/>
              <w:sz w:val="19"/>
              <w:szCs w:val="19"/>
              <w:highlight w:val="none"/>
            </w:rPr>
            <w:t>项目经理</w:t>
          </w:r>
          <w:r>
            <w:rPr>
              <w:rFonts w:ascii="宋体" w:hAnsi="宋体" w:eastAsia="宋体" w:cs="宋体"/>
              <w:spacing w:val="-55"/>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294</w:t>
          </w:r>
          <w:r>
            <w:rPr>
              <w:position w:val="1"/>
              <w:sz w:val="19"/>
              <w:szCs w:val="19"/>
              <w:highlight w:val="none"/>
            </w:rPr>
            <w:fldChar w:fldCharType="end"/>
          </w:r>
        </w:p>
        <w:p w14:paraId="4388172E">
          <w:pPr>
            <w:pStyle w:val="2"/>
            <w:tabs>
              <w:tab w:val="right" w:leader="dot" w:pos="8234"/>
            </w:tabs>
            <w:spacing w:before="41" w:line="259" w:lineRule="exact"/>
            <w:ind w:left="203"/>
            <w:rPr>
              <w:sz w:val="19"/>
              <w:szCs w:val="19"/>
              <w:highlight w:val="none"/>
            </w:rPr>
          </w:pPr>
          <w:r>
            <w:rPr>
              <w:highlight w:val="none"/>
            </w:rPr>
            <w:fldChar w:fldCharType="begin"/>
          </w:r>
          <w:r>
            <w:rPr>
              <w:highlight w:val="none"/>
            </w:rPr>
            <w:instrText xml:space="preserve"> HYPERLINK \l "bookmark178" </w:instrText>
          </w:r>
          <w:r>
            <w:rPr>
              <w:highlight w:val="none"/>
            </w:rPr>
            <w:fldChar w:fldCharType="separate"/>
          </w:r>
          <w:r>
            <w:rPr>
              <w:rFonts w:ascii="宋体" w:hAnsi="宋体" w:eastAsia="宋体" w:cs="宋体"/>
              <w:spacing w:val="-2"/>
              <w:position w:val="1"/>
              <w:sz w:val="19"/>
              <w:szCs w:val="19"/>
              <w:highlight w:val="none"/>
            </w:rPr>
            <w:t>施工负责人</w:t>
          </w:r>
          <w:r>
            <w:rPr>
              <w:rFonts w:ascii="宋体" w:hAnsi="宋体" w:eastAsia="宋体" w:cs="宋体"/>
              <w:spacing w:val="-87"/>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294</w:t>
          </w:r>
          <w:r>
            <w:rPr>
              <w:position w:val="1"/>
              <w:sz w:val="19"/>
              <w:szCs w:val="19"/>
              <w:highlight w:val="none"/>
            </w:rPr>
            <w:fldChar w:fldCharType="end"/>
          </w:r>
        </w:p>
        <w:p w14:paraId="432380ED">
          <w:pPr>
            <w:pStyle w:val="2"/>
            <w:tabs>
              <w:tab w:val="right" w:leader="dot" w:pos="8294"/>
            </w:tabs>
            <w:spacing w:before="61" w:line="259" w:lineRule="exact"/>
            <w:ind w:left="203"/>
            <w:rPr>
              <w:sz w:val="19"/>
              <w:szCs w:val="19"/>
              <w:highlight w:val="none"/>
            </w:rPr>
          </w:pPr>
          <w:r>
            <w:rPr>
              <w:highlight w:val="none"/>
            </w:rPr>
            <w:fldChar w:fldCharType="begin"/>
          </w:r>
          <w:r>
            <w:rPr>
              <w:highlight w:val="none"/>
            </w:rPr>
            <w:instrText xml:space="preserve"> HYPERLINK \l "bookmark179" </w:instrText>
          </w:r>
          <w:r>
            <w:rPr>
              <w:highlight w:val="none"/>
            </w:rPr>
            <w:fldChar w:fldCharType="separate"/>
          </w:r>
          <w:r>
            <w:rPr>
              <w:rFonts w:ascii="宋体" w:hAnsi="宋体" w:eastAsia="宋体" w:cs="宋体"/>
              <w:spacing w:val="7"/>
              <w:position w:val="1"/>
              <w:sz w:val="19"/>
              <w:szCs w:val="19"/>
              <w:highlight w:val="none"/>
            </w:rPr>
            <w:t>设计负责人</w:t>
          </w:r>
          <w:r>
            <w:rPr>
              <w:rFonts w:ascii="宋体" w:hAnsi="宋体" w:eastAsia="宋体" w:cs="宋体"/>
              <w:spacing w:val="-72"/>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294</w:t>
          </w:r>
          <w:r>
            <w:rPr>
              <w:position w:val="1"/>
              <w:sz w:val="19"/>
              <w:szCs w:val="19"/>
              <w:highlight w:val="none"/>
            </w:rPr>
            <w:fldChar w:fldCharType="end"/>
          </w:r>
        </w:p>
        <w:p w14:paraId="4F3D0B9D">
          <w:pPr>
            <w:pStyle w:val="2"/>
            <w:tabs>
              <w:tab w:val="right" w:leader="dot" w:pos="8294"/>
            </w:tabs>
            <w:spacing w:before="61" w:line="259" w:lineRule="exact"/>
            <w:ind w:left="203"/>
            <w:rPr>
              <w:sz w:val="19"/>
              <w:szCs w:val="19"/>
              <w:highlight w:val="none"/>
            </w:rPr>
          </w:pPr>
          <w:r>
            <w:rPr>
              <w:highlight w:val="none"/>
            </w:rPr>
            <w:fldChar w:fldCharType="begin"/>
          </w:r>
          <w:r>
            <w:rPr>
              <w:highlight w:val="none"/>
            </w:rPr>
            <w:instrText xml:space="preserve"> HYPERLINK \l "bookmark180" </w:instrText>
          </w:r>
          <w:r>
            <w:rPr>
              <w:highlight w:val="none"/>
            </w:rPr>
            <w:fldChar w:fldCharType="separate"/>
          </w:r>
          <w:r>
            <w:rPr>
              <w:rFonts w:ascii="宋体" w:hAnsi="宋体" w:eastAsia="宋体" w:cs="宋体"/>
              <w:spacing w:val="-11"/>
              <w:position w:val="1"/>
              <w:sz w:val="19"/>
              <w:szCs w:val="19"/>
              <w:highlight w:val="none"/>
            </w:rPr>
            <w:t>投标代表</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spacing w:val="8"/>
              <w:position w:val="1"/>
              <w:sz w:val="19"/>
              <w:szCs w:val="19"/>
              <w:highlight w:val="none"/>
            </w:rPr>
            <w:t>294</w:t>
          </w:r>
          <w:r>
            <w:rPr>
              <w:spacing w:val="8"/>
              <w:position w:val="1"/>
              <w:sz w:val="19"/>
              <w:szCs w:val="19"/>
              <w:highlight w:val="none"/>
            </w:rPr>
            <w:fldChar w:fldCharType="end"/>
          </w:r>
        </w:p>
        <w:p w14:paraId="2F1BB05B">
          <w:pPr>
            <w:pStyle w:val="2"/>
            <w:tabs>
              <w:tab w:val="right" w:leader="dot" w:pos="8294"/>
            </w:tabs>
            <w:spacing w:before="53" w:line="259" w:lineRule="exact"/>
            <w:ind w:left="203"/>
            <w:rPr>
              <w:sz w:val="19"/>
              <w:szCs w:val="19"/>
              <w:highlight w:val="none"/>
            </w:rPr>
          </w:pPr>
          <w:r>
            <w:rPr>
              <w:highlight w:val="none"/>
            </w:rPr>
            <w:fldChar w:fldCharType="begin"/>
          </w:r>
          <w:r>
            <w:rPr>
              <w:highlight w:val="none"/>
            </w:rPr>
            <w:instrText xml:space="preserve"> HYPERLINK \l "bookmark181" </w:instrText>
          </w:r>
          <w:r>
            <w:rPr>
              <w:highlight w:val="none"/>
            </w:rPr>
            <w:fldChar w:fldCharType="separate"/>
          </w:r>
          <w:r>
            <w:rPr>
              <w:rFonts w:ascii="宋体" w:hAnsi="宋体" w:eastAsia="宋体" w:cs="宋体"/>
              <w:spacing w:val="4"/>
              <w:position w:val="1"/>
              <w:sz w:val="19"/>
              <w:szCs w:val="19"/>
              <w:highlight w:val="none"/>
            </w:rPr>
            <w:t>联系电话</w:t>
          </w:r>
          <w:r>
            <w:rPr>
              <w:rFonts w:ascii="宋体" w:hAnsi="宋体" w:eastAsia="宋体" w:cs="宋体"/>
              <w:spacing w:val="-73"/>
              <w:position w:val="1"/>
              <w:sz w:val="19"/>
              <w:szCs w:val="19"/>
              <w:highlight w:val="none"/>
            </w:rPr>
            <w:t xml:space="preserve"> </w:t>
          </w:r>
          <w:r>
            <w:rPr>
              <w:rFonts w:ascii="宋体" w:hAnsi="宋体" w:eastAsia="宋体" w:cs="宋体"/>
              <w:position w:val="1"/>
              <w:sz w:val="19"/>
              <w:szCs w:val="19"/>
              <w:highlight w:val="none"/>
            </w:rPr>
            <w:tab/>
          </w:r>
          <w:r>
            <w:rPr>
              <w:position w:val="1"/>
              <w:sz w:val="19"/>
              <w:szCs w:val="19"/>
              <w:highlight w:val="none"/>
            </w:rPr>
            <w:t>294</w:t>
          </w:r>
          <w:r>
            <w:rPr>
              <w:position w:val="1"/>
              <w:sz w:val="19"/>
              <w:szCs w:val="19"/>
              <w:highlight w:val="none"/>
            </w:rPr>
            <w:fldChar w:fldCharType="end"/>
          </w:r>
        </w:p>
        <w:p w14:paraId="0C9223EC">
          <w:pPr>
            <w:pStyle w:val="2"/>
            <w:tabs>
              <w:tab w:val="right" w:leader="dot" w:pos="8294"/>
            </w:tabs>
            <w:spacing w:before="60" w:line="259" w:lineRule="exact"/>
            <w:ind w:left="203"/>
            <w:rPr>
              <w:sz w:val="19"/>
              <w:szCs w:val="19"/>
              <w:highlight w:val="none"/>
            </w:rPr>
          </w:pPr>
          <w:r>
            <w:rPr>
              <w:highlight w:val="none"/>
            </w:rPr>
            <w:fldChar w:fldCharType="begin"/>
          </w:r>
          <w:r>
            <w:rPr>
              <w:highlight w:val="none"/>
            </w:rPr>
            <w:instrText xml:space="preserve"> HYPERLINK \l "bookmark182" </w:instrText>
          </w:r>
          <w:r>
            <w:rPr>
              <w:highlight w:val="none"/>
            </w:rPr>
            <w:fldChar w:fldCharType="separate"/>
          </w:r>
          <w:r>
            <w:rPr>
              <w:rFonts w:ascii="宋体" w:hAnsi="宋体" w:eastAsia="宋体" w:cs="宋体"/>
              <w:spacing w:val="-5"/>
              <w:position w:val="1"/>
              <w:sz w:val="19"/>
              <w:szCs w:val="19"/>
              <w:highlight w:val="none"/>
            </w:rPr>
            <w:t>备注</w:t>
          </w:r>
          <w:r>
            <w:rPr>
              <w:rFonts w:ascii="宋体" w:hAnsi="宋体" w:eastAsia="宋体" w:cs="宋体"/>
              <w:spacing w:val="-66"/>
              <w:position w:val="1"/>
              <w:sz w:val="19"/>
              <w:szCs w:val="19"/>
              <w:highlight w:val="none"/>
            </w:rPr>
            <w:t xml:space="preserve"> </w:t>
          </w:r>
          <w:r>
            <w:rPr>
              <w:rFonts w:ascii="宋体" w:hAnsi="宋体" w:eastAsia="宋体" w:cs="宋体"/>
              <w:position w:val="1"/>
              <w:sz w:val="19"/>
              <w:szCs w:val="19"/>
              <w:highlight w:val="none"/>
            </w:rPr>
            <w:tab/>
          </w:r>
          <w:r>
            <w:rPr>
              <w:spacing w:val="-3"/>
              <w:position w:val="1"/>
              <w:sz w:val="19"/>
              <w:szCs w:val="19"/>
              <w:highlight w:val="none"/>
            </w:rPr>
            <w:t>294</w:t>
          </w:r>
          <w:r>
            <w:rPr>
              <w:spacing w:val="-3"/>
              <w:position w:val="1"/>
              <w:sz w:val="19"/>
              <w:szCs w:val="19"/>
              <w:highlight w:val="none"/>
            </w:rPr>
            <w:fldChar w:fldCharType="end"/>
          </w:r>
        </w:p>
        <w:p w14:paraId="7E354E6A">
          <w:pPr>
            <w:pStyle w:val="2"/>
            <w:tabs>
              <w:tab w:val="right" w:leader="dot" w:pos="8304"/>
            </w:tabs>
            <w:spacing w:before="49" w:line="259" w:lineRule="exact"/>
            <w:ind w:left="203"/>
            <w:rPr>
              <w:sz w:val="19"/>
              <w:szCs w:val="19"/>
              <w:highlight w:val="none"/>
            </w:rPr>
          </w:pPr>
          <w:r>
            <w:rPr>
              <w:highlight w:val="none"/>
            </w:rPr>
            <w:fldChar w:fldCharType="begin"/>
          </w:r>
          <w:r>
            <w:rPr>
              <w:highlight w:val="none"/>
            </w:rPr>
            <w:instrText xml:space="preserve"> HYPERLINK \l "bookmark183" </w:instrText>
          </w:r>
          <w:r>
            <w:rPr>
              <w:highlight w:val="none"/>
            </w:rPr>
            <w:fldChar w:fldCharType="separate"/>
          </w:r>
          <w:r>
            <w:rPr>
              <w:rFonts w:ascii="宋体" w:hAnsi="宋体" w:eastAsia="宋体" w:cs="宋体"/>
              <w:spacing w:val="10"/>
              <w:position w:val="1"/>
              <w:sz w:val="19"/>
              <w:szCs w:val="19"/>
              <w:highlight w:val="none"/>
            </w:rPr>
            <w:t>十五、投标人事前信用承诺书</w:t>
          </w:r>
          <w:r>
            <w:rPr>
              <w:rFonts w:ascii="宋体" w:hAnsi="宋体" w:eastAsia="宋体" w:cs="宋体"/>
              <w:spacing w:val="-77"/>
              <w:position w:val="1"/>
              <w:sz w:val="19"/>
              <w:szCs w:val="19"/>
              <w:highlight w:val="none"/>
            </w:rPr>
            <w:t xml:space="preserve"> </w:t>
          </w:r>
          <w:r>
            <w:rPr>
              <w:rFonts w:ascii="宋体" w:hAnsi="宋体" w:eastAsia="宋体" w:cs="宋体"/>
              <w:position w:val="1"/>
              <w:sz w:val="19"/>
              <w:szCs w:val="19"/>
              <w:highlight w:val="none"/>
            </w:rPr>
            <w:tab/>
          </w:r>
          <w:r>
            <w:rPr>
              <w:rFonts w:ascii="宋体" w:hAnsi="宋体" w:eastAsia="宋体" w:cs="宋体"/>
              <w:spacing w:val="-32"/>
              <w:position w:val="1"/>
              <w:sz w:val="19"/>
              <w:szCs w:val="19"/>
              <w:highlight w:val="none"/>
            </w:rPr>
            <w:t xml:space="preserve"> </w:t>
          </w:r>
          <w:r>
            <w:rPr>
              <w:spacing w:val="-2"/>
              <w:position w:val="1"/>
              <w:sz w:val="19"/>
              <w:szCs w:val="19"/>
              <w:highlight w:val="none"/>
            </w:rPr>
            <w:t>295</w:t>
          </w:r>
          <w:r>
            <w:rPr>
              <w:spacing w:val="-2"/>
              <w:position w:val="1"/>
              <w:sz w:val="19"/>
              <w:szCs w:val="19"/>
              <w:highlight w:val="none"/>
            </w:rPr>
            <w:fldChar w:fldCharType="end"/>
          </w:r>
        </w:p>
      </w:sdtContent>
    </w:sdt>
    <w:p w14:paraId="3DFE0FCE">
      <w:pPr>
        <w:spacing w:line="259" w:lineRule="exact"/>
        <w:rPr>
          <w:sz w:val="19"/>
          <w:szCs w:val="19"/>
          <w:highlight w:val="none"/>
        </w:rPr>
        <w:sectPr>
          <w:footerReference r:id="rId9" w:type="default"/>
          <w:pgSz w:w="11910" w:h="16840"/>
          <w:pgMar w:top="400" w:right="1786" w:bottom="1183" w:left="1786" w:header="0" w:footer="1024" w:gutter="0"/>
          <w:cols w:space="720" w:num="1"/>
        </w:sectPr>
      </w:pPr>
    </w:p>
    <w:p w14:paraId="15175EE6">
      <w:pPr>
        <w:pStyle w:val="2"/>
        <w:spacing w:line="287" w:lineRule="auto"/>
        <w:rPr>
          <w:highlight w:val="none"/>
        </w:rPr>
      </w:pPr>
    </w:p>
    <w:p w14:paraId="0BA4A7DC">
      <w:pPr>
        <w:pStyle w:val="2"/>
        <w:spacing w:line="287" w:lineRule="auto"/>
        <w:rPr>
          <w:highlight w:val="none"/>
        </w:rPr>
      </w:pPr>
    </w:p>
    <w:p w14:paraId="5F8001F8">
      <w:pPr>
        <w:pStyle w:val="2"/>
        <w:spacing w:line="287" w:lineRule="auto"/>
        <w:rPr>
          <w:highlight w:val="none"/>
        </w:rPr>
      </w:pPr>
    </w:p>
    <w:p w14:paraId="2D3663E7">
      <w:pPr>
        <w:pStyle w:val="2"/>
        <w:spacing w:line="288" w:lineRule="auto"/>
        <w:rPr>
          <w:highlight w:val="none"/>
        </w:rPr>
      </w:pPr>
    </w:p>
    <w:p w14:paraId="55C3E9A3">
      <w:pPr>
        <w:spacing w:before="104" w:line="222" w:lineRule="auto"/>
        <w:ind w:left="2053"/>
        <w:outlineLvl w:val="0"/>
        <w:rPr>
          <w:rFonts w:ascii="黑体" w:hAnsi="黑体" w:eastAsia="黑体" w:cs="黑体"/>
          <w:sz w:val="32"/>
          <w:szCs w:val="32"/>
          <w:highlight w:val="none"/>
        </w:rPr>
      </w:pPr>
      <w:bookmarkStart w:id="2" w:name="bookmark1"/>
      <w:bookmarkEnd w:id="2"/>
      <w:r>
        <w:rPr>
          <w:rFonts w:ascii="黑体" w:hAnsi="黑体" w:eastAsia="黑体" w:cs="黑体"/>
          <w:spacing w:val="13"/>
          <w:sz w:val="32"/>
          <w:szCs w:val="32"/>
          <w:highlight w:val="none"/>
        </w:rPr>
        <w:t>第一章招标公告/投标邀请书</w:t>
      </w:r>
    </w:p>
    <w:p w14:paraId="70BF3ED9">
      <w:pPr>
        <w:pStyle w:val="2"/>
        <w:spacing w:line="285" w:lineRule="auto"/>
        <w:rPr>
          <w:highlight w:val="none"/>
        </w:rPr>
      </w:pPr>
    </w:p>
    <w:p w14:paraId="2A263142">
      <w:pPr>
        <w:pStyle w:val="2"/>
        <w:spacing w:line="285" w:lineRule="auto"/>
        <w:rPr>
          <w:highlight w:val="none"/>
        </w:rPr>
      </w:pPr>
    </w:p>
    <w:p w14:paraId="1FCF6ABD">
      <w:pPr>
        <w:spacing w:line="346" w:lineRule="auto"/>
        <w:ind w:left="3" w:right="78" w:firstLine="608" w:firstLineChars="200"/>
        <w:rPr>
          <w:rFonts w:hint="eastAsia" w:ascii="宋体" w:hAnsi="宋体" w:eastAsia="宋体" w:cs="宋体"/>
          <w:spacing w:val="-13"/>
          <w:sz w:val="33"/>
          <w:szCs w:val="33"/>
          <w:highlight w:val="none"/>
          <w:lang w:val="en-US" w:eastAsia="zh-CN"/>
        </w:rPr>
      </w:pPr>
      <w:r>
        <w:rPr>
          <w:rFonts w:hint="eastAsia" w:ascii="宋体" w:hAnsi="宋体" w:eastAsia="宋体" w:cs="宋体"/>
          <w:spacing w:val="-13"/>
          <w:sz w:val="33"/>
          <w:szCs w:val="33"/>
          <w:highlight w:val="none"/>
          <w:lang w:val="en-US" w:eastAsia="zh-CN"/>
        </w:rPr>
        <w:t>金桥·福菊农贸市场（菊花交易中心）建设项目设计施工总承包(项目名称)金桥·福菊农贸市场（菊花交易中心）建设项目设计施工总承包(标段名称) (HBMC-202608FJ-016001)招标公告</w:t>
      </w:r>
    </w:p>
    <w:p w14:paraId="116DAA66">
      <w:pPr>
        <w:spacing w:before="318" w:line="219" w:lineRule="auto"/>
        <w:ind w:left="1503"/>
        <w:rPr>
          <w:rFonts w:ascii="Times New Roman" w:hAnsi="Times New Roman" w:eastAsia="Times New Roman" w:cs="Times New Roman"/>
          <w:sz w:val="32"/>
          <w:szCs w:val="32"/>
          <w:highlight w:val="none"/>
        </w:rPr>
      </w:pPr>
      <w:r>
        <w:rPr>
          <w:rFonts w:ascii="宋体" w:hAnsi="宋体" w:eastAsia="宋体" w:cs="宋体"/>
          <w:spacing w:val="-4"/>
          <w:sz w:val="32"/>
          <w:szCs w:val="32"/>
          <w:highlight w:val="none"/>
        </w:rPr>
        <w:t>招标编号：HBMC-202608FJ-016001</w:t>
      </w:r>
    </w:p>
    <w:p w14:paraId="5FCBF256">
      <w:pPr>
        <w:spacing w:before="330" w:line="219" w:lineRule="auto"/>
        <w:ind w:left="3"/>
        <w:rPr>
          <w:rFonts w:ascii="宋体" w:hAnsi="宋体" w:eastAsia="宋体" w:cs="宋体"/>
          <w:sz w:val="31"/>
          <w:szCs w:val="31"/>
          <w:highlight w:val="none"/>
        </w:rPr>
      </w:pPr>
      <w:r>
        <w:rPr>
          <w:rFonts w:ascii="Times New Roman" w:hAnsi="Times New Roman" w:eastAsia="Times New Roman" w:cs="Times New Roman"/>
          <w:sz w:val="31"/>
          <w:szCs w:val="31"/>
          <w:highlight w:val="none"/>
        </w:rPr>
        <w:t xml:space="preserve">1. </w:t>
      </w:r>
      <w:r>
        <w:rPr>
          <w:rFonts w:ascii="宋体" w:hAnsi="宋体" w:eastAsia="宋体" w:cs="宋体"/>
          <w:sz w:val="31"/>
          <w:szCs w:val="31"/>
          <w:highlight w:val="none"/>
        </w:rPr>
        <w:t>招标条件</w:t>
      </w:r>
    </w:p>
    <w:p w14:paraId="0119072E">
      <w:pPr>
        <w:spacing w:line="346" w:lineRule="auto"/>
        <w:ind w:left="3" w:right="78" w:firstLine="608" w:firstLineChars="200"/>
        <w:rPr>
          <w:rFonts w:hint="eastAsia" w:ascii="宋体" w:hAnsi="宋体" w:eastAsia="宋体" w:cs="宋体"/>
          <w:spacing w:val="-13"/>
          <w:sz w:val="33"/>
          <w:szCs w:val="33"/>
          <w:highlight w:val="none"/>
          <w:lang w:val="en-US" w:eastAsia="zh-CN"/>
        </w:rPr>
      </w:pPr>
      <w:r>
        <w:rPr>
          <w:rFonts w:hint="eastAsia" w:ascii="宋体" w:hAnsi="宋体" w:eastAsia="宋体" w:cs="宋体"/>
          <w:spacing w:val="-13"/>
          <w:sz w:val="33"/>
          <w:szCs w:val="33"/>
          <w:highlight w:val="none"/>
          <w:lang w:val="en-US" w:eastAsia="zh-CN"/>
        </w:rPr>
        <w:t>招标项目金桥·福菊农贸市场（菊花交易中心）建设项目设计施工总承包已由麻城市发展和改革局以湖北省固定资产投资项目备案证2306-421181-04-01-823012批准建设，项目业主为麻城市黄金桥街道黄金桥社区居民委员会，建设资金来自自筹资金，出资比例为自筹资金100%,招标人为麻城市黄金桥街道黄金桥社区居民委员会，招标代理机构为：湖北烨鑫工程项目管理有限公司。项目已具备招标条件，现对该项目的工程总承包进行公开招标。</w:t>
      </w:r>
    </w:p>
    <w:p w14:paraId="04D4B03C">
      <w:pPr>
        <w:spacing w:before="118" w:line="219" w:lineRule="auto"/>
        <w:ind w:left="3"/>
        <w:rPr>
          <w:rFonts w:ascii="宋体" w:hAnsi="宋体" w:eastAsia="宋体" w:cs="宋体"/>
          <w:sz w:val="31"/>
          <w:szCs w:val="31"/>
          <w:highlight w:val="none"/>
        </w:rPr>
      </w:pPr>
      <w:r>
        <w:rPr>
          <w:rFonts w:ascii="Times New Roman" w:hAnsi="Times New Roman" w:eastAsia="Times New Roman" w:cs="Times New Roman"/>
          <w:spacing w:val="5"/>
          <w:sz w:val="31"/>
          <w:szCs w:val="31"/>
          <w:highlight w:val="none"/>
        </w:rPr>
        <w:t xml:space="preserve">2. </w:t>
      </w:r>
      <w:r>
        <w:rPr>
          <w:rFonts w:ascii="宋体" w:hAnsi="宋体" w:eastAsia="宋体" w:cs="宋体"/>
          <w:spacing w:val="5"/>
          <w:sz w:val="31"/>
          <w:szCs w:val="31"/>
          <w:highlight w:val="none"/>
        </w:rPr>
        <w:t>项目概况与招标范围</w:t>
      </w:r>
    </w:p>
    <w:p w14:paraId="3D48C51D">
      <w:pPr>
        <w:keepNext w:val="0"/>
        <w:keepLines w:val="0"/>
        <w:pageBreakBefore w:val="0"/>
        <w:widowControl/>
        <w:kinsoku w:val="0"/>
        <w:wordWrap/>
        <w:overflowPunct/>
        <w:topLinePunct w:val="0"/>
        <w:autoSpaceDE w:val="0"/>
        <w:autoSpaceDN w:val="0"/>
        <w:bidi w:val="0"/>
        <w:adjustRightInd w:val="0"/>
        <w:snapToGrid w:val="0"/>
        <w:spacing w:before="313" w:after="0" w:afterLines="100" w:line="219" w:lineRule="auto"/>
        <w:ind w:left="6"/>
        <w:textAlignment w:val="baseline"/>
        <w:rPr>
          <w:rFonts w:ascii="宋体" w:hAnsi="宋体" w:eastAsia="宋体" w:cs="宋体"/>
          <w:sz w:val="33"/>
          <w:szCs w:val="33"/>
          <w:highlight w:val="none"/>
        </w:rPr>
      </w:pPr>
      <w:r>
        <w:rPr>
          <w:rFonts w:ascii="宋体" w:hAnsi="宋体" w:eastAsia="宋体" w:cs="宋体"/>
          <w:spacing w:val="1"/>
          <w:sz w:val="33"/>
          <w:szCs w:val="33"/>
          <w:highlight w:val="none"/>
        </w:rPr>
        <w:t>2.1项目概况</w:t>
      </w:r>
    </w:p>
    <w:p w14:paraId="5D015407">
      <w:pPr>
        <w:spacing w:line="346" w:lineRule="auto"/>
        <w:ind w:left="3" w:right="78"/>
        <w:rPr>
          <w:rFonts w:hint="eastAsia" w:ascii="宋体" w:hAnsi="宋体" w:eastAsia="宋体" w:cs="宋体"/>
          <w:spacing w:val="-12"/>
          <w:sz w:val="31"/>
          <w:szCs w:val="31"/>
          <w:highlight w:val="none"/>
          <w:lang w:val="en-US" w:eastAsia="zh-CN"/>
        </w:rPr>
      </w:pPr>
      <w:r>
        <w:rPr>
          <w:rFonts w:ascii="宋体" w:hAnsi="宋体" w:eastAsia="宋体" w:cs="宋体"/>
          <w:spacing w:val="-12"/>
          <w:sz w:val="33"/>
          <w:szCs w:val="33"/>
          <w:highlight w:val="none"/>
        </w:rPr>
        <w:t>建设地点：</w:t>
      </w:r>
      <w:r>
        <w:rPr>
          <w:rFonts w:hint="eastAsia" w:ascii="宋体" w:hAnsi="宋体" w:eastAsia="宋体" w:cs="宋体"/>
          <w:spacing w:val="-12"/>
          <w:sz w:val="31"/>
          <w:szCs w:val="31"/>
          <w:highlight w:val="none"/>
          <w:lang w:val="en-US" w:eastAsia="zh-CN"/>
        </w:rPr>
        <w:t>麻城市黄金桥街道办事处黄金桥社区公租房小区前</w:t>
      </w:r>
    </w:p>
    <w:p w14:paraId="39D2C074">
      <w:pPr>
        <w:spacing w:line="346" w:lineRule="auto"/>
        <w:ind w:left="3" w:right="78"/>
        <w:rPr>
          <w:highlight w:val="none"/>
        </w:rPr>
      </w:pPr>
      <w:r>
        <w:rPr>
          <w:rFonts w:ascii="宋体" w:hAnsi="宋体" w:eastAsia="宋体" w:cs="宋体"/>
          <w:spacing w:val="-13"/>
          <w:sz w:val="33"/>
          <w:szCs w:val="33"/>
          <w:highlight w:val="none"/>
        </w:rPr>
        <w:t>建设规模：</w:t>
      </w:r>
      <w:r>
        <w:rPr>
          <w:rFonts w:hint="eastAsia" w:ascii="宋体" w:hAnsi="宋体" w:eastAsia="宋体" w:cs="宋体"/>
          <w:spacing w:val="-13"/>
          <w:sz w:val="33"/>
          <w:szCs w:val="33"/>
          <w:highlight w:val="none"/>
          <w:lang w:val="en-US" w:eastAsia="zh-CN"/>
        </w:rPr>
        <w:t>项目总用地5587.93平方米，新建农贸市场1栋2层，总建筑面积5230.62平方米，一层为农贸市场，二层为菊花交易中心（交易主要产品为菊花、鱼面、茶油等地标优品），配套50个机动车停车位，75个非机动停车位。</w:t>
      </w:r>
    </w:p>
    <w:p w14:paraId="7593F5A6">
      <w:pPr>
        <w:spacing w:before="107" w:line="220" w:lineRule="auto"/>
        <w:ind w:left="13"/>
        <w:rPr>
          <w:rFonts w:ascii="宋体" w:hAnsi="宋体" w:eastAsia="宋体" w:cs="宋体"/>
          <w:sz w:val="33"/>
          <w:szCs w:val="33"/>
          <w:highlight w:val="none"/>
        </w:rPr>
      </w:pPr>
      <w:bookmarkStart w:id="3" w:name="bookmark184"/>
      <w:bookmarkEnd w:id="3"/>
      <w:r>
        <w:rPr>
          <w:rFonts w:ascii="宋体" w:hAnsi="宋体" w:eastAsia="宋体" w:cs="宋体"/>
          <w:spacing w:val="-16"/>
          <w:sz w:val="33"/>
          <w:szCs w:val="33"/>
          <w:highlight w:val="none"/>
        </w:rPr>
        <w:t>其他：/</w:t>
      </w:r>
    </w:p>
    <w:p w14:paraId="4265A755">
      <w:pPr>
        <w:keepNext w:val="0"/>
        <w:keepLines w:val="0"/>
        <w:pageBreakBefore w:val="0"/>
        <w:widowControl/>
        <w:kinsoku w:val="0"/>
        <w:wordWrap/>
        <w:overflowPunct/>
        <w:topLinePunct w:val="0"/>
        <w:autoSpaceDE w:val="0"/>
        <w:autoSpaceDN w:val="0"/>
        <w:bidi w:val="0"/>
        <w:adjustRightInd w:val="0"/>
        <w:snapToGrid w:val="0"/>
        <w:spacing w:before="306" w:after="0" w:afterLines="100" w:line="221" w:lineRule="auto"/>
        <w:ind w:left="11"/>
        <w:textAlignment w:val="baseline"/>
        <w:rPr>
          <w:rFonts w:ascii="宋体" w:hAnsi="宋体" w:eastAsia="宋体" w:cs="宋体"/>
          <w:sz w:val="33"/>
          <w:szCs w:val="33"/>
          <w:highlight w:val="none"/>
        </w:rPr>
      </w:pPr>
      <w:r>
        <w:rPr>
          <w:rFonts w:ascii="宋体" w:hAnsi="宋体" w:eastAsia="宋体" w:cs="宋体"/>
          <w:spacing w:val="-2"/>
          <w:sz w:val="33"/>
          <w:szCs w:val="33"/>
          <w:highlight w:val="none"/>
        </w:rPr>
        <w:t>2.2招标范围</w:t>
      </w:r>
    </w:p>
    <w:p w14:paraId="03880A21">
      <w:pPr>
        <w:spacing w:before="2" w:line="354" w:lineRule="auto"/>
        <w:ind w:left="13" w:right="58"/>
        <w:rPr>
          <w:rFonts w:ascii="宋体" w:hAnsi="宋体" w:eastAsia="宋体" w:cs="宋体"/>
          <w:sz w:val="33"/>
          <w:szCs w:val="33"/>
          <w:highlight w:val="none"/>
        </w:rPr>
      </w:pPr>
      <w:r>
        <w:rPr>
          <w:rFonts w:ascii="宋体" w:hAnsi="宋体" w:eastAsia="宋体" w:cs="宋体"/>
          <w:spacing w:val="-11"/>
          <w:sz w:val="33"/>
          <w:szCs w:val="33"/>
          <w:highlight w:val="none"/>
        </w:rPr>
        <w:t>招标范围：</w:t>
      </w:r>
      <w:r>
        <w:rPr>
          <w:rFonts w:hint="eastAsia" w:ascii="宋体" w:hAnsi="宋体" w:eastAsia="宋体" w:cs="宋体"/>
          <w:spacing w:val="-11"/>
          <w:sz w:val="33"/>
          <w:szCs w:val="33"/>
          <w:highlight w:val="none"/>
          <w:lang w:val="en-US" w:eastAsia="zh-CN"/>
        </w:rPr>
        <w:t>项目总用地5587.93平方米，新建农贸市场1栋2层，总建筑面积5230.62平方米，一层为农贸市场，二层为菊花交易中心（交易主要产品为菊花、鱼面、茶油等地标优品），配套50个机动车停车位，75个非机动停车位。(</w:t>
      </w:r>
      <w:r>
        <w:rPr>
          <w:rFonts w:ascii="宋体" w:hAnsi="宋体" w:eastAsia="宋体" w:cs="宋体"/>
          <w:spacing w:val="-12"/>
          <w:sz w:val="33"/>
          <w:szCs w:val="33"/>
          <w:highlight w:val="none"/>
        </w:rPr>
        <w:t>具体内容详见</w:t>
      </w:r>
      <w:r>
        <w:rPr>
          <w:rFonts w:hint="eastAsia" w:ascii="宋体" w:hAnsi="宋体" w:eastAsia="宋体" w:cs="宋体"/>
          <w:spacing w:val="-12"/>
          <w:sz w:val="33"/>
          <w:szCs w:val="33"/>
          <w:highlight w:val="none"/>
          <w:lang w:val="en-US" w:eastAsia="zh-CN"/>
        </w:rPr>
        <w:t>初步设计及</w:t>
      </w:r>
      <w:r>
        <w:rPr>
          <w:rFonts w:ascii="宋体" w:hAnsi="宋体" w:eastAsia="宋体" w:cs="宋体"/>
          <w:spacing w:val="-21"/>
          <w:sz w:val="33"/>
          <w:szCs w:val="33"/>
          <w:highlight w:val="none"/>
        </w:rPr>
        <w:t>概算清单</w:t>
      </w:r>
      <w:r>
        <w:rPr>
          <w:rFonts w:hint="eastAsia" w:ascii="宋体" w:hAnsi="宋体" w:eastAsia="宋体" w:cs="宋体"/>
          <w:spacing w:val="-21"/>
          <w:sz w:val="33"/>
          <w:szCs w:val="33"/>
          <w:highlight w:val="none"/>
          <w:lang w:val="en-US" w:eastAsia="zh-CN"/>
        </w:rPr>
        <w:t>)</w:t>
      </w:r>
      <w:r>
        <w:rPr>
          <w:rFonts w:ascii="宋体" w:hAnsi="宋体" w:eastAsia="宋体" w:cs="宋体"/>
          <w:spacing w:val="-21"/>
          <w:sz w:val="33"/>
          <w:szCs w:val="33"/>
          <w:highlight w:val="none"/>
        </w:rPr>
        <w:t>。</w:t>
      </w:r>
    </w:p>
    <w:p w14:paraId="4AD1930E">
      <w:pPr>
        <w:spacing w:before="23" w:line="220" w:lineRule="auto"/>
        <w:ind w:left="13"/>
        <w:rPr>
          <w:rFonts w:ascii="宋体" w:hAnsi="宋体" w:eastAsia="宋体" w:cs="宋体"/>
          <w:sz w:val="33"/>
          <w:szCs w:val="33"/>
          <w:highlight w:val="none"/>
        </w:rPr>
      </w:pPr>
      <w:r>
        <w:rPr>
          <w:rFonts w:ascii="宋体" w:hAnsi="宋体" w:eastAsia="宋体" w:cs="宋体"/>
          <w:spacing w:val="-13"/>
          <w:sz w:val="33"/>
          <w:szCs w:val="33"/>
          <w:highlight w:val="none"/>
        </w:rPr>
        <w:t>标段划分：1</w:t>
      </w:r>
    </w:p>
    <w:p w14:paraId="352CEE47">
      <w:pPr>
        <w:spacing w:before="237" w:line="220" w:lineRule="auto"/>
        <w:ind w:left="13"/>
        <w:rPr>
          <w:rFonts w:hint="default" w:ascii="宋体" w:hAnsi="宋体" w:eastAsia="宋体" w:cs="宋体"/>
          <w:sz w:val="33"/>
          <w:szCs w:val="33"/>
          <w:highlight w:val="none"/>
          <w:lang w:val="en-US" w:eastAsia="zh-CN"/>
        </w:rPr>
      </w:pPr>
      <w:r>
        <w:rPr>
          <w:rFonts w:ascii="宋体" w:hAnsi="宋体" w:eastAsia="宋体" w:cs="宋体"/>
          <w:spacing w:val="-4"/>
          <w:sz w:val="33"/>
          <w:szCs w:val="33"/>
          <w:highlight w:val="none"/>
        </w:rPr>
        <w:t>计划工期：</w:t>
      </w:r>
      <w:r>
        <w:rPr>
          <w:rFonts w:hint="eastAsia" w:ascii="宋体" w:hAnsi="宋体" w:eastAsia="宋体" w:cs="宋体"/>
          <w:spacing w:val="-4"/>
          <w:sz w:val="33"/>
          <w:szCs w:val="33"/>
          <w:highlight w:val="none"/>
          <w:lang w:val="en-US" w:eastAsia="zh-CN"/>
        </w:rPr>
        <w:t>300</w:t>
      </w:r>
      <w:r>
        <w:rPr>
          <w:rFonts w:ascii="宋体" w:hAnsi="宋体" w:eastAsia="宋体" w:cs="宋体"/>
          <w:spacing w:val="-4"/>
          <w:sz w:val="33"/>
          <w:szCs w:val="33"/>
          <w:highlight w:val="none"/>
        </w:rPr>
        <w:t>日历天，计划开工日期2026-0</w:t>
      </w:r>
      <w:r>
        <w:rPr>
          <w:rFonts w:hint="eastAsia" w:ascii="宋体" w:hAnsi="宋体" w:eastAsia="宋体" w:cs="宋体"/>
          <w:spacing w:val="-4"/>
          <w:sz w:val="33"/>
          <w:szCs w:val="33"/>
          <w:highlight w:val="none"/>
          <w:lang w:val="en-US" w:eastAsia="zh-CN"/>
        </w:rPr>
        <w:t>9-30</w:t>
      </w:r>
    </w:p>
    <w:p w14:paraId="6F4CF0A7">
      <w:pPr>
        <w:spacing w:before="253" w:line="218" w:lineRule="auto"/>
        <w:ind w:left="13"/>
        <w:rPr>
          <w:rFonts w:ascii="宋体" w:hAnsi="宋体" w:eastAsia="宋体" w:cs="宋体"/>
          <w:sz w:val="32"/>
          <w:szCs w:val="32"/>
          <w:highlight w:val="none"/>
        </w:rPr>
      </w:pPr>
      <w:r>
        <w:rPr>
          <w:rFonts w:ascii="宋体" w:hAnsi="宋体" w:eastAsia="宋体" w:cs="宋体"/>
          <w:spacing w:val="4"/>
          <w:sz w:val="32"/>
          <w:szCs w:val="32"/>
          <w:highlight w:val="none"/>
        </w:rPr>
        <w:t>合同估算价：</w:t>
      </w:r>
      <w:r>
        <w:rPr>
          <w:rFonts w:hint="eastAsia" w:ascii="宋体" w:hAnsi="宋体" w:eastAsia="宋体" w:cs="宋体"/>
          <w:spacing w:val="9"/>
          <w:sz w:val="33"/>
          <w:szCs w:val="33"/>
          <w:highlight w:val="none"/>
          <w:lang w:val="en-US" w:eastAsia="zh-CN"/>
        </w:rPr>
        <w:t>1724.85</w:t>
      </w:r>
      <w:r>
        <w:rPr>
          <w:rFonts w:ascii="宋体" w:hAnsi="宋体" w:eastAsia="宋体" w:cs="宋体"/>
          <w:spacing w:val="4"/>
          <w:sz w:val="32"/>
          <w:szCs w:val="32"/>
          <w:highlight w:val="none"/>
        </w:rPr>
        <w:t>万元</w:t>
      </w:r>
    </w:p>
    <w:p w14:paraId="5E74BF66">
      <w:pPr>
        <w:spacing w:before="323" w:line="358" w:lineRule="auto"/>
        <w:ind w:left="13" w:right="50" w:firstLine="630"/>
        <w:rPr>
          <w:rFonts w:ascii="宋体" w:hAnsi="宋体" w:eastAsia="宋体" w:cs="宋体"/>
          <w:sz w:val="33"/>
          <w:szCs w:val="33"/>
          <w:highlight w:val="none"/>
        </w:rPr>
      </w:pPr>
      <w:r>
        <w:rPr>
          <w:rFonts w:ascii="宋体" w:hAnsi="宋体" w:eastAsia="宋体" w:cs="宋体"/>
          <w:spacing w:val="9"/>
          <w:sz w:val="33"/>
          <w:szCs w:val="33"/>
          <w:highlight w:val="none"/>
        </w:rPr>
        <w:t>2.3其他：(1)合同估算价为：</w:t>
      </w:r>
      <w:r>
        <w:rPr>
          <w:rFonts w:hint="eastAsia" w:ascii="宋体" w:hAnsi="宋体" w:eastAsia="宋体" w:cs="宋体"/>
          <w:spacing w:val="9"/>
          <w:sz w:val="33"/>
          <w:szCs w:val="33"/>
          <w:highlight w:val="none"/>
          <w:lang w:val="en-US" w:eastAsia="zh-CN"/>
        </w:rPr>
        <w:t>1724.85</w:t>
      </w:r>
      <w:r>
        <w:rPr>
          <w:rFonts w:ascii="宋体" w:hAnsi="宋体" w:eastAsia="宋体" w:cs="宋体"/>
          <w:spacing w:val="9"/>
          <w:sz w:val="33"/>
          <w:szCs w:val="33"/>
          <w:highlight w:val="none"/>
        </w:rPr>
        <w:t>万元(其中工</w:t>
      </w:r>
      <w:r>
        <w:rPr>
          <w:rFonts w:ascii="宋体" w:hAnsi="宋体" w:eastAsia="宋体" w:cs="宋体"/>
          <w:sz w:val="33"/>
          <w:szCs w:val="33"/>
          <w:highlight w:val="none"/>
        </w:rPr>
        <w:t xml:space="preserve"> </w:t>
      </w:r>
      <w:r>
        <w:rPr>
          <w:rFonts w:ascii="宋体" w:hAnsi="宋体" w:eastAsia="宋体" w:cs="宋体"/>
          <w:spacing w:val="-9"/>
          <w:sz w:val="33"/>
          <w:szCs w:val="33"/>
          <w:highlight w:val="none"/>
        </w:rPr>
        <w:t>程费用：</w:t>
      </w:r>
      <w:r>
        <w:rPr>
          <w:rFonts w:hint="eastAsia" w:ascii="宋体" w:hAnsi="宋体" w:eastAsia="宋体" w:cs="宋体"/>
          <w:spacing w:val="-9"/>
          <w:sz w:val="33"/>
          <w:szCs w:val="33"/>
          <w:highlight w:val="none"/>
          <w:lang w:val="en-US" w:eastAsia="zh-CN"/>
        </w:rPr>
        <w:t>1596.79</w:t>
      </w:r>
      <w:r>
        <w:rPr>
          <w:rFonts w:ascii="宋体" w:hAnsi="宋体" w:eastAsia="宋体" w:cs="宋体"/>
          <w:spacing w:val="-9"/>
          <w:sz w:val="33"/>
          <w:szCs w:val="33"/>
          <w:highlight w:val="none"/>
        </w:rPr>
        <w:t>万元，工程设计费：</w:t>
      </w:r>
      <w:r>
        <w:rPr>
          <w:rFonts w:hint="eastAsia" w:ascii="宋体" w:hAnsi="宋体" w:eastAsia="宋体" w:cs="宋体"/>
          <w:spacing w:val="-9"/>
          <w:sz w:val="33"/>
          <w:szCs w:val="33"/>
          <w:highlight w:val="none"/>
          <w:lang w:val="en-US" w:eastAsia="zh-CN"/>
        </w:rPr>
        <w:t>57.47</w:t>
      </w:r>
      <w:r>
        <w:rPr>
          <w:rFonts w:ascii="宋体" w:hAnsi="宋体" w:eastAsia="宋体" w:cs="宋体"/>
          <w:spacing w:val="-9"/>
          <w:sz w:val="33"/>
          <w:szCs w:val="33"/>
          <w:highlight w:val="none"/>
        </w:rPr>
        <w:t>万元，预备费：</w:t>
      </w:r>
      <w:r>
        <w:rPr>
          <w:rFonts w:ascii="宋体" w:hAnsi="宋体" w:eastAsia="宋体" w:cs="宋体"/>
          <w:spacing w:val="8"/>
          <w:sz w:val="33"/>
          <w:szCs w:val="33"/>
          <w:highlight w:val="none"/>
        </w:rPr>
        <w:t xml:space="preserve"> </w:t>
      </w:r>
      <w:r>
        <w:rPr>
          <w:rFonts w:hint="eastAsia" w:ascii="宋体" w:hAnsi="宋体" w:eastAsia="宋体" w:cs="宋体"/>
          <w:spacing w:val="15"/>
          <w:sz w:val="33"/>
          <w:szCs w:val="33"/>
          <w:highlight w:val="none"/>
          <w:lang w:val="en-US" w:eastAsia="zh-CN"/>
        </w:rPr>
        <w:t>70.59</w:t>
      </w:r>
      <w:r>
        <w:rPr>
          <w:rFonts w:ascii="宋体" w:hAnsi="宋体" w:eastAsia="宋体" w:cs="宋体"/>
          <w:spacing w:val="15"/>
          <w:sz w:val="33"/>
          <w:szCs w:val="33"/>
          <w:highlight w:val="none"/>
        </w:rPr>
        <w:t>万元</w:t>
      </w:r>
      <w:r>
        <w:rPr>
          <w:rFonts w:hint="eastAsia" w:ascii="宋体" w:hAnsi="宋体" w:eastAsia="宋体" w:cs="宋体"/>
          <w:spacing w:val="15"/>
          <w:sz w:val="33"/>
          <w:szCs w:val="33"/>
          <w:highlight w:val="none"/>
          <w:lang w:eastAsia="zh-CN"/>
        </w:rPr>
        <w:t>，</w:t>
      </w:r>
      <w:r>
        <w:rPr>
          <w:rFonts w:hint="eastAsia" w:ascii="宋体" w:hAnsi="宋体" w:eastAsia="宋体" w:cs="宋体"/>
          <w:spacing w:val="15"/>
          <w:sz w:val="33"/>
          <w:szCs w:val="33"/>
          <w:highlight w:val="none"/>
          <w:lang w:val="en-US" w:eastAsia="zh-CN"/>
        </w:rPr>
        <w:t>预备费不得参与下浮</w:t>
      </w:r>
      <w:r>
        <w:rPr>
          <w:rFonts w:ascii="宋体" w:hAnsi="宋体" w:eastAsia="宋体" w:cs="宋体"/>
          <w:spacing w:val="15"/>
          <w:sz w:val="33"/>
          <w:szCs w:val="33"/>
          <w:highlight w:val="none"/>
        </w:rPr>
        <w:t>);(2)计划工期：</w:t>
      </w:r>
      <w:r>
        <w:rPr>
          <w:rFonts w:hint="eastAsia" w:ascii="宋体" w:hAnsi="宋体" w:eastAsia="宋体" w:cs="宋体"/>
          <w:spacing w:val="15"/>
          <w:sz w:val="33"/>
          <w:szCs w:val="33"/>
          <w:highlight w:val="none"/>
          <w:lang w:val="en-US" w:eastAsia="zh-CN"/>
        </w:rPr>
        <w:t>300</w:t>
      </w:r>
      <w:r>
        <w:rPr>
          <w:rFonts w:ascii="宋体" w:hAnsi="宋体" w:eastAsia="宋体" w:cs="宋体"/>
          <w:spacing w:val="14"/>
          <w:sz w:val="33"/>
          <w:szCs w:val="33"/>
          <w:highlight w:val="none"/>
        </w:rPr>
        <w:t>日历天(其中设计工期</w:t>
      </w:r>
      <w:r>
        <w:rPr>
          <w:rFonts w:hint="eastAsia" w:ascii="宋体" w:hAnsi="宋体" w:eastAsia="宋体" w:cs="宋体"/>
          <w:spacing w:val="17"/>
          <w:sz w:val="33"/>
          <w:szCs w:val="33"/>
          <w:highlight w:val="none"/>
          <w:lang w:val="en-US" w:eastAsia="zh-CN"/>
        </w:rPr>
        <w:t>30</w:t>
      </w:r>
      <w:r>
        <w:rPr>
          <w:rFonts w:ascii="宋体" w:hAnsi="宋体" w:eastAsia="宋体" w:cs="宋体"/>
          <w:spacing w:val="17"/>
          <w:sz w:val="33"/>
          <w:szCs w:val="33"/>
          <w:highlight w:val="none"/>
        </w:rPr>
        <w:t>日历天)。</w:t>
      </w:r>
    </w:p>
    <w:p w14:paraId="5D0113E9">
      <w:pPr>
        <w:spacing w:before="62" w:line="219" w:lineRule="auto"/>
        <w:ind w:left="13"/>
        <w:rPr>
          <w:rFonts w:ascii="宋体" w:hAnsi="宋体" w:eastAsia="宋体" w:cs="宋体"/>
          <w:sz w:val="31"/>
          <w:szCs w:val="31"/>
          <w:highlight w:val="none"/>
        </w:rPr>
      </w:pPr>
      <w:r>
        <w:rPr>
          <w:rFonts w:ascii="Times New Roman" w:hAnsi="Times New Roman" w:eastAsia="Times New Roman" w:cs="Times New Roman"/>
          <w:spacing w:val="3"/>
          <w:sz w:val="31"/>
          <w:szCs w:val="31"/>
          <w:highlight w:val="none"/>
        </w:rPr>
        <w:t xml:space="preserve">3. </w:t>
      </w:r>
      <w:r>
        <w:rPr>
          <w:rFonts w:ascii="宋体" w:hAnsi="宋体" w:eastAsia="宋体" w:cs="宋体"/>
          <w:spacing w:val="3"/>
          <w:sz w:val="31"/>
          <w:szCs w:val="31"/>
          <w:highlight w:val="none"/>
        </w:rPr>
        <w:t>投标人资格要求</w:t>
      </w:r>
    </w:p>
    <w:p w14:paraId="2A47D7F3">
      <w:pPr>
        <w:spacing w:before="325" w:line="354" w:lineRule="auto"/>
        <w:ind w:left="13"/>
        <w:rPr>
          <w:rFonts w:ascii="宋体" w:hAnsi="宋体" w:eastAsia="宋体" w:cs="宋体"/>
          <w:sz w:val="33"/>
          <w:szCs w:val="33"/>
          <w:highlight w:val="none"/>
        </w:rPr>
      </w:pPr>
      <w:r>
        <w:rPr>
          <w:rFonts w:ascii="宋体" w:hAnsi="宋体" w:eastAsia="宋体" w:cs="宋体"/>
          <w:spacing w:val="-8"/>
          <w:sz w:val="33"/>
          <w:szCs w:val="33"/>
          <w:highlight w:val="none"/>
        </w:rPr>
        <w:t>3.1本标段招标要求投标人须具备：(1)工程设计资质要求：</w:t>
      </w:r>
      <w:r>
        <w:rPr>
          <w:rFonts w:ascii="宋体" w:hAnsi="宋体" w:eastAsia="宋体" w:cs="宋体"/>
          <w:spacing w:val="2"/>
          <w:sz w:val="33"/>
          <w:szCs w:val="33"/>
          <w:highlight w:val="none"/>
        </w:rPr>
        <w:t xml:space="preserve"> </w:t>
      </w:r>
      <w:r>
        <w:rPr>
          <w:rFonts w:ascii="宋体" w:hAnsi="宋体" w:eastAsia="宋体" w:cs="宋体"/>
          <w:spacing w:val="-11"/>
          <w:sz w:val="33"/>
          <w:szCs w:val="33"/>
          <w:highlight w:val="none"/>
        </w:rPr>
        <w:t>工程设计综合甲级资质，或工程设计建筑行业乙级或以上资</w:t>
      </w:r>
      <w:r>
        <w:rPr>
          <w:rFonts w:ascii="宋体" w:hAnsi="宋体" w:eastAsia="宋体" w:cs="宋体"/>
          <w:spacing w:val="8"/>
          <w:sz w:val="33"/>
          <w:szCs w:val="33"/>
          <w:highlight w:val="none"/>
        </w:rPr>
        <w:t xml:space="preserve"> </w:t>
      </w:r>
      <w:r>
        <w:rPr>
          <w:rFonts w:ascii="宋体" w:hAnsi="宋体" w:eastAsia="宋体" w:cs="宋体"/>
          <w:spacing w:val="-2"/>
          <w:sz w:val="33"/>
          <w:szCs w:val="33"/>
          <w:highlight w:val="none"/>
        </w:rPr>
        <w:t>质，或工程设计建筑行业(建筑工程)乙级</w:t>
      </w:r>
      <w:r>
        <w:rPr>
          <w:rFonts w:ascii="宋体" w:hAnsi="宋体" w:eastAsia="宋体" w:cs="宋体"/>
          <w:spacing w:val="-3"/>
          <w:sz w:val="33"/>
          <w:szCs w:val="33"/>
          <w:highlight w:val="none"/>
        </w:rPr>
        <w:t>或以上资质；(2)</w:t>
      </w:r>
      <w:r>
        <w:rPr>
          <w:rFonts w:ascii="宋体" w:hAnsi="宋体" w:eastAsia="宋体" w:cs="宋体"/>
          <w:sz w:val="33"/>
          <w:szCs w:val="33"/>
          <w:highlight w:val="none"/>
        </w:rPr>
        <w:t xml:space="preserve"> </w:t>
      </w:r>
      <w:r>
        <w:rPr>
          <w:rFonts w:ascii="宋体" w:hAnsi="宋体" w:eastAsia="宋体" w:cs="宋体"/>
          <w:spacing w:val="-12"/>
          <w:sz w:val="33"/>
          <w:szCs w:val="33"/>
          <w:highlight w:val="none"/>
        </w:rPr>
        <w:t>施工资质要求：建筑工程施工总承包三级或以上资质，同时</w:t>
      </w:r>
      <w:r>
        <w:rPr>
          <w:rFonts w:ascii="宋体" w:hAnsi="宋体" w:eastAsia="宋体" w:cs="宋体"/>
          <w:spacing w:val="9"/>
          <w:sz w:val="33"/>
          <w:szCs w:val="33"/>
          <w:highlight w:val="none"/>
        </w:rPr>
        <w:t xml:space="preserve"> </w:t>
      </w:r>
      <w:r>
        <w:rPr>
          <w:rFonts w:ascii="宋体" w:hAnsi="宋体" w:eastAsia="宋体" w:cs="宋体"/>
          <w:spacing w:val="-4"/>
          <w:sz w:val="33"/>
          <w:szCs w:val="33"/>
          <w:highlight w:val="none"/>
        </w:rPr>
        <w:t>具备合格有效的安全生产许可证；(3)类似业绩要求：投</w:t>
      </w:r>
      <w:r>
        <w:rPr>
          <w:rFonts w:ascii="宋体" w:hAnsi="宋体" w:eastAsia="宋体" w:cs="宋体"/>
          <w:sz w:val="33"/>
          <w:szCs w:val="33"/>
          <w:highlight w:val="none"/>
        </w:rPr>
        <w:t xml:space="preserve">  </w:t>
      </w:r>
      <w:r>
        <w:rPr>
          <w:rFonts w:ascii="宋体" w:hAnsi="宋体" w:eastAsia="宋体" w:cs="宋体"/>
          <w:spacing w:val="2"/>
          <w:sz w:val="33"/>
          <w:szCs w:val="33"/>
          <w:highlight w:val="none"/>
        </w:rPr>
        <w:t>标人近五年(自投标截止之日往前推算五年)至少承接过一</w:t>
      </w:r>
    </w:p>
    <w:p w14:paraId="6A4A2042">
      <w:pPr>
        <w:spacing w:line="354" w:lineRule="auto"/>
        <w:rPr>
          <w:rFonts w:ascii="宋体" w:hAnsi="宋体" w:eastAsia="宋体" w:cs="宋体"/>
          <w:sz w:val="33"/>
          <w:szCs w:val="33"/>
          <w:highlight w:val="none"/>
        </w:rPr>
        <w:sectPr>
          <w:footerReference r:id="rId10" w:type="default"/>
          <w:pgSz w:w="11910" w:h="16840"/>
          <w:pgMar w:top="400" w:right="1758" w:bottom="1184" w:left="1786" w:header="0" w:footer="1024" w:gutter="0"/>
          <w:cols w:space="720" w:num="1"/>
        </w:sectPr>
      </w:pPr>
    </w:p>
    <w:p w14:paraId="2C5B546A">
      <w:pPr>
        <w:pStyle w:val="2"/>
        <w:spacing w:line="272" w:lineRule="auto"/>
        <w:rPr>
          <w:highlight w:val="none"/>
        </w:rPr>
      </w:pPr>
    </w:p>
    <w:p w14:paraId="15634CB9">
      <w:pPr>
        <w:pStyle w:val="2"/>
        <w:spacing w:line="272" w:lineRule="auto"/>
        <w:rPr>
          <w:highlight w:val="none"/>
        </w:rPr>
      </w:pPr>
    </w:p>
    <w:p w14:paraId="1EFAA162">
      <w:pPr>
        <w:pStyle w:val="2"/>
        <w:spacing w:line="273" w:lineRule="auto"/>
        <w:rPr>
          <w:highlight w:val="none"/>
        </w:rPr>
      </w:pPr>
    </w:p>
    <w:p w14:paraId="75A7295E">
      <w:pPr>
        <w:pStyle w:val="2"/>
        <w:spacing w:line="273" w:lineRule="auto"/>
        <w:rPr>
          <w:highlight w:val="none"/>
        </w:rPr>
      </w:pPr>
    </w:p>
    <w:p w14:paraId="22B235C1">
      <w:pPr>
        <w:spacing w:before="325" w:line="354" w:lineRule="auto"/>
        <w:ind w:left="13"/>
        <w:rPr>
          <w:rFonts w:ascii="宋体" w:hAnsi="宋体" w:eastAsia="宋体" w:cs="宋体"/>
          <w:sz w:val="33"/>
          <w:szCs w:val="33"/>
          <w:highlight w:val="none"/>
        </w:rPr>
      </w:pPr>
      <w:bookmarkStart w:id="4" w:name="bookmark185"/>
      <w:bookmarkEnd w:id="4"/>
      <w:r>
        <w:rPr>
          <w:rFonts w:ascii="宋体" w:hAnsi="宋体" w:eastAsia="宋体" w:cs="宋体"/>
          <w:spacing w:val="-2"/>
          <w:sz w:val="33"/>
          <w:szCs w:val="33"/>
          <w:highlight w:val="none"/>
        </w:rPr>
        <w:t>项</w:t>
      </w:r>
      <w:r>
        <w:rPr>
          <w:rFonts w:hint="eastAsia" w:ascii="宋体" w:hAnsi="宋体" w:eastAsia="宋体" w:cs="宋体"/>
          <w:spacing w:val="-2"/>
          <w:sz w:val="33"/>
          <w:szCs w:val="33"/>
          <w:highlight w:val="none"/>
          <w:lang w:val="en-US" w:eastAsia="zh-CN"/>
        </w:rPr>
        <w:t>合同总额不少于800万元的建筑工程施工总承包或设计施工总承包业绩或EPC业绩或</w:t>
      </w:r>
      <w:r>
        <w:rPr>
          <w:rFonts w:hint="eastAsia" w:ascii="宋体" w:hAnsi="宋体" w:eastAsia="宋体" w:cs="宋体"/>
          <w:spacing w:val="-2"/>
          <w:sz w:val="33"/>
          <w:szCs w:val="33"/>
          <w:highlight w:val="none"/>
        </w:rPr>
        <w:t>单项合同工程投资金额800万元以上的建筑工程设计项目</w:t>
      </w:r>
      <w:r>
        <w:rPr>
          <w:rFonts w:ascii="宋体" w:hAnsi="宋体" w:eastAsia="宋体" w:cs="宋体"/>
          <w:spacing w:val="-2"/>
          <w:sz w:val="33"/>
          <w:szCs w:val="33"/>
          <w:highlight w:val="none"/>
        </w:rPr>
        <w:t>(在本项目中以联合体投标的，联合体成员任一方提供的均予以认可)(注：如设计单位提供业绩时则提供中标通知书(如有)、合同扫描件，时间以合同签订时间为准，如投标人提供的业绩证明材料不能反映上述内容，则提供业主单位盖章的证明材料扫描件；如施工单位提供业绩时则提供中标通知书(如有)、合同协议书、工程接收证书或工程竣工验收证书(工程竣工验收备案证或工程竣工验收备案表)的扫描件，时间以工程竣工时间为准，如投标人提供的业绩证明材料不能反映上述内容，则须提供业主单位盖章的证明材料扫描件) (4)投标人拟派人员要求：①拟派的项目经理须具备建筑工程专业二级或以上建造师执业资格证书、注册证书和有效的B类安全生产考核合格证书，且无其他在建工程(投标人提供承诺书，格式自拟); ②拟派的施工负责人须具备建筑相关专业中级工程师或以上职称(提供职称证书);③拟派的设计负责人</w:t>
      </w:r>
      <w:r>
        <w:rPr>
          <w:rFonts w:hint="eastAsia" w:ascii="宋体" w:hAnsi="宋体" w:eastAsia="宋体" w:cs="宋体"/>
          <w:spacing w:val="-2"/>
          <w:sz w:val="33"/>
          <w:szCs w:val="33"/>
          <w:highlight w:val="none"/>
        </w:rPr>
        <w:t>须具备一级注册结构工程师（或注册建筑师）（提供执业资格证书或注册证书）</w:t>
      </w:r>
      <w:r>
        <w:rPr>
          <w:rFonts w:ascii="宋体" w:hAnsi="宋体" w:eastAsia="宋体" w:cs="宋体"/>
          <w:spacing w:val="-2"/>
          <w:sz w:val="33"/>
          <w:szCs w:val="33"/>
          <w:highlight w:val="none"/>
        </w:rPr>
        <w:t>;④拟派施工员、质量员(或质检员)、材料员、资料员各一名具有相应岗位资格证(含培训合格证),安全员一名具有有效的安全生产考核合格证 ( C 证);⑤拟派本项目人员不得相互兼职；拟派项目人员均需提供202</w:t>
      </w:r>
      <w:r>
        <w:rPr>
          <w:rFonts w:hint="eastAsia" w:ascii="宋体" w:hAnsi="宋体" w:eastAsia="宋体" w:cs="宋体"/>
          <w:spacing w:val="-2"/>
          <w:sz w:val="33"/>
          <w:szCs w:val="33"/>
          <w:highlight w:val="none"/>
          <w:lang w:val="en-US" w:eastAsia="zh-CN"/>
        </w:rPr>
        <w:t>6</w:t>
      </w:r>
      <w:r>
        <w:rPr>
          <w:rFonts w:ascii="宋体" w:hAnsi="宋体" w:eastAsia="宋体" w:cs="宋体"/>
          <w:spacing w:val="-2"/>
          <w:sz w:val="33"/>
          <w:szCs w:val="33"/>
          <w:highlight w:val="none"/>
        </w:rPr>
        <w:t>年</w:t>
      </w:r>
      <w:r>
        <w:rPr>
          <w:rFonts w:hint="eastAsia" w:ascii="宋体" w:hAnsi="宋体" w:eastAsia="宋体" w:cs="宋体"/>
          <w:spacing w:val="-2"/>
          <w:sz w:val="33"/>
          <w:szCs w:val="33"/>
          <w:highlight w:val="none"/>
          <w:lang w:val="en-US" w:eastAsia="zh-CN"/>
        </w:rPr>
        <w:t>1</w:t>
      </w:r>
      <w:r>
        <w:rPr>
          <w:rFonts w:ascii="宋体" w:hAnsi="宋体" w:eastAsia="宋体" w:cs="宋体"/>
          <w:spacing w:val="-2"/>
          <w:sz w:val="33"/>
          <w:szCs w:val="33"/>
          <w:highlight w:val="none"/>
        </w:rPr>
        <w:t>月1日至今任意一个月投标人为其缴纳的社保证明材料扫描 件(以社保管理机构出具为准)或提供从社保管理机构网上 打印具有社保管理机构电子证章的证明材料扫描件。属退休人员的须提供退休证明和投标单位的聘用协议(或劳务合同)扫描件，否则按未提供社保证明材料处理；(5)财务要</w:t>
      </w:r>
      <w:r>
        <w:rPr>
          <w:rFonts w:ascii="宋体" w:hAnsi="宋体" w:eastAsia="宋体" w:cs="宋体"/>
          <w:spacing w:val="1"/>
          <w:sz w:val="33"/>
          <w:szCs w:val="33"/>
          <w:highlight w:val="none"/>
        </w:rPr>
        <w:t>求：投标人需提供202</w:t>
      </w:r>
      <w:r>
        <w:rPr>
          <w:rFonts w:hint="eastAsia" w:ascii="宋体" w:hAnsi="宋体" w:eastAsia="宋体" w:cs="宋体"/>
          <w:spacing w:val="1"/>
          <w:sz w:val="33"/>
          <w:szCs w:val="33"/>
          <w:highlight w:val="none"/>
          <w:lang w:val="en-US" w:eastAsia="zh-CN"/>
        </w:rPr>
        <w:t>3</w:t>
      </w:r>
      <w:r>
        <w:rPr>
          <w:rFonts w:ascii="宋体" w:hAnsi="宋体" w:eastAsia="宋体" w:cs="宋体"/>
          <w:spacing w:val="1"/>
          <w:sz w:val="33"/>
          <w:szCs w:val="33"/>
          <w:highlight w:val="none"/>
        </w:rPr>
        <w:t>年度、202</w:t>
      </w:r>
      <w:r>
        <w:rPr>
          <w:rFonts w:hint="eastAsia" w:ascii="宋体" w:hAnsi="宋体" w:eastAsia="宋体" w:cs="宋体"/>
          <w:spacing w:val="1"/>
          <w:sz w:val="33"/>
          <w:szCs w:val="33"/>
          <w:highlight w:val="none"/>
          <w:lang w:val="en-US" w:eastAsia="zh-CN"/>
        </w:rPr>
        <w:t>4</w:t>
      </w:r>
      <w:r>
        <w:rPr>
          <w:rFonts w:ascii="宋体" w:hAnsi="宋体" w:eastAsia="宋体" w:cs="宋体"/>
          <w:spacing w:val="1"/>
          <w:sz w:val="33"/>
          <w:szCs w:val="33"/>
          <w:highlight w:val="none"/>
        </w:rPr>
        <w:t>年度、202</w:t>
      </w:r>
      <w:r>
        <w:rPr>
          <w:rFonts w:hint="eastAsia" w:ascii="宋体" w:hAnsi="宋体" w:eastAsia="宋体" w:cs="宋体"/>
          <w:spacing w:val="1"/>
          <w:sz w:val="33"/>
          <w:szCs w:val="33"/>
          <w:highlight w:val="none"/>
          <w:lang w:val="en-US" w:eastAsia="zh-CN"/>
        </w:rPr>
        <w:t>5</w:t>
      </w:r>
      <w:r>
        <w:rPr>
          <w:rFonts w:ascii="宋体" w:hAnsi="宋体" w:eastAsia="宋体" w:cs="宋体"/>
          <w:spacing w:val="1"/>
          <w:sz w:val="33"/>
          <w:szCs w:val="33"/>
          <w:highlight w:val="none"/>
        </w:rPr>
        <w:t>年度经审</w:t>
      </w:r>
      <w:r>
        <w:rPr>
          <w:rFonts w:ascii="宋体" w:hAnsi="宋体" w:eastAsia="宋体" w:cs="宋体"/>
          <w:spacing w:val="-8"/>
          <w:sz w:val="33"/>
          <w:szCs w:val="33"/>
          <w:highlight w:val="none"/>
        </w:rPr>
        <w:t>计事务所或会计事务所出具的审计或财务报告。</w:t>
      </w:r>
      <w:r>
        <w:rPr>
          <w:rFonts w:ascii="宋体" w:hAnsi="宋体" w:eastAsia="宋体" w:cs="宋体"/>
          <w:spacing w:val="-98"/>
          <w:sz w:val="33"/>
          <w:szCs w:val="33"/>
          <w:highlight w:val="none"/>
        </w:rPr>
        <w:t xml:space="preserve"> </w:t>
      </w:r>
      <w:r>
        <w:rPr>
          <w:rFonts w:ascii="宋体" w:hAnsi="宋体" w:eastAsia="宋体" w:cs="宋体"/>
          <w:spacing w:val="-8"/>
          <w:sz w:val="33"/>
          <w:szCs w:val="33"/>
          <w:highlight w:val="none"/>
        </w:rPr>
        <w:t>(</w:t>
      </w:r>
      <w:r>
        <w:rPr>
          <w:rFonts w:ascii="宋体" w:hAnsi="宋体" w:eastAsia="宋体" w:cs="宋体"/>
          <w:spacing w:val="-9"/>
          <w:sz w:val="33"/>
          <w:szCs w:val="33"/>
          <w:highlight w:val="none"/>
        </w:rPr>
        <w:t>注：提供</w:t>
      </w:r>
      <w:r>
        <w:rPr>
          <w:rFonts w:ascii="宋体" w:hAnsi="宋体" w:eastAsia="宋体" w:cs="宋体"/>
          <w:spacing w:val="-12"/>
          <w:sz w:val="33"/>
          <w:szCs w:val="33"/>
          <w:highlight w:val="none"/>
        </w:rPr>
        <w:t>扫描件；如公司成立不满三年的，从成立之日起算；如联合</w:t>
      </w:r>
      <w:r>
        <w:rPr>
          <w:rFonts w:ascii="宋体" w:hAnsi="宋体" w:eastAsia="宋体" w:cs="宋体"/>
          <w:sz w:val="33"/>
          <w:szCs w:val="33"/>
          <w:highlight w:val="none"/>
        </w:rPr>
        <w:t>体投标的，则联合体所有成员单位均须提供);(6)投标</w:t>
      </w:r>
      <w:r>
        <w:rPr>
          <w:rFonts w:ascii="宋体" w:hAnsi="宋体" w:eastAsia="宋体" w:cs="宋体"/>
          <w:spacing w:val="-6"/>
          <w:sz w:val="33"/>
          <w:szCs w:val="33"/>
          <w:highlight w:val="none"/>
        </w:rPr>
        <w:t>人按招标文件要求提供“投标人事前信用承诺书”(详见投</w:t>
      </w:r>
      <w:r>
        <w:rPr>
          <w:rFonts w:ascii="宋体" w:hAnsi="宋体" w:eastAsia="宋体" w:cs="宋体"/>
          <w:spacing w:val="-12"/>
          <w:sz w:val="33"/>
          <w:szCs w:val="33"/>
          <w:highlight w:val="none"/>
        </w:rPr>
        <w:t>标文件格式，如联合体投标的，则联合体所有成员单位均须</w:t>
      </w:r>
      <w:r>
        <w:rPr>
          <w:rFonts w:ascii="宋体" w:hAnsi="宋体" w:eastAsia="宋体" w:cs="宋体"/>
          <w:spacing w:val="-3"/>
          <w:sz w:val="33"/>
          <w:szCs w:val="33"/>
          <w:highlight w:val="none"/>
        </w:rPr>
        <w:t>提供);(注：以上资格要求的所有证件、证明材料均须提供有效的扫描件或行政主管部门打印的电子证书(如有)。)</w:t>
      </w:r>
    </w:p>
    <w:p w14:paraId="1FFFB7AB">
      <w:pPr>
        <w:spacing w:before="80" w:line="354" w:lineRule="auto"/>
        <w:ind w:left="23" w:right="57"/>
        <w:rPr>
          <w:rFonts w:ascii="宋体" w:hAnsi="宋体" w:eastAsia="宋体" w:cs="宋体"/>
          <w:sz w:val="33"/>
          <w:szCs w:val="33"/>
          <w:highlight w:val="none"/>
        </w:rPr>
      </w:pPr>
      <w:r>
        <w:rPr>
          <w:rFonts w:ascii="宋体" w:hAnsi="宋体" w:eastAsia="宋体" w:cs="宋体"/>
          <w:spacing w:val="-9"/>
          <w:sz w:val="33"/>
          <w:szCs w:val="33"/>
          <w:highlight w:val="none"/>
        </w:rPr>
        <w:t>3.2本标段接受联合体投标。联合体投标的</w:t>
      </w:r>
      <w:r>
        <w:rPr>
          <w:rFonts w:ascii="宋体" w:hAnsi="宋体" w:eastAsia="宋体" w:cs="宋体"/>
          <w:spacing w:val="-10"/>
          <w:sz w:val="33"/>
          <w:szCs w:val="33"/>
          <w:highlight w:val="none"/>
        </w:rPr>
        <w:t>，应满足下列要</w:t>
      </w:r>
      <w:r>
        <w:rPr>
          <w:rFonts w:ascii="宋体" w:hAnsi="宋体" w:eastAsia="宋体" w:cs="宋体"/>
          <w:sz w:val="33"/>
          <w:szCs w:val="33"/>
          <w:highlight w:val="none"/>
        </w:rPr>
        <w:t xml:space="preserve"> </w:t>
      </w:r>
      <w:r>
        <w:rPr>
          <w:rFonts w:ascii="宋体" w:hAnsi="宋体" w:eastAsia="宋体" w:cs="宋体"/>
          <w:spacing w:val="4"/>
          <w:sz w:val="33"/>
          <w:szCs w:val="33"/>
          <w:highlight w:val="none"/>
        </w:rPr>
        <w:t>求：(1)联合体成员单位均具备独立法人资格；(2)联合</w:t>
      </w:r>
      <w:r>
        <w:rPr>
          <w:rFonts w:ascii="宋体" w:hAnsi="宋体" w:eastAsia="宋体" w:cs="宋体"/>
          <w:sz w:val="33"/>
          <w:szCs w:val="33"/>
          <w:highlight w:val="none"/>
        </w:rPr>
        <w:t xml:space="preserve"> </w:t>
      </w:r>
      <w:r>
        <w:rPr>
          <w:rFonts w:ascii="宋体" w:hAnsi="宋体" w:eastAsia="宋体" w:cs="宋体"/>
          <w:spacing w:val="-4"/>
          <w:sz w:val="33"/>
          <w:szCs w:val="33"/>
          <w:highlight w:val="none"/>
        </w:rPr>
        <w:t>体的资质应符合投标人资格要求规定；(3)联合体成员不</w:t>
      </w:r>
      <w:r>
        <w:rPr>
          <w:rFonts w:ascii="宋体" w:hAnsi="宋体" w:eastAsia="宋体" w:cs="宋体"/>
          <w:sz w:val="33"/>
          <w:szCs w:val="33"/>
          <w:highlight w:val="none"/>
        </w:rPr>
        <w:t xml:space="preserve">  </w:t>
      </w:r>
      <w:r>
        <w:rPr>
          <w:rFonts w:ascii="宋体" w:hAnsi="宋体" w:eastAsia="宋体" w:cs="宋体"/>
          <w:spacing w:val="-3"/>
          <w:sz w:val="33"/>
          <w:szCs w:val="33"/>
          <w:highlight w:val="none"/>
        </w:rPr>
        <w:t>得超过两家，一家设计单位，一家施工单位；</w:t>
      </w:r>
      <w:r>
        <w:rPr>
          <w:rFonts w:ascii="宋体" w:hAnsi="宋体" w:eastAsia="宋体" w:cs="宋体"/>
          <w:spacing w:val="-87"/>
          <w:sz w:val="33"/>
          <w:szCs w:val="33"/>
          <w:highlight w:val="none"/>
        </w:rPr>
        <w:t xml:space="preserve"> </w:t>
      </w:r>
      <w:r>
        <w:rPr>
          <w:rFonts w:ascii="宋体" w:hAnsi="宋体" w:eastAsia="宋体" w:cs="宋体"/>
          <w:spacing w:val="-3"/>
          <w:sz w:val="33"/>
          <w:szCs w:val="33"/>
          <w:highlight w:val="none"/>
        </w:rPr>
        <w:t>(4)联</w:t>
      </w:r>
      <w:r>
        <w:rPr>
          <w:rFonts w:ascii="宋体" w:hAnsi="宋体" w:eastAsia="宋体" w:cs="宋体"/>
          <w:spacing w:val="-4"/>
          <w:sz w:val="33"/>
          <w:szCs w:val="33"/>
          <w:highlight w:val="none"/>
        </w:rPr>
        <w:t>合体</w:t>
      </w:r>
      <w:r>
        <w:rPr>
          <w:rFonts w:ascii="宋体" w:hAnsi="宋体" w:eastAsia="宋体" w:cs="宋体"/>
          <w:sz w:val="33"/>
          <w:szCs w:val="33"/>
          <w:highlight w:val="none"/>
        </w:rPr>
        <w:t xml:space="preserve">  </w:t>
      </w:r>
      <w:r>
        <w:rPr>
          <w:rFonts w:ascii="宋体" w:hAnsi="宋体" w:eastAsia="宋体" w:cs="宋体"/>
          <w:spacing w:val="-11"/>
          <w:sz w:val="33"/>
          <w:szCs w:val="33"/>
          <w:highlight w:val="none"/>
        </w:rPr>
        <w:t>牵头人应为施工单位，联合体投标应提供联合体协议书，明</w:t>
      </w:r>
      <w:r>
        <w:rPr>
          <w:rFonts w:ascii="宋体" w:hAnsi="宋体" w:eastAsia="宋体" w:cs="宋体"/>
          <w:sz w:val="33"/>
          <w:szCs w:val="33"/>
          <w:highlight w:val="none"/>
        </w:rPr>
        <w:t xml:space="preserve"> </w:t>
      </w:r>
      <w:r>
        <w:rPr>
          <w:rFonts w:ascii="宋体" w:hAnsi="宋体" w:eastAsia="宋体" w:cs="宋体"/>
          <w:spacing w:val="-4"/>
          <w:sz w:val="33"/>
          <w:szCs w:val="33"/>
          <w:highlight w:val="none"/>
        </w:rPr>
        <w:t>确各方权利义务及分工；(5)组成联合体应符合法律法规</w:t>
      </w:r>
      <w:r>
        <w:rPr>
          <w:rFonts w:ascii="宋体" w:hAnsi="宋体" w:eastAsia="宋体" w:cs="宋体"/>
          <w:sz w:val="33"/>
          <w:szCs w:val="33"/>
          <w:highlight w:val="none"/>
        </w:rPr>
        <w:t xml:space="preserve">  </w:t>
      </w:r>
      <w:r>
        <w:rPr>
          <w:rFonts w:ascii="宋体" w:hAnsi="宋体" w:eastAsia="宋体" w:cs="宋体"/>
          <w:spacing w:val="-12"/>
          <w:sz w:val="33"/>
          <w:szCs w:val="33"/>
          <w:highlight w:val="none"/>
        </w:rPr>
        <w:t>对联合体投标的有关规定，联合体各方不得再以自己名义单</w:t>
      </w:r>
      <w:r>
        <w:rPr>
          <w:rFonts w:ascii="宋体" w:hAnsi="宋体" w:eastAsia="宋体" w:cs="宋体"/>
          <w:spacing w:val="4"/>
          <w:sz w:val="33"/>
          <w:szCs w:val="33"/>
          <w:highlight w:val="none"/>
        </w:rPr>
        <w:t xml:space="preserve"> </w:t>
      </w:r>
      <w:r>
        <w:rPr>
          <w:rFonts w:ascii="宋体" w:hAnsi="宋体" w:eastAsia="宋体" w:cs="宋体"/>
          <w:spacing w:val="-5"/>
          <w:sz w:val="33"/>
          <w:szCs w:val="33"/>
          <w:highlight w:val="none"/>
        </w:rPr>
        <w:t>独或参加其他联合体在同一工程项目投标(</w:t>
      </w:r>
      <w:r>
        <w:rPr>
          <w:rFonts w:ascii="宋体" w:hAnsi="宋体" w:eastAsia="宋体" w:cs="宋体"/>
          <w:spacing w:val="-6"/>
          <w:sz w:val="33"/>
          <w:szCs w:val="33"/>
          <w:highlight w:val="none"/>
        </w:rPr>
        <w:t>联合体必须符合</w:t>
      </w:r>
    </w:p>
    <w:p w14:paraId="5FE0B14E">
      <w:pPr>
        <w:spacing w:line="354" w:lineRule="auto"/>
        <w:rPr>
          <w:rFonts w:ascii="宋体" w:hAnsi="宋体" w:eastAsia="宋体" w:cs="宋体"/>
          <w:sz w:val="33"/>
          <w:szCs w:val="33"/>
          <w:highlight w:val="none"/>
        </w:rPr>
        <w:sectPr>
          <w:footerReference r:id="rId11" w:type="default"/>
          <w:pgSz w:w="11910" w:h="16840"/>
          <w:pgMar w:top="400" w:right="1748" w:bottom="1154" w:left="1786" w:header="0" w:footer="1032" w:gutter="0"/>
          <w:cols w:space="720" w:num="1"/>
        </w:sectPr>
      </w:pPr>
    </w:p>
    <w:p w14:paraId="2BAFD54C">
      <w:pPr>
        <w:pStyle w:val="2"/>
        <w:spacing w:line="272" w:lineRule="auto"/>
        <w:rPr>
          <w:highlight w:val="none"/>
        </w:rPr>
      </w:pPr>
    </w:p>
    <w:p w14:paraId="6DAB825C">
      <w:pPr>
        <w:pStyle w:val="2"/>
        <w:spacing w:line="272" w:lineRule="auto"/>
        <w:rPr>
          <w:highlight w:val="none"/>
        </w:rPr>
      </w:pPr>
    </w:p>
    <w:p w14:paraId="7AADF33C">
      <w:pPr>
        <w:pStyle w:val="2"/>
        <w:spacing w:line="272" w:lineRule="auto"/>
        <w:rPr>
          <w:highlight w:val="none"/>
        </w:rPr>
      </w:pPr>
    </w:p>
    <w:p w14:paraId="1266BC3A">
      <w:pPr>
        <w:pStyle w:val="2"/>
        <w:spacing w:line="273" w:lineRule="auto"/>
        <w:rPr>
          <w:highlight w:val="none"/>
        </w:rPr>
      </w:pPr>
    </w:p>
    <w:p w14:paraId="2CDB321E">
      <w:pPr>
        <w:spacing w:before="108" w:line="219" w:lineRule="auto"/>
        <w:ind w:left="30"/>
        <w:rPr>
          <w:rFonts w:ascii="宋体" w:hAnsi="宋体" w:eastAsia="宋体" w:cs="宋体"/>
          <w:sz w:val="33"/>
          <w:szCs w:val="33"/>
          <w:highlight w:val="none"/>
        </w:rPr>
      </w:pPr>
      <w:r>
        <w:rPr>
          <w:rFonts w:ascii="宋体" w:hAnsi="宋体" w:eastAsia="宋体" w:cs="宋体"/>
          <w:spacing w:val="-6"/>
          <w:sz w:val="33"/>
          <w:szCs w:val="33"/>
          <w:highlight w:val="none"/>
        </w:rPr>
        <w:t>《中华人民共和国招标投标法》第三十一条</w:t>
      </w:r>
      <w:r>
        <w:rPr>
          <w:rFonts w:ascii="宋体" w:hAnsi="宋体" w:eastAsia="宋体" w:cs="宋体"/>
          <w:spacing w:val="-7"/>
          <w:sz w:val="33"/>
          <w:szCs w:val="33"/>
          <w:highlight w:val="none"/>
        </w:rPr>
        <w:t>规定)。</w:t>
      </w:r>
    </w:p>
    <w:p w14:paraId="09A182A5">
      <w:pPr>
        <w:spacing w:before="258" w:line="283" w:lineRule="auto"/>
        <w:ind w:left="24" w:right="141"/>
        <w:rPr>
          <w:rFonts w:ascii="宋体" w:hAnsi="宋体" w:eastAsia="宋体" w:cs="宋体"/>
          <w:sz w:val="33"/>
          <w:szCs w:val="33"/>
          <w:highlight w:val="none"/>
        </w:rPr>
      </w:pPr>
      <w:r>
        <w:rPr>
          <w:rFonts w:ascii="宋体" w:hAnsi="宋体" w:eastAsia="宋体" w:cs="宋体"/>
          <w:spacing w:val="-2"/>
          <w:sz w:val="33"/>
          <w:szCs w:val="33"/>
          <w:highlight w:val="none"/>
        </w:rPr>
        <w:t>3.3各投标人均可就本招标项目上述标段中的1(具</w:t>
      </w:r>
      <w:r>
        <w:rPr>
          <w:rFonts w:ascii="宋体" w:hAnsi="宋体" w:eastAsia="宋体" w:cs="宋体"/>
          <w:spacing w:val="-3"/>
          <w:sz w:val="33"/>
          <w:szCs w:val="33"/>
          <w:highlight w:val="none"/>
        </w:rPr>
        <w:t>体数量)</w:t>
      </w:r>
      <w:r>
        <w:rPr>
          <w:rFonts w:ascii="宋体" w:hAnsi="宋体" w:eastAsia="宋体" w:cs="宋体"/>
          <w:sz w:val="33"/>
          <w:szCs w:val="33"/>
          <w:highlight w:val="none"/>
        </w:rPr>
        <w:t xml:space="preserve"> </w:t>
      </w:r>
      <w:r>
        <w:rPr>
          <w:rFonts w:ascii="宋体" w:hAnsi="宋体" w:eastAsia="宋体" w:cs="宋体"/>
          <w:spacing w:val="-21"/>
          <w:sz w:val="33"/>
          <w:szCs w:val="33"/>
          <w:highlight w:val="none"/>
        </w:rPr>
        <w:t>个标段投标。</w:t>
      </w:r>
    </w:p>
    <w:p w14:paraId="71E22F0A">
      <w:pPr>
        <w:spacing w:before="256" w:line="219" w:lineRule="auto"/>
        <w:ind w:left="24"/>
        <w:rPr>
          <w:rFonts w:ascii="宋体" w:hAnsi="宋体" w:eastAsia="宋体" w:cs="宋体"/>
          <w:sz w:val="33"/>
          <w:szCs w:val="33"/>
          <w:highlight w:val="none"/>
        </w:rPr>
      </w:pPr>
      <w:r>
        <w:rPr>
          <w:rFonts w:ascii="宋体" w:hAnsi="宋体" w:eastAsia="宋体" w:cs="宋体"/>
          <w:spacing w:val="-11"/>
          <w:sz w:val="33"/>
          <w:szCs w:val="33"/>
          <w:highlight w:val="none"/>
        </w:rPr>
        <w:t>3.4本次招标本项目不属于政府采购工程。</w:t>
      </w:r>
    </w:p>
    <w:p w14:paraId="6FDD5807">
      <w:pPr>
        <w:spacing w:before="257" w:line="219" w:lineRule="auto"/>
        <w:ind w:left="24"/>
        <w:rPr>
          <w:rFonts w:ascii="宋体" w:hAnsi="宋体" w:eastAsia="宋体" w:cs="宋体"/>
          <w:sz w:val="31"/>
          <w:szCs w:val="31"/>
          <w:highlight w:val="none"/>
        </w:rPr>
      </w:pPr>
      <w:r>
        <w:rPr>
          <w:rFonts w:ascii="宋体" w:hAnsi="宋体" w:eastAsia="宋体" w:cs="宋体"/>
          <w:spacing w:val="4"/>
          <w:sz w:val="31"/>
          <w:szCs w:val="31"/>
          <w:highlight w:val="none"/>
        </w:rPr>
        <w:t>3.5本项目属性：</w:t>
      </w:r>
    </w:p>
    <w:p w14:paraId="0FDF0EBB">
      <w:pPr>
        <w:spacing w:before="266" w:line="220" w:lineRule="auto"/>
        <w:ind w:left="24"/>
        <w:rPr>
          <w:rFonts w:ascii="宋体" w:hAnsi="宋体" w:eastAsia="宋体" w:cs="宋体"/>
          <w:sz w:val="33"/>
          <w:szCs w:val="33"/>
          <w:highlight w:val="none"/>
        </w:rPr>
      </w:pPr>
      <w:r>
        <w:rPr>
          <w:rFonts w:ascii="宋体" w:hAnsi="宋体" w:eastAsia="宋体" w:cs="宋体"/>
          <w:spacing w:val="-3"/>
          <w:sz w:val="33"/>
          <w:szCs w:val="33"/>
          <w:highlight w:val="none"/>
        </w:rPr>
        <w:t>3.6其他要求：/</w:t>
      </w:r>
    </w:p>
    <w:p w14:paraId="5CE5E222">
      <w:pPr>
        <w:spacing w:before="295" w:line="219" w:lineRule="auto"/>
        <w:ind w:left="24"/>
        <w:rPr>
          <w:rFonts w:ascii="宋体" w:hAnsi="宋体" w:eastAsia="宋体" w:cs="宋体"/>
          <w:sz w:val="33"/>
          <w:szCs w:val="33"/>
          <w:highlight w:val="none"/>
        </w:rPr>
      </w:pPr>
      <w:r>
        <w:rPr>
          <w:rFonts w:ascii="Times New Roman" w:hAnsi="Times New Roman" w:eastAsia="Times New Roman" w:cs="Times New Roman"/>
          <w:spacing w:val="-10"/>
          <w:sz w:val="33"/>
          <w:szCs w:val="33"/>
          <w:highlight w:val="none"/>
        </w:rPr>
        <w:t>4.</w:t>
      </w:r>
      <w:r>
        <w:rPr>
          <w:rFonts w:ascii="Times New Roman" w:hAnsi="Times New Roman" w:eastAsia="Times New Roman" w:cs="Times New Roman"/>
          <w:spacing w:val="-23"/>
          <w:sz w:val="33"/>
          <w:szCs w:val="33"/>
          <w:highlight w:val="none"/>
        </w:rPr>
        <w:t xml:space="preserve"> </w:t>
      </w:r>
      <w:r>
        <w:rPr>
          <w:rFonts w:ascii="宋体" w:hAnsi="宋体" w:eastAsia="宋体" w:cs="宋体"/>
          <w:spacing w:val="-10"/>
          <w:sz w:val="33"/>
          <w:szCs w:val="33"/>
          <w:highlight w:val="none"/>
        </w:rPr>
        <w:t>招标文件的获取</w:t>
      </w:r>
    </w:p>
    <w:p w14:paraId="178B1908">
      <w:pPr>
        <w:spacing w:before="304" w:line="341" w:lineRule="auto"/>
        <w:ind w:left="24" w:right="24"/>
        <w:rPr>
          <w:rFonts w:ascii="宋体" w:hAnsi="宋体" w:eastAsia="宋体" w:cs="宋体"/>
          <w:sz w:val="32"/>
          <w:szCs w:val="32"/>
          <w:highlight w:val="none"/>
        </w:rPr>
      </w:pPr>
      <w:r>
        <w:rPr>
          <w:rFonts w:ascii="Times New Roman" w:hAnsi="Times New Roman" w:eastAsia="Times New Roman" w:cs="Times New Roman"/>
          <w:spacing w:val="-3"/>
          <w:sz w:val="32"/>
          <w:szCs w:val="32"/>
          <w:highlight w:val="none"/>
        </w:rPr>
        <w:t xml:space="preserve">4.1   </w:t>
      </w:r>
      <w:r>
        <w:rPr>
          <w:rFonts w:ascii="宋体" w:hAnsi="宋体" w:eastAsia="宋体" w:cs="宋体"/>
          <w:spacing w:val="-3"/>
          <w:sz w:val="32"/>
          <w:szCs w:val="32"/>
          <w:highlight w:val="none"/>
        </w:rPr>
        <w:t>凡有意参加投标者(若为联合体投标，指联合体所有成</w:t>
      </w:r>
      <w:r>
        <w:rPr>
          <w:rFonts w:ascii="宋体" w:hAnsi="宋体" w:eastAsia="宋体" w:cs="宋体"/>
          <w:spacing w:val="7"/>
          <w:sz w:val="32"/>
          <w:szCs w:val="32"/>
          <w:highlight w:val="none"/>
        </w:rPr>
        <w:t xml:space="preserve">  </w:t>
      </w:r>
      <w:r>
        <w:rPr>
          <w:rFonts w:ascii="宋体" w:hAnsi="宋体" w:eastAsia="宋体" w:cs="宋体"/>
          <w:spacing w:val="8"/>
          <w:sz w:val="32"/>
          <w:szCs w:val="32"/>
          <w:highlight w:val="none"/>
        </w:rPr>
        <w:t>员),应当在湖北省电子招投标交易平台(以下简称“电子</w:t>
      </w:r>
      <w:r>
        <w:rPr>
          <w:rFonts w:ascii="宋体" w:hAnsi="宋体" w:eastAsia="宋体" w:cs="宋体"/>
          <w:spacing w:val="3"/>
          <w:sz w:val="32"/>
          <w:szCs w:val="32"/>
          <w:highlight w:val="none"/>
        </w:rPr>
        <w:t xml:space="preserve">  </w:t>
      </w:r>
      <w:r>
        <w:rPr>
          <w:rFonts w:ascii="宋体" w:hAnsi="宋体" w:eastAsia="宋体" w:cs="宋体"/>
          <w:spacing w:val="2"/>
          <w:sz w:val="32"/>
          <w:szCs w:val="32"/>
          <w:highlight w:val="none"/>
        </w:rPr>
        <w:t>交易平台”,下同)(网址：</w:t>
      </w:r>
      <w:r>
        <w:rPr>
          <w:highlight w:val="none"/>
        </w:rPr>
        <w:fldChar w:fldCharType="begin"/>
      </w:r>
      <w:r>
        <w:rPr>
          <w:highlight w:val="none"/>
        </w:rPr>
        <w:instrText xml:space="preserve"> HYPERLINK "https://www.hbbidcloud.cn" </w:instrText>
      </w:r>
      <w:r>
        <w:rPr>
          <w:highlight w:val="none"/>
        </w:rPr>
        <w:fldChar w:fldCharType="separate"/>
      </w:r>
      <w:r>
        <w:rPr>
          <w:rFonts w:ascii="Times New Roman" w:hAnsi="Times New Roman" w:eastAsia="Times New Roman" w:cs="Times New Roman"/>
          <w:sz w:val="32"/>
          <w:szCs w:val="32"/>
          <w:highlight w:val="none"/>
        </w:rPr>
        <w:t>www</w:t>
      </w:r>
      <w:r>
        <w:rPr>
          <w:rFonts w:ascii="宋体" w:hAnsi="宋体" w:eastAsia="宋体" w:cs="宋体"/>
          <w:spacing w:val="2"/>
          <w:sz w:val="32"/>
          <w:szCs w:val="32"/>
          <w:highlight w:val="none"/>
        </w:rPr>
        <w:t>.</w:t>
      </w:r>
      <w:r>
        <w:rPr>
          <w:rFonts w:ascii="Times New Roman" w:hAnsi="Times New Roman" w:eastAsia="Times New Roman" w:cs="Times New Roman"/>
          <w:sz w:val="32"/>
          <w:szCs w:val="32"/>
          <w:highlight w:val="none"/>
        </w:rPr>
        <w:t>hbbidcloud</w:t>
      </w:r>
      <w:r>
        <w:rPr>
          <w:rFonts w:ascii="Times New Roman" w:hAnsi="Times New Roman" w:eastAsia="Times New Roman" w:cs="Times New Roman"/>
          <w:spacing w:val="2"/>
          <w:sz w:val="32"/>
          <w:szCs w:val="32"/>
          <w:highlight w:val="none"/>
        </w:rPr>
        <w:t>.</w:t>
      </w:r>
      <w:r>
        <w:rPr>
          <w:rFonts w:ascii="Times New Roman" w:hAnsi="Times New Roman" w:eastAsia="Times New Roman" w:cs="Times New Roman"/>
          <w:sz w:val="32"/>
          <w:szCs w:val="32"/>
          <w:highlight w:val="none"/>
        </w:rPr>
        <w:t>cn</w:t>
      </w:r>
      <w:r>
        <w:rPr>
          <w:rFonts w:ascii="Times New Roman" w:hAnsi="Times New Roman" w:eastAsia="Times New Roman" w:cs="Times New Roman"/>
          <w:sz w:val="32"/>
          <w:szCs w:val="32"/>
          <w:highlight w:val="none"/>
        </w:rPr>
        <w:fldChar w:fldCharType="end"/>
      </w:r>
      <w:r>
        <w:rPr>
          <w:rFonts w:ascii="Times New Roman" w:hAnsi="Times New Roman" w:eastAsia="Times New Roman" w:cs="Times New Roman"/>
          <w:spacing w:val="2"/>
          <w:sz w:val="32"/>
          <w:szCs w:val="32"/>
          <w:highlight w:val="none"/>
        </w:rPr>
        <w:t xml:space="preserve">)   </w:t>
      </w:r>
      <w:r>
        <w:rPr>
          <w:rFonts w:ascii="宋体" w:hAnsi="宋体" w:eastAsia="宋体" w:cs="宋体"/>
          <w:spacing w:val="2"/>
          <w:sz w:val="32"/>
          <w:szCs w:val="32"/>
          <w:highlight w:val="none"/>
        </w:rPr>
        <w:t>进行注</w:t>
      </w:r>
      <w:r>
        <w:rPr>
          <w:rFonts w:ascii="宋体" w:hAnsi="宋体" w:eastAsia="宋体" w:cs="宋体"/>
          <w:spacing w:val="-6"/>
          <w:sz w:val="32"/>
          <w:szCs w:val="32"/>
          <w:highlight w:val="none"/>
        </w:rPr>
        <w:t>册登记，并下载移动数字证书</w:t>
      </w:r>
      <w:r>
        <w:rPr>
          <w:rFonts w:ascii="宋体" w:hAnsi="宋体" w:eastAsia="宋体" w:cs="宋体"/>
          <w:spacing w:val="-27"/>
          <w:sz w:val="32"/>
          <w:szCs w:val="32"/>
          <w:highlight w:val="none"/>
        </w:rPr>
        <w:t xml:space="preserve"> </w:t>
      </w:r>
      <w:r>
        <w:rPr>
          <w:rFonts w:ascii="宋体" w:hAnsi="宋体" w:eastAsia="宋体" w:cs="宋体"/>
          <w:spacing w:val="-6"/>
          <w:sz w:val="32"/>
          <w:szCs w:val="32"/>
          <w:highlight w:val="none"/>
        </w:rPr>
        <w:t>(</w:t>
      </w:r>
      <w:r>
        <w:rPr>
          <w:rFonts w:ascii="宋体" w:hAnsi="宋体" w:eastAsia="宋体" w:cs="宋体"/>
          <w:spacing w:val="-91"/>
          <w:sz w:val="32"/>
          <w:szCs w:val="32"/>
          <w:highlight w:val="none"/>
        </w:rPr>
        <w:t xml:space="preserve"> </w:t>
      </w:r>
      <w:r>
        <w:rPr>
          <w:rFonts w:ascii="Times New Roman" w:hAnsi="Times New Roman" w:eastAsia="Times New Roman" w:cs="Times New Roman"/>
          <w:spacing w:val="-6"/>
          <w:sz w:val="32"/>
          <w:szCs w:val="32"/>
          <w:highlight w:val="none"/>
        </w:rPr>
        <w:t>CA)</w:t>
      </w:r>
      <w:r>
        <w:rPr>
          <w:rFonts w:ascii="Times New Roman" w:hAnsi="Times New Roman" w:eastAsia="Times New Roman" w:cs="Times New Roman"/>
          <w:spacing w:val="-45"/>
          <w:sz w:val="32"/>
          <w:szCs w:val="32"/>
          <w:highlight w:val="none"/>
        </w:rPr>
        <w:t xml:space="preserve"> </w:t>
      </w:r>
      <w:r>
        <w:rPr>
          <w:rFonts w:ascii="宋体" w:hAnsi="宋体" w:eastAsia="宋体" w:cs="宋体"/>
          <w:spacing w:val="-6"/>
          <w:sz w:val="32"/>
          <w:szCs w:val="32"/>
          <w:highlight w:val="none"/>
        </w:rPr>
        <w:t>、 电子营业执照或办理</w:t>
      </w:r>
      <w:r>
        <w:rPr>
          <w:rFonts w:ascii="宋体" w:hAnsi="宋体" w:eastAsia="宋体" w:cs="宋体"/>
          <w:sz w:val="32"/>
          <w:szCs w:val="32"/>
          <w:highlight w:val="none"/>
        </w:rPr>
        <w:t xml:space="preserve"> </w:t>
      </w:r>
      <w:r>
        <w:rPr>
          <w:rFonts w:ascii="宋体" w:hAnsi="宋体" w:eastAsia="宋体" w:cs="宋体"/>
          <w:spacing w:val="-2"/>
          <w:sz w:val="32"/>
          <w:szCs w:val="32"/>
          <w:highlight w:val="none"/>
        </w:rPr>
        <w:t>实体数字证书</w:t>
      </w:r>
      <w:r>
        <w:rPr>
          <w:rFonts w:ascii="宋体" w:hAnsi="宋体" w:eastAsia="宋体" w:cs="宋体"/>
          <w:spacing w:val="-37"/>
          <w:sz w:val="32"/>
          <w:szCs w:val="32"/>
          <w:highlight w:val="none"/>
        </w:rPr>
        <w:t xml:space="preserve"> </w:t>
      </w:r>
      <w:r>
        <w:rPr>
          <w:rFonts w:ascii="宋体" w:hAnsi="宋体" w:eastAsia="宋体" w:cs="宋体"/>
          <w:spacing w:val="-2"/>
          <w:sz w:val="32"/>
          <w:szCs w:val="32"/>
          <w:highlight w:val="none"/>
        </w:rPr>
        <w:t>(</w:t>
      </w:r>
      <w:r>
        <w:rPr>
          <w:rFonts w:ascii="宋体" w:hAnsi="宋体" w:eastAsia="宋体" w:cs="宋体"/>
          <w:spacing w:val="-91"/>
          <w:sz w:val="32"/>
          <w:szCs w:val="32"/>
          <w:highlight w:val="none"/>
        </w:rPr>
        <w:t xml:space="preserve"> </w:t>
      </w:r>
      <w:r>
        <w:rPr>
          <w:rFonts w:ascii="Times New Roman" w:hAnsi="Times New Roman" w:eastAsia="Times New Roman" w:cs="Times New Roman"/>
          <w:spacing w:val="-2"/>
          <w:sz w:val="32"/>
          <w:szCs w:val="32"/>
          <w:highlight w:val="none"/>
        </w:rPr>
        <w:t xml:space="preserve">CA)   ( </w:t>
      </w:r>
      <w:r>
        <w:rPr>
          <w:rFonts w:ascii="宋体" w:hAnsi="宋体" w:eastAsia="宋体" w:cs="宋体"/>
          <w:spacing w:val="-2"/>
          <w:sz w:val="32"/>
          <w:szCs w:val="32"/>
          <w:highlight w:val="none"/>
        </w:rPr>
        <w:t>具体操作参见“电子交易平台”—办</w:t>
      </w:r>
      <w:r>
        <w:rPr>
          <w:rFonts w:ascii="宋体" w:hAnsi="宋体" w:eastAsia="宋体" w:cs="宋体"/>
          <w:sz w:val="32"/>
          <w:szCs w:val="32"/>
          <w:highlight w:val="none"/>
        </w:rPr>
        <w:t xml:space="preserve"> </w:t>
      </w:r>
      <w:r>
        <w:rPr>
          <w:rFonts w:ascii="宋体" w:hAnsi="宋体" w:eastAsia="宋体" w:cs="宋体"/>
          <w:spacing w:val="2"/>
          <w:sz w:val="32"/>
          <w:szCs w:val="32"/>
          <w:highlight w:val="none"/>
        </w:rPr>
        <w:t>事指南—交易主体注册登记指南)。</w:t>
      </w:r>
    </w:p>
    <w:p w14:paraId="2B6EDE2A">
      <w:pPr>
        <w:spacing w:before="290" w:line="331" w:lineRule="auto"/>
        <w:ind w:right="31" w:firstLine="24"/>
        <w:rPr>
          <w:rFonts w:ascii="宋体" w:hAnsi="宋体" w:eastAsia="宋体" w:cs="宋体"/>
          <w:sz w:val="33"/>
          <w:szCs w:val="33"/>
          <w:highlight w:val="none"/>
        </w:rPr>
      </w:pPr>
      <w:r>
        <w:rPr>
          <w:rFonts w:ascii="宋体" w:hAnsi="宋体" w:eastAsia="宋体" w:cs="宋体"/>
          <w:spacing w:val="11"/>
          <w:sz w:val="33"/>
          <w:szCs w:val="33"/>
          <w:highlight w:val="none"/>
        </w:rPr>
        <w:t>4.2 完成注册登记后，请于2026年</w:t>
      </w:r>
      <w:r>
        <w:rPr>
          <w:rFonts w:hint="eastAsia" w:ascii="宋体" w:hAnsi="宋体" w:eastAsia="宋体" w:cs="宋体"/>
          <w:spacing w:val="11"/>
          <w:sz w:val="33"/>
          <w:szCs w:val="33"/>
          <w:highlight w:val="none"/>
          <w:lang w:val="en-US" w:eastAsia="zh-CN"/>
        </w:rPr>
        <w:t xml:space="preserve">   </w:t>
      </w:r>
      <w:r>
        <w:rPr>
          <w:rFonts w:ascii="宋体" w:hAnsi="宋体" w:eastAsia="宋体" w:cs="宋体"/>
          <w:spacing w:val="11"/>
          <w:sz w:val="33"/>
          <w:szCs w:val="33"/>
          <w:highlight w:val="none"/>
        </w:rPr>
        <w:t>月</w:t>
      </w:r>
      <w:r>
        <w:rPr>
          <w:rFonts w:hint="eastAsia" w:ascii="宋体" w:hAnsi="宋体" w:eastAsia="宋体" w:cs="宋体"/>
          <w:spacing w:val="11"/>
          <w:sz w:val="33"/>
          <w:szCs w:val="33"/>
          <w:highlight w:val="none"/>
          <w:lang w:val="en-US" w:eastAsia="zh-CN"/>
        </w:rPr>
        <w:t xml:space="preserve">  </w:t>
      </w:r>
      <w:r>
        <w:rPr>
          <w:rFonts w:ascii="宋体" w:hAnsi="宋体" w:eastAsia="宋体" w:cs="宋体"/>
          <w:spacing w:val="11"/>
          <w:sz w:val="33"/>
          <w:szCs w:val="33"/>
          <w:highlight w:val="none"/>
        </w:rPr>
        <w:t>日至2026年</w:t>
      </w:r>
      <w:r>
        <w:rPr>
          <w:rFonts w:hint="eastAsia" w:ascii="宋体" w:hAnsi="宋体" w:eastAsia="宋体" w:cs="宋体"/>
          <w:spacing w:val="11"/>
          <w:sz w:val="33"/>
          <w:szCs w:val="33"/>
          <w:highlight w:val="none"/>
          <w:lang w:val="en-US" w:eastAsia="zh-CN"/>
        </w:rPr>
        <w:t xml:space="preserve"> </w:t>
      </w:r>
      <w:r>
        <w:rPr>
          <w:rFonts w:ascii="宋体" w:hAnsi="宋体" w:eastAsia="宋体" w:cs="宋体"/>
          <w:spacing w:val="17"/>
          <w:sz w:val="33"/>
          <w:szCs w:val="33"/>
          <w:highlight w:val="none"/>
        </w:rPr>
        <w:t xml:space="preserve"> </w:t>
      </w:r>
      <w:r>
        <w:rPr>
          <w:rFonts w:ascii="宋体" w:hAnsi="宋体" w:eastAsia="宋体" w:cs="宋体"/>
          <w:spacing w:val="25"/>
          <w:sz w:val="33"/>
          <w:szCs w:val="33"/>
          <w:highlight w:val="none"/>
        </w:rPr>
        <w:t>月</w:t>
      </w:r>
      <w:r>
        <w:rPr>
          <w:rFonts w:hint="eastAsia" w:ascii="宋体" w:hAnsi="宋体" w:eastAsia="宋体" w:cs="宋体"/>
          <w:spacing w:val="25"/>
          <w:sz w:val="33"/>
          <w:szCs w:val="33"/>
          <w:highlight w:val="none"/>
          <w:lang w:val="en-US" w:eastAsia="zh-CN"/>
        </w:rPr>
        <w:t xml:space="preserve">  </w:t>
      </w:r>
      <w:r>
        <w:rPr>
          <w:rFonts w:ascii="宋体" w:hAnsi="宋体" w:eastAsia="宋体" w:cs="宋体"/>
          <w:spacing w:val="25"/>
          <w:sz w:val="33"/>
          <w:szCs w:val="33"/>
          <w:highlight w:val="none"/>
        </w:rPr>
        <w:t>日24:00时止(北京时间、下同),通过互联网使用</w:t>
      </w:r>
      <w:r>
        <w:rPr>
          <w:rFonts w:ascii="宋体" w:hAnsi="宋体" w:eastAsia="宋体" w:cs="宋体"/>
          <w:spacing w:val="13"/>
          <w:sz w:val="33"/>
          <w:szCs w:val="33"/>
          <w:highlight w:val="none"/>
        </w:rPr>
        <w:t xml:space="preserve"> </w:t>
      </w:r>
      <w:r>
        <w:rPr>
          <w:rFonts w:ascii="宋体" w:hAnsi="宋体" w:eastAsia="宋体" w:cs="宋体"/>
          <w:spacing w:val="-19"/>
          <w:sz w:val="33"/>
          <w:szCs w:val="33"/>
          <w:highlight w:val="none"/>
        </w:rPr>
        <w:t>移动数字证书(</w:t>
      </w:r>
      <w:r>
        <w:rPr>
          <w:rFonts w:ascii="宋体" w:hAnsi="宋体" w:eastAsia="宋体" w:cs="宋体"/>
          <w:spacing w:val="-92"/>
          <w:sz w:val="33"/>
          <w:szCs w:val="33"/>
          <w:highlight w:val="none"/>
        </w:rPr>
        <w:t xml:space="preserve"> </w:t>
      </w:r>
      <w:r>
        <w:rPr>
          <w:rFonts w:ascii="Times New Roman" w:hAnsi="Times New Roman" w:eastAsia="Times New Roman" w:cs="Times New Roman"/>
          <w:spacing w:val="-19"/>
          <w:sz w:val="33"/>
          <w:szCs w:val="33"/>
          <w:highlight w:val="none"/>
        </w:rPr>
        <w:t>CA)</w:t>
      </w:r>
      <w:r>
        <w:rPr>
          <w:rFonts w:ascii="宋体" w:hAnsi="宋体" w:eastAsia="宋体" w:cs="宋体"/>
          <w:spacing w:val="-19"/>
          <w:sz w:val="33"/>
          <w:szCs w:val="33"/>
          <w:highlight w:val="none"/>
        </w:rPr>
        <w:t>、电子营业执照或办理实体数字证书(</w:t>
      </w:r>
      <w:r>
        <w:rPr>
          <w:rFonts w:ascii="宋体" w:hAnsi="宋体" w:eastAsia="宋体" w:cs="宋体"/>
          <w:spacing w:val="-99"/>
          <w:sz w:val="33"/>
          <w:szCs w:val="33"/>
          <w:highlight w:val="none"/>
        </w:rPr>
        <w:t xml:space="preserve"> </w:t>
      </w:r>
      <w:r>
        <w:rPr>
          <w:rFonts w:ascii="Times New Roman" w:hAnsi="Times New Roman" w:eastAsia="Times New Roman" w:cs="Times New Roman"/>
          <w:spacing w:val="-19"/>
          <w:sz w:val="33"/>
          <w:szCs w:val="33"/>
          <w:highlight w:val="none"/>
        </w:rPr>
        <w:t>CA)</w:t>
      </w:r>
      <w:r>
        <w:rPr>
          <w:rFonts w:ascii="Times New Roman" w:hAnsi="Times New Roman" w:eastAsia="Times New Roman" w:cs="Times New Roman"/>
          <w:sz w:val="33"/>
          <w:szCs w:val="33"/>
          <w:highlight w:val="none"/>
        </w:rPr>
        <w:t xml:space="preserve"> </w:t>
      </w:r>
      <w:r>
        <w:rPr>
          <w:rFonts w:ascii="宋体" w:hAnsi="宋体" w:eastAsia="宋体" w:cs="宋体"/>
          <w:spacing w:val="-5"/>
          <w:sz w:val="33"/>
          <w:szCs w:val="33"/>
          <w:highlight w:val="none"/>
        </w:rPr>
        <w:t>登录“电子交易平台”,在所投标段免费下载招标文件。联</w:t>
      </w:r>
      <w:r>
        <w:rPr>
          <w:rFonts w:ascii="宋体" w:hAnsi="宋体" w:eastAsia="宋体" w:cs="宋体"/>
          <w:spacing w:val="11"/>
          <w:sz w:val="33"/>
          <w:szCs w:val="33"/>
          <w:highlight w:val="none"/>
        </w:rPr>
        <w:t xml:space="preserve"> </w:t>
      </w:r>
      <w:r>
        <w:rPr>
          <w:rFonts w:ascii="宋体" w:hAnsi="宋体" w:eastAsia="宋体" w:cs="宋体"/>
          <w:spacing w:val="-5"/>
          <w:sz w:val="33"/>
          <w:szCs w:val="33"/>
          <w:highlight w:val="none"/>
        </w:rPr>
        <w:t>合体投标的，由联合体牵头人下载招标文件(具体操作参见</w:t>
      </w:r>
      <w:r>
        <w:rPr>
          <w:rFonts w:ascii="宋体" w:hAnsi="宋体" w:eastAsia="宋体" w:cs="宋体"/>
          <w:spacing w:val="15"/>
          <w:sz w:val="33"/>
          <w:szCs w:val="33"/>
          <w:highlight w:val="none"/>
        </w:rPr>
        <w:t xml:space="preserve"> </w:t>
      </w:r>
      <w:r>
        <w:rPr>
          <w:rFonts w:ascii="宋体" w:hAnsi="宋体" w:eastAsia="宋体" w:cs="宋体"/>
          <w:spacing w:val="2"/>
          <w:sz w:val="33"/>
          <w:szCs w:val="33"/>
          <w:highlight w:val="none"/>
        </w:rPr>
        <w:t>“电子交易平台”—办事指南—招标(资审)</w:t>
      </w:r>
      <w:r>
        <w:rPr>
          <w:rFonts w:ascii="宋体" w:hAnsi="宋体" w:eastAsia="宋体" w:cs="宋体"/>
          <w:spacing w:val="1"/>
          <w:sz w:val="33"/>
          <w:szCs w:val="33"/>
          <w:highlight w:val="none"/>
        </w:rPr>
        <w:t>文件下载指</w:t>
      </w:r>
      <w:r>
        <w:rPr>
          <w:rFonts w:ascii="宋体" w:hAnsi="宋体" w:eastAsia="宋体" w:cs="宋体"/>
          <w:spacing w:val="-6"/>
          <w:sz w:val="33"/>
          <w:szCs w:val="33"/>
          <w:highlight w:val="none"/>
        </w:rPr>
        <w:t>南)。未按规定从“电子交易平台”下载招标文件的，招标人</w:t>
      </w:r>
      <w:r>
        <w:rPr>
          <w:rFonts w:ascii="宋体" w:hAnsi="宋体" w:eastAsia="宋体" w:cs="宋体"/>
          <w:spacing w:val="158"/>
          <w:sz w:val="33"/>
          <w:szCs w:val="33"/>
          <w:highlight w:val="none"/>
        </w:rPr>
        <w:t xml:space="preserve"> </w:t>
      </w:r>
      <w:r>
        <w:rPr>
          <w:rFonts w:ascii="宋体" w:hAnsi="宋体" w:eastAsia="宋体" w:cs="宋体"/>
          <w:spacing w:val="-6"/>
          <w:sz w:val="33"/>
          <w:szCs w:val="33"/>
          <w:highlight w:val="none"/>
        </w:rPr>
        <w:t>(“电子交易平台”)拒收其投标文件。</w:t>
      </w:r>
    </w:p>
    <w:p w14:paraId="028DCE8D">
      <w:pPr>
        <w:spacing w:line="286" w:lineRule="auto"/>
        <w:rPr>
          <w:rFonts w:ascii="宋体" w:hAnsi="宋体" w:eastAsia="宋体" w:cs="宋体"/>
          <w:sz w:val="33"/>
          <w:szCs w:val="33"/>
          <w:highlight w:val="none"/>
        </w:rPr>
        <w:sectPr>
          <w:footerReference r:id="rId12" w:type="default"/>
          <w:pgSz w:w="11910" w:h="16840"/>
          <w:pgMar w:top="400" w:right="1786" w:bottom="1176" w:left="1765" w:header="0" w:footer="999" w:gutter="0"/>
          <w:cols w:space="720" w:num="1"/>
        </w:sectPr>
      </w:pPr>
    </w:p>
    <w:p w14:paraId="524E0134">
      <w:pPr>
        <w:pStyle w:val="2"/>
        <w:spacing w:line="274" w:lineRule="auto"/>
        <w:rPr>
          <w:highlight w:val="none"/>
        </w:rPr>
      </w:pPr>
    </w:p>
    <w:p w14:paraId="230A055E">
      <w:pPr>
        <w:pStyle w:val="2"/>
        <w:spacing w:line="275" w:lineRule="auto"/>
        <w:rPr>
          <w:highlight w:val="none"/>
        </w:rPr>
      </w:pPr>
    </w:p>
    <w:p w14:paraId="4AF42270">
      <w:pPr>
        <w:pStyle w:val="2"/>
        <w:spacing w:line="275" w:lineRule="auto"/>
        <w:rPr>
          <w:highlight w:val="none"/>
        </w:rPr>
      </w:pPr>
    </w:p>
    <w:p w14:paraId="0721ADD6">
      <w:pPr>
        <w:pStyle w:val="2"/>
        <w:spacing w:line="275" w:lineRule="auto"/>
        <w:rPr>
          <w:highlight w:val="none"/>
        </w:rPr>
      </w:pPr>
    </w:p>
    <w:p w14:paraId="748B2AB0">
      <w:pPr>
        <w:spacing w:before="108" w:line="219" w:lineRule="auto"/>
        <w:ind w:left="3"/>
        <w:rPr>
          <w:rFonts w:ascii="宋体" w:hAnsi="宋体" w:eastAsia="宋体" w:cs="宋体"/>
          <w:sz w:val="33"/>
          <w:szCs w:val="33"/>
          <w:highlight w:val="none"/>
        </w:rPr>
      </w:pPr>
      <w:bookmarkStart w:id="5" w:name="bookmark186"/>
      <w:bookmarkEnd w:id="5"/>
      <w:r>
        <w:rPr>
          <w:rFonts w:ascii="Times New Roman" w:hAnsi="Times New Roman" w:eastAsia="Times New Roman" w:cs="Times New Roman"/>
          <w:spacing w:val="-10"/>
          <w:sz w:val="33"/>
          <w:szCs w:val="33"/>
          <w:highlight w:val="none"/>
        </w:rPr>
        <w:t>5.</w:t>
      </w:r>
      <w:r>
        <w:rPr>
          <w:rFonts w:ascii="Times New Roman" w:hAnsi="Times New Roman" w:eastAsia="Times New Roman" w:cs="Times New Roman"/>
          <w:spacing w:val="-27"/>
          <w:sz w:val="33"/>
          <w:szCs w:val="33"/>
          <w:highlight w:val="none"/>
        </w:rPr>
        <w:t xml:space="preserve"> </w:t>
      </w:r>
      <w:r>
        <w:rPr>
          <w:rFonts w:ascii="宋体" w:hAnsi="宋体" w:eastAsia="宋体" w:cs="宋体"/>
          <w:spacing w:val="-10"/>
          <w:sz w:val="33"/>
          <w:szCs w:val="33"/>
          <w:highlight w:val="none"/>
        </w:rPr>
        <w:t>投标文件的递交</w:t>
      </w:r>
    </w:p>
    <w:p w14:paraId="3EC3D8EE">
      <w:pPr>
        <w:spacing w:before="306" w:line="287" w:lineRule="auto"/>
        <w:ind w:left="3" w:right="56"/>
        <w:rPr>
          <w:rFonts w:ascii="宋体" w:hAnsi="宋体" w:eastAsia="宋体" w:cs="宋体"/>
          <w:sz w:val="33"/>
          <w:szCs w:val="33"/>
          <w:highlight w:val="none"/>
        </w:rPr>
      </w:pPr>
      <w:r>
        <w:rPr>
          <w:rFonts w:ascii="宋体" w:hAnsi="宋体" w:eastAsia="宋体" w:cs="宋体"/>
          <w:spacing w:val="11"/>
          <w:sz w:val="33"/>
          <w:szCs w:val="33"/>
          <w:highlight w:val="none"/>
        </w:rPr>
        <w:t>5.1 投标文件递交截止时间为：2026年</w:t>
      </w:r>
      <w:r>
        <w:rPr>
          <w:rFonts w:hint="eastAsia" w:ascii="宋体" w:hAnsi="宋体" w:eastAsia="宋体" w:cs="宋体"/>
          <w:spacing w:val="11"/>
          <w:sz w:val="33"/>
          <w:szCs w:val="33"/>
          <w:highlight w:val="none"/>
          <w:lang w:val="en-US" w:eastAsia="zh-CN"/>
        </w:rPr>
        <w:t xml:space="preserve">  </w:t>
      </w:r>
      <w:r>
        <w:rPr>
          <w:rFonts w:ascii="宋体" w:hAnsi="宋体" w:eastAsia="宋体" w:cs="宋体"/>
          <w:spacing w:val="11"/>
          <w:sz w:val="33"/>
          <w:szCs w:val="33"/>
          <w:highlight w:val="none"/>
        </w:rPr>
        <w:t>月</w:t>
      </w:r>
      <w:r>
        <w:rPr>
          <w:rFonts w:hint="eastAsia" w:ascii="宋体" w:hAnsi="宋体" w:eastAsia="宋体" w:cs="宋体"/>
          <w:spacing w:val="11"/>
          <w:sz w:val="33"/>
          <w:szCs w:val="33"/>
          <w:highlight w:val="none"/>
          <w:lang w:val="en-US" w:eastAsia="zh-CN"/>
        </w:rPr>
        <w:t xml:space="preserve">  </w:t>
      </w:r>
      <w:r>
        <w:rPr>
          <w:rFonts w:ascii="宋体" w:hAnsi="宋体" w:eastAsia="宋体" w:cs="宋体"/>
          <w:spacing w:val="11"/>
          <w:sz w:val="33"/>
          <w:szCs w:val="33"/>
          <w:highlight w:val="none"/>
        </w:rPr>
        <w:t>日09时00</w:t>
      </w:r>
      <w:r>
        <w:rPr>
          <w:rFonts w:ascii="宋体" w:hAnsi="宋体" w:eastAsia="宋体" w:cs="宋体"/>
          <w:spacing w:val="3"/>
          <w:sz w:val="33"/>
          <w:szCs w:val="33"/>
          <w:highlight w:val="none"/>
        </w:rPr>
        <w:t xml:space="preserve"> </w:t>
      </w:r>
      <w:r>
        <w:rPr>
          <w:rFonts w:ascii="宋体" w:hAnsi="宋体" w:eastAsia="宋体" w:cs="宋体"/>
          <w:sz w:val="33"/>
          <w:szCs w:val="33"/>
          <w:highlight w:val="none"/>
        </w:rPr>
        <w:t>分</w:t>
      </w:r>
    </w:p>
    <w:p w14:paraId="2B9FCF17">
      <w:pPr>
        <w:spacing w:before="251" w:line="344" w:lineRule="auto"/>
        <w:ind w:left="3" w:right="9"/>
        <w:rPr>
          <w:rFonts w:ascii="宋体" w:hAnsi="宋体" w:eastAsia="宋体" w:cs="宋体"/>
          <w:sz w:val="32"/>
          <w:szCs w:val="32"/>
          <w:highlight w:val="none"/>
        </w:rPr>
      </w:pPr>
      <w:r>
        <w:rPr>
          <w:rFonts w:ascii="Times New Roman" w:hAnsi="Times New Roman" w:eastAsia="Times New Roman" w:cs="Times New Roman"/>
          <w:sz w:val="32"/>
          <w:szCs w:val="32"/>
          <w:highlight w:val="none"/>
        </w:rPr>
        <w:t xml:space="preserve">5.2   </w:t>
      </w:r>
      <w:r>
        <w:rPr>
          <w:rFonts w:ascii="宋体" w:hAnsi="宋体" w:eastAsia="宋体" w:cs="宋体"/>
          <w:sz w:val="32"/>
          <w:szCs w:val="32"/>
          <w:highlight w:val="none"/>
        </w:rPr>
        <w:t>投标人应当在投标截止时间前，通过互联网使用移动数</w:t>
      </w:r>
      <w:r>
        <w:rPr>
          <w:rFonts w:ascii="宋体" w:hAnsi="宋体" w:eastAsia="宋体" w:cs="宋体"/>
          <w:spacing w:val="2"/>
          <w:sz w:val="32"/>
          <w:szCs w:val="32"/>
          <w:highlight w:val="none"/>
        </w:rPr>
        <w:t xml:space="preserve"> </w:t>
      </w:r>
      <w:r>
        <w:rPr>
          <w:rFonts w:ascii="宋体" w:hAnsi="宋体" w:eastAsia="宋体" w:cs="宋体"/>
          <w:spacing w:val="-9"/>
          <w:sz w:val="32"/>
          <w:szCs w:val="32"/>
          <w:highlight w:val="none"/>
        </w:rPr>
        <w:t>字证书</w:t>
      </w:r>
      <w:r>
        <w:rPr>
          <w:rFonts w:ascii="宋体" w:hAnsi="宋体" w:eastAsia="宋体" w:cs="宋体"/>
          <w:spacing w:val="-41"/>
          <w:sz w:val="32"/>
          <w:szCs w:val="32"/>
          <w:highlight w:val="none"/>
        </w:rPr>
        <w:t xml:space="preserve"> </w:t>
      </w:r>
      <w:r>
        <w:rPr>
          <w:rFonts w:ascii="宋体" w:hAnsi="宋体" w:eastAsia="宋体" w:cs="宋体"/>
          <w:spacing w:val="-9"/>
          <w:sz w:val="32"/>
          <w:szCs w:val="32"/>
          <w:highlight w:val="none"/>
        </w:rPr>
        <w:t>(</w:t>
      </w:r>
      <w:r>
        <w:rPr>
          <w:rFonts w:ascii="宋体" w:hAnsi="宋体" w:eastAsia="宋体" w:cs="宋体"/>
          <w:spacing w:val="-81"/>
          <w:sz w:val="32"/>
          <w:szCs w:val="32"/>
          <w:highlight w:val="none"/>
        </w:rPr>
        <w:t xml:space="preserve"> </w:t>
      </w:r>
      <w:r>
        <w:rPr>
          <w:rFonts w:ascii="Times New Roman" w:hAnsi="Times New Roman" w:eastAsia="Times New Roman" w:cs="Times New Roman"/>
          <w:spacing w:val="-9"/>
          <w:sz w:val="32"/>
          <w:szCs w:val="32"/>
          <w:highlight w:val="none"/>
        </w:rPr>
        <w:t>CA)</w:t>
      </w:r>
      <w:r>
        <w:rPr>
          <w:rFonts w:ascii="Times New Roman" w:hAnsi="Times New Roman" w:eastAsia="Times New Roman" w:cs="Times New Roman"/>
          <w:spacing w:val="-45"/>
          <w:sz w:val="32"/>
          <w:szCs w:val="32"/>
          <w:highlight w:val="none"/>
        </w:rPr>
        <w:t xml:space="preserve"> </w:t>
      </w:r>
      <w:r>
        <w:rPr>
          <w:rFonts w:ascii="宋体" w:hAnsi="宋体" w:eastAsia="宋体" w:cs="宋体"/>
          <w:spacing w:val="-9"/>
          <w:sz w:val="32"/>
          <w:szCs w:val="32"/>
          <w:highlight w:val="none"/>
        </w:rPr>
        <w:t>、 电子营业执照或办理实体数字证书</w:t>
      </w:r>
      <w:r>
        <w:rPr>
          <w:rFonts w:ascii="宋体" w:hAnsi="宋体" w:eastAsia="宋体" w:cs="宋体"/>
          <w:spacing w:val="-51"/>
          <w:sz w:val="32"/>
          <w:szCs w:val="32"/>
          <w:highlight w:val="none"/>
        </w:rPr>
        <w:t xml:space="preserve"> </w:t>
      </w:r>
      <w:r>
        <w:rPr>
          <w:rFonts w:ascii="宋体" w:hAnsi="宋体" w:eastAsia="宋体" w:cs="宋体"/>
          <w:spacing w:val="-9"/>
          <w:sz w:val="32"/>
          <w:szCs w:val="32"/>
          <w:highlight w:val="none"/>
        </w:rPr>
        <w:t>(</w:t>
      </w:r>
      <w:r>
        <w:rPr>
          <w:rFonts w:ascii="宋体" w:hAnsi="宋体" w:eastAsia="宋体" w:cs="宋体"/>
          <w:spacing w:val="-81"/>
          <w:sz w:val="32"/>
          <w:szCs w:val="32"/>
          <w:highlight w:val="none"/>
        </w:rPr>
        <w:t xml:space="preserve"> </w:t>
      </w:r>
      <w:r>
        <w:rPr>
          <w:rFonts w:ascii="Times New Roman" w:hAnsi="Times New Roman" w:eastAsia="Times New Roman" w:cs="Times New Roman"/>
          <w:spacing w:val="-9"/>
          <w:sz w:val="32"/>
          <w:szCs w:val="32"/>
          <w:highlight w:val="none"/>
        </w:rPr>
        <w:t>C</w:t>
      </w:r>
      <w:r>
        <w:rPr>
          <w:rFonts w:ascii="Times New Roman" w:hAnsi="Times New Roman" w:eastAsia="Times New Roman" w:cs="Times New Roman"/>
          <w:spacing w:val="-10"/>
          <w:sz w:val="32"/>
          <w:szCs w:val="32"/>
          <w:highlight w:val="none"/>
        </w:rPr>
        <w:t>A)</w:t>
      </w:r>
      <w:r>
        <w:rPr>
          <w:rFonts w:ascii="Times New Roman" w:hAnsi="Times New Roman" w:eastAsia="Times New Roman" w:cs="Times New Roman"/>
          <w:spacing w:val="50"/>
          <w:w w:val="101"/>
          <w:sz w:val="32"/>
          <w:szCs w:val="32"/>
          <w:highlight w:val="none"/>
        </w:rPr>
        <w:t xml:space="preserve"> </w:t>
      </w:r>
      <w:r>
        <w:rPr>
          <w:rFonts w:ascii="宋体" w:hAnsi="宋体" w:eastAsia="宋体" w:cs="宋体"/>
          <w:spacing w:val="-10"/>
          <w:sz w:val="32"/>
          <w:szCs w:val="32"/>
          <w:highlight w:val="none"/>
        </w:rPr>
        <w:t>登</w:t>
      </w:r>
      <w:r>
        <w:rPr>
          <w:rFonts w:ascii="宋体" w:hAnsi="宋体" w:eastAsia="宋体" w:cs="宋体"/>
          <w:sz w:val="32"/>
          <w:szCs w:val="32"/>
          <w:highlight w:val="none"/>
        </w:rPr>
        <w:t xml:space="preserve"> </w:t>
      </w:r>
      <w:r>
        <w:rPr>
          <w:rFonts w:ascii="宋体" w:hAnsi="宋体" w:eastAsia="宋体" w:cs="宋体"/>
          <w:spacing w:val="5"/>
          <w:sz w:val="32"/>
          <w:szCs w:val="32"/>
          <w:highlight w:val="none"/>
        </w:rPr>
        <w:t>录“电子交易平台”,选择所投标段将加密的电子投标文件</w:t>
      </w:r>
      <w:r>
        <w:rPr>
          <w:rFonts w:ascii="宋体" w:hAnsi="宋体" w:eastAsia="宋体" w:cs="宋体"/>
          <w:spacing w:val="12"/>
          <w:sz w:val="32"/>
          <w:szCs w:val="32"/>
          <w:highlight w:val="none"/>
        </w:rPr>
        <w:t xml:space="preserve"> </w:t>
      </w:r>
      <w:r>
        <w:rPr>
          <w:rFonts w:ascii="宋体" w:hAnsi="宋体" w:eastAsia="宋体" w:cs="宋体"/>
          <w:spacing w:val="-3"/>
          <w:sz w:val="32"/>
          <w:szCs w:val="32"/>
          <w:highlight w:val="none"/>
        </w:rPr>
        <w:t>上传。投标人完成投标文件上传后，“电子交易平台”即时</w:t>
      </w:r>
      <w:r>
        <w:rPr>
          <w:rFonts w:ascii="宋体" w:hAnsi="宋体" w:eastAsia="宋体" w:cs="宋体"/>
          <w:spacing w:val="15"/>
          <w:sz w:val="32"/>
          <w:szCs w:val="32"/>
          <w:highlight w:val="none"/>
        </w:rPr>
        <w:t xml:space="preserve"> </w:t>
      </w:r>
      <w:r>
        <w:rPr>
          <w:rFonts w:ascii="宋体" w:hAnsi="宋体" w:eastAsia="宋体" w:cs="宋体"/>
          <w:spacing w:val="-2"/>
          <w:sz w:val="32"/>
          <w:szCs w:val="32"/>
          <w:highlight w:val="none"/>
        </w:rPr>
        <w:t>向投标人发出电子签收凭证，递交时间以电子签收凭证载明</w:t>
      </w:r>
      <w:r>
        <w:rPr>
          <w:rFonts w:ascii="宋体" w:hAnsi="宋体" w:eastAsia="宋体" w:cs="宋体"/>
          <w:spacing w:val="5"/>
          <w:sz w:val="32"/>
          <w:szCs w:val="32"/>
          <w:highlight w:val="none"/>
        </w:rPr>
        <w:t xml:space="preserve"> </w:t>
      </w:r>
      <w:r>
        <w:rPr>
          <w:rFonts w:ascii="宋体" w:hAnsi="宋体" w:eastAsia="宋体" w:cs="宋体"/>
          <w:spacing w:val="-3"/>
          <w:sz w:val="32"/>
          <w:szCs w:val="32"/>
          <w:highlight w:val="none"/>
        </w:rPr>
        <w:t>的传输完成时间为准。逾期未完成上传或未加密的电子投标</w:t>
      </w:r>
      <w:r>
        <w:rPr>
          <w:rFonts w:ascii="宋体" w:hAnsi="宋体" w:eastAsia="宋体" w:cs="宋体"/>
          <w:spacing w:val="9"/>
          <w:sz w:val="32"/>
          <w:szCs w:val="32"/>
          <w:highlight w:val="none"/>
        </w:rPr>
        <w:t xml:space="preserve"> </w:t>
      </w:r>
      <w:r>
        <w:rPr>
          <w:rFonts w:ascii="宋体" w:hAnsi="宋体" w:eastAsia="宋体" w:cs="宋体"/>
          <w:spacing w:val="10"/>
          <w:sz w:val="32"/>
          <w:szCs w:val="32"/>
          <w:highlight w:val="none"/>
        </w:rPr>
        <w:t>文件，招标人(“电子交易平台”)将拒收。</w:t>
      </w:r>
    </w:p>
    <w:p w14:paraId="3822C3BB">
      <w:pPr>
        <w:spacing w:before="321" w:line="220" w:lineRule="auto"/>
        <w:ind w:left="3"/>
        <w:rPr>
          <w:rFonts w:ascii="宋体" w:hAnsi="宋体" w:eastAsia="宋体" w:cs="宋体"/>
          <w:sz w:val="33"/>
          <w:szCs w:val="33"/>
          <w:highlight w:val="none"/>
        </w:rPr>
      </w:pPr>
      <w:r>
        <w:rPr>
          <w:rFonts w:ascii="Times New Roman" w:hAnsi="Times New Roman" w:eastAsia="Times New Roman" w:cs="Times New Roman"/>
          <w:spacing w:val="-11"/>
          <w:sz w:val="33"/>
          <w:szCs w:val="33"/>
          <w:highlight w:val="none"/>
        </w:rPr>
        <w:t xml:space="preserve">6. </w:t>
      </w:r>
      <w:r>
        <w:rPr>
          <w:rFonts w:ascii="宋体" w:hAnsi="宋体" w:eastAsia="宋体" w:cs="宋体"/>
          <w:spacing w:val="-11"/>
          <w:sz w:val="33"/>
          <w:szCs w:val="33"/>
          <w:highlight w:val="none"/>
        </w:rPr>
        <w:t>投标相关事宜</w:t>
      </w:r>
    </w:p>
    <w:p w14:paraId="68724088">
      <w:pPr>
        <w:spacing w:before="341" w:line="326" w:lineRule="auto"/>
        <w:ind w:right="24" w:firstLine="620" w:firstLineChars="200"/>
        <w:rPr>
          <w:rFonts w:ascii="宋体" w:hAnsi="宋体" w:eastAsia="宋体" w:cs="宋体"/>
          <w:sz w:val="33"/>
          <w:szCs w:val="33"/>
          <w:highlight w:val="none"/>
        </w:rPr>
        <w:sectPr>
          <w:footerReference r:id="rId13" w:type="default"/>
          <w:pgSz w:w="11910" w:h="16840"/>
          <w:pgMar w:top="400" w:right="1786" w:bottom="1196" w:left="1786" w:header="0" w:footer="1019" w:gutter="0"/>
          <w:cols w:space="720" w:num="1"/>
        </w:sectPr>
      </w:pPr>
      <w:r>
        <w:rPr>
          <w:rFonts w:ascii="宋体" w:hAnsi="宋体" w:eastAsia="宋体" w:cs="宋体"/>
          <w:spacing w:val="-10"/>
          <w:sz w:val="33"/>
          <w:szCs w:val="33"/>
          <w:highlight w:val="none"/>
        </w:rPr>
        <w:t>①根据鄂建[2007]48号《湖北省注册建造师管理办</w:t>
      </w:r>
      <w:r>
        <w:rPr>
          <w:rFonts w:ascii="宋体" w:hAnsi="宋体" w:eastAsia="宋体" w:cs="宋体"/>
          <w:spacing w:val="-12"/>
          <w:sz w:val="33"/>
          <w:szCs w:val="33"/>
          <w:highlight w:val="none"/>
        </w:rPr>
        <w:t>法》第二十二条：注册建造师不得同时在两个及两个以上的建设工程项目上担任施工单位项目负责人。拟派本项目的项</w:t>
      </w:r>
      <w:r>
        <w:rPr>
          <w:rFonts w:ascii="宋体" w:hAnsi="宋体" w:eastAsia="宋体" w:cs="宋体"/>
          <w:spacing w:val="-11"/>
          <w:sz w:val="33"/>
          <w:szCs w:val="33"/>
          <w:highlight w:val="none"/>
        </w:rPr>
        <w:t>目经理不得有在建工程，如有在建工程，将直接导致投标单</w:t>
      </w:r>
      <w:r>
        <w:rPr>
          <w:rFonts w:ascii="宋体" w:hAnsi="宋体" w:eastAsia="宋体" w:cs="宋体"/>
          <w:spacing w:val="-12"/>
          <w:sz w:val="33"/>
          <w:szCs w:val="33"/>
          <w:highlight w:val="none"/>
        </w:rPr>
        <w:t>位在本项目的投标资格被取消。如因隐瞒在建工</w:t>
      </w:r>
      <w:r>
        <w:rPr>
          <w:rFonts w:ascii="宋体" w:hAnsi="宋体" w:eastAsia="宋体" w:cs="宋体"/>
          <w:spacing w:val="-13"/>
          <w:sz w:val="33"/>
          <w:szCs w:val="33"/>
          <w:highlight w:val="none"/>
        </w:rPr>
        <w:t>程导致中</w:t>
      </w:r>
      <w:r>
        <w:rPr>
          <w:rFonts w:ascii="宋体" w:hAnsi="宋体" w:eastAsia="宋体" w:cs="宋体"/>
          <w:spacing w:val="-12"/>
          <w:sz w:val="33"/>
          <w:szCs w:val="33"/>
          <w:highlight w:val="none"/>
        </w:rPr>
        <w:t>标，一经查实，将取消其中标资格。如投标人拟派项目经理有在建工程，但已经变更的，应在投标文件中提供已变更的证明文件，事后提交的项目经理变更材料不予认可。②严禁借用资质和将成交项目转包他人，发现借用资质参与投标或将中标项目转包他人的，将取消其中标资格。③本次招标如</w:t>
      </w:r>
    </w:p>
    <w:p w14:paraId="29CA664A">
      <w:pPr>
        <w:spacing w:before="108" w:line="360" w:lineRule="auto"/>
        <w:ind w:right="45"/>
        <w:jc w:val="both"/>
        <w:rPr>
          <w:rFonts w:ascii="宋体" w:hAnsi="宋体" w:eastAsia="宋体" w:cs="宋体"/>
          <w:spacing w:val="-12"/>
          <w:sz w:val="33"/>
          <w:szCs w:val="33"/>
          <w:highlight w:val="none"/>
        </w:rPr>
      </w:pPr>
    </w:p>
    <w:p w14:paraId="7A64F956">
      <w:pPr>
        <w:spacing w:before="108" w:line="360" w:lineRule="auto"/>
        <w:ind w:right="45"/>
        <w:jc w:val="both"/>
        <w:rPr>
          <w:rFonts w:ascii="宋体" w:hAnsi="宋体" w:eastAsia="宋体" w:cs="宋体"/>
          <w:sz w:val="33"/>
          <w:szCs w:val="33"/>
          <w:highlight w:val="none"/>
        </w:rPr>
      </w:pPr>
      <w:r>
        <w:rPr>
          <w:rFonts w:ascii="宋体" w:hAnsi="宋体" w:eastAsia="宋体" w:cs="宋体"/>
          <w:spacing w:val="-12"/>
          <w:sz w:val="33"/>
          <w:szCs w:val="33"/>
          <w:highlight w:val="none"/>
        </w:rPr>
        <w:t>投标人因上述原因造成本次招标发生纠纷、投诉、流标等情</w:t>
      </w:r>
      <w:r>
        <w:rPr>
          <w:rFonts w:ascii="宋体" w:hAnsi="宋体" w:eastAsia="宋体" w:cs="宋体"/>
          <w:spacing w:val="6"/>
          <w:sz w:val="33"/>
          <w:szCs w:val="33"/>
          <w:highlight w:val="none"/>
        </w:rPr>
        <w:t xml:space="preserve"> </w:t>
      </w:r>
      <w:r>
        <w:rPr>
          <w:rFonts w:ascii="宋体" w:hAnsi="宋体" w:eastAsia="宋体" w:cs="宋体"/>
          <w:spacing w:val="-12"/>
          <w:sz w:val="33"/>
          <w:szCs w:val="33"/>
          <w:highlight w:val="none"/>
        </w:rPr>
        <w:t>况，对招标人造成的损失由该投标人承担，并按《中华人民</w:t>
      </w:r>
      <w:r>
        <w:rPr>
          <w:rFonts w:ascii="宋体" w:hAnsi="宋体" w:eastAsia="宋体" w:cs="宋体"/>
          <w:spacing w:val="8"/>
          <w:sz w:val="33"/>
          <w:szCs w:val="33"/>
          <w:highlight w:val="none"/>
        </w:rPr>
        <w:t xml:space="preserve"> </w:t>
      </w:r>
      <w:r>
        <w:rPr>
          <w:rFonts w:ascii="宋体" w:hAnsi="宋体" w:eastAsia="宋体" w:cs="宋体"/>
          <w:spacing w:val="-15"/>
          <w:sz w:val="33"/>
          <w:szCs w:val="33"/>
          <w:highlight w:val="none"/>
        </w:rPr>
        <w:t>共和国招标投标法实施条例》第六十八条规定进行处罚。</w:t>
      </w:r>
    </w:p>
    <w:p w14:paraId="4E8F13FE">
      <w:pPr>
        <w:spacing w:before="91" w:line="219" w:lineRule="auto"/>
        <w:ind w:left="24"/>
        <w:rPr>
          <w:rFonts w:ascii="宋体" w:hAnsi="宋体" w:eastAsia="宋体" w:cs="宋体"/>
          <w:sz w:val="31"/>
          <w:szCs w:val="31"/>
          <w:highlight w:val="none"/>
        </w:rPr>
      </w:pPr>
      <w:r>
        <w:rPr>
          <w:rFonts w:ascii="Times New Roman" w:hAnsi="Times New Roman" w:eastAsia="Times New Roman" w:cs="Times New Roman"/>
          <w:spacing w:val="2"/>
          <w:sz w:val="31"/>
          <w:szCs w:val="31"/>
          <w:highlight w:val="none"/>
        </w:rPr>
        <w:t xml:space="preserve">7. </w:t>
      </w:r>
      <w:r>
        <w:rPr>
          <w:rFonts w:ascii="宋体" w:hAnsi="宋体" w:eastAsia="宋体" w:cs="宋体"/>
          <w:spacing w:val="2"/>
          <w:sz w:val="31"/>
          <w:szCs w:val="31"/>
          <w:highlight w:val="none"/>
        </w:rPr>
        <w:t>评标办法</w:t>
      </w:r>
    </w:p>
    <w:p w14:paraId="49EB3BDE">
      <w:pPr>
        <w:spacing w:before="278" w:line="372" w:lineRule="auto"/>
        <w:ind w:right="24" w:firstLine="1315"/>
        <w:rPr>
          <w:rFonts w:ascii="宋体" w:hAnsi="宋体" w:eastAsia="宋体" w:cs="宋体"/>
          <w:sz w:val="33"/>
          <w:szCs w:val="33"/>
          <w:highlight w:val="none"/>
        </w:rPr>
      </w:pPr>
      <w:r>
        <w:rPr>
          <w:rFonts w:ascii="宋体" w:hAnsi="宋体" w:eastAsia="宋体" w:cs="宋体"/>
          <w:spacing w:val="-12"/>
          <w:sz w:val="33"/>
          <w:szCs w:val="33"/>
          <w:highlight w:val="none"/>
        </w:rPr>
        <w:t>本标段招标评标办法采用综合评估法，本项目采用</w:t>
      </w:r>
      <w:r>
        <w:rPr>
          <w:rFonts w:ascii="宋体" w:hAnsi="宋体" w:eastAsia="宋体" w:cs="宋体"/>
          <w:spacing w:val="11"/>
          <w:sz w:val="33"/>
          <w:szCs w:val="33"/>
          <w:highlight w:val="none"/>
        </w:rPr>
        <w:t xml:space="preserve"> </w:t>
      </w:r>
      <w:r>
        <w:rPr>
          <w:rFonts w:ascii="宋体" w:hAnsi="宋体" w:eastAsia="宋体" w:cs="宋体"/>
          <w:spacing w:val="-12"/>
          <w:sz w:val="33"/>
          <w:szCs w:val="33"/>
          <w:highlight w:val="none"/>
        </w:rPr>
        <w:t>“评定分离”方式确定中标单位，定标采用票决定标法。</w:t>
      </w:r>
    </w:p>
    <w:p w14:paraId="68F4E21E">
      <w:pPr>
        <w:spacing w:before="11" w:line="218" w:lineRule="auto"/>
        <w:ind w:left="24"/>
        <w:rPr>
          <w:rFonts w:ascii="宋体" w:hAnsi="宋体" w:eastAsia="宋体" w:cs="宋体"/>
          <w:sz w:val="33"/>
          <w:szCs w:val="33"/>
          <w:highlight w:val="none"/>
        </w:rPr>
      </w:pPr>
      <w:r>
        <w:rPr>
          <w:rFonts w:ascii="Times New Roman" w:hAnsi="Times New Roman" w:eastAsia="Times New Roman" w:cs="Times New Roman"/>
          <w:spacing w:val="-10"/>
          <w:sz w:val="33"/>
          <w:szCs w:val="33"/>
          <w:highlight w:val="none"/>
        </w:rPr>
        <w:t xml:space="preserve">8. </w:t>
      </w:r>
      <w:r>
        <w:rPr>
          <w:rFonts w:ascii="宋体" w:hAnsi="宋体" w:eastAsia="宋体" w:cs="宋体"/>
          <w:spacing w:val="-10"/>
          <w:sz w:val="33"/>
          <w:szCs w:val="33"/>
          <w:highlight w:val="none"/>
        </w:rPr>
        <w:t>发布公告的媒介</w:t>
      </w:r>
    </w:p>
    <w:p w14:paraId="6010D54C">
      <w:pPr>
        <w:spacing w:before="330" w:line="218" w:lineRule="auto"/>
        <w:ind w:left="1315"/>
        <w:rPr>
          <w:rFonts w:ascii="宋体" w:hAnsi="宋体" w:eastAsia="宋体" w:cs="宋体"/>
          <w:sz w:val="32"/>
          <w:szCs w:val="32"/>
          <w:highlight w:val="none"/>
        </w:rPr>
      </w:pPr>
      <w:r>
        <w:rPr>
          <w:rFonts w:ascii="宋体" w:hAnsi="宋体" w:eastAsia="宋体" w:cs="宋体"/>
          <w:spacing w:val="-4"/>
          <w:sz w:val="32"/>
          <w:szCs w:val="32"/>
          <w:highlight w:val="none"/>
        </w:rPr>
        <w:t>本标段招标公告同时在湖北省公共资源交易电子</w:t>
      </w:r>
    </w:p>
    <w:p w14:paraId="611B3CD8">
      <w:pPr>
        <w:spacing w:before="219" w:line="374" w:lineRule="auto"/>
        <w:ind w:left="24" w:right="21"/>
        <w:rPr>
          <w:rFonts w:ascii="宋体" w:hAnsi="宋体" w:eastAsia="宋体" w:cs="宋体"/>
          <w:sz w:val="32"/>
          <w:szCs w:val="32"/>
          <w:highlight w:val="none"/>
        </w:rPr>
      </w:pPr>
      <w:r>
        <w:rPr>
          <w:rFonts w:ascii="宋体" w:hAnsi="宋体" w:eastAsia="宋体" w:cs="宋体"/>
          <w:spacing w:val="-1"/>
          <w:sz w:val="32"/>
          <w:szCs w:val="32"/>
          <w:highlight w:val="none"/>
        </w:rPr>
        <w:t>服务系统(网址：</w:t>
      </w:r>
      <w:r>
        <w:rPr>
          <w:rFonts w:ascii="宋体" w:hAnsi="宋体" w:eastAsia="宋体" w:cs="宋体"/>
          <w:spacing w:val="-50"/>
          <w:sz w:val="32"/>
          <w:szCs w:val="32"/>
          <w:highlight w:val="none"/>
        </w:rPr>
        <w:t xml:space="preserve"> </w:t>
      </w:r>
      <w:r>
        <w:rPr>
          <w:highlight w:val="none"/>
        </w:rPr>
        <w:fldChar w:fldCharType="begin"/>
      </w:r>
      <w:r>
        <w:rPr>
          <w:highlight w:val="none"/>
        </w:rPr>
        <w:instrText xml:space="preserve"> HYPERLINK "https://www.hbggzyfwpt.cn" </w:instrText>
      </w:r>
      <w:r>
        <w:rPr>
          <w:highlight w:val="none"/>
        </w:rPr>
        <w:fldChar w:fldCharType="separate"/>
      </w:r>
      <w:r>
        <w:rPr>
          <w:rFonts w:ascii="Times New Roman" w:hAnsi="Times New Roman" w:eastAsia="Times New Roman" w:cs="Times New Roman"/>
          <w:spacing w:val="-1"/>
          <w:sz w:val="32"/>
          <w:szCs w:val="32"/>
          <w:highlight w:val="none"/>
        </w:rPr>
        <w:t>www.hbggzyfwpt.</w:t>
      </w:r>
      <w:r>
        <w:rPr>
          <w:rFonts w:ascii="Times New Roman" w:hAnsi="Times New Roman" w:eastAsia="Times New Roman" w:cs="Times New Roman"/>
          <w:spacing w:val="-2"/>
          <w:sz w:val="32"/>
          <w:szCs w:val="32"/>
          <w:highlight w:val="none"/>
        </w:rPr>
        <w:t>cn</w:t>
      </w:r>
      <w:r>
        <w:rPr>
          <w:rFonts w:ascii="Times New Roman" w:hAnsi="Times New Roman" w:eastAsia="Times New Roman" w:cs="Times New Roman"/>
          <w:spacing w:val="-2"/>
          <w:sz w:val="32"/>
          <w:szCs w:val="32"/>
          <w:highlight w:val="none"/>
        </w:rPr>
        <w:fldChar w:fldCharType="end"/>
      </w:r>
      <w:r>
        <w:rPr>
          <w:rFonts w:ascii="Times New Roman" w:hAnsi="Times New Roman" w:eastAsia="Times New Roman" w:cs="Times New Roman"/>
          <w:spacing w:val="-2"/>
          <w:sz w:val="32"/>
          <w:szCs w:val="32"/>
          <w:highlight w:val="none"/>
        </w:rPr>
        <w:t>)</w:t>
      </w:r>
      <w:r>
        <w:rPr>
          <w:rFonts w:ascii="Times New Roman" w:hAnsi="Times New Roman" w:eastAsia="Times New Roman" w:cs="Times New Roman"/>
          <w:spacing w:val="21"/>
          <w:sz w:val="32"/>
          <w:szCs w:val="32"/>
          <w:highlight w:val="none"/>
        </w:rPr>
        <w:t xml:space="preserve">   </w:t>
      </w:r>
      <w:r>
        <w:rPr>
          <w:rFonts w:ascii="Times New Roman" w:hAnsi="Times New Roman" w:eastAsia="Times New Roman" w:cs="Times New Roman"/>
          <w:spacing w:val="-2"/>
          <w:sz w:val="32"/>
          <w:szCs w:val="32"/>
          <w:highlight w:val="none"/>
        </w:rPr>
        <w:t xml:space="preserve">( </w:t>
      </w:r>
      <w:r>
        <w:rPr>
          <w:rFonts w:ascii="宋体" w:hAnsi="宋体" w:eastAsia="宋体" w:cs="宋体"/>
          <w:spacing w:val="-2"/>
          <w:sz w:val="32"/>
          <w:szCs w:val="32"/>
          <w:highlight w:val="none"/>
        </w:rPr>
        <w:t>发布公告的媒介名</w:t>
      </w:r>
      <w:r>
        <w:rPr>
          <w:rFonts w:ascii="宋体" w:hAnsi="宋体" w:eastAsia="宋体" w:cs="宋体"/>
          <w:sz w:val="32"/>
          <w:szCs w:val="32"/>
          <w:highlight w:val="none"/>
        </w:rPr>
        <w:t xml:space="preserve"> </w:t>
      </w:r>
      <w:r>
        <w:rPr>
          <w:rFonts w:ascii="宋体" w:hAnsi="宋体" w:eastAsia="宋体" w:cs="宋体"/>
          <w:spacing w:val="-11"/>
          <w:sz w:val="32"/>
          <w:szCs w:val="32"/>
          <w:highlight w:val="none"/>
        </w:rPr>
        <w:t>称)上发布。</w:t>
      </w:r>
    </w:p>
    <w:p w14:paraId="35C7D401">
      <w:pPr>
        <w:spacing w:before="71" w:line="221" w:lineRule="auto"/>
        <w:ind w:left="24"/>
        <w:rPr>
          <w:rFonts w:ascii="宋体" w:hAnsi="宋体" w:eastAsia="宋体" w:cs="宋体"/>
          <w:sz w:val="33"/>
          <w:szCs w:val="33"/>
          <w:highlight w:val="none"/>
        </w:rPr>
      </w:pPr>
      <w:r>
        <w:rPr>
          <w:rFonts w:ascii="Times New Roman" w:hAnsi="Times New Roman" w:eastAsia="Times New Roman" w:cs="Times New Roman"/>
          <w:spacing w:val="-7"/>
          <w:sz w:val="33"/>
          <w:szCs w:val="33"/>
          <w:highlight w:val="none"/>
        </w:rPr>
        <w:t xml:space="preserve">9. </w:t>
      </w:r>
      <w:r>
        <w:rPr>
          <w:rFonts w:ascii="宋体" w:hAnsi="宋体" w:eastAsia="宋体" w:cs="宋体"/>
          <w:spacing w:val="-7"/>
          <w:sz w:val="33"/>
          <w:szCs w:val="33"/>
          <w:highlight w:val="none"/>
        </w:rPr>
        <w:t>联系方式</w:t>
      </w:r>
    </w:p>
    <w:p w14:paraId="4E8D39D2">
      <w:pPr>
        <w:pStyle w:val="2"/>
        <w:spacing w:line="244" w:lineRule="auto"/>
        <w:rPr>
          <w:highlight w:val="none"/>
        </w:rPr>
      </w:pPr>
    </w:p>
    <w:p w14:paraId="2FE6B939">
      <w:pPr>
        <w:spacing w:before="108" w:line="174" w:lineRule="auto"/>
        <w:ind w:firstLine="1112" w:firstLineChars="400"/>
        <w:rPr>
          <w:rFonts w:hint="default" w:ascii="Times New Roman" w:hAnsi="Times New Roman" w:eastAsia="宋体" w:cs="Times New Roman"/>
          <w:spacing w:val="-6"/>
          <w:sz w:val="29"/>
          <w:szCs w:val="29"/>
          <w:highlight w:val="none"/>
          <w:lang w:val="en-US" w:eastAsia="zh-CN"/>
        </w:rPr>
      </w:pPr>
      <w:r>
        <w:rPr>
          <w:rFonts w:hint="eastAsia" w:ascii="Times New Roman" w:hAnsi="Times New Roman" w:eastAsia="宋体" w:cs="Times New Roman"/>
          <w:spacing w:val="-6"/>
          <w:sz w:val="29"/>
          <w:szCs w:val="29"/>
          <w:highlight w:val="none"/>
          <w:lang w:val="en-US" w:eastAsia="zh-CN"/>
        </w:rPr>
        <w:t>麻城市黄金桥街道黄</w:t>
      </w:r>
      <w:r>
        <w:rPr>
          <w:rFonts w:ascii="宋体" w:hAnsi="宋体" w:eastAsia="宋体" w:cs="宋体"/>
          <w:spacing w:val="-8"/>
          <w:sz w:val="32"/>
          <w:szCs w:val="32"/>
          <w:highlight w:val="none"/>
        </w:rPr>
        <w:t xml:space="preserve"> </w:t>
      </w:r>
      <w:r>
        <w:rPr>
          <w:rFonts w:hint="eastAsia" w:ascii="宋体" w:hAnsi="宋体" w:eastAsia="宋体" w:cs="宋体"/>
          <w:spacing w:val="-8"/>
          <w:sz w:val="32"/>
          <w:szCs w:val="32"/>
          <w:highlight w:val="none"/>
          <w:lang w:val="en-US" w:eastAsia="zh-CN"/>
        </w:rPr>
        <w:t xml:space="preserve">   </w:t>
      </w:r>
      <w:r>
        <w:rPr>
          <w:rFonts w:hint="eastAsia" w:ascii="Times New Roman" w:hAnsi="Times New Roman" w:eastAsia="宋体" w:cs="Times New Roman"/>
          <w:spacing w:val="-6"/>
          <w:sz w:val="29"/>
          <w:szCs w:val="29"/>
          <w:highlight w:val="none"/>
          <w:lang w:val="en-US" w:eastAsia="zh-CN"/>
        </w:rPr>
        <w:t>招标代</w:t>
      </w:r>
      <w:r>
        <w:rPr>
          <w:rFonts w:ascii="宋体" w:hAnsi="宋体" w:eastAsia="宋体" w:cs="宋体"/>
          <w:spacing w:val="119"/>
          <w:sz w:val="33"/>
          <w:szCs w:val="33"/>
          <w:highlight w:val="none"/>
        </w:rPr>
        <w:t xml:space="preserve"> </w:t>
      </w:r>
      <w:r>
        <w:rPr>
          <w:rFonts w:hint="eastAsia" w:ascii="Times New Roman" w:hAnsi="Times New Roman" w:eastAsia="宋体" w:cs="Times New Roman"/>
          <w:spacing w:val="-6"/>
          <w:sz w:val="29"/>
          <w:szCs w:val="29"/>
          <w:highlight w:val="none"/>
          <w:lang w:val="en-US" w:eastAsia="zh-CN"/>
        </w:rPr>
        <w:t>湖北烨鑫工程项目</w:t>
      </w:r>
    </w:p>
    <w:p w14:paraId="0E61C547">
      <w:pPr>
        <w:spacing w:line="174" w:lineRule="auto"/>
        <w:rPr>
          <w:rFonts w:ascii="宋体" w:hAnsi="宋体" w:eastAsia="宋体" w:cs="宋体"/>
          <w:sz w:val="33"/>
          <w:szCs w:val="33"/>
          <w:highlight w:val="none"/>
        </w:rPr>
        <w:sectPr>
          <w:footerReference r:id="rId14" w:type="default"/>
          <w:pgSz w:w="11910" w:h="16840"/>
          <w:pgMar w:top="400" w:right="1786" w:bottom="1182" w:left="1775" w:header="0" w:footer="1024" w:gutter="0"/>
          <w:cols w:equalWidth="0" w:num="1">
            <w:col w:w="8349"/>
          </w:cols>
        </w:sectPr>
      </w:pPr>
    </w:p>
    <w:p w14:paraId="2712A581">
      <w:pPr>
        <w:spacing w:before="1" w:line="183" w:lineRule="auto"/>
        <w:ind w:left="24"/>
        <w:rPr>
          <w:rFonts w:ascii="宋体" w:hAnsi="宋体" w:eastAsia="宋体" w:cs="宋体"/>
          <w:sz w:val="33"/>
          <w:szCs w:val="33"/>
          <w:highlight w:val="none"/>
        </w:rPr>
      </w:pPr>
      <w:r>
        <w:rPr>
          <w:rFonts w:hint="eastAsia" w:ascii="Times New Roman" w:hAnsi="Times New Roman" w:eastAsia="宋体" w:cs="Times New Roman"/>
          <w:spacing w:val="-6"/>
          <w:sz w:val="29"/>
          <w:szCs w:val="29"/>
          <w:highlight w:val="none"/>
          <w:lang w:val="en-US" w:eastAsia="zh-CN"/>
        </w:rPr>
        <w:t>招标人</w:t>
      </w:r>
      <w:r>
        <w:rPr>
          <w:rFonts w:ascii="宋体" w:hAnsi="宋体" w:eastAsia="宋体" w:cs="宋体"/>
          <w:spacing w:val="-22"/>
          <w:sz w:val="33"/>
          <w:szCs w:val="33"/>
          <w:highlight w:val="none"/>
        </w:rPr>
        <w:t>：</w:t>
      </w:r>
    </w:p>
    <w:p w14:paraId="3EE90147">
      <w:pPr>
        <w:pStyle w:val="2"/>
        <w:spacing w:line="271" w:lineRule="auto"/>
        <w:ind w:firstLine="1112" w:firstLineChars="400"/>
        <w:rPr>
          <w:rFonts w:hint="eastAsia" w:ascii="Times New Roman" w:hAnsi="Times New Roman" w:eastAsia="宋体" w:cs="Times New Roman"/>
          <w:snapToGrid w:val="0"/>
          <w:color w:val="000000"/>
          <w:spacing w:val="-6"/>
          <w:kern w:val="0"/>
          <w:sz w:val="29"/>
          <w:szCs w:val="29"/>
          <w:highlight w:val="none"/>
          <w:lang w:val="en-US" w:eastAsia="zh-CN" w:bidi="ar-SA"/>
        </w:rPr>
      </w:pPr>
      <w:r>
        <w:rPr>
          <w:rFonts w:hint="eastAsia" w:ascii="Times New Roman" w:hAnsi="Times New Roman" w:eastAsia="宋体" w:cs="Times New Roman"/>
          <w:snapToGrid w:val="0"/>
          <w:color w:val="000000"/>
          <w:spacing w:val="-6"/>
          <w:kern w:val="0"/>
          <w:sz w:val="29"/>
          <w:szCs w:val="29"/>
          <w:highlight w:val="none"/>
          <w:lang w:val="en-US" w:eastAsia="zh-CN" w:bidi="ar-SA"/>
        </w:rPr>
        <w:t>金桥社区居民委员会</w:t>
      </w:r>
    </w:p>
    <w:p w14:paraId="226824C0">
      <w:pPr>
        <w:pStyle w:val="2"/>
        <w:spacing w:line="271" w:lineRule="auto"/>
        <w:rPr>
          <w:highlight w:val="none"/>
        </w:rPr>
      </w:pPr>
    </w:p>
    <w:p w14:paraId="3F1A7DCB">
      <w:pPr>
        <w:spacing w:before="104" w:line="219" w:lineRule="auto"/>
        <w:ind w:left="24"/>
        <w:rPr>
          <w:rFonts w:ascii="宋体" w:hAnsi="宋体" w:eastAsia="宋体" w:cs="宋体"/>
          <w:sz w:val="32"/>
          <w:szCs w:val="32"/>
          <w:highlight w:val="none"/>
        </w:rPr>
      </w:pPr>
      <w:r>
        <w:rPr>
          <w:rFonts w:hint="eastAsia" w:ascii="Times New Roman" w:hAnsi="Times New Roman" w:eastAsia="宋体" w:cs="Times New Roman"/>
          <w:snapToGrid w:val="0"/>
          <w:color w:val="000000"/>
          <w:spacing w:val="-6"/>
          <w:kern w:val="0"/>
          <w:sz w:val="29"/>
          <w:szCs w:val="29"/>
          <w:highlight w:val="none"/>
          <w:lang w:val="en-US" w:eastAsia="zh-CN" w:bidi="ar-SA"/>
        </w:rPr>
        <w:t>地址</w:t>
      </w:r>
      <w:r>
        <w:rPr>
          <w:rFonts w:ascii="宋体" w:hAnsi="宋体" w:eastAsia="宋体" w:cs="宋体"/>
          <w:spacing w:val="-4"/>
          <w:sz w:val="32"/>
          <w:szCs w:val="32"/>
          <w:highlight w:val="none"/>
        </w:rPr>
        <w:t>：</w:t>
      </w:r>
      <w:r>
        <w:rPr>
          <w:rFonts w:ascii="宋体" w:hAnsi="宋体" w:eastAsia="宋体" w:cs="宋体"/>
          <w:spacing w:val="123"/>
          <w:sz w:val="32"/>
          <w:szCs w:val="32"/>
          <w:highlight w:val="none"/>
        </w:rPr>
        <w:t xml:space="preserve"> </w:t>
      </w:r>
      <w:r>
        <w:rPr>
          <w:rFonts w:hint="eastAsia" w:ascii="Times New Roman" w:hAnsi="Times New Roman" w:eastAsia="宋体" w:cs="Times New Roman"/>
          <w:spacing w:val="-6"/>
          <w:sz w:val="29"/>
          <w:szCs w:val="29"/>
          <w:highlight w:val="none"/>
          <w:lang w:val="en-US" w:eastAsia="zh-CN"/>
        </w:rPr>
        <w:t>麻城市</w:t>
      </w:r>
    </w:p>
    <w:p w14:paraId="49602DF4">
      <w:pPr>
        <w:pStyle w:val="2"/>
        <w:spacing w:line="255" w:lineRule="auto"/>
        <w:rPr>
          <w:highlight w:val="none"/>
        </w:rPr>
      </w:pPr>
    </w:p>
    <w:p w14:paraId="607F242F">
      <w:pPr>
        <w:pStyle w:val="2"/>
        <w:spacing w:line="255" w:lineRule="auto"/>
        <w:rPr>
          <w:highlight w:val="none"/>
        </w:rPr>
      </w:pPr>
    </w:p>
    <w:p w14:paraId="7740A929">
      <w:pPr>
        <w:spacing w:before="108" w:line="219" w:lineRule="auto"/>
        <w:ind w:left="24"/>
        <w:rPr>
          <w:rFonts w:ascii="Times New Roman" w:hAnsi="Times New Roman" w:eastAsia="Times New Roman" w:cs="Times New Roman"/>
          <w:sz w:val="33"/>
          <w:szCs w:val="33"/>
          <w:highlight w:val="none"/>
        </w:rPr>
      </w:pPr>
      <w:r>
        <w:rPr>
          <w:rFonts w:hint="eastAsia" w:ascii="Times New Roman" w:hAnsi="Times New Roman" w:eastAsia="宋体" w:cs="Times New Roman"/>
          <w:snapToGrid w:val="0"/>
          <w:color w:val="000000"/>
          <w:spacing w:val="-6"/>
          <w:kern w:val="0"/>
          <w:sz w:val="29"/>
          <w:szCs w:val="29"/>
          <w:highlight w:val="none"/>
          <w:lang w:val="en-US" w:eastAsia="zh-CN" w:bidi="ar-SA"/>
        </w:rPr>
        <w:t>邮编：</w:t>
      </w:r>
      <w:r>
        <w:rPr>
          <w:rFonts w:ascii="宋体" w:hAnsi="宋体" w:eastAsia="宋体" w:cs="宋体"/>
          <w:spacing w:val="94"/>
          <w:sz w:val="33"/>
          <w:szCs w:val="33"/>
          <w:highlight w:val="none"/>
        </w:rPr>
        <w:t xml:space="preserve"> </w:t>
      </w:r>
      <w:r>
        <w:rPr>
          <w:rFonts w:hint="eastAsia" w:ascii="Times New Roman" w:hAnsi="Times New Roman" w:eastAsia="宋体" w:cs="Times New Roman"/>
          <w:spacing w:val="-6"/>
          <w:sz w:val="29"/>
          <w:szCs w:val="29"/>
          <w:highlight w:val="none"/>
          <w:lang w:val="en-US" w:eastAsia="zh-CN"/>
        </w:rPr>
        <w:t>438300</w:t>
      </w:r>
    </w:p>
    <w:p w14:paraId="5603D16A">
      <w:pPr>
        <w:spacing w:line="43" w:lineRule="auto"/>
        <w:rPr>
          <w:rFonts w:ascii="Arial"/>
          <w:sz w:val="2"/>
          <w:highlight w:val="none"/>
        </w:rPr>
      </w:pPr>
    </w:p>
    <w:p w14:paraId="749BAA1D">
      <w:pPr>
        <w:pStyle w:val="2"/>
        <w:spacing w:line="14" w:lineRule="auto"/>
        <w:rPr>
          <w:sz w:val="2"/>
          <w:highlight w:val="none"/>
        </w:rPr>
      </w:pPr>
      <w:r>
        <w:rPr>
          <w:sz w:val="2"/>
          <w:szCs w:val="2"/>
          <w:highlight w:val="none"/>
        </w:rPr>
        <w:br w:type="column"/>
      </w:r>
    </w:p>
    <w:p w14:paraId="654E5EA3">
      <w:pPr>
        <w:spacing w:before="325" w:line="219" w:lineRule="auto"/>
        <w:rPr>
          <w:rFonts w:ascii="宋体" w:hAnsi="宋体" w:eastAsia="宋体" w:cs="宋体"/>
          <w:sz w:val="32"/>
          <w:szCs w:val="32"/>
          <w:highlight w:val="none"/>
        </w:rPr>
      </w:pPr>
      <w:r>
        <w:rPr>
          <w:rFonts w:hint="eastAsia" w:ascii="Times New Roman" w:hAnsi="Times New Roman" w:eastAsia="宋体" w:cs="Times New Roman"/>
          <w:spacing w:val="-6"/>
          <w:sz w:val="29"/>
          <w:szCs w:val="29"/>
          <w:highlight w:val="none"/>
          <w:lang w:val="en-US" w:eastAsia="zh-CN"/>
        </w:rPr>
        <w:t>理机构：管理有限公司</w:t>
      </w:r>
    </w:p>
    <w:p w14:paraId="3A51E6E5">
      <w:pPr>
        <w:spacing w:before="321" w:line="185" w:lineRule="auto"/>
        <w:ind w:right="410" w:firstLine="1229"/>
        <w:rPr>
          <w:rFonts w:ascii="宋体" w:hAnsi="宋体" w:eastAsia="宋体" w:cs="宋体"/>
          <w:sz w:val="32"/>
          <w:szCs w:val="32"/>
          <w:highlight w:val="none"/>
        </w:rPr>
      </w:pPr>
      <w:r>
        <w:rPr>
          <w:rFonts w:hint="eastAsia" w:ascii="Times New Roman" w:hAnsi="Times New Roman" w:eastAsia="宋体" w:cs="Times New Roman"/>
          <w:spacing w:val="-6"/>
          <w:sz w:val="29"/>
          <w:szCs w:val="29"/>
          <w:highlight w:val="none"/>
          <w:lang w:val="en-US" w:eastAsia="zh-CN"/>
        </w:rPr>
        <w:t>麻城市商贸物流城 地址</w:t>
      </w:r>
      <w:r>
        <w:rPr>
          <w:rFonts w:ascii="宋体" w:hAnsi="宋体" w:eastAsia="宋体" w:cs="宋体"/>
          <w:spacing w:val="-14"/>
          <w:sz w:val="32"/>
          <w:szCs w:val="32"/>
          <w:highlight w:val="none"/>
        </w:rPr>
        <w:t>：</w:t>
      </w:r>
    </w:p>
    <w:p w14:paraId="3DE8F169">
      <w:pPr>
        <w:spacing w:before="311" w:line="219" w:lineRule="auto"/>
        <w:rPr>
          <w:rFonts w:hint="eastAsia" w:ascii="Times New Roman" w:hAnsi="Times New Roman" w:eastAsia="宋体" w:cs="Times New Roman"/>
          <w:spacing w:val="-6"/>
          <w:sz w:val="29"/>
          <w:szCs w:val="29"/>
          <w:highlight w:val="none"/>
          <w:lang w:val="en-US" w:eastAsia="zh-CN"/>
        </w:rPr>
      </w:pPr>
      <w:r>
        <w:rPr>
          <w:rFonts w:hint="eastAsia" w:ascii="Times New Roman" w:hAnsi="Times New Roman" w:eastAsia="宋体" w:cs="Times New Roman"/>
          <w:spacing w:val="-6"/>
          <w:sz w:val="29"/>
          <w:szCs w:val="29"/>
          <w:highlight w:val="none"/>
          <w:lang w:val="en-US" w:eastAsia="zh-CN"/>
        </w:rPr>
        <w:t>邮编：</w:t>
      </w:r>
      <w:r>
        <w:rPr>
          <w:rFonts w:ascii="宋体" w:hAnsi="宋体" w:eastAsia="宋体" w:cs="宋体"/>
          <w:spacing w:val="114"/>
          <w:sz w:val="33"/>
          <w:szCs w:val="33"/>
          <w:highlight w:val="none"/>
        </w:rPr>
        <w:t xml:space="preserve"> </w:t>
      </w:r>
      <w:r>
        <w:rPr>
          <w:rFonts w:hint="eastAsia" w:ascii="Times New Roman" w:hAnsi="Times New Roman" w:eastAsia="宋体" w:cs="Times New Roman"/>
          <w:spacing w:val="-6"/>
          <w:sz w:val="29"/>
          <w:szCs w:val="29"/>
          <w:highlight w:val="none"/>
          <w:lang w:val="en-US" w:eastAsia="zh-CN"/>
        </w:rPr>
        <w:t>438300</w:t>
      </w:r>
    </w:p>
    <w:p w14:paraId="181D160B">
      <w:pPr>
        <w:spacing w:line="219" w:lineRule="auto"/>
        <w:rPr>
          <w:rFonts w:ascii="Times New Roman" w:hAnsi="Times New Roman" w:eastAsia="Times New Roman" w:cs="Times New Roman"/>
          <w:sz w:val="31"/>
          <w:szCs w:val="31"/>
          <w:highlight w:val="none"/>
        </w:rPr>
        <w:sectPr>
          <w:type w:val="continuous"/>
          <w:pgSz w:w="11910" w:h="16840"/>
          <w:pgMar w:top="400" w:right="1786" w:bottom="1182" w:left="1775" w:header="0" w:footer="1024" w:gutter="0"/>
          <w:cols w:equalWidth="0" w:num="2">
            <w:col w:w="4105" w:space="100"/>
            <w:col w:w="4144"/>
          </w:cols>
        </w:sectPr>
      </w:pPr>
    </w:p>
    <w:p w14:paraId="2D3E722B">
      <w:pPr>
        <w:spacing w:line="238" w:lineRule="exact"/>
        <w:rPr>
          <w:highlight w:val="none"/>
        </w:rPr>
      </w:pPr>
    </w:p>
    <w:p w14:paraId="0FBF74F5">
      <w:pPr>
        <w:spacing w:line="238" w:lineRule="exact"/>
        <w:rPr>
          <w:highlight w:val="none"/>
        </w:rPr>
        <w:sectPr>
          <w:type w:val="continuous"/>
          <w:pgSz w:w="11910" w:h="16840"/>
          <w:pgMar w:top="400" w:right="1786" w:bottom="1182" w:left="1775" w:header="0" w:footer="1024" w:gutter="0"/>
          <w:cols w:equalWidth="0" w:num="1">
            <w:col w:w="8349"/>
          </w:cols>
        </w:sectPr>
      </w:pPr>
    </w:p>
    <w:p w14:paraId="7B9C1DD8">
      <w:pPr>
        <w:pStyle w:val="2"/>
        <w:spacing w:line="292" w:lineRule="auto"/>
        <w:rPr>
          <w:highlight w:val="none"/>
        </w:rPr>
      </w:pPr>
    </w:p>
    <w:p w14:paraId="430B8D54">
      <w:pPr>
        <w:spacing w:before="104" w:line="221" w:lineRule="auto"/>
        <w:ind w:left="24"/>
        <w:rPr>
          <w:rFonts w:hint="default" w:ascii="宋体" w:hAnsi="宋体" w:eastAsia="宋体" w:cs="宋体"/>
          <w:sz w:val="32"/>
          <w:szCs w:val="32"/>
          <w:highlight w:val="none"/>
          <w:lang w:val="en-US" w:eastAsia="zh-CN"/>
        </w:rPr>
      </w:pPr>
      <w:r>
        <w:rPr>
          <w:rFonts w:hint="eastAsia" w:ascii="Times New Roman" w:hAnsi="Times New Roman" w:eastAsia="宋体" w:cs="Times New Roman"/>
          <w:snapToGrid w:val="0"/>
          <w:color w:val="000000"/>
          <w:spacing w:val="-6"/>
          <w:kern w:val="0"/>
          <w:sz w:val="29"/>
          <w:szCs w:val="29"/>
          <w:highlight w:val="none"/>
          <w:lang w:val="en-US" w:eastAsia="zh-CN" w:bidi="ar-SA"/>
        </w:rPr>
        <w:t>联系人</w:t>
      </w:r>
      <w:r>
        <w:rPr>
          <w:rFonts w:ascii="宋体" w:hAnsi="宋体" w:eastAsia="宋体" w:cs="宋体"/>
          <w:spacing w:val="-7"/>
          <w:sz w:val="32"/>
          <w:szCs w:val="32"/>
          <w:highlight w:val="none"/>
        </w:rPr>
        <w:t>：</w:t>
      </w:r>
      <w:r>
        <w:rPr>
          <w:rFonts w:hint="eastAsia" w:ascii="Times New Roman" w:hAnsi="Times New Roman" w:eastAsia="宋体" w:cs="Times New Roman"/>
          <w:spacing w:val="-6"/>
          <w:sz w:val="29"/>
          <w:szCs w:val="29"/>
          <w:highlight w:val="none"/>
          <w:lang w:val="en-US" w:eastAsia="zh-CN"/>
        </w:rPr>
        <w:t>刘钢锋</w:t>
      </w:r>
    </w:p>
    <w:p w14:paraId="1DC57894">
      <w:pPr>
        <w:pStyle w:val="2"/>
        <w:spacing w:line="14" w:lineRule="auto"/>
        <w:rPr>
          <w:sz w:val="2"/>
          <w:highlight w:val="none"/>
        </w:rPr>
      </w:pPr>
      <w:r>
        <w:rPr>
          <w:sz w:val="2"/>
          <w:szCs w:val="2"/>
          <w:highlight w:val="none"/>
        </w:rPr>
        <w:br w:type="column"/>
      </w:r>
    </w:p>
    <w:p w14:paraId="7FB38E65">
      <w:pPr>
        <w:spacing w:before="63" w:line="360" w:lineRule="auto"/>
        <w:ind w:right="158"/>
        <w:rPr>
          <w:rFonts w:ascii="宋体" w:hAnsi="宋体" w:eastAsia="宋体" w:cs="宋体"/>
          <w:sz w:val="33"/>
          <w:szCs w:val="33"/>
          <w:highlight w:val="none"/>
        </w:rPr>
      </w:pPr>
      <w:r>
        <w:rPr>
          <w:rFonts w:hint="eastAsia" w:ascii="Times New Roman" w:hAnsi="Times New Roman" w:eastAsia="宋体" w:cs="Times New Roman"/>
          <w:spacing w:val="-6"/>
          <w:sz w:val="29"/>
          <w:szCs w:val="29"/>
          <w:highlight w:val="none"/>
          <w:lang w:val="en-US" w:eastAsia="zh-CN"/>
        </w:rPr>
        <w:t>项目负</w:t>
      </w:r>
      <w:r>
        <w:rPr>
          <w:rFonts w:ascii="宋体" w:hAnsi="宋体" w:eastAsia="宋体" w:cs="宋体"/>
          <w:spacing w:val="1"/>
          <w:sz w:val="33"/>
          <w:szCs w:val="33"/>
          <w:highlight w:val="none"/>
        </w:rPr>
        <w:t xml:space="preserve"> </w:t>
      </w:r>
      <w:r>
        <w:rPr>
          <w:rFonts w:hint="eastAsia" w:ascii="Times New Roman" w:hAnsi="Times New Roman" w:eastAsia="宋体" w:cs="Times New Roman"/>
          <w:spacing w:val="-6"/>
          <w:sz w:val="29"/>
          <w:szCs w:val="29"/>
          <w:highlight w:val="none"/>
          <w:lang w:val="en-US" w:eastAsia="zh-CN"/>
        </w:rPr>
        <w:t>责人</w:t>
      </w:r>
      <w:r>
        <w:rPr>
          <w:rFonts w:ascii="宋体" w:hAnsi="宋体" w:eastAsia="宋体" w:cs="宋体"/>
          <w:spacing w:val="-23"/>
          <w:sz w:val="33"/>
          <w:szCs w:val="33"/>
          <w:highlight w:val="none"/>
        </w:rPr>
        <w:t>：</w:t>
      </w:r>
    </w:p>
    <w:p w14:paraId="6A0E5A58">
      <w:pPr>
        <w:pStyle w:val="2"/>
        <w:spacing w:line="14" w:lineRule="auto"/>
        <w:rPr>
          <w:sz w:val="2"/>
          <w:highlight w:val="none"/>
        </w:rPr>
      </w:pPr>
      <w:r>
        <w:rPr>
          <w:sz w:val="2"/>
          <w:szCs w:val="2"/>
          <w:highlight w:val="none"/>
        </w:rPr>
        <w:br w:type="column"/>
      </w:r>
    </w:p>
    <w:p w14:paraId="3E46EF2E">
      <w:pPr>
        <w:pStyle w:val="2"/>
        <w:spacing w:line="293" w:lineRule="auto"/>
        <w:rPr>
          <w:highlight w:val="none"/>
        </w:rPr>
      </w:pPr>
    </w:p>
    <w:p w14:paraId="13F57605">
      <w:pPr>
        <w:spacing w:before="63" w:line="360" w:lineRule="auto"/>
        <w:ind w:right="158"/>
        <w:rPr>
          <w:rFonts w:hint="default" w:ascii="Times New Roman" w:hAnsi="Times New Roman" w:eastAsia="宋体" w:cs="Times New Roman"/>
          <w:spacing w:val="-6"/>
          <w:sz w:val="29"/>
          <w:szCs w:val="29"/>
          <w:highlight w:val="none"/>
          <w:lang w:val="en-US" w:eastAsia="zh-CN"/>
        </w:rPr>
        <w:sectPr>
          <w:type w:val="continuous"/>
          <w:pgSz w:w="11910" w:h="16840"/>
          <w:pgMar w:top="400" w:right="1786" w:bottom="1182" w:left="1775" w:header="0" w:footer="1024" w:gutter="0"/>
          <w:cols w:equalWidth="0" w:num="3">
            <w:col w:w="4105" w:space="100"/>
            <w:col w:w="1130" w:space="100"/>
            <w:col w:w="2914"/>
          </w:cols>
        </w:sectPr>
      </w:pPr>
      <w:r>
        <w:rPr>
          <w:rFonts w:hint="eastAsia" w:ascii="Times New Roman" w:hAnsi="Times New Roman" w:eastAsia="宋体" w:cs="Times New Roman"/>
          <w:spacing w:val="-6"/>
          <w:sz w:val="29"/>
          <w:szCs w:val="29"/>
          <w:highlight w:val="none"/>
          <w:lang w:val="en-US" w:eastAsia="zh-CN"/>
        </w:rPr>
        <w:t>王冬霞</w:t>
      </w:r>
    </w:p>
    <w:p w14:paraId="2E262E23">
      <w:pPr>
        <w:spacing w:before="58" w:line="222" w:lineRule="auto"/>
        <w:rPr>
          <w:rFonts w:hint="default" w:ascii="Times New Roman" w:hAnsi="Times New Roman" w:eastAsia="宋体" w:cs="Times New Roman"/>
          <w:sz w:val="29"/>
          <w:szCs w:val="29"/>
          <w:highlight w:val="none"/>
          <w:lang w:val="en-US" w:eastAsia="zh-CN"/>
        </w:rPr>
      </w:pPr>
      <w:r>
        <w:rPr>
          <w:rFonts w:hint="eastAsia" w:ascii="Times New Roman" w:hAnsi="Times New Roman" w:eastAsia="宋体" w:cs="Times New Roman"/>
          <w:snapToGrid w:val="0"/>
          <w:color w:val="000000"/>
          <w:spacing w:val="-6"/>
          <w:kern w:val="0"/>
          <w:sz w:val="29"/>
          <w:szCs w:val="29"/>
          <w:highlight w:val="none"/>
          <w:lang w:val="en-US" w:eastAsia="zh-CN" w:bidi="ar-SA"/>
        </w:rPr>
        <w:t>电话：</w:t>
      </w:r>
      <w:r>
        <w:rPr>
          <w:rFonts w:hint="eastAsia" w:ascii="Times New Roman" w:hAnsi="Times New Roman" w:eastAsia="宋体" w:cs="Times New Roman"/>
          <w:spacing w:val="-6"/>
          <w:sz w:val="29"/>
          <w:szCs w:val="29"/>
          <w:highlight w:val="none"/>
          <w:lang w:val="en-US" w:eastAsia="zh-CN"/>
        </w:rPr>
        <w:t xml:space="preserve">13409671282 </w:t>
      </w:r>
      <w:r>
        <w:rPr>
          <w:rFonts w:ascii="宋体" w:hAnsi="宋体" w:eastAsia="宋体" w:cs="宋体"/>
          <w:spacing w:val="15"/>
          <w:sz w:val="32"/>
          <w:szCs w:val="32"/>
          <w:highlight w:val="none"/>
        </w:rPr>
        <w:t xml:space="preserve">      </w:t>
      </w:r>
      <w:r>
        <w:rPr>
          <w:rFonts w:hint="eastAsia" w:ascii="宋体" w:hAnsi="宋体" w:eastAsia="宋体" w:cs="宋体"/>
          <w:spacing w:val="15"/>
          <w:sz w:val="32"/>
          <w:szCs w:val="32"/>
          <w:highlight w:val="none"/>
          <w:lang w:val="en-US" w:eastAsia="zh-CN"/>
        </w:rPr>
        <w:t xml:space="preserve">    </w:t>
      </w:r>
      <w:r>
        <w:rPr>
          <w:rFonts w:hint="eastAsia" w:ascii="Times New Roman" w:hAnsi="Times New Roman" w:eastAsia="宋体" w:cs="Times New Roman"/>
          <w:spacing w:val="-6"/>
          <w:sz w:val="29"/>
          <w:szCs w:val="29"/>
          <w:highlight w:val="none"/>
          <w:lang w:val="en-US" w:eastAsia="zh-CN"/>
        </w:rPr>
        <w:t>电话：</w:t>
      </w:r>
      <w:r>
        <w:rPr>
          <w:rFonts w:ascii="宋体" w:hAnsi="宋体" w:eastAsia="宋体" w:cs="宋体"/>
          <w:spacing w:val="78"/>
          <w:sz w:val="33"/>
          <w:szCs w:val="33"/>
          <w:highlight w:val="none"/>
        </w:rPr>
        <w:t xml:space="preserve"> </w:t>
      </w:r>
      <w:r>
        <w:rPr>
          <w:rFonts w:hint="eastAsia" w:ascii="Times New Roman" w:hAnsi="Times New Roman" w:eastAsia="宋体" w:cs="Times New Roman"/>
          <w:spacing w:val="-6"/>
          <w:sz w:val="29"/>
          <w:szCs w:val="29"/>
          <w:highlight w:val="none"/>
          <w:lang w:val="en-US" w:eastAsia="zh-CN"/>
        </w:rPr>
        <w:t>18772483887</w:t>
      </w:r>
    </w:p>
    <w:p w14:paraId="7476B940">
      <w:pPr>
        <w:spacing w:before="289" w:line="190" w:lineRule="auto"/>
        <w:ind w:left="24"/>
        <w:rPr>
          <w:rFonts w:hint="eastAsia" w:ascii="Times New Roman" w:hAnsi="Times New Roman" w:eastAsia="宋体" w:cs="Times New Roman"/>
          <w:spacing w:val="-6"/>
          <w:sz w:val="29"/>
          <w:szCs w:val="29"/>
          <w:highlight w:val="none"/>
          <w:lang w:val="en-US" w:eastAsia="zh-CN"/>
        </w:rPr>
      </w:pPr>
      <w:r>
        <w:rPr>
          <w:rFonts w:hint="eastAsia" w:ascii="Times New Roman" w:hAnsi="Times New Roman" w:eastAsia="宋体" w:cs="Times New Roman"/>
          <w:snapToGrid w:val="0"/>
          <w:color w:val="000000"/>
          <w:spacing w:val="-6"/>
          <w:kern w:val="0"/>
          <w:sz w:val="29"/>
          <w:szCs w:val="29"/>
          <w:highlight w:val="none"/>
          <w:lang w:val="en-US" w:eastAsia="zh-CN" w:bidi="ar-SA"/>
        </w:rPr>
        <w:t>传真：</w:t>
      </w:r>
      <w:r>
        <w:rPr>
          <w:rFonts w:ascii="宋体" w:hAnsi="宋体" w:eastAsia="宋体" w:cs="宋体"/>
          <w:spacing w:val="-7"/>
          <w:sz w:val="33"/>
          <w:szCs w:val="33"/>
          <w:highlight w:val="none"/>
        </w:rPr>
        <w:t xml:space="preserve">                   </w:t>
      </w:r>
      <w:r>
        <w:rPr>
          <w:rFonts w:hint="eastAsia" w:ascii="宋体" w:hAnsi="宋体" w:eastAsia="宋体" w:cs="宋体"/>
          <w:spacing w:val="-7"/>
          <w:sz w:val="33"/>
          <w:szCs w:val="33"/>
          <w:highlight w:val="none"/>
          <w:lang w:val="en-US" w:eastAsia="zh-CN"/>
        </w:rPr>
        <w:t xml:space="preserve"> </w:t>
      </w:r>
      <w:r>
        <w:rPr>
          <w:rFonts w:ascii="宋体" w:hAnsi="宋体" w:eastAsia="宋体" w:cs="宋体"/>
          <w:spacing w:val="-7"/>
          <w:sz w:val="33"/>
          <w:szCs w:val="33"/>
          <w:highlight w:val="none"/>
        </w:rPr>
        <w:t xml:space="preserve"> </w:t>
      </w:r>
      <w:r>
        <w:rPr>
          <w:rFonts w:hint="eastAsia" w:ascii="Times New Roman" w:hAnsi="Times New Roman" w:eastAsia="宋体" w:cs="Times New Roman"/>
          <w:spacing w:val="-6"/>
          <w:sz w:val="29"/>
          <w:szCs w:val="29"/>
          <w:highlight w:val="none"/>
          <w:lang w:val="en-US" w:eastAsia="zh-CN"/>
        </w:rPr>
        <w:t>传真：</w:t>
      </w:r>
    </w:p>
    <w:p w14:paraId="545CC4C3">
      <w:pPr>
        <w:spacing w:line="190" w:lineRule="auto"/>
        <w:rPr>
          <w:rFonts w:ascii="宋体" w:hAnsi="宋体" w:eastAsia="宋体" w:cs="宋体"/>
          <w:sz w:val="33"/>
          <w:szCs w:val="33"/>
          <w:highlight w:val="none"/>
        </w:rPr>
        <w:sectPr>
          <w:type w:val="continuous"/>
          <w:pgSz w:w="11910" w:h="16840"/>
          <w:pgMar w:top="400" w:right="1786" w:bottom="1182" w:left="1775" w:header="0" w:footer="1024" w:gutter="0"/>
          <w:cols w:equalWidth="0" w:num="1">
            <w:col w:w="8349"/>
          </w:cols>
        </w:sectPr>
      </w:pPr>
    </w:p>
    <w:p w14:paraId="5D37B261">
      <w:pPr>
        <w:spacing w:before="51"/>
        <w:rPr>
          <w:highlight w:val="none"/>
        </w:rPr>
      </w:pPr>
    </w:p>
    <w:p w14:paraId="528A56B0">
      <w:pPr>
        <w:spacing w:before="51"/>
        <w:rPr>
          <w:highlight w:val="none"/>
        </w:rPr>
      </w:pPr>
    </w:p>
    <w:p w14:paraId="6BC5D038">
      <w:pPr>
        <w:spacing w:before="51"/>
        <w:rPr>
          <w:highlight w:val="none"/>
        </w:rPr>
      </w:pPr>
    </w:p>
    <w:p w14:paraId="4D938F56">
      <w:pPr>
        <w:spacing w:before="51"/>
        <w:rPr>
          <w:highlight w:val="none"/>
        </w:rPr>
      </w:pPr>
    </w:p>
    <w:p w14:paraId="041BCC18">
      <w:pPr>
        <w:rPr>
          <w:highlight w:val="none"/>
        </w:rPr>
        <w:sectPr>
          <w:footerReference r:id="rId15" w:type="default"/>
          <w:pgSz w:w="11910" w:h="16840"/>
          <w:pgMar w:top="400" w:right="1786" w:bottom="1217" w:left="1786" w:header="0" w:footer="1013" w:gutter="0"/>
          <w:cols w:equalWidth="0" w:num="1">
            <w:col w:w="8337"/>
          </w:cols>
        </w:sectPr>
      </w:pPr>
    </w:p>
    <w:p w14:paraId="5E4923C6">
      <w:pPr>
        <w:spacing w:before="63" w:line="389" w:lineRule="auto"/>
        <w:ind w:left="43" w:right="3139"/>
        <w:rPr>
          <w:rFonts w:ascii="宋体" w:hAnsi="宋体" w:eastAsia="宋体" w:cs="宋体"/>
          <w:sz w:val="32"/>
          <w:szCs w:val="32"/>
          <w:highlight w:val="none"/>
        </w:rPr>
      </w:pPr>
      <w:bookmarkStart w:id="6" w:name="bookmark187"/>
      <w:bookmarkEnd w:id="6"/>
      <w:r>
        <w:rPr>
          <w:rFonts w:ascii="宋体" w:hAnsi="宋体" w:eastAsia="宋体" w:cs="宋体"/>
          <w:spacing w:val="-17"/>
          <w:sz w:val="32"/>
          <w:szCs w:val="32"/>
          <w:highlight w:val="none"/>
        </w:rPr>
        <w:t>电子邮</w:t>
      </w:r>
      <w:r>
        <w:rPr>
          <w:rFonts w:ascii="宋体" w:hAnsi="宋体" w:eastAsia="宋体" w:cs="宋体"/>
          <w:sz w:val="32"/>
          <w:szCs w:val="32"/>
          <w:highlight w:val="none"/>
        </w:rPr>
        <w:t xml:space="preserve"> </w:t>
      </w:r>
      <w:r>
        <w:rPr>
          <w:rFonts w:ascii="宋体" w:hAnsi="宋体" w:eastAsia="宋体" w:cs="宋体"/>
          <w:spacing w:val="-23"/>
          <w:sz w:val="32"/>
          <w:szCs w:val="32"/>
          <w:highlight w:val="none"/>
        </w:rPr>
        <w:t>箱：</w:t>
      </w:r>
    </w:p>
    <w:p w14:paraId="315919E8">
      <w:pPr>
        <w:spacing w:before="1" w:line="387" w:lineRule="auto"/>
        <w:ind w:left="43" w:right="3103"/>
        <w:rPr>
          <w:rFonts w:ascii="宋体" w:hAnsi="宋体" w:eastAsia="宋体" w:cs="宋体"/>
          <w:sz w:val="32"/>
          <w:szCs w:val="32"/>
          <w:highlight w:val="none"/>
        </w:rPr>
      </w:pPr>
      <w:r>
        <w:rPr>
          <w:rFonts w:ascii="宋体" w:hAnsi="宋体" w:eastAsia="宋体" w:cs="宋体"/>
          <w:spacing w:val="-5"/>
          <w:sz w:val="32"/>
          <w:szCs w:val="32"/>
          <w:highlight w:val="none"/>
        </w:rPr>
        <w:t>网址：</w:t>
      </w:r>
      <w:r>
        <w:rPr>
          <w:rFonts w:ascii="宋体" w:hAnsi="宋体" w:eastAsia="宋体" w:cs="宋体"/>
          <w:sz w:val="32"/>
          <w:szCs w:val="32"/>
          <w:highlight w:val="none"/>
        </w:rPr>
        <w:t xml:space="preserve"> </w:t>
      </w:r>
      <w:r>
        <w:rPr>
          <w:rFonts w:ascii="宋体" w:hAnsi="宋体" w:eastAsia="宋体" w:cs="宋体"/>
          <w:spacing w:val="-5"/>
          <w:sz w:val="32"/>
          <w:szCs w:val="32"/>
          <w:highlight w:val="none"/>
        </w:rPr>
        <w:t>开户银</w:t>
      </w:r>
      <w:r>
        <w:rPr>
          <w:rFonts w:ascii="宋体" w:hAnsi="宋体" w:eastAsia="宋体" w:cs="宋体"/>
          <w:sz w:val="32"/>
          <w:szCs w:val="32"/>
          <w:highlight w:val="none"/>
        </w:rPr>
        <w:t xml:space="preserve"> </w:t>
      </w:r>
      <w:r>
        <w:rPr>
          <w:rFonts w:ascii="宋体" w:hAnsi="宋体" w:eastAsia="宋体" w:cs="宋体"/>
          <w:spacing w:val="-9"/>
          <w:sz w:val="32"/>
          <w:szCs w:val="32"/>
          <w:highlight w:val="none"/>
        </w:rPr>
        <w:t>行：</w:t>
      </w:r>
    </w:p>
    <w:p w14:paraId="57C24DB1">
      <w:pPr>
        <w:spacing w:before="1" w:line="220" w:lineRule="auto"/>
        <w:ind w:left="43"/>
        <w:rPr>
          <w:rFonts w:ascii="宋体" w:hAnsi="宋体" w:eastAsia="宋体" w:cs="宋体"/>
          <w:sz w:val="32"/>
          <w:szCs w:val="32"/>
          <w:highlight w:val="none"/>
        </w:rPr>
      </w:pPr>
      <w:r>
        <w:rPr>
          <w:rFonts w:ascii="宋体" w:hAnsi="宋体" w:eastAsia="宋体" w:cs="宋体"/>
          <w:spacing w:val="24"/>
          <w:sz w:val="32"/>
          <w:szCs w:val="32"/>
          <w:highlight w:val="none"/>
        </w:rPr>
        <w:t>账号</w:t>
      </w:r>
      <w:r>
        <w:rPr>
          <w:rFonts w:ascii="宋体" w:hAnsi="宋体" w:eastAsia="宋体" w:cs="宋体"/>
          <w:spacing w:val="-70"/>
          <w:sz w:val="32"/>
          <w:szCs w:val="32"/>
          <w:highlight w:val="none"/>
        </w:rPr>
        <w:t xml:space="preserve"> </w:t>
      </w:r>
      <w:r>
        <w:rPr>
          <w:rFonts w:ascii="宋体" w:hAnsi="宋体" w:eastAsia="宋体" w:cs="宋体"/>
          <w:spacing w:val="24"/>
          <w:sz w:val="32"/>
          <w:szCs w:val="32"/>
          <w:highlight w:val="none"/>
        </w:rPr>
        <w:t>：</w:t>
      </w:r>
    </w:p>
    <w:p w14:paraId="122F372F">
      <w:pPr>
        <w:pStyle w:val="2"/>
        <w:spacing w:line="14" w:lineRule="auto"/>
        <w:rPr>
          <w:sz w:val="2"/>
          <w:highlight w:val="none"/>
        </w:rPr>
      </w:pPr>
      <w:r>
        <w:rPr>
          <w:sz w:val="2"/>
          <w:szCs w:val="2"/>
          <w:highlight w:val="none"/>
        </w:rPr>
        <w:br w:type="column"/>
      </w:r>
    </w:p>
    <w:p w14:paraId="3671345D">
      <w:pPr>
        <w:spacing w:before="82" w:line="376" w:lineRule="auto"/>
        <w:ind w:right="3261"/>
        <w:rPr>
          <w:rFonts w:ascii="宋体" w:hAnsi="宋体" w:eastAsia="宋体" w:cs="宋体"/>
          <w:sz w:val="33"/>
          <w:szCs w:val="33"/>
          <w:highlight w:val="none"/>
        </w:rPr>
      </w:pPr>
      <w:r>
        <w:rPr>
          <w:rFonts w:ascii="宋体" w:hAnsi="宋体" w:eastAsia="宋体" w:cs="宋体"/>
          <w:spacing w:val="-17"/>
          <w:sz w:val="31"/>
          <w:szCs w:val="31"/>
          <w:highlight w:val="none"/>
        </w:rPr>
        <w:t>电子邮</w:t>
      </w:r>
      <w:r>
        <w:rPr>
          <w:rFonts w:ascii="宋体" w:hAnsi="宋体" w:eastAsia="宋体" w:cs="宋体"/>
          <w:spacing w:val="1"/>
          <w:sz w:val="31"/>
          <w:szCs w:val="31"/>
          <w:highlight w:val="none"/>
        </w:rPr>
        <w:t xml:space="preserve"> </w:t>
      </w:r>
      <w:r>
        <w:rPr>
          <w:rFonts w:ascii="宋体" w:hAnsi="宋体" w:eastAsia="宋体" w:cs="宋体"/>
          <w:spacing w:val="-23"/>
          <w:sz w:val="33"/>
          <w:szCs w:val="33"/>
          <w:highlight w:val="none"/>
        </w:rPr>
        <w:t>箱：</w:t>
      </w:r>
    </w:p>
    <w:p w14:paraId="5981E03F">
      <w:pPr>
        <w:spacing w:before="3" w:line="380" w:lineRule="auto"/>
        <w:ind w:right="3201"/>
        <w:rPr>
          <w:rFonts w:ascii="宋体" w:hAnsi="宋体" w:eastAsia="宋体" w:cs="宋体"/>
          <w:sz w:val="33"/>
          <w:szCs w:val="33"/>
          <w:highlight w:val="none"/>
        </w:rPr>
      </w:pPr>
      <w:r>
        <w:rPr>
          <w:rFonts w:ascii="宋体" w:hAnsi="宋体" w:eastAsia="宋体" w:cs="宋体"/>
          <w:spacing w:val="-16"/>
          <w:sz w:val="33"/>
          <w:szCs w:val="33"/>
          <w:highlight w:val="none"/>
        </w:rPr>
        <w:t>网址：</w:t>
      </w:r>
      <w:r>
        <w:rPr>
          <w:rFonts w:ascii="宋体" w:hAnsi="宋体" w:eastAsia="宋体" w:cs="宋体"/>
          <w:sz w:val="33"/>
          <w:szCs w:val="33"/>
          <w:highlight w:val="none"/>
        </w:rPr>
        <w:t xml:space="preserve"> </w:t>
      </w:r>
      <w:r>
        <w:rPr>
          <w:rFonts w:ascii="宋体" w:hAnsi="宋体" w:eastAsia="宋体" w:cs="宋体"/>
          <w:spacing w:val="-16"/>
          <w:sz w:val="33"/>
          <w:szCs w:val="33"/>
          <w:highlight w:val="none"/>
        </w:rPr>
        <w:t>开户银</w:t>
      </w:r>
      <w:r>
        <w:rPr>
          <w:rFonts w:ascii="宋体" w:hAnsi="宋体" w:eastAsia="宋体" w:cs="宋体"/>
          <w:sz w:val="33"/>
          <w:szCs w:val="33"/>
          <w:highlight w:val="none"/>
        </w:rPr>
        <w:t xml:space="preserve"> </w:t>
      </w:r>
      <w:r>
        <w:rPr>
          <w:rFonts w:ascii="宋体" w:hAnsi="宋体" w:eastAsia="宋体" w:cs="宋体"/>
          <w:spacing w:val="-24"/>
          <w:sz w:val="33"/>
          <w:szCs w:val="33"/>
          <w:highlight w:val="none"/>
        </w:rPr>
        <w:t>行：</w:t>
      </w:r>
    </w:p>
    <w:p w14:paraId="38FC8A30">
      <w:pPr>
        <w:spacing w:before="25" w:line="221" w:lineRule="auto"/>
        <w:rPr>
          <w:rFonts w:ascii="宋体" w:hAnsi="宋体" w:eastAsia="宋体" w:cs="宋体"/>
          <w:sz w:val="32"/>
          <w:szCs w:val="32"/>
          <w:highlight w:val="none"/>
        </w:rPr>
      </w:pPr>
      <w:r>
        <w:rPr>
          <w:rFonts w:ascii="宋体" w:hAnsi="宋体" w:eastAsia="宋体" w:cs="宋体"/>
          <w:spacing w:val="22"/>
          <w:sz w:val="32"/>
          <w:szCs w:val="32"/>
          <w:highlight w:val="none"/>
        </w:rPr>
        <w:t>账号</w:t>
      </w:r>
      <w:r>
        <w:rPr>
          <w:rFonts w:ascii="宋体" w:hAnsi="宋体" w:eastAsia="宋体" w:cs="宋体"/>
          <w:spacing w:val="-74"/>
          <w:sz w:val="32"/>
          <w:szCs w:val="32"/>
          <w:highlight w:val="none"/>
        </w:rPr>
        <w:t xml:space="preserve"> </w:t>
      </w:r>
      <w:r>
        <w:rPr>
          <w:rFonts w:ascii="宋体" w:hAnsi="宋体" w:eastAsia="宋体" w:cs="宋体"/>
          <w:spacing w:val="22"/>
          <w:sz w:val="32"/>
          <w:szCs w:val="32"/>
          <w:highlight w:val="none"/>
        </w:rPr>
        <w:t>：</w:t>
      </w:r>
    </w:p>
    <w:p w14:paraId="4CD4608A">
      <w:pPr>
        <w:spacing w:line="221" w:lineRule="auto"/>
        <w:rPr>
          <w:rFonts w:ascii="宋体" w:hAnsi="宋体" w:eastAsia="宋体" w:cs="宋体"/>
          <w:sz w:val="32"/>
          <w:szCs w:val="32"/>
          <w:highlight w:val="none"/>
        </w:rPr>
        <w:sectPr>
          <w:type w:val="continuous"/>
          <w:pgSz w:w="11910" w:h="16840"/>
          <w:pgMar w:top="400" w:right="1786" w:bottom="1217" w:left="1786" w:header="0" w:footer="1013" w:gutter="0"/>
          <w:cols w:equalWidth="0" w:num="2">
            <w:col w:w="4094" w:space="100"/>
            <w:col w:w="4144"/>
          </w:cols>
        </w:sectPr>
      </w:pPr>
    </w:p>
    <w:p w14:paraId="46EF30A1">
      <w:pPr>
        <w:spacing w:before="334" w:line="219" w:lineRule="auto"/>
        <w:ind w:left="43"/>
        <w:rPr>
          <w:rFonts w:ascii="宋体" w:hAnsi="宋体" w:eastAsia="宋体" w:cs="宋体"/>
          <w:sz w:val="33"/>
          <w:szCs w:val="33"/>
          <w:highlight w:val="none"/>
        </w:rPr>
      </w:pPr>
      <w:r>
        <w:rPr>
          <w:rFonts w:ascii="Times New Roman" w:hAnsi="Times New Roman" w:eastAsia="Times New Roman" w:cs="Times New Roman"/>
          <w:spacing w:val="-12"/>
          <w:sz w:val="33"/>
          <w:szCs w:val="33"/>
          <w:highlight w:val="none"/>
        </w:rPr>
        <w:t xml:space="preserve">10. </w:t>
      </w:r>
      <w:r>
        <w:rPr>
          <w:rFonts w:ascii="宋体" w:hAnsi="宋体" w:eastAsia="宋体" w:cs="宋体"/>
          <w:spacing w:val="-12"/>
          <w:sz w:val="33"/>
          <w:szCs w:val="33"/>
          <w:highlight w:val="none"/>
        </w:rPr>
        <w:t>行政监督部门</w:t>
      </w:r>
    </w:p>
    <w:p w14:paraId="241E14C3">
      <w:pPr>
        <w:pStyle w:val="2"/>
        <w:spacing w:line="275" w:lineRule="auto"/>
        <w:rPr>
          <w:highlight w:val="none"/>
        </w:rPr>
      </w:pPr>
    </w:p>
    <w:p w14:paraId="4AD33F97">
      <w:pPr>
        <w:spacing w:before="100" w:line="219" w:lineRule="auto"/>
        <w:ind w:left="43"/>
        <w:rPr>
          <w:rFonts w:ascii="宋体" w:hAnsi="宋体" w:eastAsia="宋体" w:cs="宋体"/>
          <w:sz w:val="31"/>
          <w:szCs w:val="31"/>
          <w:highlight w:val="none"/>
        </w:rPr>
      </w:pPr>
      <w:r>
        <w:rPr>
          <w:rFonts w:ascii="宋体" w:hAnsi="宋体" w:eastAsia="宋体" w:cs="宋体"/>
          <w:spacing w:val="2"/>
          <w:sz w:val="31"/>
          <w:szCs w:val="31"/>
          <w:highlight w:val="none"/>
        </w:rPr>
        <w:t>名称： 麻城市发展和改革局</w:t>
      </w:r>
    </w:p>
    <w:p w14:paraId="7C0ADED7">
      <w:pPr>
        <w:spacing w:before="323" w:line="219" w:lineRule="auto"/>
        <w:ind w:left="43"/>
        <w:rPr>
          <w:rFonts w:ascii="宋体" w:hAnsi="宋体" w:eastAsia="宋体" w:cs="宋体"/>
          <w:sz w:val="31"/>
          <w:szCs w:val="31"/>
          <w:highlight w:val="none"/>
        </w:rPr>
      </w:pPr>
      <w:r>
        <w:rPr>
          <w:rFonts w:ascii="宋体" w:hAnsi="宋体" w:eastAsia="宋体" w:cs="宋体"/>
          <w:spacing w:val="13"/>
          <w:sz w:val="31"/>
          <w:szCs w:val="31"/>
          <w:highlight w:val="none"/>
        </w:rPr>
        <w:t>地址：</w:t>
      </w:r>
      <w:r>
        <w:rPr>
          <w:rFonts w:ascii="宋体" w:hAnsi="宋体" w:eastAsia="宋体" w:cs="宋体"/>
          <w:sz w:val="31"/>
          <w:szCs w:val="31"/>
          <w:highlight w:val="none"/>
        </w:rPr>
        <w:t xml:space="preserve"> </w:t>
      </w:r>
      <w:r>
        <w:rPr>
          <w:rFonts w:ascii="宋体" w:hAnsi="宋体" w:eastAsia="宋体" w:cs="宋体"/>
          <w:spacing w:val="13"/>
          <w:sz w:val="31"/>
          <w:szCs w:val="31"/>
          <w:highlight w:val="none"/>
        </w:rPr>
        <w:t>麻城市金桥大道61号</w:t>
      </w:r>
      <w:bookmarkStart w:id="287" w:name="_GoBack"/>
      <w:bookmarkEnd w:id="287"/>
    </w:p>
    <w:p w14:paraId="49DF9E24">
      <w:pPr>
        <w:pStyle w:val="2"/>
        <w:spacing w:line="269" w:lineRule="auto"/>
        <w:rPr>
          <w:highlight w:val="none"/>
        </w:rPr>
      </w:pPr>
    </w:p>
    <w:p w14:paraId="2DA73983">
      <w:pPr>
        <w:spacing w:before="323" w:line="219" w:lineRule="auto"/>
        <w:ind w:left="43"/>
        <w:rPr>
          <w:rFonts w:ascii="宋体" w:hAnsi="宋体" w:eastAsia="宋体" w:cs="宋体"/>
          <w:spacing w:val="13"/>
          <w:sz w:val="31"/>
          <w:szCs w:val="31"/>
          <w:highlight w:val="none"/>
        </w:rPr>
      </w:pPr>
      <w:r>
        <w:rPr>
          <w:rFonts w:ascii="宋体" w:hAnsi="宋体" w:eastAsia="宋体" w:cs="宋体"/>
          <w:spacing w:val="13"/>
          <w:sz w:val="31"/>
          <w:szCs w:val="31"/>
          <w:highlight w:val="none"/>
        </w:rPr>
        <w:t>电话：</w:t>
      </w:r>
      <w:r>
        <w:rPr>
          <w:rFonts w:ascii="宋体" w:hAnsi="宋体" w:eastAsia="宋体" w:cs="宋体"/>
          <w:spacing w:val="17"/>
          <w:sz w:val="29"/>
          <w:szCs w:val="29"/>
          <w:highlight w:val="none"/>
        </w:rPr>
        <w:t xml:space="preserve"> </w:t>
      </w:r>
      <w:r>
        <w:rPr>
          <w:rFonts w:ascii="宋体" w:hAnsi="宋体" w:eastAsia="宋体" w:cs="宋体"/>
          <w:spacing w:val="13"/>
          <w:sz w:val="31"/>
          <w:szCs w:val="31"/>
          <w:highlight w:val="none"/>
        </w:rPr>
        <w:t>0713-2951430</w:t>
      </w:r>
    </w:p>
    <w:p w14:paraId="662B8764">
      <w:pPr>
        <w:spacing w:before="323" w:line="219" w:lineRule="auto"/>
        <w:ind w:left="43"/>
        <w:rPr>
          <w:rFonts w:ascii="宋体" w:hAnsi="宋体" w:eastAsia="宋体" w:cs="宋体"/>
          <w:spacing w:val="13"/>
          <w:sz w:val="31"/>
          <w:szCs w:val="31"/>
          <w:highlight w:val="none"/>
        </w:rPr>
      </w:pPr>
      <w:r>
        <w:rPr>
          <w:rFonts w:ascii="宋体" w:hAnsi="宋体" w:eastAsia="宋体" w:cs="宋体"/>
          <w:spacing w:val="13"/>
          <w:sz w:val="31"/>
          <w:szCs w:val="31"/>
          <w:highlight w:val="none"/>
        </w:rPr>
        <w:t>传真： 0713-2951430</w:t>
      </w:r>
    </w:p>
    <w:p w14:paraId="0CA968FA">
      <w:pPr>
        <w:spacing w:before="323" w:line="219" w:lineRule="auto"/>
        <w:ind w:left="43"/>
        <w:rPr>
          <w:rFonts w:ascii="宋体" w:hAnsi="宋体" w:eastAsia="宋体" w:cs="宋体"/>
          <w:spacing w:val="13"/>
          <w:sz w:val="31"/>
          <w:szCs w:val="31"/>
          <w:highlight w:val="none"/>
        </w:rPr>
      </w:pPr>
      <w:r>
        <w:rPr>
          <w:rFonts w:ascii="宋体" w:hAnsi="宋体" w:eastAsia="宋体" w:cs="宋体"/>
          <w:spacing w:val="13"/>
          <w:sz w:val="31"/>
          <w:szCs w:val="31"/>
          <w:highlight w:val="none"/>
        </w:rPr>
        <w:t>邮政编码：438300</w:t>
      </w:r>
    </w:p>
    <w:p w14:paraId="4CE91A8C">
      <w:pPr>
        <w:pStyle w:val="2"/>
        <w:spacing w:line="244" w:lineRule="auto"/>
        <w:rPr>
          <w:highlight w:val="none"/>
        </w:rPr>
      </w:pPr>
    </w:p>
    <w:p w14:paraId="3A241E82">
      <w:pPr>
        <w:spacing w:before="108" w:line="219" w:lineRule="auto"/>
        <w:ind w:right="3"/>
        <w:jc w:val="right"/>
        <w:rPr>
          <w:rFonts w:ascii="宋体" w:hAnsi="宋体" w:eastAsia="宋体" w:cs="宋体"/>
          <w:sz w:val="33"/>
          <w:szCs w:val="33"/>
          <w:highlight w:val="none"/>
        </w:rPr>
      </w:pPr>
      <w:r>
        <w:rPr>
          <w:rFonts w:ascii="宋体" w:hAnsi="宋体" w:eastAsia="宋体" w:cs="宋体"/>
          <w:spacing w:val="31"/>
          <w:sz w:val="33"/>
          <w:szCs w:val="33"/>
          <w:highlight w:val="none"/>
        </w:rPr>
        <w:t>2026年</w:t>
      </w:r>
      <w:r>
        <w:rPr>
          <w:rFonts w:hint="eastAsia" w:ascii="宋体" w:hAnsi="宋体" w:eastAsia="宋体" w:cs="宋体"/>
          <w:spacing w:val="31"/>
          <w:sz w:val="33"/>
          <w:szCs w:val="33"/>
          <w:highlight w:val="none"/>
          <w:lang w:val="en-US" w:eastAsia="zh-CN"/>
        </w:rPr>
        <w:t xml:space="preserve">  </w:t>
      </w:r>
      <w:r>
        <w:rPr>
          <w:rFonts w:ascii="宋体" w:hAnsi="宋体" w:eastAsia="宋体" w:cs="宋体"/>
          <w:spacing w:val="31"/>
          <w:sz w:val="33"/>
          <w:szCs w:val="33"/>
          <w:highlight w:val="none"/>
        </w:rPr>
        <w:t>月</w:t>
      </w:r>
      <w:r>
        <w:rPr>
          <w:rFonts w:hint="eastAsia" w:ascii="宋体" w:hAnsi="宋体" w:eastAsia="宋体" w:cs="宋体"/>
          <w:spacing w:val="31"/>
          <w:sz w:val="33"/>
          <w:szCs w:val="33"/>
          <w:highlight w:val="none"/>
          <w:lang w:val="en-US" w:eastAsia="zh-CN"/>
        </w:rPr>
        <w:t xml:space="preserve">  </w:t>
      </w:r>
      <w:r>
        <w:rPr>
          <w:rFonts w:ascii="宋体" w:hAnsi="宋体" w:eastAsia="宋体" w:cs="宋体"/>
          <w:spacing w:val="31"/>
          <w:sz w:val="33"/>
          <w:szCs w:val="33"/>
          <w:highlight w:val="none"/>
        </w:rPr>
        <w:t>日</w:t>
      </w:r>
    </w:p>
    <w:p w14:paraId="13BC8BF2">
      <w:pPr>
        <w:pStyle w:val="2"/>
        <w:spacing w:line="272" w:lineRule="auto"/>
        <w:rPr>
          <w:highlight w:val="none"/>
        </w:rPr>
      </w:pPr>
    </w:p>
    <w:p w14:paraId="6262236C">
      <w:pPr>
        <w:spacing w:before="108" w:line="184" w:lineRule="auto"/>
        <w:ind w:left="3"/>
        <w:rPr>
          <w:rFonts w:ascii="宋体" w:hAnsi="宋体" w:eastAsia="宋体" w:cs="宋体"/>
          <w:sz w:val="33"/>
          <w:szCs w:val="33"/>
          <w:highlight w:val="none"/>
        </w:rPr>
      </w:pPr>
      <w:r>
        <w:rPr>
          <w:rFonts w:ascii="宋体" w:hAnsi="宋体" w:eastAsia="宋体" w:cs="宋体"/>
          <w:spacing w:val="-21"/>
          <w:sz w:val="33"/>
          <w:szCs w:val="33"/>
          <w:highlight w:val="none"/>
        </w:rPr>
        <w:t>备注：</w:t>
      </w:r>
    </w:p>
    <w:p w14:paraId="29B21437">
      <w:pPr>
        <w:spacing w:line="184" w:lineRule="auto"/>
        <w:rPr>
          <w:rFonts w:ascii="宋体" w:hAnsi="宋体" w:eastAsia="宋体" w:cs="宋体"/>
          <w:sz w:val="33"/>
          <w:szCs w:val="33"/>
          <w:highlight w:val="none"/>
        </w:rPr>
        <w:sectPr>
          <w:type w:val="continuous"/>
          <w:pgSz w:w="11910" w:h="16840"/>
          <w:pgMar w:top="400" w:right="1786" w:bottom="1217" w:left="1786" w:header="0" w:footer="1013" w:gutter="0"/>
          <w:cols w:equalWidth="0" w:num="1">
            <w:col w:w="8337"/>
          </w:cols>
        </w:sectPr>
      </w:pPr>
    </w:p>
    <w:p w14:paraId="6C1A9AE1">
      <w:pPr>
        <w:pStyle w:val="2"/>
        <w:spacing w:line="282" w:lineRule="auto"/>
        <w:rPr>
          <w:highlight w:val="none"/>
        </w:rPr>
      </w:pPr>
    </w:p>
    <w:p w14:paraId="60259B13">
      <w:pPr>
        <w:pStyle w:val="2"/>
        <w:spacing w:line="282" w:lineRule="auto"/>
        <w:rPr>
          <w:highlight w:val="none"/>
        </w:rPr>
      </w:pPr>
    </w:p>
    <w:p w14:paraId="4F6B990B">
      <w:pPr>
        <w:pStyle w:val="2"/>
        <w:spacing w:line="282" w:lineRule="auto"/>
        <w:rPr>
          <w:highlight w:val="none"/>
        </w:rPr>
      </w:pPr>
    </w:p>
    <w:p w14:paraId="75F59CE6">
      <w:pPr>
        <w:pStyle w:val="2"/>
        <w:spacing w:line="283" w:lineRule="auto"/>
        <w:rPr>
          <w:highlight w:val="none"/>
        </w:rPr>
      </w:pPr>
    </w:p>
    <w:p w14:paraId="29E42686">
      <w:pPr>
        <w:spacing w:before="104" w:line="221" w:lineRule="auto"/>
        <w:ind w:left="2934"/>
        <w:outlineLvl w:val="0"/>
        <w:rPr>
          <w:rFonts w:ascii="黑体" w:hAnsi="黑体" w:eastAsia="黑体" w:cs="黑体"/>
          <w:sz w:val="32"/>
          <w:szCs w:val="32"/>
          <w:highlight w:val="none"/>
        </w:rPr>
      </w:pPr>
      <w:bookmarkStart w:id="7" w:name="bookmark2"/>
      <w:bookmarkEnd w:id="7"/>
      <w:r>
        <w:rPr>
          <w:rFonts w:ascii="黑体" w:hAnsi="黑体" w:eastAsia="黑体" w:cs="黑体"/>
          <w:spacing w:val="21"/>
          <w:sz w:val="32"/>
          <w:szCs w:val="32"/>
          <w:highlight w:val="none"/>
        </w:rPr>
        <w:t>第二章投标人须知</w:t>
      </w:r>
    </w:p>
    <w:p w14:paraId="329EB811">
      <w:pPr>
        <w:pStyle w:val="2"/>
        <w:spacing w:line="279" w:lineRule="auto"/>
        <w:rPr>
          <w:highlight w:val="none"/>
        </w:rPr>
      </w:pPr>
    </w:p>
    <w:p w14:paraId="3472527C">
      <w:pPr>
        <w:pStyle w:val="2"/>
        <w:spacing w:line="279" w:lineRule="auto"/>
        <w:rPr>
          <w:highlight w:val="none"/>
        </w:rPr>
      </w:pPr>
    </w:p>
    <w:p w14:paraId="29BCC6B5">
      <w:pPr>
        <w:pStyle w:val="2"/>
        <w:spacing w:line="280" w:lineRule="auto"/>
        <w:rPr>
          <w:highlight w:val="none"/>
        </w:rPr>
      </w:pPr>
    </w:p>
    <w:p w14:paraId="22BB6AB2">
      <w:pPr>
        <w:spacing w:before="78" w:line="200" w:lineRule="auto"/>
        <w:ind w:left="168"/>
        <w:outlineLvl w:val="1"/>
        <w:rPr>
          <w:rFonts w:ascii="宋体" w:hAnsi="宋体" w:eastAsia="宋体" w:cs="宋体"/>
          <w:sz w:val="24"/>
          <w:szCs w:val="24"/>
          <w:highlight w:val="none"/>
        </w:rPr>
      </w:pPr>
      <w:bookmarkStart w:id="8" w:name="bookmark3"/>
      <w:bookmarkEnd w:id="8"/>
      <w:r>
        <w:rPr>
          <w:rFonts w:ascii="宋体" w:hAnsi="宋体" w:eastAsia="宋体" w:cs="宋体"/>
          <w:b/>
          <w:bCs/>
          <w:spacing w:val="-4"/>
          <w:sz w:val="24"/>
          <w:szCs w:val="24"/>
          <w:highlight w:val="none"/>
        </w:rPr>
        <w:t>投标人须知前附表</w:t>
      </w:r>
    </w:p>
    <w:tbl>
      <w:tblPr>
        <w:tblStyle w:val="5"/>
        <w:tblW w:w="90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4"/>
        <w:gridCol w:w="2627"/>
        <w:gridCol w:w="5239"/>
      </w:tblGrid>
      <w:tr w14:paraId="7B0B0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134" w:type="dxa"/>
            <w:vAlign w:val="top"/>
          </w:tcPr>
          <w:p w14:paraId="717E395C">
            <w:pPr>
              <w:pStyle w:val="6"/>
              <w:spacing w:before="260" w:line="219" w:lineRule="auto"/>
              <w:ind w:left="247"/>
              <w:rPr>
                <w:highlight w:val="none"/>
              </w:rPr>
            </w:pPr>
            <w:r>
              <w:rPr>
                <w:b/>
                <w:bCs/>
                <w:spacing w:val="-5"/>
                <w:highlight w:val="none"/>
              </w:rPr>
              <w:t>条款号</w:t>
            </w:r>
          </w:p>
        </w:tc>
        <w:tc>
          <w:tcPr>
            <w:tcW w:w="2627" w:type="dxa"/>
            <w:vAlign w:val="top"/>
          </w:tcPr>
          <w:p w14:paraId="31CC2591">
            <w:pPr>
              <w:pStyle w:val="6"/>
              <w:spacing w:before="290" w:line="219" w:lineRule="auto"/>
              <w:ind w:left="544"/>
              <w:rPr>
                <w:highlight w:val="none"/>
              </w:rPr>
            </w:pPr>
            <w:r>
              <w:rPr>
                <w:b/>
                <w:bCs/>
                <w:spacing w:val="-10"/>
                <w:highlight w:val="none"/>
              </w:rPr>
              <w:t>条</w:t>
            </w:r>
            <w:r>
              <w:rPr>
                <w:spacing w:val="15"/>
                <w:highlight w:val="none"/>
              </w:rPr>
              <w:t xml:space="preserve">  </w:t>
            </w:r>
            <w:r>
              <w:rPr>
                <w:b/>
                <w:bCs/>
                <w:spacing w:val="-10"/>
                <w:highlight w:val="none"/>
              </w:rPr>
              <w:t>款</w:t>
            </w:r>
            <w:r>
              <w:rPr>
                <w:spacing w:val="16"/>
                <w:highlight w:val="none"/>
              </w:rPr>
              <w:t xml:space="preserve">  </w:t>
            </w:r>
            <w:r>
              <w:rPr>
                <w:b/>
                <w:bCs/>
                <w:spacing w:val="-10"/>
                <w:highlight w:val="none"/>
              </w:rPr>
              <w:t>名</w:t>
            </w:r>
            <w:r>
              <w:rPr>
                <w:spacing w:val="15"/>
                <w:highlight w:val="none"/>
              </w:rPr>
              <w:t xml:space="preserve">  </w:t>
            </w:r>
            <w:r>
              <w:rPr>
                <w:b/>
                <w:bCs/>
                <w:spacing w:val="-10"/>
                <w:highlight w:val="none"/>
              </w:rPr>
              <w:t>称</w:t>
            </w:r>
          </w:p>
        </w:tc>
        <w:tc>
          <w:tcPr>
            <w:tcW w:w="5239" w:type="dxa"/>
            <w:vAlign w:val="top"/>
          </w:tcPr>
          <w:p w14:paraId="1F9680BD">
            <w:pPr>
              <w:pStyle w:val="6"/>
              <w:spacing w:before="290" w:line="219" w:lineRule="auto"/>
              <w:ind w:left="1876"/>
              <w:rPr>
                <w:highlight w:val="none"/>
              </w:rPr>
            </w:pPr>
            <w:r>
              <w:rPr>
                <w:b/>
                <w:bCs/>
                <w:spacing w:val="-17"/>
                <w:highlight w:val="none"/>
              </w:rPr>
              <w:t>编</w:t>
            </w:r>
            <w:r>
              <w:rPr>
                <w:spacing w:val="18"/>
                <w:highlight w:val="none"/>
              </w:rPr>
              <w:t xml:space="preserve">  </w:t>
            </w:r>
            <w:r>
              <w:rPr>
                <w:b/>
                <w:bCs/>
                <w:spacing w:val="-17"/>
                <w:highlight w:val="none"/>
              </w:rPr>
              <w:t>列</w:t>
            </w:r>
            <w:r>
              <w:rPr>
                <w:spacing w:val="27"/>
                <w:highlight w:val="none"/>
              </w:rPr>
              <w:t xml:space="preserve">  </w:t>
            </w:r>
            <w:r>
              <w:rPr>
                <w:b/>
                <w:bCs/>
                <w:spacing w:val="-17"/>
                <w:highlight w:val="none"/>
              </w:rPr>
              <w:t>内</w:t>
            </w:r>
            <w:r>
              <w:rPr>
                <w:spacing w:val="16"/>
                <w:highlight w:val="none"/>
              </w:rPr>
              <w:t xml:space="preserve">  </w:t>
            </w:r>
            <w:r>
              <w:rPr>
                <w:b/>
                <w:bCs/>
                <w:spacing w:val="-17"/>
                <w:highlight w:val="none"/>
              </w:rPr>
              <w:t>容</w:t>
            </w:r>
          </w:p>
        </w:tc>
      </w:tr>
      <w:tr w14:paraId="5019F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8" w:hRule="atLeast"/>
        </w:trPr>
        <w:tc>
          <w:tcPr>
            <w:tcW w:w="1134" w:type="dxa"/>
            <w:vAlign w:val="top"/>
          </w:tcPr>
          <w:p w14:paraId="2FC01055">
            <w:pPr>
              <w:spacing w:line="278" w:lineRule="auto"/>
              <w:rPr>
                <w:rFonts w:ascii="Arial"/>
                <w:sz w:val="21"/>
                <w:highlight w:val="none"/>
              </w:rPr>
            </w:pPr>
          </w:p>
          <w:p w14:paraId="7305A9FA">
            <w:pPr>
              <w:spacing w:line="278" w:lineRule="auto"/>
              <w:rPr>
                <w:rFonts w:ascii="Arial"/>
                <w:sz w:val="21"/>
                <w:highlight w:val="none"/>
              </w:rPr>
            </w:pPr>
          </w:p>
          <w:p w14:paraId="3E3DC69E">
            <w:pPr>
              <w:spacing w:line="278" w:lineRule="auto"/>
              <w:rPr>
                <w:rFonts w:ascii="Arial"/>
                <w:sz w:val="21"/>
                <w:highlight w:val="none"/>
              </w:rPr>
            </w:pPr>
          </w:p>
          <w:p w14:paraId="5DDE90DB">
            <w:pPr>
              <w:pStyle w:val="6"/>
              <w:spacing w:before="69" w:line="239" w:lineRule="auto"/>
              <w:ind w:left="298"/>
              <w:rPr>
                <w:highlight w:val="none"/>
              </w:rPr>
            </w:pPr>
            <w:r>
              <w:rPr>
                <w:b/>
                <w:bCs/>
                <w:spacing w:val="-7"/>
                <w:highlight w:val="none"/>
              </w:rPr>
              <w:t>1.1.2</w:t>
            </w:r>
          </w:p>
        </w:tc>
        <w:tc>
          <w:tcPr>
            <w:tcW w:w="2627" w:type="dxa"/>
            <w:vAlign w:val="top"/>
          </w:tcPr>
          <w:p w14:paraId="64AB0FA4">
            <w:pPr>
              <w:spacing w:line="272" w:lineRule="auto"/>
              <w:rPr>
                <w:rFonts w:ascii="Arial"/>
                <w:sz w:val="21"/>
                <w:highlight w:val="none"/>
              </w:rPr>
            </w:pPr>
          </w:p>
          <w:p w14:paraId="24AB231F">
            <w:pPr>
              <w:spacing w:line="272" w:lineRule="auto"/>
              <w:rPr>
                <w:rFonts w:ascii="Arial"/>
                <w:sz w:val="21"/>
                <w:highlight w:val="none"/>
              </w:rPr>
            </w:pPr>
          </w:p>
          <w:p w14:paraId="3BF80E8F">
            <w:pPr>
              <w:spacing w:line="273" w:lineRule="auto"/>
              <w:rPr>
                <w:rFonts w:ascii="Arial"/>
                <w:sz w:val="21"/>
                <w:highlight w:val="none"/>
              </w:rPr>
            </w:pPr>
          </w:p>
          <w:p w14:paraId="77975908">
            <w:pPr>
              <w:pStyle w:val="6"/>
              <w:spacing w:before="68" w:line="220" w:lineRule="auto"/>
              <w:ind w:left="990"/>
              <w:rPr>
                <w:highlight w:val="none"/>
              </w:rPr>
            </w:pPr>
            <w:r>
              <w:rPr>
                <w:spacing w:val="-3"/>
                <w:highlight w:val="none"/>
              </w:rPr>
              <w:t>招标人</w:t>
            </w:r>
          </w:p>
        </w:tc>
        <w:tc>
          <w:tcPr>
            <w:tcW w:w="5239" w:type="dxa"/>
            <w:vAlign w:val="top"/>
          </w:tcPr>
          <w:p w14:paraId="2F93BE9E">
            <w:pPr>
              <w:pStyle w:val="6"/>
              <w:spacing w:before="149" w:line="219" w:lineRule="auto"/>
              <w:ind w:left="143"/>
              <w:rPr>
                <w:rFonts w:hint="eastAsia" w:eastAsia="宋体"/>
                <w:highlight w:val="none"/>
                <w:lang w:eastAsia="zh-CN"/>
              </w:rPr>
            </w:pPr>
            <w:r>
              <w:rPr>
                <w:spacing w:val="-11"/>
                <w:highlight w:val="none"/>
              </w:rPr>
              <w:t>名 称</w:t>
            </w:r>
            <w:r>
              <w:rPr>
                <w:spacing w:val="-18"/>
                <w:highlight w:val="none"/>
              </w:rPr>
              <w:t xml:space="preserve"> </w:t>
            </w:r>
            <w:r>
              <w:rPr>
                <w:spacing w:val="-11"/>
                <w:highlight w:val="none"/>
              </w:rPr>
              <w:t>：</w:t>
            </w:r>
            <w:r>
              <w:rPr>
                <w:rFonts w:hint="eastAsia"/>
                <w:color w:val="0000FF"/>
                <w:spacing w:val="-11"/>
                <w:highlight w:val="none"/>
                <w:lang w:eastAsia="zh-CN"/>
              </w:rPr>
              <w:t>麻城市黄金桥街道黄金桥社区居民委员会</w:t>
            </w:r>
          </w:p>
          <w:p w14:paraId="65619665">
            <w:pPr>
              <w:pStyle w:val="6"/>
              <w:spacing w:before="149" w:line="219" w:lineRule="auto"/>
              <w:ind w:left="143"/>
              <w:rPr>
                <w:rFonts w:hint="eastAsia"/>
                <w:color w:val="0000FF"/>
                <w:spacing w:val="-11"/>
                <w:highlight w:val="none"/>
                <w:lang w:eastAsia="zh-CN"/>
              </w:rPr>
            </w:pPr>
            <w:r>
              <w:rPr>
                <w:spacing w:val="-8"/>
                <w:highlight w:val="none"/>
              </w:rPr>
              <w:t>地 址</w:t>
            </w:r>
            <w:r>
              <w:rPr>
                <w:spacing w:val="-19"/>
                <w:highlight w:val="none"/>
              </w:rPr>
              <w:t xml:space="preserve"> </w:t>
            </w:r>
            <w:r>
              <w:rPr>
                <w:spacing w:val="-8"/>
                <w:highlight w:val="none"/>
              </w:rPr>
              <w:t>：</w:t>
            </w:r>
            <w:r>
              <w:rPr>
                <w:rFonts w:hint="eastAsia"/>
                <w:color w:val="0000FF"/>
                <w:spacing w:val="-11"/>
                <w:highlight w:val="none"/>
                <w:lang w:eastAsia="zh-CN"/>
              </w:rPr>
              <w:t>湖北省麻城市黄金桥街道金桥大道155号</w:t>
            </w:r>
          </w:p>
          <w:p w14:paraId="3566BC3D">
            <w:pPr>
              <w:pStyle w:val="6"/>
              <w:spacing w:before="149" w:line="219" w:lineRule="auto"/>
              <w:ind w:left="143"/>
              <w:rPr>
                <w:rFonts w:hint="default"/>
                <w:color w:val="0000FF"/>
                <w:spacing w:val="-11"/>
                <w:highlight w:val="none"/>
                <w:lang w:val="en-US" w:eastAsia="zh-CN"/>
              </w:rPr>
            </w:pPr>
            <w:r>
              <w:rPr>
                <w:rFonts w:hint="eastAsia"/>
                <w:color w:val="auto"/>
                <w:spacing w:val="-11"/>
                <w:highlight w:val="none"/>
                <w:lang w:eastAsia="zh-CN"/>
              </w:rPr>
              <w:t>联系人</w:t>
            </w:r>
            <w:r>
              <w:rPr>
                <w:rFonts w:hint="eastAsia"/>
                <w:color w:val="0000FF"/>
                <w:spacing w:val="-11"/>
                <w:highlight w:val="none"/>
                <w:lang w:eastAsia="zh-CN"/>
              </w:rPr>
              <w:t>：</w:t>
            </w:r>
            <w:r>
              <w:rPr>
                <w:rFonts w:hint="eastAsia"/>
                <w:color w:val="0000FF"/>
                <w:spacing w:val="-11"/>
                <w:highlight w:val="none"/>
                <w:lang w:val="en-US" w:eastAsia="zh-CN"/>
              </w:rPr>
              <w:t>刘钢锋</w:t>
            </w:r>
          </w:p>
          <w:p w14:paraId="756DFF07">
            <w:pPr>
              <w:pStyle w:val="6"/>
              <w:spacing w:before="149" w:line="199" w:lineRule="auto"/>
              <w:ind w:left="143"/>
              <w:rPr>
                <w:rFonts w:hint="default" w:eastAsia="宋体"/>
                <w:highlight w:val="none"/>
                <w:lang w:val="en-US" w:eastAsia="zh-CN"/>
              </w:rPr>
            </w:pPr>
            <w:r>
              <w:rPr>
                <w:spacing w:val="-16"/>
                <w:highlight w:val="none"/>
              </w:rPr>
              <w:t>电 话 ：</w:t>
            </w:r>
            <w:r>
              <w:rPr>
                <w:rFonts w:hint="eastAsia"/>
                <w:color w:val="0000FF"/>
                <w:spacing w:val="-11"/>
                <w:highlight w:val="none"/>
                <w:lang w:eastAsia="zh-CN"/>
              </w:rPr>
              <w:t>1</w:t>
            </w:r>
            <w:r>
              <w:rPr>
                <w:rFonts w:hint="eastAsia"/>
                <w:color w:val="0000FF"/>
                <w:spacing w:val="-11"/>
                <w:highlight w:val="none"/>
                <w:lang w:val="en-US" w:eastAsia="zh-CN"/>
              </w:rPr>
              <w:t>3409671282</w:t>
            </w:r>
          </w:p>
        </w:tc>
      </w:tr>
      <w:tr w14:paraId="4F357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8" w:hRule="atLeast"/>
        </w:trPr>
        <w:tc>
          <w:tcPr>
            <w:tcW w:w="1134" w:type="dxa"/>
            <w:vAlign w:val="top"/>
          </w:tcPr>
          <w:p w14:paraId="374B8156">
            <w:pPr>
              <w:spacing w:line="262" w:lineRule="auto"/>
              <w:rPr>
                <w:rFonts w:ascii="Arial"/>
                <w:sz w:val="21"/>
                <w:highlight w:val="none"/>
              </w:rPr>
            </w:pPr>
          </w:p>
          <w:p w14:paraId="05F2266A">
            <w:pPr>
              <w:spacing w:line="262" w:lineRule="auto"/>
              <w:rPr>
                <w:rFonts w:ascii="Arial"/>
                <w:sz w:val="21"/>
                <w:highlight w:val="none"/>
              </w:rPr>
            </w:pPr>
          </w:p>
          <w:p w14:paraId="02DA408B">
            <w:pPr>
              <w:spacing w:line="263" w:lineRule="auto"/>
              <w:rPr>
                <w:rFonts w:ascii="Arial"/>
                <w:sz w:val="21"/>
                <w:highlight w:val="none"/>
              </w:rPr>
            </w:pPr>
          </w:p>
          <w:p w14:paraId="7C9F1EC0">
            <w:pPr>
              <w:pStyle w:val="6"/>
              <w:spacing w:before="68" w:line="239" w:lineRule="auto"/>
              <w:ind w:left="298"/>
              <w:rPr>
                <w:highlight w:val="none"/>
              </w:rPr>
            </w:pPr>
            <w:r>
              <w:rPr>
                <w:b/>
                <w:bCs/>
                <w:spacing w:val="-7"/>
                <w:highlight w:val="none"/>
              </w:rPr>
              <w:t>1.1.3</w:t>
            </w:r>
          </w:p>
        </w:tc>
        <w:tc>
          <w:tcPr>
            <w:tcW w:w="2627" w:type="dxa"/>
            <w:vAlign w:val="top"/>
          </w:tcPr>
          <w:p w14:paraId="61827EC7">
            <w:pPr>
              <w:spacing w:line="255" w:lineRule="auto"/>
              <w:rPr>
                <w:rFonts w:ascii="Arial"/>
                <w:sz w:val="21"/>
                <w:highlight w:val="none"/>
              </w:rPr>
            </w:pPr>
          </w:p>
          <w:p w14:paraId="6036C2DC">
            <w:pPr>
              <w:spacing w:line="256" w:lineRule="auto"/>
              <w:rPr>
                <w:rFonts w:ascii="Arial"/>
                <w:sz w:val="21"/>
                <w:highlight w:val="none"/>
              </w:rPr>
            </w:pPr>
          </w:p>
          <w:p w14:paraId="4C7D57AD">
            <w:pPr>
              <w:spacing w:line="256" w:lineRule="auto"/>
              <w:rPr>
                <w:rFonts w:ascii="Arial"/>
                <w:sz w:val="21"/>
                <w:highlight w:val="none"/>
              </w:rPr>
            </w:pPr>
          </w:p>
          <w:p w14:paraId="329B3CD7">
            <w:pPr>
              <w:pStyle w:val="6"/>
              <w:spacing w:before="68" w:line="219" w:lineRule="auto"/>
              <w:ind w:left="670"/>
              <w:rPr>
                <w:highlight w:val="none"/>
              </w:rPr>
            </w:pPr>
            <w:r>
              <w:rPr>
                <w:spacing w:val="2"/>
                <w:highlight w:val="none"/>
              </w:rPr>
              <w:t>招标代理机构</w:t>
            </w:r>
          </w:p>
        </w:tc>
        <w:tc>
          <w:tcPr>
            <w:tcW w:w="5239" w:type="dxa"/>
            <w:vAlign w:val="top"/>
          </w:tcPr>
          <w:p w14:paraId="08F19612">
            <w:pPr>
              <w:pStyle w:val="6"/>
              <w:spacing w:before="281" w:line="219" w:lineRule="auto"/>
              <w:ind w:left="143"/>
              <w:rPr>
                <w:rFonts w:hint="eastAsia" w:eastAsia="宋体"/>
                <w:highlight w:val="none"/>
                <w:lang w:eastAsia="zh-CN"/>
              </w:rPr>
            </w:pPr>
            <w:r>
              <w:rPr>
                <w:spacing w:val="-9"/>
                <w:highlight w:val="none"/>
              </w:rPr>
              <w:t>名 称</w:t>
            </w:r>
            <w:r>
              <w:rPr>
                <w:spacing w:val="-21"/>
                <w:highlight w:val="none"/>
              </w:rPr>
              <w:t xml:space="preserve"> </w:t>
            </w:r>
            <w:r>
              <w:rPr>
                <w:spacing w:val="-9"/>
                <w:highlight w:val="none"/>
              </w:rPr>
              <w:t>：</w:t>
            </w:r>
            <w:r>
              <w:rPr>
                <w:rFonts w:hint="eastAsia"/>
                <w:color w:val="0000FF"/>
                <w:spacing w:val="-9"/>
                <w:highlight w:val="none"/>
                <w:lang w:eastAsia="zh-CN"/>
              </w:rPr>
              <w:t>湖北烨鑫工程项目管理有限公司</w:t>
            </w:r>
          </w:p>
          <w:p w14:paraId="2BDB6619">
            <w:pPr>
              <w:pStyle w:val="6"/>
              <w:spacing w:before="150" w:line="219" w:lineRule="auto"/>
              <w:ind w:left="143"/>
              <w:rPr>
                <w:rFonts w:hint="default" w:eastAsia="宋体"/>
                <w:highlight w:val="none"/>
                <w:lang w:val="en-US" w:eastAsia="zh-CN"/>
              </w:rPr>
            </w:pPr>
            <w:r>
              <w:rPr>
                <w:spacing w:val="-11"/>
                <w:highlight w:val="none"/>
              </w:rPr>
              <w:t>地 址</w:t>
            </w:r>
            <w:r>
              <w:rPr>
                <w:spacing w:val="-22"/>
                <w:highlight w:val="none"/>
              </w:rPr>
              <w:t xml:space="preserve"> </w:t>
            </w:r>
            <w:r>
              <w:rPr>
                <w:spacing w:val="-11"/>
                <w:highlight w:val="none"/>
              </w:rPr>
              <w:t>：</w:t>
            </w:r>
            <w:r>
              <w:rPr>
                <w:color w:val="0000FF"/>
                <w:spacing w:val="-11"/>
                <w:highlight w:val="none"/>
              </w:rPr>
              <w:t>麻城市</w:t>
            </w:r>
            <w:r>
              <w:rPr>
                <w:rFonts w:hint="eastAsia"/>
                <w:color w:val="0000FF"/>
                <w:spacing w:val="-11"/>
                <w:highlight w:val="none"/>
                <w:lang w:val="en-US" w:eastAsia="zh-CN"/>
              </w:rPr>
              <w:t>商贸物流城</w:t>
            </w:r>
          </w:p>
          <w:p w14:paraId="35632DA7">
            <w:pPr>
              <w:pStyle w:val="6"/>
              <w:spacing w:before="173" w:line="221" w:lineRule="auto"/>
              <w:ind w:left="143"/>
              <w:rPr>
                <w:rFonts w:hint="default" w:eastAsia="宋体"/>
                <w:highlight w:val="none"/>
                <w:lang w:val="en-US" w:eastAsia="zh-CN"/>
              </w:rPr>
            </w:pPr>
            <w:r>
              <w:rPr>
                <w:spacing w:val="-5"/>
                <w:highlight w:val="none"/>
              </w:rPr>
              <w:t>联系人</w:t>
            </w:r>
            <w:r>
              <w:rPr>
                <w:spacing w:val="-49"/>
                <w:highlight w:val="none"/>
              </w:rPr>
              <w:t xml:space="preserve"> </w:t>
            </w:r>
            <w:r>
              <w:rPr>
                <w:spacing w:val="-5"/>
                <w:highlight w:val="none"/>
              </w:rPr>
              <w:t>：</w:t>
            </w:r>
            <w:r>
              <w:rPr>
                <w:rFonts w:hint="eastAsia"/>
                <w:color w:val="0000FF"/>
                <w:spacing w:val="-5"/>
                <w:highlight w:val="none"/>
                <w:lang w:val="en-US" w:eastAsia="zh-CN"/>
              </w:rPr>
              <w:t>王冬霞</w:t>
            </w:r>
          </w:p>
          <w:p w14:paraId="44CC2587">
            <w:pPr>
              <w:pStyle w:val="6"/>
              <w:spacing w:before="148" w:line="221" w:lineRule="auto"/>
              <w:ind w:left="143"/>
              <w:rPr>
                <w:rFonts w:hint="default" w:eastAsia="宋体"/>
                <w:highlight w:val="none"/>
                <w:lang w:val="en-US" w:eastAsia="zh-CN"/>
              </w:rPr>
            </w:pPr>
            <w:r>
              <w:rPr>
                <w:spacing w:val="-16"/>
                <w:highlight w:val="none"/>
              </w:rPr>
              <w:t>电 话 ：</w:t>
            </w:r>
            <w:r>
              <w:rPr>
                <w:color w:val="0000FF"/>
                <w:spacing w:val="-16"/>
                <w:highlight w:val="none"/>
              </w:rPr>
              <w:t>1</w:t>
            </w:r>
            <w:r>
              <w:rPr>
                <w:rFonts w:hint="eastAsia"/>
                <w:color w:val="0000FF"/>
                <w:spacing w:val="-16"/>
                <w:highlight w:val="none"/>
                <w:lang w:val="en-US" w:eastAsia="zh-CN"/>
              </w:rPr>
              <w:t>8772483887</w:t>
            </w:r>
          </w:p>
        </w:tc>
      </w:tr>
      <w:tr w14:paraId="26184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8" w:hRule="atLeast"/>
        </w:trPr>
        <w:tc>
          <w:tcPr>
            <w:tcW w:w="1134" w:type="dxa"/>
            <w:vAlign w:val="top"/>
          </w:tcPr>
          <w:p w14:paraId="1A7E5388">
            <w:pPr>
              <w:spacing w:line="256" w:lineRule="auto"/>
              <w:rPr>
                <w:rFonts w:ascii="Arial"/>
                <w:sz w:val="21"/>
                <w:highlight w:val="none"/>
              </w:rPr>
            </w:pPr>
          </w:p>
          <w:p w14:paraId="5A9DF9F5">
            <w:pPr>
              <w:spacing w:line="256" w:lineRule="auto"/>
              <w:rPr>
                <w:rFonts w:ascii="Arial"/>
                <w:sz w:val="21"/>
                <w:highlight w:val="none"/>
              </w:rPr>
            </w:pPr>
          </w:p>
          <w:p w14:paraId="0011F494">
            <w:pPr>
              <w:spacing w:line="257" w:lineRule="auto"/>
              <w:rPr>
                <w:rFonts w:ascii="Arial"/>
                <w:sz w:val="21"/>
                <w:highlight w:val="none"/>
              </w:rPr>
            </w:pPr>
          </w:p>
          <w:p w14:paraId="74B329F5">
            <w:pPr>
              <w:pStyle w:val="6"/>
              <w:spacing w:before="68" w:line="239" w:lineRule="auto"/>
              <w:ind w:left="298"/>
              <w:rPr>
                <w:highlight w:val="none"/>
              </w:rPr>
            </w:pPr>
            <w:r>
              <w:rPr>
                <w:b/>
                <w:bCs/>
                <w:spacing w:val="-7"/>
                <w:highlight w:val="none"/>
              </w:rPr>
              <w:t>1.1.3</w:t>
            </w:r>
          </w:p>
        </w:tc>
        <w:tc>
          <w:tcPr>
            <w:tcW w:w="2627" w:type="dxa"/>
            <w:vAlign w:val="top"/>
          </w:tcPr>
          <w:p w14:paraId="454BEE82">
            <w:pPr>
              <w:spacing w:line="249" w:lineRule="auto"/>
              <w:rPr>
                <w:rFonts w:ascii="Arial"/>
                <w:sz w:val="21"/>
                <w:highlight w:val="none"/>
              </w:rPr>
            </w:pPr>
          </w:p>
          <w:p w14:paraId="1DF47675">
            <w:pPr>
              <w:spacing w:line="249" w:lineRule="auto"/>
              <w:rPr>
                <w:rFonts w:ascii="Arial"/>
                <w:sz w:val="21"/>
                <w:highlight w:val="none"/>
              </w:rPr>
            </w:pPr>
          </w:p>
          <w:p w14:paraId="259446DF">
            <w:pPr>
              <w:spacing w:line="250" w:lineRule="auto"/>
              <w:rPr>
                <w:rFonts w:ascii="Arial"/>
                <w:sz w:val="21"/>
                <w:highlight w:val="none"/>
              </w:rPr>
            </w:pPr>
          </w:p>
          <w:p w14:paraId="74EFB69B">
            <w:pPr>
              <w:pStyle w:val="6"/>
              <w:spacing w:before="69" w:line="218" w:lineRule="auto"/>
              <w:ind w:left="781"/>
              <w:rPr>
                <w:highlight w:val="none"/>
              </w:rPr>
            </w:pPr>
            <w:r>
              <w:rPr>
                <w:spacing w:val="-2"/>
                <w:highlight w:val="none"/>
              </w:rPr>
              <w:t>造价咨询人</w:t>
            </w:r>
          </w:p>
        </w:tc>
        <w:tc>
          <w:tcPr>
            <w:tcW w:w="5239" w:type="dxa"/>
            <w:vAlign w:val="top"/>
          </w:tcPr>
          <w:p w14:paraId="488B78BC">
            <w:pPr>
              <w:rPr>
                <w:rFonts w:ascii="Arial"/>
                <w:sz w:val="21"/>
                <w:highlight w:val="none"/>
              </w:rPr>
            </w:pPr>
          </w:p>
        </w:tc>
      </w:tr>
      <w:tr w14:paraId="0F9B8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9" w:hRule="atLeast"/>
        </w:trPr>
        <w:tc>
          <w:tcPr>
            <w:tcW w:w="1134" w:type="dxa"/>
            <w:vAlign w:val="top"/>
          </w:tcPr>
          <w:p w14:paraId="56200A54">
            <w:pPr>
              <w:spacing w:line="260" w:lineRule="auto"/>
              <w:rPr>
                <w:rFonts w:ascii="Arial"/>
                <w:sz w:val="21"/>
                <w:highlight w:val="none"/>
              </w:rPr>
            </w:pPr>
          </w:p>
          <w:p w14:paraId="76BB3082">
            <w:pPr>
              <w:spacing w:line="260" w:lineRule="auto"/>
              <w:rPr>
                <w:rFonts w:ascii="Arial"/>
                <w:sz w:val="21"/>
                <w:highlight w:val="none"/>
              </w:rPr>
            </w:pPr>
          </w:p>
          <w:p w14:paraId="68B84F5B">
            <w:pPr>
              <w:spacing w:line="261" w:lineRule="auto"/>
              <w:rPr>
                <w:rFonts w:ascii="Arial"/>
                <w:sz w:val="21"/>
                <w:highlight w:val="none"/>
              </w:rPr>
            </w:pPr>
          </w:p>
          <w:p w14:paraId="56FCD700">
            <w:pPr>
              <w:pStyle w:val="6"/>
              <w:spacing w:before="68" w:line="239" w:lineRule="auto"/>
              <w:ind w:left="298"/>
              <w:rPr>
                <w:highlight w:val="none"/>
              </w:rPr>
            </w:pPr>
            <w:r>
              <w:rPr>
                <w:b/>
                <w:bCs/>
                <w:spacing w:val="-7"/>
                <w:highlight w:val="none"/>
              </w:rPr>
              <w:t>1.1.4</w:t>
            </w:r>
          </w:p>
        </w:tc>
        <w:tc>
          <w:tcPr>
            <w:tcW w:w="2627" w:type="dxa"/>
            <w:vAlign w:val="top"/>
          </w:tcPr>
          <w:p w14:paraId="7EB52BA3">
            <w:pPr>
              <w:spacing w:line="255" w:lineRule="auto"/>
              <w:rPr>
                <w:rFonts w:ascii="Arial"/>
                <w:sz w:val="21"/>
                <w:highlight w:val="none"/>
              </w:rPr>
            </w:pPr>
          </w:p>
          <w:p w14:paraId="2155BE78">
            <w:pPr>
              <w:spacing w:line="255" w:lineRule="auto"/>
              <w:rPr>
                <w:rFonts w:ascii="Arial"/>
                <w:sz w:val="21"/>
                <w:highlight w:val="none"/>
              </w:rPr>
            </w:pPr>
          </w:p>
          <w:p w14:paraId="34A484D7">
            <w:pPr>
              <w:spacing w:line="256" w:lineRule="auto"/>
              <w:rPr>
                <w:rFonts w:ascii="Arial"/>
                <w:sz w:val="21"/>
                <w:highlight w:val="none"/>
              </w:rPr>
            </w:pPr>
          </w:p>
          <w:p w14:paraId="59F5171B">
            <w:pPr>
              <w:pStyle w:val="6"/>
              <w:spacing w:before="68" w:line="222" w:lineRule="auto"/>
              <w:ind w:left="990"/>
              <w:rPr>
                <w:highlight w:val="none"/>
              </w:rPr>
            </w:pPr>
            <w:r>
              <w:rPr>
                <w:spacing w:val="-3"/>
                <w:highlight w:val="none"/>
              </w:rPr>
              <w:t>监理人</w:t>
            </w:r>
          </w:p>
        </w:tc>
        <w:tc>
          <w:tcPr>
            <w:tcW w:w="5239" w:type="dxa"/>
            <w:vAlign w:val="top"/>
          </w:tcPr>
          <w:p w14:paraId="563A5543">
            <w:pPr>
              <w:rPr>
                <w:rFonts w:ascii="Arial"/>
                <w:sz w:val="21"/>
                <w:highlight w:val="none"/>
              </w:rPr>
            </w:pPr>
          </w:p>
        </w:tc>
      </w:tr>
      <w:tr w14:paraId="6060A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8" w:hRule="atLeast"/>
        </w:trPr>
        <w:tc>
          <w:tcPr>
            <w:tcW w:w="1134" w:type="dxa"/>
            <w:vAlign w:val="top"/>
          </w:tcPr>
          <w:p w14:paraId="34614DE3">
            <w:pPr>
              <w:spacing w:line="260" w:lineRule="auto"/>
              <w:rPr>
                <w:rFonts w:ascii="Arial"/>
                <w:sz w:val="21"/>
                <w:highlight w:val="none"/>
              </w:rPr>
            </w:pPr>
          </w:p>
          <w:p w14:paraId="4E9765DC">
            <w:pPr>
              <w:spacing w:line="261" w:lineRule="auto"/>
              <w:rPr>
                <w:rFonts w:ascii="Arial"/>
                <w:sz w:val="21"/>
                <w:highlight w:val="none"/>
              </w:rPr>
            </w:pPr>
          </w:p>
          <w:p w14:paraId="3E2005B7">
            <w:pPr>
              <w:spacing w:line="261" w:lineRule="auto"/>
              <w:rPr>
                <w:rFonts w:ascii="Arial"/>
                <w:sz w:val="21"/>
                <w:highlight w:val="none"/>
              </w:rPr>
            </w:pPr>
          </w:p>
          <w:p w14:paraId="612E7279">
            <w:pPr>
              <w:pStyle w:val="6"/>
              <w:spacing w:before="68" w:line="239" w:lineRule="auto"/>
              <w:ind w:left="298"/>
              <w:rPr>
                <w:highlight w:val="none"/>
              </w:rPr>
            </w:pPr>
            <w:r>
              <w:rPr>
                <w:b/>
                <w:bCs/>
                <w:spacing w:val="-7"/>
                <w:highlight w:val="none"/>
              </w:rPr>
              <w:t>1.1.4</w:t>
            </w:r>
          </w:p>
        </w:tc>
        <w:tc>
          <w:tcPr>
            <w:tcW w:w="2627" w:type="dxa"/>
            <w:vAlign w:val="top"/>
          </w:tcPr>
          <w:p w14:paraId="2B812ED6">
            <w:pPr>
              <w:spacing w:line="254" w:lineRule="auto"/>
              <w:rPr>
                <w:rFonts w:ascii="Arial"/>
                <w:sz w:val="21"/>
                <w:highlight w:val="none"/>
              </w:rPr>
            </w:pPr>
          </w:p>
          <w:p w14:paraId="3098999C">
            <w:pPr>
              <w:spacing w:line="254" w:lineRule="auto"/>
              <w:rPr>
                <w:rFonts w:ascii="Arial"/>
                <w:sz w:val="21"/>
                <w:highlight w:val="none"/>
              </w:rPr>
            </w:pPr>
          </w:p>
          <w:p w14:paraId="5C431DCE">
            <w:pPr>
              <w:spacing w:line="255" w:lineRule="auto"/>
              <w:rPr>
                <w:rFonts w:ascii="Arial"/>
                <w:sz w:val="21"/>
                <w:highlight w:val="none"/>
              </w:rPr>
            </w:pPr>
          </w:p>
          <w:p w14:paraId="5826A4E7">
            <w:pPr>
              <w:pStyle w:val="6"/>
              <w:spacing w:before="68" w:line="219" w:lineRule="auto"/>
              <w:ind w:left="670"/>
              <w:rPr>
                <w:highlight w:val="none"/>
              </w:rPr>
            </w:pPr>
            <w:r>
              <w:rPr>
                <w:spacing w:val="-2"/>
                <w:highlight w:val="none"/>
              </w:rPr>
              <w:t>项目管理单位</w:t>
            </w:r>
          </w:p>
        </w:tc>
        <w:tc>
          <w:tcPr>
            <w:tcW w:w="5239" w:type="dxa"/>
            <w:vAlign w:val="top"/>
          </w:tcPr>
          <w:p w14:paraId="051BA2D5">
            <w:pPr>
              <w:rPr>
                <w:rFonts w:ascii="Arial"/>
                <w:sz w:val="21"/>
                <w:highlight w:val="none"/>
              </w:rPr>
            </w:pPr>
          </w:p>
        </w:tc>
      </w:tr>
      <w:tr w14:paraId="26F27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atLeast"/>
        </w:trPr>
        <w:tc>
          <w:tcPr>
            <w:tcW w:w="1134" w:type="dxa"/>
            <w:vAlign w:val="top"/>
          </w:tcPr>
          <w:p w14:paraId="0B579C7C">
            <w:pPr>
              <w:spacing w:line="247" w:lineRule="auto"/>
              <w:rPr>
                <w:rFonts w:ascii="Arial"/>
                <w:sz w:val="21"/>
                <w:highlight w:val="none"/>
              </w:rPr>
            </w:pPr>
          </w:p>
          <w:p w14:paraId="6B1308F7">
            <w:pPr>
              <w:spacing w:line="248" w:lineRule="auto"/>
              <w:rPr>
                <w:rFonts w:ascii="Arial"/>
                <w:sz w:val="21"/>
                <w:highlight w:val="none"/>
              </w:rPr>
            </w:pPr>
          </w:p>
          <w:p w14:paraId="6075D6B5">
            <w:pPr>
              <w:pStyle w:val="6"/>
              <w:spacing w:before="69" w:line="239" w:lineRule="auto"/>
              <w:ind w:left="298"/>
              <w:rPr>
                <w:highlight w:val="none"/>
              </w:rPr>
            </w:pPr>
            <w:r>
              <w:rPr>
                <w:b/>
                <w:bCs/>
                <w:spacing w:val="-7"/>
                <w:highlight w:val="none"/>
              </w:rPr>
              <w:t>1.1.5</w:t>
            </w:r>
          </w:p>
        </w:tc>
        <w:tc>
          <w:tcPr>
            <w:tcW w:w="2627" w:type="dxa"/>
            <w:vAlign w:val="top"/>
          </w:tcPr>
          <w:p w14:paraId="1B3D4913">
            <w:pPr>
              <w:spacing w:line="477" w:lineRule="auto"/>
              <w:rPr>
                <w:rFonts w:ascii="Arial"/>
                <w:sz w:val="21"/>
                <w:highlight w:val="none"/>
              </w:rPr>
            </w:pPr>
          </w:p>
          <w:p w14:paraId="1CD907BA">
            <w:pPr>
              <w:pStyle w:val="6"/>
              <w:spacing w:before="68" w:line="219" w:lineRule="auto"/>
              <w:ind w:left="990"/>
              <w:rPr>
                <w:highlight w:val="none"/>
              </w:rPr>
            </w:pPr>
            <w:r>
              <w:rPr>
                <w:spacing w:val="-2"/>
                <w:highlight w:val="none"/>
              </w:rPr>
              <w:t>代建人</w:t>
            </w:r>
          </w:p>
        </w:tc>
        <w:tc>
          <w:tcPr>
            <w:tcW w:w="5239" w:type="dxa"/>
            <w:vAlign w:val="top"/>
          </w:tcPr>
          <w:p w14:paraId="64475D7A">
            <w:pPr>
              <w:rPr>
                <w:rFonts w:ascii="Arial"/>
                <w:sz w:val="21"/>
                <w:highlight w:val="none"/>
              </w:rPr>
            </w:pPr>
          </w:p>
        </w:tc>
      </w:tr>
      <w:tr w14:paraId="347E3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1134" w:type="dxa"/>
            <w:vAlign w:val="top"/>
          </w:tcPr>
          <w:p w14:paraId="3163D1B6">
            <w:pPr>
              <w:pStyle w:val="6"/>
              <w:spacing w:before="117" w:line="226" w:lineRule="auto"/>
              <w:ind w:left="298"/>
              <w:rPr>
                <w:highlight w:val="none"/>
              </w:rPr>
            </w:pPr>
            <w:r>
              <w:rPr>
                <w:b/>
                <w:bCs/>
                <w:spacing w:val="-7"/>
                <w:highlight w:val="none"/>
              </w:rPr>
              <w:t>1.1.6</w:t>
            </w:r>
          </w:p>
        </w:tc>
        <w:tc>
          <w:tcPr>
            <w:tcW w:w="2627" w:type="dxa"/>
            <w:vAlign w:val="top"/>
          </w:tcPr>
          <w:p w14:paraId="5415D0F8">
            <w:pPr>
              <w:pStyle w:val="6"/>
              <w:spacing w:before="99" w:line="219" w:lineRule="auto"/>
              <w:ind w:left="360"/>
              <w:rPr>
                <w:highlight w:val="none"/>
              </w:rPr>
            </w:pPr>
            <w:r>
              <w:rPr>
                <w:spacing w:val="1"/>
                <w:highlight w:val="none"/>
              </w:rPr>
              <w:t>项目名称、招标编号</w:t>
            </w:r>
          </w:p>
        </w:tc>
        <w:tc>
          <w:tcPr>
            <w:tcW w:w="5239" w:type="dxa"/>
            <w:vAlign w:val="top"/>
          </w:tcPr>
          <w:p w14:paraId="3EF05424">
            <w:pPr>
              <w:pStyle w:val="6"/>
              <w:spacing w:before="97" w:line="218" w:lineRule="auto"/>
              <w:ind w:left="143"/>
              <w:rPr>
                <w:highlight w:val="none"/>
              </w:rPr>
            </w:pPr>
            <w:r>
              <w:rPr>
                <w:spacing w:val="1"/>
                <w:highlight w:val="none"/>
              </w:rPr>
              <w:t>项目名称：</w:t>
            </w:r>
            <w:r>
              <w:rPr>
                <w:color w:val="0000FF"/>
                <w:spacing w:val="1"/>
                <w:highlight w:val="none"/>
              </w:rPr>
              <w:t>详见招标公告</w:t>
            </w:r>
          </w:p>
        </w:tc>
      </w:tr>
    </w:tbl>
    <w:p w14:paraId="639C7768">
      <w:pPr>
        <w:pStyle w:val="2"/>
        <w:rPr>
          <w:highlight w:val="none"/>
        </w:rPr>
      </w:pPr>
    </w:p>
    <w:p w14:paraId="62F32E98">
      <w:pPr>
        <w:rPr>
          <w:highlight w:val="none"/>
        </w:rPr>
        <w:sectPr>
          <w:footerReference r:id="rId16" w:type="default"/>
          <w:pgSz w:w="11910" w:h="16840"/>
          <w:pgMar w:top="400" w:right="1264" w:bottom="1217" w:left="1635" w:header="0" w:footer="1013" w:gutter="0"/>
          <w:cols w:space="720" w:num="1"/>
        </w:sectPr>
      </w:pPr>
    </w:p>
    <w:p w14:paraId="24A540C3">
      <w:pPr>
        <w:spacing w:before="18"/>
        <w:rPr>
          <w:highlight w:val="none"/>
        </w:rPr>
      </w:pPr>
    </w:p>
    <w:p w14:paraId="666A3694">
      <w:pPr>
        <w:spacing w:before="17"/>
        <w:rPr>
          <w:highlight w:val="none"/>
        </w:rPr>
      </w:pPr>
    </w:p>
    <w:p w14:paraId="7CB63793">
      <w:pPr>
        <w:spacing w:before="17"/>
        <w:rPr>
          <w:highlight w:val="none"/>
        </w:rPr>
      </w:pPr>
    </w:p>
    <w:p w14:paraId="045C484F">
      <w:pPr>
        <w:spacing w:before="17"/>
        <w:rPr>
          <w:highlight w:val="none"/>
        </w:rPr>
      </w:pPr>
    </w:p>
    <w:tbl>
      <w:tblPr>
        <w:tblStyle w:val="5"/>
        <w:tblW w:w="89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4"/>
        <w:gridCol w:w="2627"/>
        <w:gridCol w:w="5219"/>
      </w:tblGrid>
      <w:tr w14:paraId="2169B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144" w:type="dxa"/>
            <w:vAlign w:val="top"/>
          </w:tcPr>
          <w:p w14:paraId="6CEA247E">
            <w:pPr>
              <w:rPr>
                <w:rFonts w:ascii="Arial"/>
                <w:sz w:val="21"/>
                <w:highlight w:val="none"/>
              </w:rPr>
            </w:pPr>
          </w:p>
        </w:tc>
        <w:tc>
          <w:tcPr>
            <w:tcW w:w="2627" w:type="dxa"/>
            <w:vAlign w:val="top"/>
          </w:tcPr>
          <w:p w14:paraId="794801F4">
            <w:pPr>
              <w:rPr>
                <w:rFonts w:ascii="Arial"/>
                <w:sz w:val="21"/>
                <w:highlight w:val="none"/>
              </w:rPr>
            </w:pPr>
          </w:p>
        </w:tc>
        <w:tc>
          <w:tcPr>
            <w:tcW w:w="5219" w:type="dxa"/>
            <w:vAlign w:val="top"/>
          </w:tcPr>
          <w:p w14:paraId="689E9F68">
            <w:pPr>
              <w:pStyle w:val="6"/>
              <w:spacing w:before="142" w:line="196" w:lineRule="auto"/>
              <w:ind w:left="114"/>
              <w:rPr>
                <w:rFonts w:hint="eastAsia" w:eastAsia="宋体"/>
                <w:highlight w:val="none"/>
                <w:lang w:val="en-US" w:eastAsia="zh-CN"/>
              </w:rPr>
            </w:pPr>
            <w:r>
              <w:rPr>
                <w:highlight w:val="none"/>
              </w:rPr>
              <w:t>招标编号：</w:t>
            </w:r>
            <w:r>
              <w:rPr>
                <w:rFonts w:hint="eastAsia"/>
                <w:color w:val="0000FF"/>
                <w:spacing w:val="2"/>
                <w:highlight w:val="none"/>
                <w:lang w:val="en-US" w:eastAsia="zh-CN"/>
              </w:rPr>
              <w:t>HBMC-202608FJ-016001</w:t>
            </w:r>
          </w:p>
        </w:tc>
      </w:tr>
      <w:tr w14:paraId="7C19F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144" w:type="dxa"/>
            <w:vAlign w:val="top"/>
          </w:tcPr>
          <w:p w14:paraId="49BEDD84">
            <w:pPr>
              <w:pStyle w:val="6"/>
              <w:spacing w:before="307" w:line="239" w:lineRule="auto"/>
              <w:ind w:left="298"/>
              <w:rPr>
                <w:highlight w:val="none"/>
              </w:rPr>
            </w:pPr>
            <w:bookmarkStart w:id="9" w:name="bookmark188"/>
            <w:bookmarkEnd w:id="9"/>
            <w:r>
              <w:rPr>
                <w:b/>
                <w:bCs/>
                <w:spacing w:val="-7"/>
                <w:highlight w:val="none"/>
              </w:rPr>
              <w:t>1.1.7</w:t>
            </w:r>
          </w:p>
        </w:tc>
        <w:tc>
          <w:tcPr>
            <w:tcW w:w="2627" w:type="dxa"/>
            <w:vAlign w:val="top"/>
          </w:tcPr>
          <w:p w14:paraId="2FC9548D">
            <w:pPr>
              <w:pStyle w:val="6"/>
              <w:spacing w:before="259" w:line="221" w:lineRule="auto"/>
              <w:ind w:left="880"/>
              <w:rPr>
                <w:highlight w:val="none"/>
              </w:rPr>
            </w:pPr>
            <w:r>
              <w:rPr>
                <w:spacing w:val="4"/>
                <w:highlight w:val="none"/>
              </w:rPr>
              <w:t>建设地点</w:t>
            </w:r>
          </w:p>
        </w:tc>
        <w:tc>
          <w:tcPr>
            <w:tcW w:w="5219" w:type="dxa"/>
            <w:vAlign w:val="top"/>
          </w:tcPr>
          <w:p w14:paraId="55D3831F">
            <w:pPr>
              <w:pStyle w:val="6"/>
              <w:spacing w:before="258" w:line="219" w:lineRule="auto"/>
              <w:ind w:left="114"/>
              <w:rPr>
                <w:highlight w:val="none"/>
              </w:rPr>
            </w:pPr>
            <w:r>
              <w:rPr>
                <w:rFonts w:hint="eastAsia"/>
                <w:color w:val="0000FF"/>
                <w:spacing w:val="2"/>
                <w:highlight w:val="none"/>
                <w:lang w:val="en-US" w:eastAsia="zh-CN"/>
              </w:rPr>
              <w:t>麻城市黄金桥街道办事处黄金桥社区公租房小区前</w:t>
            </w:r>
          </w:p>
        </w:tc>
      </w:tr>
      <w:tr w14:paraId="4F78B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144" w:type="dxa"/>
            <w:vAlign w:val="top"/>
          </w:tcPr>
          <w:p w14:paraId="78210DA6">
            <w:pPr>
              <w:pStyle w:val="6"/>
              <w:spacing w:before="288" w:line="239" w:lineRule="auto"/>
              <w:ind w:left="298"/>
              <w:rPr>
                <w:highlight w:val="none"/>
              </w:rPr>
            </w:pPr>
            <w:r>
              <w:rPr>
                <w:b/>
                <w:bCs/>
                <w:spacing w:val="-7"/>
                <w:highlight w:val="none"/>
              </w:rPr>
              <w:t>1.2.1</w:t>
            </w:r>
          </w:p>
        </w:tc>
        <w:tc>
          <w:tcPr>
            <w:tcW w:w="2627" w:type="dxa"/>
            <w:vAlign w:val="top"/>
          </w:tcPr>
          <w:p w14:paraId="0A2944B0">
            <w:pPr>
              <w:pStyle w:val="6"/>
              <w:spacing w:before="239" w:line="219" w:lineRule="auto"/>
              <w:ind w:left="880"/>
              <w:rPr>
                <w:highlight w:val="none"/>
              </w:rPr>
            </w:pPr>
            <w:r>
              <w:rPr>
                <w:spacing w:val="2"/>
                <w:highlight w:val="none"/>
              </w:rPr>
              <w:t>资金来源</w:t>
            </w:r>
          </w:p>
        </w:tc>
        <w:tc>
          <w:tcPr>
            <w:tcW w:w="5219" w:type="dxa"/>
            <w:vAlign w:val="top"/>
          </w:tcPr>
          <w:p w14:paraId="0F2A832A">
            <w:pPr>
              <w:pStyle w:val="6"/>
              <w:spacing w:before="199" w:line="219" w:lineRule="auto"/>
              <w:ind w:left="114"/>
              <w:rPr>
                <w:highlight w:val="none"/>
              </w:rPr>
            </w:pPr>
            <w:r>
              <w:rPr>
                <w:color w:val="0000FF"/>
                <w:spacing w:val="2"/>
                <w:highlight w:val="none"/>
              </w:rPr>
              <w:t>自筹资金</w:t>
            </w:r>
          </w:p>
        </w:tc>
      </w:tr>
      <w:tr w14:paraId="4325F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144" w:type="dxa"/>
            <w:vAlign w:val="top"/>
          </w:tcPr>
          <w:p w14:paraId="0BE2F520">
            <w:pPr>
              <w:pStyle w:val="6"/>
              <w:spacing w:before="269" w:line="239" w:lineRule="auto"/>
              <w:ind w:left="298"/>
              <w:rPr>
                <w:highlight w:val="none"/>
              </w:rPr>
            </w:pPr>
            <w:r>
              <w:rPr>
                <w:b/>
                <w:bCs/>
                <w:spacing w:val="-7"/>
                <w:highlight w:val="none"/>
              </w:rPr>
              <w:t>1.2.2</w:t>
            </w:r>
          </w:p>
        </w:tc>
        <w:tc>
          <w:tcPr>
            <w:tcW w:w="2627" w:type="dxa"/>
            <w:vAlign w:val="top"/>
          </w:tcPr>
          <w:p w14:paraId="38F5DB29">
            <w:pPr>
              <w:pStyle w:val="6"/>
              <w:spacing w:before="181" w:line="221" w:lineRule="auto"/>
              <w:ind w:left="880"/>
              <w:rPr>
                <w:highlight w:val="none"/>
              </w:rPr>
            </w:pPr>
            <w:r>
              <w:rPr>
                <w:spacing w:val="4"/>
                <w:highlight w:val="none"/>
              </w:rPr>
              <w:t>出资比例</w:t>
            </w:r>
          </w:p>
        </w:tc>
        <w:tc>
          <w:tcPr>
            <w:tcW w:w="5219" w:type="dxa"/>
            <w:vAlign w:val="top"/>
          </w:tcPr>
          <w:p w14:paraId="7FF37DFC">
            <w:pPr>
              <w:pStyle w:val="6"/>
              <w:spacing w:before="180" w:line="219" w:lineRule="auto"/>
              <w:ind w:left="114"/>
              <w:rPr>
                <w:highlight w:val="none"/>
              </w:rPr>
            </w:pPr>
            <w:r>
              <w:rPr>
                <w:color w:val="0000FF"/>
                <w:highlight w:val="none"/>
              </w:rPr>
              <w:t>自筹资金100%</w:t>
            </w:r>
          </w:p>
        </w:tc>
      </w:tr>
      <w:tr w14:paraId="36B9A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144" w:type="dxa"/>
            <w:vAlign w:val="top"/>
          </w:tcPr>
          <w:p w14:paraId="09AAD607">
            <w:pPr>
              <w:pStyle w:val="6"/>
              <w:spacing w:before="279" w:line="239" w:lineRule="auto"/>
              <w:ind w:left="298"/>
              <w:rPr>
                <w:highlight w:val="none"/>
              </w:rPr>
            </w:pPr>
            <w:r>
              <w:rPr>
                <w:b/>
                <w:bCs/>
                <w:spacing w:val="-7"/>
                <w:highlight w:val="none"/>
              </w:rPr>
              <w:t>1.2.3</w:t>
            </w:r>
          </w:p>
        </w:tc>
        <w:tc>
          <w:tcPr>
            <w:tcW w:w="2627" w:type="dxa"/>
            <w:vAlign w:val="top"/>
          </w:tcPr>
          <w:p w14:paraId="1CEF4949">
            <w:pPr>
              <w:pStyle w:val="6"/>
              <w:spacing w:before="231" w:line="220" w:lineRule="auto"/>
              <w:ind w:left="670"/>
              <w:rPr>
                <w:highlight w:val="none"/>
              </w:rPr>
            </w:pPr>
            <w:r>
              <w:rPr>
                <w:spacing w:val="1"/>
                <w:highlight w:val="none"/>
              </w:rPr>
              <w:t>资金落实情况</w:t>
            </w:r>
          </w:p>
        </w:tc>
        <w:tc>
          <w:tcPr>
            <w:tcW w:w="5219" w:type="dxa"/>
            <w:vAlign w:val="top"/>
          </w:tcPr>
          <w:p w14:paraId="0BA89391">
            <w:pPr>
              <w:pStyle w:val="6"/>
              <w:spacing w:before="231" w:line="220" w:lineRule="auto"/>
              <w:ind w:left="114"/>
              <w:rPr>
                <w:highlight w:val="none"/>
              </w:rPr>
            </w:pPr>
            <w:r>
              <w:rPr>
                <w:color w:val="0000FF"/>
                <w:spacing w:val="3"/>
                <w:highlight w:val="none"/>
              </w:rPr>
              <w:t>已落实</w:t>
            </w:r>
          </w:p>
        </w:tc>
      </w:tr>
      <w:tr w14:paraId="2EB15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1144" w:type="dxa"/>
            <w:vAlign w:val="top"/>
          </w:tcPr>
          <w:p w14:paraId="79378DAD">
            <w:pPr>
              <w:spacing w:line="477" w:lineRule="auto"/>
              <w:rPr>
                <w:rFonts w:ascii="Arial"/>
                <w:sz w:val="21"/>
                <w:highlight w:val="none"/>
              </w:rPr>
            </w:pPr>
          </w:p>
          <w:p w14:paraId="46D35A2C">
            <w:pPr>
              <w:pStyle w:val="6"/>
              <w:spacing w:before="69" w:line="239" w:lineRule="auto"/>
              <w:ind w:left="298"/>
              <w:rPr>
                <w:highlight w:val="none"/>
              </w:rPr>
            </w:pPr>
            <w:r>
              <w:rPr>
                <w:b/>
                <w:bCs/>
                <w:spacing w:val="-7"/>
                <w:highlight w:val="none"/>
              </w:rPr>
              <w:t>1.2.4</w:t>
            </w:r>
          </w:p>
        </w:tc>
        <w:tc>
          <w:tcPr>
            <w:tcW w:w="2627" w:type="dxa"/>
            <w:vAlign w:val="top"/>
          </w:tcPr>
          <w:p w14:paraId="5850E8FA">
            <w:pPr>
              <w:spacing w:line="460" w:lineRule="auto"/>
              <w:rPr>
                <w:rFonts w:ascii="Arial"/>
                <w:sz w:val="21"/>
                <w:highlight w:val="none"/>
              </w:rPr>
            </w:pPr>
          </w:p>
          <w:p w14:paraId="4AAD645A">
            <w:pPr>
              <w:pStyle w:val="6"/>
              <w:spacing w:before="68" w:line="220" w:lineRule="auto"/>
              <w:ind w:left="880"/>
              <w:rPr>
                <w:highlight w:val="none"/>
              </w:rPr>
            </w:pPr>
            <w:r>
              <w:rPr>
                <w:spacing w:val="5"/>
                <w:highlight w:val="none"/>
              </w:rPr>
              <w:t>项目性质</w:t>
            </w:r>
          </w:p>
        </w:tc>
        <w:tc>
          <w:tcPr>
            <w:tcW w:w="5219" w:type="dxa"/>
            <w:vAlign w:val="top"/>
          </w:tcPr>
          <w:p w14:paraId="0174F1C4">
            <w:pPr>
              <w:pStyle w:val="6"/>
              <w:spacing w:before="59" w:line="219" w:lineRule="auto"/>
              <w:ind w:left="104"/>
              <w:rPr>
                <w:highlight w:val="none"/>
              </w:rPr>
            </w:pPr>
            <w:r>
              <w:rPr>
                <w:rFonts w:ascii="MS Gothic" w:hAnsi="MS Gothic" w:eastAsia="MS Gothic" w:cs="MS Gothic"/>
                <w:color w:val="0000FF"/>
                <w:spacing w:val="-1"/>
                <w:highlight w:val="none"/>
              </w:rPr>
              <w:t>☑</w:t>
            </w:r>
            <w:r>
              <w:rPr>
                <w:spacing w:val="-1"/>
                <w:highlight w:val="none"/>
              </w:rPr>
              <w:t>本项目不属于政府采购工程，不执行政府采购政策。</w:t>
            </w:r>
          </w:p>
          <w:p w14:paraId="1F247EF3">
            <w:pPr>
              <w:pStyle w:val="6"/>
              <w:spacing w:before="82" w:line="265" w:lineRule="auto"/>
              <w:ind w:left="114" w:right="54" w:firstLine="10"/>
              <w:rPr>
                <w:highlight w:val="none"/>
              </w:rPr>
            </w:pPr>
            <w:r>
              <w:rPr>
                <w:color w:val="0000FF"/>
                <w:spacing w:val="-1"/>
                <w:highlight w:val="none"/>
              </w:rPr>
              <w:t>□</w:t>
            </w:r>
            <w:r>
              <w:rPr>
                <w:spacing w:val="-1"/>
                <w:highlight w:val="none"/>
              </w:rPr>
              <w:t>本项目属于政府采购工程，执行支持中小企业发展政</w:t>
            </w:r>
            <w:r>
              <w:rPr>
                <w:spacing w:val="13"/>
                <w:highlight w:val="none"/>
              </w:rPr>
              <w:t xml:space="preserve"> </w:t>
            </w:r>
            <w:r>
              <w:rPr>
                <w:highlight w:val="none"/>
              </w:rPr>
              <w:t>策。采购标的对应的中小企业划型标准所属行业为：</w:t>
            </w:r>
          </w:p>
          <w:p w14:paraId="28821069">
            <w:pPr>
              <w:pStyle w:val="6"/>
              <w:spacing w:before="17" w:line="218" w:lineRule="auto"/>
              <w:ind w:left="114"/>
              <w:rPr>
                <w:highlight w:val="none"/>
              </w:rPr>
            </w:pPr>
            <w:r>
              <w:rPr>
                <w:color w:val="0000FF"/>
                <w:spacing w:val="-19"/>
                <w:highlight w:val="none"/>
              </w:rPr>
              <w:t>建筑业</w:t>
            </w:r>
            <w:r>
              <w:rPr>
                <w:spacing w:val="-19"/>
                <w:highlight w:val="none"/>
              </w:rPr>
              <w:t>。</w:t>
            </w:r>
          </w:p>
        </w:tc>
      </w:tr>
      <w:tr w14:paraId="5D6A4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8" w:hRule="atLeast"/>
        </w:trPr>
        <w:tc>
          <w:tcPr>
            <w:tcW w:w="1144" w:type="dxa"/>
            <w:vAlign w:val="top"/>
          </w:tcPr>
          <w:p w14:paraId="1B26FB7E">
            <w:pPr>
              <w:spacing w:line="278" w:lineRule="auto"/>
              <w:rPr>
                <w:rFonts w:ascii="Arial"/>
                <w:sz w:val="21"/>
                <w:highlight w:val="none"/>
              </w:rPr>
            </w:pPr>
          </w:p>
          <w:p w14:paraId="71CE2B14">
            <w:pPr>
              <w:spacing w:line="279" w:lineRule="auto"/>
              <w:rPr>
                <w:rFonts w:ascii="Arial"/>
                <w:sz w:val="21"/>
                <w:highlight w:val="none"/>
              </w:rPr>
            </w:pPr>
          </w:p>
          <w:p w14:paraId="4160CA30">
            <w:pPr>
              <w:spacing w:line="279" w:lineRule="auto"/>
              <w:rPr>
                <w:rFonts w:ascii="Arial"/>
                <w:sz w:val="21"/>
                <w:highlight w:val="none"/>
              </w:rPr>
            </w:pPr>
          </w:p>
          <w:p w14:paraId="63F4FF1B">
            <w:pPr>
              <w:pStyle w:val="6"/>
              <w:spacing w:before="69" w:line="239" w:lineRule="auto"/>
              <w:ind w:left="298"/>
              <w:rPr>
                <w:highlight w:val="none"/>
              </w:rPr>
            </w:pPr>
            <w:r>
              <w:rPr>
                <w:b/>
                <w:bCs/>
                <w:spacing w:val="-7"/>
                <w:highlight w:val="none"/>
              </w:rPr>
              <w:t>1.3.1</w:t>
            </w:r>
          </w:p>
        </w:tc>
        <w:tc>
          <w:tcPr>
            <w:tcW w:w="2627" w:type="dxa"/>
            <w:vAlign w:val="top"/>
          </w:tcPr>
          <w:p w14:paraId="03D55EDC">
            <w:pPr>
              <w:spacing w:line="273" w:lineRule="auto"/>
              <w:rPr>
                <w:rFonts w:ascii="Arial"/>
                <w:sz w:val="21"/>
                <w:highlight w:val="none"/>
              </w:rPr>
            </w:pPr>
          </w:p>
          <w:p w14:paraId="2928A3B8">
            <w:pPr>
              <w:spacing w:line="273" w:lineRule="auto"/>
              <w:rPr>
                <w:rFonts w:ascii="Arial"/>
                <w:sz w:val="21"/>
                <w:highlight w:val="none"/>
              </w:rPr>
            </w:pPr>
          </w:p>
          <w:p w14:paraId="40319A91">
            <w:pPr>
              <w:spacing w:line="273" w:lineRule="auto"/>
              <w:rPr>
                <w:rFonts w:ascii="Arial"/>
                <w:sz w:val="21"/>
                <w:highlight w:val="none"/>
              </w:rPr>
            </w:pPr>
          </w:p>
          <w:p w14:paraId="7C4C427F">
            <w:pPr>
              <w:pStyle w:val="6"/>
              <w:spacing w:before="68" w:line="220" w:lineRule="auto"/>
              <w:ind w:left="880"/>
              <w:rPr>
                <w:highlight w:val="none"/>
              </w:rPr>
            </w:pPr>
            <w:r>
              <w:rPr>
                <w:spacing w:val="4"/>
                <w:highlight w:val="none"/>
              </w:rPr>
              <w:t>招标范围</w:t>
            </w:r>
          </w:p>
        </w:tc>
        <w:tc>
          <w:tcPr>
            <w:tcW w:w="5219" w:type="dxa"/>
            <w:vAlign w:val="top"/>
          </w:tcPr>
          <w:p w14:paraId="0C27339B">
            <w:pPr>
              <w:pStyle w:val="6"/>
              <w:spacing w:before="172" w:line="271" w:lineRule="auto"/>
              <w:ind w:left="114" w:right="44"/>
              <w:rPr>
                <w:highlight w:val="none"/>
              </w:rPr>
            </w:pPr>
            <w:r>
              <w:rPr>
                <w:rFonts w:hint="eastAsia"/>
                <w:color w:val="0000FF"/>
                <w:spacing w:val="2"/>
                <w:highlight w:val="none"/>
                <w:lang w:val="en-US" w:eastAsia="zh-CN"/>
              </w:rPr>
              <w:t>项目总用地5587.93平方米，新建农贸市场1栋2层，总建筑面积5230.62平方米，一层为农贸市场，二层为菊花交易中心（交易主要产品为菊花、鱼面、茶油等地标优品），配套50个机动车停车位，75个非机动停车位。(具体内容详见初步设计及概算清单)。</w:t>
            </w:r>
          </w:p>
        </w:tc>
      </w:tr>
      <w:tr w14:paraId="33B6C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9" w:hRule="atLeast"/>
        </w:trPr>
        <w:tc>
          <w:tcPr>
            <w:tcW w:w="1144" w:type="dxa"/>
            <w:vAlign w:val="top"/>
          </w:tcPr>
          <w:p w14:paraId="5CB794FB">
            <w:pPr>
              <w:spacing w:line="320" w:lineRule="auto"/>
              <w:rPr>
                <w:rFonts w:ascii="Arial"/>
                <w:sz w:val="21"/>
                <w:highlight w:val="none"/>
              </w:rPr>
            </w:pPr>
          </w:p>
          <w:p w14:paraId="6DA1AA2A">
            <w:pPr>
              <w:spacing w:line="320" w:lineRule="auto"/>
              <w:rPr>
                <w:rFonts w:ascii="Arial"/>
                <w:sz w:val="21"/>
                <w:highlight w:val="none"/>
              </w:rPr>
            </w:pPr>
          </w:p>
          <w:p w14:paraId="50B6E188">
            <w:pPr>
              <w:pStyle w:val="6"/>
              <w:spacing w:before="68" w:line="239" w:lineRule="auto"/>
              <w:ind w:left="298"/>
              <w:rPr>
                <w:highlight w:val="none"/>
              </w:rPr>
            </w:pPr>
            <w:r>
              <w:rPr>
                <w:b/>
                <w:bCs/>
                <w:spacing w:val="-7"/>
                <w:highlight w:val="none"/>
              </w:rPr>
              <w:t>1.3.2</w:t>
            </w:r>
          </w:p>
        </w:tc>
        <w:tc>
          <w:tcPr>
            <w:tcW w:w="2627" w:type="dxa"/>
            <w:vAlign w:val="top"/>
          </w:tcPr>
          <w:p w14:paraId="5EBAF6E7">
            <w:pPr>
              <w:spacing w:line="311" w:lineRule="auto"/>
              <w:rPr>
                <w:rFonts w:ascii="Arial"/>
                <w:sz w:val="21"/>
                <w:highlight w:val="none"/>
              </w:rPr>
            </w:pPr>
          </w:p>
          <w:p w14:paraId="08AE1E09">
            <w:pPr>
              <w:spacing w:line="311" w:lineRule="auto"/>
              <w:rPr>
                <w:rFonts w:ascii="Arial"/>
                <w:sz w:val="21"/>
                <w:highlight w:val="none"/>
              </w:rPr>
            </w:pPr>
          </w:p>
          <w:p w14:paraId="1276E7BA">
            <w:pPr>
              <w:pStyle w:val="6"/>
              <w:spacing w:before="68" w:line="220" w:lineRule="auto"/>
              <w:ind w:left="880"/>
              <w:rPr>
                <w:highlight w:val="none"/>
              </w:rPr>
            </w:pPr>
            <w:r>
              <w:rPr>
                <w:spacing w:val="3"/>
                <w:highlight w:val="none"/>
              </w:rPr>
              <w:t>计划工期</w:t>
            </w:r>
          </w:p>
        </w:tc>
        <w:tc>
          <w:tcPr>
            <w:tcW w:w="5219" w:type="dxa"/>
            <w:vAlign w:val="top"/>
          </w:tcPr>
          <w:p w14:paraId="0D97F975">
            <w:pPr>
              <w:spacing w:line="284" w:lineRule="auto"/>
              <w:rPr>
                <w:rFonts w:ascii="Arial"/>
                <w:sz w:val="21"/>
                <w:highlight w:val="none"/>
              </w:rPr>
            </w:pPr>
          </w:p>
          <w:p w14:paraId="18DF6D95">
            <w:pPr>
              <w:pStyle w:val="6"/>
              <w:spacing w:before="68" w:line="220" w:lineRule="auto"/>
              <w:ind w:left="114"/>
              <w:rPr>
                <w:highlight w:val="none"/>
              </w:rPr>
            </w:pPr>
            <w:r>
              <w:rPr>
                <w:spacing w:val="1"/>
                <w:highlight w:val="none"/>
              </w:rPr>
              <w:t>计划工期：</w:t>
            </w:r>
            <w:r>
              <w:rPr>
                <w:rFonts w:hint="eastAsia"/>
                <w:color w:val="0000FF"/>
                <w:spacing w:val="1"/>
                <w:highlight w:val="none"/>
                <w:lang w:val="en-US" w:eastAsia="zh-CN"/>
              </w:rPr>
              <w:t>300</w:t>
            </w:r>
            <w:r>
              <w:rPr>
                <w:spacing w:val="1"/>
                <w:highlight w:val="none"/>
              </w:rPr>
              <w:t>日历天</w:t>
            </w:r>
          </w:p>
          <w:p w14:paraId="76A222A2">
            <w:pPr>
              <w:pStyle w:val="6"/>
              <w:spacing w:before="139" w:line="219" w:lineRule="auto"/>
              <w:ind w:left="114"/>
              <w:rPr>
                <w:highlight w:val="none"/>
              </w:rPr>
            </w:pPr>
            <w:r>
              <w:rPr>
                <w:spacing w:val="1"/>
                <w:highlight w:val="none"/>
              </w:rPr>
              <w:t>计划开始工作日期：</w:t>
            </w:r>
            <w:r>
              <w:rPr>
                <w:color w:val="0000FF"/>
                <w:spacing w:val="1"/>
                <w:highlight w:val="none"/>
              </w:rPr>
              <w:t>2026年0</w:t>
            </w:r>
            <w:r>
              <w:rPr>
                <w:rFonts w:hint="eastAsia"/>
                <w:color w:val="0000FF"/>
                <w:spacing w:val="1"/>
                <w:highlight w:val="none"/>
                <w:lang w:val="en-US" w:eastAsia="zh-CN"/>
              </w:rPr>
              <w:t>9</w:t>
            </w:r>
            <w:r>
              <w:rPr>
                <w:color w:val="0000FF"/>
                <w:spacing w:val="1"/>
                <w:highlight w:val="none"/>
              </w:rPr>
              <w:t>月</w:t>
            </w:r>
            <w:r>
              <w:rPr>
                <w:rFonts w:hint="eastAsia"/>
                <w:color w:val="0000FF"/>
                <w:spacing w:val="1"/>
                <w:highlight w:val="none"/>
                <w:lang w:val="en-US" w:eastAsia="zh-CN"/>
              </w:rPr>
              <w:t>30</w:t>
            </w:r>
            <w:r>
              <w:rPr>
                <w:color w:val="0000FF"/>
                <w:spacing w:val="1"/>
                <w:highlight w:val="none"/>
              </w:rPr>
              <w:t>日</w:t>
            </w:r>
          </w:p>
          <w:p w14:paraId="0991E503">
            <w:pPr>
              <w:pStyle w:val="6"/>
              <w:spacing w:before="150" w:line="219" w:lineRule="auto"/>
              <w:ind w:left="114"/>
              <w:rPr>
                <w:highlight w:val="none"/>
              </w:rPr>
            </w:pPr>
            <w:r>
              <w:rPr>
                <w:spacing w:val="-1"/>
                <w:highlight w:val="none"/>
              </w:rPr>
              <w:t>计划竣工日期：</w:t>
            </w:r>
            <w:r>
              <w:rPr>
                <w:color w:val="0000FF"/>
                <w:spacing w:val="-1"/>
                <w:highlight w:val="none"/>
              </w:rPr>
              <w:t>202</w:t>
            </w:r>
            <w:r>
              <w:rPr>
                <w:rFonts w:hint="eastAsia"/>
                <w:color w:val="0000FF"/>
                <w:spacing w:val="-1"/>
                <w:highlight w:val="none"/>
                <w:lang w:val="en-US" w:eastAsia="zh-CN"/>
              </w:rPr>
              <w:t>7</w:t>
            </w:r>
            <w:r>
              <w:rPr>
                <w:color w:val="0000FF"/>
                <w:spacing w:val="-1"/>
                <w:highlight w:val="none"/>
              </w:rPr>
              <w:t>-</w:t>
            </w:r>
            <w:r>
              <w:rPr>
                <w:rFonts w:hint="eastAsia"/>
                <w:color w:val="0000FF"/>
                <w:spacing w:val="-1"/>
                <w:highlight w:val="none"/>
                <w:lang w:val="en-US" w:eastAsia="zh-CN"/>
              </w:rPr>
              <w:t>7</w:t>
            </w:r>
            <w:r>
              <w:rPr>
                <w:color w:val="0000FF"/>
                <w:spacing w:val="-1"/>
                <w:highlight w:val="none"/>
              </w:rPr>
              <w:t>-</w:t>
            </w:r>
            <w:r>
              <w:rPr>
                <w:rFonts w:hint="eastAsia"/>
                <w:color w:val="0000FF"/>
                <w:spacing w:val="-1"/>
                <w:highlight w:val="none"/>
                <w:lang w:val="en-US" w:eastAsia="zh-CN"/>
              </w:rPr>
              <w:t xml:space="preserve">30 </w:t>
            </w:r>
            <w:r>
              <w:rPr>
                <w:color w:val="0000FF"/>
                <w:spacing w:val="-1"/>
                <w:highlight w:val="none"/>
              </w:rPr>
              <w:t>23:59:59</w:t>
            </w:r>
          </w:p>
        </w:tc>
      </w:tr>
      <w:tr w14:paraId="74213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8" w:hRule="atLeast"/>
        </w:trPr>
        <w:tc>
          <w:tcPr>
            <w:tcW w:w="1144" w:type="dxa"/>
            <w:vAlign w:val="top"/>
          </w:tcPr>
          <w:p w14:paraId="7EB49413">
            <w:pPr>
              <w:spacing w:line="283" w:lineRule="auto"/>
              <w:rPr>
                <w:rFonts w:ascii="Arial"/>
                <w:sz w:val="21"/>
                <w:highlight w:val="none"/>
              </w:rPr>
            </w:pPr>
          </w:p>
          <w:p w14:paraId="68EA2947">
            <w:pPr>
              <w:spacing w:line="283" w:lineRule="auto"/>
              <w:rPr>
                <w:rFonts w:ascii="Arial"/>
                <w:sz w:val="21"/>
                <w:highlight w:val="none"/>
              </w:rPr>
            </w:pPr>
          </w:p>
          <w:p w14:paraId="6B4E41EF">
            <w:pPr>
              <w:spacing w:line="283" w:lineRule="auto"/>
              <w:rPr>
                <w:rFonts w:ascii="Arial"/>
                <w:sz w:val="21"/>
                <w:highlight w:val="none"/>
              </w:rPr>
            </w:pPr>
          </w:p>
          <w:p w14:paraId="4CA064A8">
            <w:pPr>
              <w:pStyle w:val="6"/>
              <w:spacing w:before="69" w:line="239" w:lineRule="auto"/>
              <w:ind w:left="298"/>
              <w:rPr>
                <w:highlight w:val="none"/>
              </w:rPr>
            </w:pPr>
            <w:r>
              <w:rPr>
                <w:b/>
                <w:bCs/>
                <w:spacing w:val="-7"/>
                <w:highlight w:val="none"/>
              </w:rPr>
              <w:t>1.3.3</w:t>
            </w:r>
          </w:p>
        </w:tc>
        <w:tc>
          <w:tcPr>
            <w:tcW w:w="2627" w:type="dxa"/>
            <w:vAlign w:val="top"/>
          </w:tcPr>
          <w:p w14:paraId="265D1313">
            <w:pPr>
              <w:spacing w:line="277" w:lineRule="auto"/>
              <w:rPr>
                <w:rFonts w:ascii="Arial"/>
                <w:sz w:val="21"/>
                <w:highlight w:val="none"/>
              </w:rPr>
            </w:pPr>
          </w:p>
          <w:p w14:paraId="1E3ABA58">
            <w:pPr>
              <w:spacing w:line="277" w:lineRule="auto"/>
              <w:rPr>
                <w:rFonts w:ascii="Arial"/>
                <w:sz w:val="21"/>
                <w:highlight w:val="none"/>
              </w:rPr>
            </w:pPr>
          </w:p>
          <w:p w14:paraId="75C0C8AF">
            <w:pPr>
              <w:spacing w:line="277" w:lineRule="auto"/>
              <w:rPr>
                <w:rFonts w:ascii="Arial"/>
                <w:sz w:val="21"/>
                <w:highlight w:val="none"/>
              </w:rPr>
            </w:pPr>
          </w:p>
          <w:p w14:paraId="6E935018">
            <w:pPr>
              <w:pStyle w:val="6"/>
              <w:spacing w:before="69" w:line="220" w:lineRule="auto"/>
              <w:ind w:left="880"/>
              <w:rPr>
                <w:highlight w:val="none"/>
              </w:rPr>
            </w:pPr>
            <w:r>
              <w:rPr>
                <w:spacing w:val="-2"/>
                <w:highlight w:val="none"/>
              </w:rPr>
              <w:t>质量标准</w:t>
            </w:r>
          </w:p>
        </w:tc>
        <w:tc>
          <w:tcPr>
            <w:tcW w:w="5219" w:type="dxa"/>
            <w:vAlign w:val="top"/>
          </w:tcPr>
          <w:p w14:paraId="60B10556">
            <w:pPr>
              <w:pStyle w:val="6"/>
              <w:spacing w:before="154" w:line="344" w:lineRule="auto"/>
              <w:ind w:left="124" w:right="27"/>
              <w:rPr>
                <w:highlight w:val="none"/>
              </w:rPr>
            </w:pPr>
            <w:r>
              <w:rPr>
                <w:highlight w:val="none"/>
              </w:rPr>
              <w:t>设计要求的质量标准：</w:t>
            </w:r>
            <w:r>
              <w:rPr>
                <w:color w:val="0000FF"/>
                <w:highlight w:val="none"/>
              </w:rPr>
              <w:t>符合国家、行业及地方现行的相</w:t>
            </w:r>
            <w:r>
              <w:rPr>
                <w:color w:val="0000FF"/>
                <w:spacing w:val="16"/>
                <w:highlight w:val="none"/>
              </w:rPr>
              <w:t xml:space="preserve"> </w:t>
            </w:r>
            <w:r>
              <w:rPr>
                <w:color w:val="0000FF"/>
                <w:highlight w:val="none"/>
              </w:rPr>
              <w:t>关标准及设计规范并满足招标人就本项目提出的要求</w:t>
            </w:r>
          </w:p>
          <w:p w14:paraId="7D550420">
            <w:pPr>
              <w:pStyle w:val="6"/>
              <w:spacing w:before="26" w:line="219" w:lineRule="auto"/>
              <w:ind w:left="114"/>
              <w:rPr>
                <w:highlight w:val="none"/>
              </w:rPr>
            </w:pPr>
            <w:r>
              <w:rPr>
                <w:color w:val="0000FF"/>
                <w:highlight w:val="none"/>
              </w:rPr>
              <w:t>及通过施工图审查机构的审查。</w:t>
            </w:r>
          </w:p>
          <w:p w14:paraId="00B0C808">
            <w:pPr>
              <w:pStyle w:val="6"/>
              <w:spacing w:before="141" w:line="283" w:lineRule="auto"/>
              <w:ind w:left="114" w:right="54" w:firstLine="10"/>
              <w:rPr>
                <w:highlight w:val="none"/>
              </w:rPr>
            </w:pPr>
            <w:r>
              <w:rPr>
                <w:spacing w:val="-1"/>
                <w:highlight w:val="none"/>
              </w:rPr>
              <w:t>施工要求的质量标准：</w:t>
            </w:r>
            <w:r>
              <w:rPr>
                <w:color w:val="0000FF"/>
                <w:spacing w:val="-1"/>
                <w:highlight w:val="none"/>
              </w:rPr>
              <w:t>按国家、行业及地方现行的相关</w:t>
            </w:r>
            <w:r>
              <w:rPr>
                <w:color w:val="0000FF"/>
                <w:spacing w:val="13"/>
                <w:highlight w:val="none"/>
              </w:rPr>
              <w:t xml:space="preserve"> </w:t>
            </w:r>
            <w:r>
              <w:rPr>
                <w:color w:val="0000FF"/>
                <w:highlight w:val="none"/>
              </w:rPr>
              <w:t>标准及规范与招标人要求达到合格标准。</w:t>
            </w:r>
          </w:p>
        </w:tc>
      </w:tr>
      <w:tr w14:paraId="79E08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2" w:hRule="atLeast"/>
        </w:trPr>
        <w:tc>
          <w:tcPr>
            <w:tcW w:w="1144" w:type="dxa"/>
            <w:vAlign w:val="top"/>
          </w:tcPr>
          <w:p w14:paraId="542A0A15">
            <w:pPr>
              <w:spacing w:line="260" w:lineRule="auto"/>
              <w:rPr>
                <w:rFonts w:ascii="Arial"/>
                <w:sz w:val="21"/>
                <w:highlight w:val="none"/>
              </w:rPr>
            </w:pPr>
          </w:p>
          <w:p w14:paraId="1561524D">
            <w:pPr>
              <w:spacing w:line="260" w:lineRule="auto"/>
              <w:rPr>
                <w:rFonts w:ascii="Arial"/>
                <w:sz w:val="21"/>
                <w:highlight w:val="none"/>
              </w:rPr>
            </w:pPr>
          </w:p>
          <w:p w14:paraId="38FD3A4D">
            <w:pPr>
              <w:spacing w:line="261" w:lineRule="auto"/>
              <w:rPr>
                <w:rFonts w:ascii="Arial"/>
                <w:sz w:val="21"/>
                <w:highlight w:val="none"/>
              </w:rPr>
            </w:pPr>
          </w:p>
          <w:p w14:paraId="2FA2C9B8">
            <w:pPr>
              <w:spacing w:line="261" w:lineRule="auto"/>
              <w:rPr>
                <w:rFonts w:ascii="Arial"/>
                <w:sz w:val="21"/>
                <w:highlight w:val="none"/>
              </w:rPr>
            </w:pPr>
          </w:p>
          <w:p w14:paraId="15C8B986">
            <w:pPr>
              <w:spacing w:line="261" w:lineRule="auto"/>
              <w:rPr>
                <w:rFonts w:ascii="Arial"/>
                <w:sz w:val="21"/>
                <w:highlight w:val="none"/>
              </w:rPr>
            </w:pPr>
          </w:p>
          <w:p w14:paraId="5C87B4E3">
            <w:pPr>
              <w:spacing w:line="261" w:lineRule="auto"/>
              <w:rPr>
                <w:rFonts w:ascii="Arial"/>
                <w:sz w:val="21"/>
                <w:highlight w:val="none"/>
              </w:rPr>
            </w:pPr>
          </w:p>
          <w:p w14:paraId="6E4B4E47">
            <w:pPr>
              <w:spacing w:line="261" w:lineRule="auto"/>
              <w:rPr>
                <w:rFonts w:ascii="Arial"/>
                <w:sz w:val="21"/>
                <w:highlight w:val="none"/>
              </w:rPr>
            </w:pPr>
          </w:p>
          <w:p w14:paraId="5540039F">
            <w:pPr>
              <w:pStyle w:val="6"/>
              <w:spacing w:before="68" w:line="239" w:lineRule="auto"/>
              <w:ind w:left="298"/>
              <w:rPr>
                <w:highlight w:val="none"/>
              </w:rPr>
            </w:pPr>
            <w:r>
              <w:rPr>
                <w:b/>
                <w:bCs/>
                <w:spacing w:val="-7"/>
                <w:highlight w:val="none"/>
              </w:rPr>
              <w:t>1.3.4</w:t>
            </w:r>
          </w:p>
        </w:tc>
        <w:tc>
          <w:tcPr>
            <w:tcW w:w="2627" w:type="dxa"/>
            <w:vAlign w:val="top"/>
          </w:tcPr>
          <w:p w14:paraId="733F6AC9">
            <w:pPr>
              <w:spacing w:line="257" w:lineRule="auto"/>
              <w:rPr>
                <w:rFonts w:ascii="Arial"/>
                <w:sz w:val="21"/>
                <w:highlight w:val="none"/>
              </w:rPr>
            </w:pPr>
          </w:p>
          <w:p w14:paraId="22C7333A">
            <w:pPr>
              <w:spacing w:line="258" w:lineRule="auto"/>
              <w:rPr>
                <w:rFonts w:ascii="Arial"/>
                <w:sz w:val="21"/>
                <w:highlight w:val="none"/>
              </w:rPr>
            </w:pPr>
          </w:p>
          <w:p w14:paraId="59418DD5">
            <w:pPr>
              <w:spacing w:line="258" w:lineRule="auto"/>
              <w:rPr>
                <w:rFonts w:ascii="Arial"/>
                <w:sz w:val="21"/>
                <w:highlight w:val="none"/>
              </w:rPr>
            </w:pPr>
          </w:p>
          <w:p w14:paraId="7E0768CA">
            <w:pPr>
              <w:spacing w:line="258" w:lineRule="auto"/>
              <w:rPr>
                <w:rFonts w:ascii="Arial"/>
                <w:sz w:val="21"/>
                <w:highlight w:val="none"/>
              </w:rPr>
            </w:pPr>
          </w:p>
          <w:p w14:paraId="1CCDC6F8">
            <w:pPr>
              <w:spacing w:line="258" w:lineRule="auto"/>
              <w:rPr>
                <w:rFonts w:ascii="Arial"/>
                <w:sz w:val="21"/>
                <w:highlight w:val="none"/>
              </w:rPr>
            </w:pPr>
          </w:p>
          <w:p w14:paraId="551D2A15">
            <w:pPr>
              <w:spacing w:line="258" w:lineRule="auto"/>
              <w:rPr>
                <w:rFonts w:ascii="Arial"/>
                <w:sz w:val="21"/>
                <w:highlight w:val="none"/>
              </w:rPr>
            </w:pPr>
          </w:p>
          <w:p w14:paraId="39017F78">
            <w:pPr>
              <w:spacing w:line="258" w:lineRule="auto"/>
              <w:rPr>
                <w:rFonts w:ascii="Arial"/>
                <w:sz w:val="21"/>
                <w:highlight w:val="none"/>
              </w:rPr>
            </w:pPr>
          </w:p>
          <w:p w14:paraId="4CBC3607">
            <w:pPr>
              <w:pStyle w:val="6"/>
              <w:spacing w:before="69" w:line="219" w:lineRule="auto"/>
              <w:ind w:left="670"/>
              <w:rPr>
                <w:highlight w:val="none"/>
              </w:rPr>
            </w:pPr>
            <w:r>
              <w:rPr>
                <w:spacing w:val="-2"/>
                <w:highlight w:val="none"/>
              </w:rPr>
              <w:t>政府采购政策</w:t>
            </w:r>
          </w:p>
        </w:tc>
        <w:tc>
          <w:tcPr>
            <w:tcW w:w="5219" w:type="dxa"/>
            <w:vAlign w:val="top"/>
          </w:tcPr>
          <w:p w14:paraId="5336690E">
            <w:pPr>
              <w:pStyle w:val="6"/>
              <w:spacing w:before="95" w:line="219" w:lineRule="auto"/>
              <w:ind w:left="114"/>
              <w:rPr>
                <w:highlight w:val="none"/>
              </w:rPr>
            </w:pPr>
            <w:r>
              <w:rPr>
                <w:highlight w:val="none"/>
              </w:rPr>
              <w:t>1.根据规定，本项目采用以下方式支持中小企业发展：</w:t>
            </w:r>
          </w:p>
          <w:p w14:paraId="56374AE5">
            <w:pPr>
              <w:pStyle w:val="6"/>
              <w:spacing w:before="140" w:line="219" w:lineRule="auto"/>
              <w:ind w:left="374"/>
              <w:rPr>
                <w:highlight w:val="none"/>
              </w:rPr>
            </w:pPr>
            <w:r>
              <w:rPr>
                <w:color w:val="0000FF"/>
                <w:spacing w:val="-1"/>
                <w:highlight w:val="none"/>
              </w:rPr>
              <w:t>□</w:t>
            </w:r>
            <w:r>
              <w:rPr>
                <w:spacing w:val="-1"/>
                <w:highlight w:val="none"/>
              </w:rPr>
              <w:t>项目整体预留专门面向中小企业采购。</w:t>
            </w:r>
          </w:p>
          <w:p w14:paraId="6352CDD9">
            <w:pPr>
              <w:pStyle w:val="6"/>
              <w:spacing w:before="170" w:line="219" w:lineRule="auto"/>
              <w:ind w:left="374"/>
              <w:rPr>
                <w:highlight w:val="none"/>
              </w:rPr>
            </w:pPr>
            <w:r>
              <w:rPr>
                <w:color w:val="0000FF"/>
                <w:spacing w:val="-1"/>
                <w:highlight w:val="none"/>
              </w:rPr>
              <w:t>□</w:t>
            </w:r>
            <w:r>
              <w:rPr>
                <w:spacing w:val="-1"/>
                <w:highlight w:val="none"/>
              </w:rPr>
              <w:t>项目整体预留专门面向小微企业采购。</w:t>
            </w:r>
          </w:p>
          <w:p w14:paraId="3765117F">
            <w:pPr>
              <w:pStyle w:val="6"/>
              <w:spacing w:before="143" w:line="325" w:lineRule="auto"/>
              <w:ind w:left="364" w:firstLine="9"/>
              <w:rPr>
                <w:highlight w:val="none"/>
              </w:rPr>
            </w:pPr>
            <w:r>
              <w:rPr>
                <w:color w:val="0000FF"/>
                <w:highlight w:val="none"/>
              </w:rPr>
              <w:t>□</w:t>
            </w:r>
            <w:r>
              <w:rPr>
                <w:highlight w:val="none"/>
              </w:rPr>
              <w:t>项目部分预留专门面向中小企业采购。具体的政府</w:t>
            </w:r>
            <w:r>
              <w:rPr>
                <w:spacing w:val="3"/>
                <w:highlight w:val="none"/>
              </w:rPr>
              <w:t xml:space="preserve"> </w:t>
            </w:r>
            <w:r>
              <w:rPr>
                <w:spacing w:val="-1"/>
                <w:highlight w:val="none"/>
              </w:rPr>
              <w:t>采购特别资格要求详见第二章投标人须知附录一“投</w:t>
            </w:r>
            <w:r>
              <w:rPr>
                <w:spacing w:val="10"/>
                <w:highlight w:val="none"/>
              </w:rPr>
              <w:t xml:space="preserve"> </w:t>
            </w:r>
            <w:r>
              <w:rPr>
                <w:spacing w:val="-1"/>
                <w:highlight w:val="none"/>
              </w:rPr>
              <w:t>标人资质条件、能力和信誉”。部分预留的工作详见</w:t>
            </w:r>
            <w:r>
              <w:rPr>
                <w:spacing w:val="8"/>
                <w:highlight w:val="none"/>
              </w:rPr>
              <w:t xml:space="preserve"> </w:t>
            </w:r>
            <w:r>
              <w:rPr>
                <w:highlight w:val="none"/>
              </w:rPr>
              <w:t>第二章投标人须知附录二“政府采购工程预</w:t>
            </w:r>
            <w:r>
              <w:rPr>
                <w:spacing w:val="-1"/>
                <w:highlight w:val="none"/>
              </w:rPr>
              <w:t>留工作及</w:t>
            </w:r>
            <w:r>
              <w:rPr>
                <w:highlight w:val="none"/>
              </w:rPr>
              <w:t xml:space="preserve"> </w:t>
            </w:r>
            <w:r>
              <w:rPr>
                <w:spacing w:val="-2"/>
                <w:highlight w:val="none"/>
              </w:rPr>
              <w:t>金额”。</w:t>
            </w:r>
          </w:p>
          <w:p w14:paraId="0D62FD27">
            <w:pPr>
              <w:pStyle w:val="6"/>
              <w:spacing w:before="140" w:line="285" w:lineRule="auto"/>
              <w:ind w:left="354" w:firstLine="19"/>
              <w:rPr>
                <w:highlight w:val="none"/>
              </w:rPr>
            </w:pPr>
            <w:r>
              <w:rPr>
                <w:color w:val="0000FF"/>
                <w:highlight w:val="none"/>
              </w:rPr>
              <w:t>□</w:t>
            </w:r>
            <w:r>
              <w:rPr>
                <w:highlight w:val="none"/>
              </w:rPr>
              <w:t>项目未预留份额专门面向中小企业采购。但对符合</w:t>
            </w:r>
            <w:r>
              <w:rPr>
                <w:spacing w:val="3"/>
                <w:highlight w:val="none"/>
              </w:rPr>
              <w:t xml:space="preserve"> </w:t>
            </w:r>
            <w:r>
              <w:rPr>
                <w:spacing w:val="-1"/>
                <w:highlight w:val="none"/>
              </w:rPr>
              <w:t>政府采购特别资格要求(详见第二章投标人须知附录</w:t>
            </w:r>
          </w:p>
        </w:tc>
      </w:tr>
    </w:tbl>
    <w:p w14:paraId="55EB3E07">
      <w:pPr>
        <w:pStyle w:val="2"/>
        <w:rPr>
          <w:highlight w:val="none"/>
        </w:rPr>
      </w:pPr>
    </w:p>
    <w:p w14:paraId="49C45B7C">
      <w:pPr>
        <w:rPr>
          <w:highlight w:val="none"/>
        </w:rPr>
        <w:sectPr>
          <w:footerReference r:id="rId17" w:type="default"/>
          <w:pgSz w:w="11910" w:h="16840"/>
          <w:pgMar w:top="400" w:right="1274" w:bottom="1217" w:left="1635" w:header="0" w:footer="1013" w:gutter="0"/>
          <w:cols w:space="720" w:num="1"/>
        </w:sectPr>
      </w:pPr>
    </w:p>
    <w:p w14:paraId="63B5478A">
      <w:pPr>
        <w:spacing w:before="18"/>
        <w:rPr>
          <w:highlight w:val="none"/>
        </w:rPr>
      </w:pPr>
    </w:p>
    <w:p w14:paraId="02DD705F">
      <w:pPr>
        <w:spacing w:before="17"/>
        <w:rPr>
          <w:highlight w:val="none"/>
        </w:rPr>
      </w:pPr>
    </w:p>
    <w:p w14:paraId="6305481C">
      <w:pPr>
        <w:spacing w:before="17"/>
        <w:rPr>
          <w:highlight w:val="none"/>
        </w:rPr>
      </w:pPr>
    </w:p>
    <w:p w14:paraId="48BC939C">
      <w:pPr>
        <w:spacing w:before="17"/>
        <w:rPr>
          <w:highlight w:val="none"/>
        </w:rPr>
      </w:pPr>
    </w:p>
    <w:tbl>
      <w:tblPr>
        <w:tblStyle w:val="5"/>
        <w:tblW w:w="90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3"/>
        <w:gridCol w:w="2617"/>
        <w:gridCol w:w="5237"/>
      </w:tblGrid>
      <w:tr w14:paraId="45768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8" w:hRule="atLeast"/>
        </w:trPr>
        <w:tc>
          <w:tcPr>
            <w:tcW w:w="1153" w:type="dxa"/>
            <w:vAlign w:val="top"/>
          </w:tcPr>
          <w:p w14:paraId="1D6814FC">
            <w:pPr>
              <w:rPr>
                <w:rFonts w:ascii="Arial"/>
                <w:sz w:val="21"/>
                <w:highlight w:val="none"/>
              </w:rPr>
            </w:pPr>
          </w:p>
        </w:tc>
        <w:tc>
          <w:tcPr>
            <w:tcW w:w="2617" w:type="dxa"/>
            <w:vAlign w:val="top"/>
          </w:tcPr>
          <w:p w14:paraId="540B16FC">
            <w:pPr>
              <w:rPr>
                <w:rFonts w:ascii="Arial"/>
                <w:sz w:val="21"/>
                <w:highlight w:val="none"/>
              </w:rPr>
            </w:pPr>
          </w:p>
        </w:tc>
        <w:tc>
          <w:tcPr>
            <w:tcW w:w="5237" w:type="dxa"/>
            <w:vAlign w:val="top"/>
          </w:tcPr>
          <w:p w14:paraId="0541B006">
            <w:pPr>
              <w:pStyle w:val="6"/>
              <w:spacing w:before="94" w:line="331" w:lineRule="auto"/>
              <w:ind w:left="375" w:right="2"/>
              <w:jc w:val="both"/>
              <w:rPr>
                <w:sz w:val="22"/>
                <w:szCs w:val="22"/>
                <w:highlight w:val="none"/>
              </w:rPr>
            </w:pPr>
            <w:r>
              <w:rPr>
                <w:spacing w:val="-5"/>
                <w:sz w:val="22"/>
                <w:szCs w:val="22"/>
                <w:highlight w:val="none"/>
              </w:rPr>
              <w:t>一“投标人资质条件、能力和信誉”)且满足一定条</w:t>
            </w:r>
            <w:r>
              <w:rPr>
                <w:spacing w:val="13"/>
                <w:sz w:val="22"/>
                <w:szCs w:val="22"/>
                <w:highlight w:val="none"/>
              </w:rPr>
              <w:t xml:space="preserve"> </w:t>
            </w:r>
            <w:r>
              <w:rPr>
                <w:spacing w:val="-5"/>
                <w:sz w:val="22"/>
                <w:szCs w:val="22"/>
                <w:highlight w:val="none"/>
              </w:rPr>
              <w:t>件的投标人(详见第三章评标办法“政府采购工程价</w:t>
            </w:r>
            <w:r>
              <w:rPr>
                <w:spacing w:val="13"/>
                <w:sz w:val="22"/>
                <w:szCs w:val="22"/>
                <w:highlight w:val="none"/>
              </w:rPr>
              <w:t xml:space="preserve"> </w:t>
            </w:r>
            <w:r>
              <w:rPr>
                <w:spacing w:val="-1"/>
                <w:sz w:val="22"/>
                <w:szCs w:val="22"/>
                <w:highlight w:val="none"/>
              </w:rPr>
              <w:t>格评审优惠”),在评标时享受价格扣除或增加价格</w:t>
            </w:r>
            <w:r>
              <w:rPr>
                <w:spacing w:val="13"/>
                <w:sz w:val="22"/>
                <w:szCs w:val="22"/>
                <w:highlight w:val="none"/>
              </w:rPr>
              <w:t xml:space="preserve"> </w:t>
            </w:r>
            <w:r>
              <w:rPr>
                <w:spacing w:val="1"/>
                <w:sz w:val="22"/>
                <w:szCs w:val="22"/>
                <w:highlight w:val="none"/>
              </w:rPr>
              <w:t>分的优惠政策。</w:t>
            </w:r>
          </w:p>
          <w:p w14:paraId="59145BFA">
            <w:pPr>
              <w:pStyle w:val="6"/>
              <w:spacing w:before="11" w:line="286" w:lineRule="auto"/>
              <w:ind w:left="379" w:hanging="254"/>
              <w:rPr>
                <w:sz w:val="22"/>
                <w:szCs w:val="22"/>
                <w:highlight w:val="none"/>
              </w:rPr>
            </w:pPr>
            <w:r>
              <w:rPr>
                <w:spacing w:val="-7"/>
                <w:sz w:val="22"/>
                <w:szCs w:val="22"/>
                <w:highlight w:val="none"/>
              </w:rPr>
              <w:t>2.根据规定，本项目采用以下方式支持监狱</w:t>
            </w:r>
            <w:r>
              <w:rPr>
                <w:spacing w:val="-8"/>
                <w:sz w:val="22"/>
                <w:szCs w:val="22"/>
                <w:highlight w:val="none"/>
              </w:rPr>
              <w:t>企业发展：</w:t>
            </w:r>
            <w:r>
              <w:rPr>
                <w:sz w:val="22"/>
                <w:szCs w:val="22"/>
                <w:highlight w:val="none"/>
              </w:rPr>
              <w:t xml:space="preserve"> </w:t>
            </w:r>
            <w:r>
              <w:rPr>
                <w:spacing w:val="-5"/>
                <w:sz w:val="22"/>
                <w:szCs w:val="22"/>
                <w:highlight w:val="none"/>
              </w:rPr>
              <w:t>在招标活动中，监狱企业视同小型、微型企业。</w:t>
            </w:r>
          </w:p>
          <w:p w14:paraId="3E37ED90">
            <w:pPr>
              <w:pStyle w:val="6"/>
              <w:spacing w:before="125" w:line="309" w:lineRule="auto"/>
              <w:ind w:left="365" w:firstLine="9"/>
              <w:rPr>
                <w:sz w:val="22"/>
                <w:szCs w:val="22"/>
                <w:highlight w:val="none"/>
              </w:rPr>
            </w:pPr>
            <w:r>
              <w:rPr>
                <w:spacing w:val="-14"/>
                <w:sz w:val="22"/>
                <w:szCs w:val="22"/>
                <w:highlight w:val="none"/>
              </w:rPr>
              <w:t>监狱企业参加招标活动时，应当提供由省级以上监狱</w:t>
            </w:r>
            <w:r>
              <w:rPr>
                <w:spacing w:val="6"/>
                <w:sz w:val="22"/>
                <w:szCs w:val="22"/>
                <w:highlight w:val="none"/>
              </w:rPr>
              <w:t xml:space="preserve">  </w:t>
            </w:r>
            <w:r>
              <w:rPr>
                <w:spacing w:val="-3"/>
                <w:sz w:val="22"/>
                <w:szCs w:val="22"/>
                <w:highlight w:val="none"/>
              </w:rPr>
              <w:t>管理局、戒毒管理局(含新疆生产建设兵团)出</w:t>
            </w:r>
            <w:r>
              <w:rPr>
                <w:spacing w:val="-4"/>
                <w:sz w:val="22"/>
                <w:szCs w:val="22"/>
                <w:highlight w:val="none"/>
              </w:rPr>
              <w:t>具的</w:t>
            </w:r>
            <w:r>
              <w:rPr>
                <w:sz w:val="22"/>
                <w:szCs w:val="22"/>
                <w:highlight w:val="none"/>
              </w:rPr>
              <w:t xml:space="preserve">  </w:t>
            </w:r>
            <w:r>
              <w:rPr>
                <w:spacing w:val="-9"/>
                <w:sz w:val="22"/>
                <w:szCs w:val="22"/>
                <w:highlight w:val="none"/>
              </w:rPr>
              <w:t>属于监狱企业的证明文件，材料不全的不享受政策。</w:t>
            </w:r>
            <w:r>
              <w:rPr>
                <w:spacing w:val="7"/>
                <w:sz w:val="22"/>
                <w:szCs w:val="22"/>
                <w:highlight w:val="none"/>
              </w:rPr>
              <w:t xml:space="preserve"> </w:t>
            </w:r>
            <w:r>
              <w:rPr>
                <w:spacing w:val="-13"/>
                <w:sz w:val="22"/>
                <w:szCs w:val="22"/>
                <w:highlight w:val="none"/>
              </w:rPr>
              <w:t>对小微企业中的监狱企业，评审中计算价格扣除时给</w:t>
            </w:r>
            <w:r>
              <w:rPr>
                <w:sz w:val="22"/>
                <w:szCs w:val="22"/>
                <w:highlight w:val="none"/>
              </w:rPr>
              <w:t xml:space="preserve">  </w:t>
            </w:r>
            <w:r>
              <w:rPr>
                <w:spacing w:val="-4"/>
                <w:sz w:val="22"/>
                <w:szCs w:val="22"/>
                <w:highlight w:val="none"/>
              </w:rPr>
              <w:t>予5%的扣除或增加价格分时给予5%的增加价格分。</w:t>
            </w:r>
          </w:p>
          <w:p w14:paraId="3A8A19A5">
            <w:pPr>
              <w:pStyle w:val="6"/>
              <w:spacing w:before="140" w:line="279" w:lineRule="auto"/>
              <w:ind w:left="115" w:right="2"/>
              <w:rPr>
                <w:sz w:val="22"/>
                <w:szCs w:val="22"/>
                <w:highlight w:val="none"/>
              </w:rPr>
            </w:pPr>
            <w:r>
              <w:rPr>
                <w:spacing w:val="-7"/>
                <w:sz w:val="22"/>
                <w:szCs w:val="22"/>
                <w:highlight w:val="none"/>
              </w:rPr>
              <w:t>3.根据规定，本项目采用以下方式支持残疾人福利性单</w:t>
            </w:r>
            <w:r>
              <w:rPr>
                <w:spacing w:val="3"/>
                <w:sz w:val="22"/>
                <w:szCs w:val="22"/>
                <w:highlight w:val="none"/>
              </w:rPr>
              <w:t xml:space="preserve"> </w:t>
            </w:r>
            <w:r>
              <w:rPr>
                <w:spacing w:val="-1"/>
                <w:sz w:val="22"/>
                <w:szCs w:val="22"/>
                <w:highlight w:val="none"/>
              </w:rPr>
              <w:t>位发展：</w:t>
            </w:r>
          </w:p>
          <w:p w14:paraId="25CCDB29">
            <w:pPr>
              <w:pStyle w:val="6"/>
              <w:spacing w:before="126" w:line="336" w:lineRule="auto"/>
              <w:ind w:left="355" w:right="2" w:firstLine="30"/>
              <w:rPr>
                <w:sz w:val="22"/>
                <w:szCs w:val="22"/>
                <w:highlight w:val="none"/>
              </w:rPr>
            </w:pPr>
            <w:r>
              <w:rPr>
                <w:spacing w:val="-10"/>
                <w:sz w:val="22"/>
                <w:szCs w:val="22"/>
                <w:highlight w:val="none"/>
              </w:rPr>
              <w:t>在招标活动中，残疾人福利性单位视同小型、微型企</w:t>
            </w:r>
            <w:r>
              <w:rPr>
                <w:spacing w:val="8"/>
                <w:sz w:val="22"/>
                <w:szCs w:val="22"/>
                <w:highlight w:val="none"/>
              </w:rPr>
              <w:t xml:space="preserve"> </w:t>
            </w:r>
            <w:r>
              <w:rPr>
                <w:spacing w:val="-1"/>
                <w:sz w:val="22"/>
                <w:szCs w:val="22"/>
                <w:highlight w:val="none"/>
              </w:rPr>
              <w:t>业。</w:t>
            </w:r>
          </w:p>
          <w:p w14:paraId="0F32FA7D">
            <w:pPr>
              <w:pStyle w:val="6"/>
              <w:spacing w:line="341" w:lineRule="auto"/>
              <w:ind w:left="375" w:right="2"/>
              <w:rPr>
                <w:sz w:val="22"/>
                <w:szCs w:val="22"/>
                <w:highlight w:val="none"/>
              </w:rPr>
            </w:pPr>
            <w:r>
              <w:rPr>
                <w:spacing w:val="-10"/>
                <w:sz w:val="22"/>
                <w:szCs w:val="22"/>
                <w:highlight w:val="none"/>
              </w:rPr>
              <w:t>符合条件的残疾人福利性单位在参加招标活动时，应</w:t>
            </w:r>
            <w:r>
              <w:rPr>
                <w:spacing w:val="18"/>
                <w:sz w:val="22"/>
                <w:szCs w:val="22"/>
                <w:highlight w:val="none"/>
              </w:rPr>
              <w:t xml:space="preserve"> </w:t>
            </w:r>
            <w:r>
              <w:rPr>
                <w:spacing w:val="-5"/>
                <w:sz w:val="22"/>
                <w:szCs w:val="22"/>
                <w:highlight w:val="none"/>
              </w:rPr>
              <w:t>当提供《残疾人福利性单位声明函》,并对声明的真</w:t>
            </w:r>
            <w:r>
              <w:rPr>
                <w:spacing w:val="13"/>
                <w:sz w:val="22"/>
                <w:szCs w:val="22"/>
                <w:highlight w:val="none"/>
              </w:rPr>
              <w:t xml:space="preserve"> </w:t>
            </w:r>
            <w:r>
              <w:rPr>
                <w:spacing w:val="-1"/>
                <w:sz w:val="22"/>
                <w:szCs w:val="22"/>
                <w:highlight w:val="none"/>
              </w:rPr>
              <w:t>实性负责，未提供声明函的不享受政策。</w:t>
            </w:r>
          </w:p>
          <w:p w14:paraId="5435D613">
            <w:pPr>
              <w:pStyle w:val="6"/>
              <w:spacing w:before="3" w:line="331" w:lineRule="auto"/>
              <w:ind w:left="365" w:firstLine="19"/>
              <w:rPr>
                <w:sz w:val="22"/>
                <w:szCs w:val="22"/>
                <w:highlight w:val="none"/>
              </w:rPr>
            </w:pPr>
            <w:r>
              <w:rPr>
                <w:spacing w:val="-10"/>
                <w:sz w:val="22"/>
                <w:szCs w:val="22"/>
                <w:highlight w:val="none"/>
              </w:rPr>
              <w:t>对小微企业中符合残疾人福利性单位条件的</w:t>
            </w:r>
            <w:r>
              <w:rPr>
                <w:spacing w:val="-11"/>
                <w:sz w:val="22"/>
                <w:szCs w:val="22"/>
                <w:highlight w:val="none"/>
              </w:rPr>
              <w:t>企业，评</w:t>
            </w:r>
            <w:r>
              <w:rPr>
                <w:sz w:val="22"/>
                <w:szCs w:val="22"/>
                <w:highlight w:val="none"/>
              </w:rPr>
              <w:t xml:space="preserve"> </w:t>
            </w:r>
            <w:r>
              <w:rPr>
                <w:spacing w:val="1"/>
                <w:sz w:val="22"/>
                <w:szCs w:val="22"/>
                <w:highlight w:val="none"/>
              </w:rPr>
              <w:t>审中计算价格扣除时给予5%的扣除或增加价</w:t>
            </w:r>
            <w:r>
              <w:rPr>
                <w:sz w:val="22"/>
                <w:szCs w:val="22"/>
                <w:highlight w:val="none"/>
              </w:rPr>
              <w:t xml:space="preserve">格分时 </w:t>
            </w:r>
            <w:r>
              <w:rPr>
                <w:spacing w:val="-1"/>
                <w:sz w:val="22"/>
                <w:szCs w:val="22"/>
                <w:highlight w:val="none"/>
              </w:rPr>
              <w:t>给予5%的增加价格分。</w:t>
            </w:r>
          </w:p>
          <w:p w14:paraId="036576B6">
            <w:pPr>
              <w:pStyle w:val="6"/>
              <w:spacing w:before="173" w:line="163" w:lineRule="auto"/>
              <w:ind w:left="234"/>
              <w:rPr>
                <w:sz w:val="13"/>
                <w:szCs w:val="13"/>
                <w:highlight w:val="none"/>
              </w:rPr>
            </w:pPr>
            <w:r>
              <w:rPr>
                <w:sz w:val="13"/>
                <w:szCs w:val="13"/>
                <w:highlight w:val="none"/>
              </w:rPr>
              <w:t>0</w:t>
            </w:r>
          </w:p>
        </w:tc>
      </w:tr>
      <w:tr w14:paraId="311FC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2" w:hRule="atLeast"/>
        </w:trPr>
        <w:tc>
          <w:tcPr>
            <w:tcW w:w="1153" w:type="dxa"/>
            <w:vAlign w:val="top"/>
          </w:tcPr>
          <w:p w14:paraId="01AF6807">
            <w:pPr>
              <w:spacing w:line="245" w:lineRule="auto"/>
              <w:rPr>
                <w:rFonts w:ascii="Arial"/>
                <w:sz w:val="21"/>
                <w:highlight w:val="none"/>
              </w:rPr>
            </w:pPr>
          </w:p>
          <w:p w14:paraId="566E6FD8">
            <w:pPr>
              <w:spacing w:line="245" w:lineRule="auto"/>
              <w:rPr>
                <w:rFonts w:ascii="Arial"/>
                <w:sz w:val="21"/>
                <w:highlight w:val="none"/>
              </w:rPr>
            </w:pPr>
          </w:p>
          <w:p w14:paraId="4858FE14">
            <w:pPr>
              <w:spacing w:line="245" w:lineRule="auto"/>
              <w:rPr>
                <w:rFonts w:ascii="Arial"/>
                <w:sz w:val="21"/>
                <w:highlight w:val="none"/>
              </w:rPr>
            </w:pPr>
          </w:p>
          <w:p w14:paraId="54D92E56">
            <w:pPr>
              <w:spacing w:line="245" w:lineRule="auto"/>
              <w:rPr>
                <w:rFonts w:ascii="Arial"/>
                <w:sz w:val="21"/>
                <w:highlight w:val="none"/>
              </w:rPr>
            </w:pPr>
          </w:p>
          <w:p w14:paraId="39048042">
            <w:pPr>
              <w:spacing w:line="245" w:lineRule="auto"/>
              <w:rPr>
                <w:rFonts w:ascii="Arial"/>
                <w:sz w:val="21"/>
                <w:highlight w:val="none"/>
              </w:rPr>
            </w:pPr>
          </w:p>
          <w:p w14:paraId="31B77254">
            <w:pPr>
              <w:spacing w:line="245" w:lineRule="auto"/>
              <w:rPr>
                <w:rFonts w:ascii="Arial"/>
                <w:sz w:val="21"/>
                <w:highlight w:val="none"/>
              </w:rPr>
            </w:pPr>
          </w:p>
          <w:p w14:paraId="6DE13044">
            <w:pPr>
              <w:spacing w:line="245" w:lineRule="auto"/>
              <w:rPr>
                <w:rFonts w:ascii="Arial"/>
                <w:sz w:val="21"/>
                <w:highlight w:val="none"/>
              </w:rPr>
            </w:pPr>
          </w:p>
          <w:p w14:paraId="67DE4649">
            <w:pPr>
              <w:spacing w:line="246" w:lineRule="auto"/>
              <w:rPr>
                <w:rFonts w:ascii="Arial"/>
                <w:sz w:val="21"/>
                <w:highlight w:val="none"/>
              </w:rPr>
            </w:pPr>
          </w:p>
          <w:p w14:paraId="36BC88D9">
            <w:pPr>
              <w:pStyle w:val="6"/>
              <w:spacing w:before="72" w:line="239" w:lineRule="auto"/>
              <w:ind w:left="338"/>
              <w:rPr>
                <w:sz w:val="22"/>
                <w:szCs w:val="22"/>
                <w:highlight w:val="none"/>
              </w:rPr>
            </w:pPr>
            <w:r>
              <w:rPr>
                <w:b/>
                <w:bCs/>
                <w:spacing w:val="-7"/>
                <w:sz w:val="22"/>
                <w:szCs w:val="22"/>
                <w:highlight w:val="none"/>
              </w:rPr>
              <w:t>1.4.1</w:t>
            </w:r>
          </w:p>
        </w:tc>
        <w:tc>
          <w:tcPr>
            <w:tcW w:w="2617" w:type="dxa"/>
            <w:vAlign w:val="top"/>
          </w:tcPr>
          <w:p w14:paraId="189F147F">
            <w:pPr>
              <w:spacing w:line="254" w:lineRule="auto"/>
              <w:rPr>
                <w:rFonts w:ascii="Arial"/>
                <w:sz w:val="21"/>
                <w:highlight w:val="none"/>
              </w:rPr>
            </w:pPr>
          </w:p>
          <w:p w14:paraId="62EEED8F">
            <w:pPr>
              <w:spacing w:line="254" w:lineRule="auto"/>
              <w:rPr>
                <w:rFonts w:ascii="Arial"/>
                <w:sz w:val="21"/>
                <w:highlight w:val="none"/>
              </w:rPr>
            </w:pPr>
          </w:p>
          <w:p w14:paraId="790CAB56">
            <w:pPr>
              <w:spacing w:line="255" w:lineRule="auto"/>
              <w:rPr>
                <w:rFonts w:ascii="Arial"/>
                <w:sz w:val="21"/>
                <w:highlight w:val="none"/>
              </w:rPr>
            </w:pPr>
          </w:p>
          <w:p w14:paraId="71C10874">
            <w:pPr>
              <w:spacing w:line="255" w:lineRule="auto"/>
              <w:rPr>
                <w:rFonts w:ascii="Arial"/>
                <w:sz w:val="21"/>
                <w:highlight w:val="none"/>
              </w:rPr>
            </w:pPr>
          </w:p>
          <w:p w14:paraId="38BD5E11">
            <w:pPr>
              <w:spacing w:line="255" w:lineRule="auto"/>
              <w:rPr>
                <w:rFonts w:ascii="Arial"/>
                <w:sz w:val="21"/>
                <w:highlight w:val="none"/>
              </w:rPr>
            </w:pPr>
          </w:p>
          <w:p w14:paraId="721A999B">
            <w:pPr>
              <w:spacing w:line="255" w:lineRule="auto"/>
              <w:rPr>
                <w:rFonts w:ascii="Arial"/>
                <w:sz w:val="21"/>
                <w:highlight w:val="none"/>
              </w:rPr>
            </w:pPr>
          </w:p>
          <w:p w14:paraId="0A809B9B">
            <w:pPr>
              <w:spacing w:line="255" w:lineRule="auto"/>
              <w:rPr>
                <w:rFonts w:ascii="Arial"/>
                <w:sz w:val="21"/>
                <w:highlight w:val="none"/>
              </w:rPr>
            </w:pPr>
          </w:p>
          <w:p w14:paraId="01C5A775">
            <w:pPr>
              <w:pStyle w:val="6"/>
              <w:spacing w:before="71" w:line="362" w:lineRule="auto"/>
              <w:ind w:left="1187" w:hanging="1175"/>
              <w:rPr>
                <w:sz w:val="22"/>
                <w:szCs w:val="22"/>
                <w:highlight w:val="none"/>
              </w:rPr>
            </w:pPr>
            <w:r>
              <w:rPr>
                <w:spacing w:val="-4"/>
                <w:sz w:val="22"/>
                <w:szCs w:val="22"/>
                <w:highlight w:val="none"/>
              </w:rPr>
              <w:t>投标人资质条件、能力和信</w:t>
            </w:r>
            <w:r>
              <w:rPr>
                <w:spacing w:val="1"/>
                <w:sz w:val="22"/>
                <w:szCs w:val="22"/>
                <w:highlight w:val="none"/>
              </w:rPr>
              <w:t xml:space="preserve"> </w:t>
            </w:r>
            <w:r>
              <w:rPr>
                <w:sz w:val="22"/>
                <w:szCs w:val="22"/>
                <w:highlight w:val="none"/>
              </w:rPr>
              <w:t>誉</w:t>
            </w:r>
          </w:p>
        </w:tc>
        <w:tc>
          <w:tcPr>
            <w:tcW w:w="5237" w:type="dxa"/>
            <w:vAlign w:val="top"/>
          </w:tcPr>
          <w:p w14:paraId="2DC6222E">
            <w:pPr>
              <w:pStyle w:val="6"/>
              <w:spacing w:before="282" w:line="219" w:lineRule="auto"/>
              <w:ind w:left="118"/>
              <w:rPr>
                <w:sz w:val="22"/>
                <w:szCs w:val="22"/>
                <w:highlight w:val="none"/>
              </w:rPr>
            </w:pPr>
            <w:r>
              <w:rPr>
                <w:b/>
                <w:bCs/>
                <w:sz w:val="22"/>
                <w:szCs w:val="22"/>
                <w:highlight w:val="none"/>
              </w:rPr>
              <w:t>资质条件：</w:t>
            </w:r>
            <w:r>
              <w:rPr>
                <w:sz w:val="22"/>
                <w:szCs w:val="22"/>
                <w:highlight w:val="none"/>
              </w:rPr>
              <w:t>见本章附录一</w:t>
            </w:r>
          </w:p>
          <w:p w14:paraId="42FEF216">
            <w:pPr>
              <w:pStyle w:val="6"/>
              <w:spacing w:before="129" w:line="219" w:lineRule="auto"/>
              <w:ind w:left="118"/>
              <w:rPr>
                <w:sz w:val="22"/>
                <w:szCs w:val="22"/>
                <w:highlight w:val="none"/>
              </w:rPr>
            </w:pPr>
            <w:r>
              <w:rPr>
                <w:b/>
                <w:bCs/>
                <w:sz w:val="22"/>
                <w:szCs w:val="22"/>
                <w:highlight w:val="none"/>
              </w:rPr>
              <w:t>财务要求：</w:t>
            </w:r>
            <w:r>
              <w:rPr>
                <w:sz w:val="22"/>
                <w:szCs w:val="22"/>
                <w:highlight w:val="none"/>
              </w:rPr>
              <w:t>见本章附录一</w:t>
            </w:r>
          </w:p>
          <w:p w14:paraId="64A3F941">
            <w:pPr>
              <w:pStyle w:val="6"/>
              <w:spacing w:before="29" w:line="219" w:lineRule="auto"/>
              <w:ind w:left="118"/>
              <w:rPr>
                <w:sz w:val="22"/>
                <w:szCs w:val="22"/>
                <w:highlight w:val="none"/>
              </w:rPr>
            </w:pPr>
            <w:r>
              <w:rPr>
                <w:b/>
                <w:bCs/>
                <w:sz w:val="22"/>
                <w:szCs w:val="22"/>
                <w:highlight w:val="none"/>
              </w:rPr>
              <w:t>业绩要求：</w:t>
            </w:r>
            <w:r>
              <w:rPr>
                <w:sz w:val="22"/>
                <w:szCs w:val="22"/>
                <w:highlight w:val="none"/>
              </w:rPr>
              <w:t>见本章附录一</w:t>
            </w:r>
          </w:p>
          <w:p w14:paraId="6A82F625">
            <w:pPr>
              <w:pStyle w:val="6"/>
              <w:spacing w:before="127" w:line="219" w:lineRule="auto"/>
              <w:ind w:left="118"/>
              <w:rPr>
                <w:sz w:val="22"/>
                <w:szCs w:val="22"/>
                <w:highlight w:val="none"/>
              </w:rPr>
            </w:pPr>
            <w:r>
              <w:rPr>
                <w:b/>
                <w:bCs/>
                <w:sz w:val="22"/>
                <w:szCs w:val="22"/>
                <w:highlight w:val="none"/>
              </w:rPr>
              <w:t>信誉要求：</w:t>
            </w:r>
            <w:r>
              <w:rPr>
                <w:sz w:val="22"/>
                <w:szCs w:val="22"/>
                <w:highlight w:val="none"/>
              </w:rPr>
              <w:t>见本章附录一</w:t>
            </w:r>
          </w:p>
          <w:p w14:paraId="120AC56B">
            <w:pPr>
              <w:pStyle w:val="6"/>
              <w:spacing w:before="119" w:line="219" w:lineRule="auto"/>
              <w:ind w:left="118"/>
              <w:rPr>
                <w:sz w:val="22"/>
                <w:szCs w:val="22"/>
                <w:highlight w:val="none"/>
              </w:rPr>
            </w:pPr>
            <w:r>
              <w:rPr>
                <w:b/>
                <w:bCs/>
                <w:spacing w:val="-1"/>
                <w:sz w:val="22"/>
                <w:szCs w:val="22"/>
                <w:highlight w:val="none"/>
              </w:rPr>
              <w:t>项目经理的资格要求：</w:t>
            </w:r>
            <w:r>
              <w:rPr>
                <w:spacing w:val="-1"/>
                <w:sz w:val="22"/>
                <w:szCs w:val="22"/>
                <w:highlight w:val="none"/>
              </w:rPr>
              <w:t>见本章附录一</w:t>
            </w:r>
          </w:p>
          <w:p w14:paraId="7296BD6A">
            <w:pPr>
              <w:pStyle w:val="6"/>
              <w:spacing w:before="129" w:line="219" w:lineRule="auto"/>
              <w:ind w:left="118"/>
              <w:rPr>
                <w:sz w:val="22"/>
                <w:szCs w:val="22"/>
                <w:highlight w:val="none"/>
              </w:rPr>
            </w:pPr>
            <w:r>
              <w:rPr>
                <w:b/>
                <w:bCs/>
                <w:spacing w:val="-1"/>
                <w:sz w:val="22"/>
                <w:szCs w:val="22"/>
                <w:highlight w:val="none"/>
              </w:rPr>
              <w:t>设计负责人的资格要求：</w:t>
            </w:r>
            <w:r>
              <w:rPr>
                <w:spacing w:val="-1"/>
                <w:sz w:val="22"/>
                <w:szCs w:val="22"/>
                <w:highlight w:val="none"/>
              </w:rPr>
              <w:t>见本章附录一</w:t>
            </w:r>
          </w:p>
          <w:p w14:paraId="00E7BAA7">
            <w:pPr>
              <w:pStyle w:val="6"/>
              <w:spacing w:before="129" w:line="219" w:lineRule="auto"/>
              <w:ind w:left="118"/>
              <w:rPr>
                <w:sz w:val="22"/>
                <w:szCs w:val="22"/>
                <w:highlight w:val="none"/>
              </w:rPr>
            </w:pPr>
            <w:r>
              <w:rPr>
                <w:b/>
                <w:bCs/>
                <w:spacing w:val="-1"/>
                <w:sz w:val="22"/>
                <w:szCs w:val="22"/>
                <w:highlight w:val="none"/>
              </w:rPr>
              <w:t>施工负责人的资格要求：</w:t>
            </w:r>
            <w:r>
              <w:rPr>
                <w:spacing w:val="-1"/>
                <w:sz w:val="22"/>
                <w:szCs w:val="22"/>
                <w:highlight w:val="none"/>
              </w:rPr>
              <w:t>见本章附录一</w:t>
            </w:r>
          </w:p>
          <w:p w14:paraId="5055D3F9">
            <w:pPr>
              <w:pStyle w:val="6"/>
              <w:spacing w:before="198" w:line="219" w:lineRule="auto"/>
              <w:ind w:left="118"/>
              <w:rPr>
                <w:sz w:val="22"/>
                <w:szCs w:val="22"/>
                <w:highlight w:val="none"/>
              </w:rPr>
            </w:pPr>
            <w:r>
              <w:rPr>
                <w:b/>
                <w:bCs/>
                <w:sz w:val="22"/>
                <w:szCs w:val="22"/>
                <w:highlight w:val="none"/>
              </w:rPr>
              <w:t>施工机械设备：</w:t>
            </w:r>
            <w:r>
              <w:rPr>
                <w:sz w:val="22"/>
                <w:szCs w:val="22"/>
                <w:highlight w:val="none"/>
              </w:rPr>
              <w:t>见本章附录一</w:t>
            </w:r>
          </w:p>
          <w:p w14:paraId="6787984B">
            <w:pPr>
              <w:pStyle w:val="6"/>
              <w:spacing w:before="249" w:line="219" w:lineRule="auto"/>
              <w:ind w:left="118"/>
              <w:rPr>
                <w:sz w:val="22"/>
                <w:szCs w:val="22"/>
                <w:highlight w:val="none"/>
              </w:rPr>
            </w:pPr>
            <w:r>
              <w:rPr>
                <w:b/>
                <w:bCs/>
                <w:spacing w:val="-1"/>
                <w:sz w:val="22"/>
                <w:szCs w:val="22"/>
                <w:highlight w:val="none"/>
              </w:rPr>
              <w:t>项目管理机构及人员：</w:t>
            </w:r>
            <w:r>
              <w:rPr>
                <w:spacing w:val="-1"/>
                <w:sz w:val="22"/>
                <w:szCs w:val="22"/>
                <w:highlight w:val="none"/>
              </w:rPr>
              <w:t>见本章附录一</w:t>
            </w:r>
          </w:p>
          <w:p w14:paraId="7E4F00BE">
            <w:pPr>
              <w:pStyle w:val="6"/>
              <w:spacing w:before="131" w:line="219" w:lineRule="auto"/>
              <w:ind w:left="118"/>
              <w:rPr>
                <w:sz w:val="22"/>
                <w:szCs w:val="22"/>
                <w:highlight w:val="none"/>
              </w:rPr>
            </w:pPr>
            <w:r>
              <w:rPr>
                <w:b/>
                <w:bCs/>
                <w:sz w:val="22"/>
                <w:szCs w:val="22"/>
                <w:highlight w:val="none"/>
              </w:rPr>
              <w:t>其他要求：</w:t>
            </w:r>
            <w:r>
              <w:rPr>
                <w:sz w:val="22"/>
                <w:szCs w:val="22"/>
                <w:highlight w:val="none"/>
              </w:rPr>
              <w:t>见本章附录一</w:t>
            </w:r>
          </w:p>
        </w:tc>
      </w:tr>
    </w:tbl>
    <w:p w14:paraId="748078BC">
      <w:pPr>
        <w:pStyle w:val="2"/>
        <w:rPr>
          <w:highlight w:val="none"/>
        </w:rPr>
      </w:pPr>
    </w:p>
    <w:p w14:paraId="39D8E2AA">
      <w:pPr>
        <w:rPr>
          <w:highlight w:val="none"/>
        </w:rPr>
        <w:sectPr>
          <w:footerReference r:id="rId18" w:type="default"/>
          <w:pgSz w:w="11910" w:h="16840"/>
          <w:pgMar w:top="400" w:right="1257" w:bottom="1169" w:left="1635" w:header="0" w:footer="1028" w:gutter="0"/>
          <w:cols w:space="720" w:num="1"/>
        </w:sectPr>
      </w:pPr>
    </w:p>
    <w:p w14:paraId="6B607E31">
      <w:pPr>
        <w:spacing w:before="18"/>
        <w:rPr>
          <w:highlight w:val="none"/>
        </w:rPr>
      </w:pPr>
    </w:p>
    <w:p w14:paraId="7D9E5FA4">
      <w:pPr>
        <w:spacing w:before="17"/>
        <w:rPr>
          <w:highlight w:val="none"/>
        </w:rPr>
      </w:pPr>
    </w:p>
    <w:p w14:paraId="0831D589">
      <w:pPr>
        <w:spacing w:before="17"/>
        <w:rPr>
          <w:highlight w:val="none"/>
        </w:rPr>
      </w:pPr>
    </w:p>
    <w:p w14:paraId="0771B580">
      <w:pPr>
        <w:spacing w:before="17"/>
        <w:rPr>
          <w:highlight w:val="none"/>
        </w:rPr>
      </w:pPr>
    </w:p>
    <w:tbl>
      <w:tblPr>
        <w:tblStyle w:val="5"/>
        <w:tblW w:w="89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4"/>
        <w:gridCol w:w="2637"/>
        <w:gridCol w:w="5209"/>
      </w:tblGrid>
      <w:tr w14:paraId="652B6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43" w:hRule="atLeast"/>
        </w:trPr>
        <w:tc>
          <w:tcPr>
            <w:tcW w:w="1144" w:type="dxa"/>
            <w:vAlign w:val="top"/>
          </w:tcPr>
          <w:p w14:paraId="61C41810">
            <w:pPr>
              <w:spacing w:line="306" w:lineRule="auto"/>
              <w:rPr>
                <w:rFonts w:ascii="Arial"/>
                <w:sz w:val="21"/>
                <w:highlight w:val="none"/>
              </w:rPr>
            </w:pPr>
          </w:p>
          <w:p w14:paraId="3549D939">
            <w:pPr>
              <w:spacing w:line="306" w:lineRule="auto"/>
              <w:rPr>
                <w:rFonts w:ascii="Arial"/>
                <w:sz w:val="21"/>
                <w:highlight w:val="none"/>
              </w:rPr>
            </w:pPr>
          </w:p>
          <w:p w14:paraId="56C763E5">
            <w:pPr>
              <w:spacing w:line="306" w:lineRule="auto"/>
              <w:rPr>
                <w:rFonts w:ascii="Arial"/>
                <w:sz w:val="21"/>
                <w:highlight w:val="none"/>
              </w:rPr>
            </w:pPr>
          </w:p>
          <w:p w14:paraId="3C3CD26F">
            <w:pPr>
              <w:pStyle w:val="6"/>
              <w:spacing w:before="68" w:line="239" w:lineRule="auto"/>
              <w:ind w:left="298"/>
              <w:rPr>
                <w:highlight w:val="none"/>
              </w:rPr>
            </w:pPr>
            <w:r>
              <w:rPr>
                <w:b/>
                <w:bCs/>
                <w:spacing w:val="-7"/>
                <w:highlight w:val="none"/>
              </w:rPr>
              <w:t>1.4.2</w:t>
            </w:r>
          </w:p>
        </w:tc>
        <w:tc>
          <w:tcPr>
            <w:tcW w:w="2637" w:type="dxa"/>
            <w:vAlign w:val="top"/>
          </w:tcPr>
          <w:p w14:paraId="32323475">
            <w:pPr>
              <w:spacing w:line="300" w:lineRule="auto"/>
              <w:rPr>
                <w:rFonts w:ascii="Arial"/>
                <w:sz w:val="21"/>
                <w:highlight w:val="none"/>
              </w:rPr>
            </w:pPr>
          </w:p>
          <w:p w14:paraId="1DCB2682">
            <w:pPr>
              <w:spacing w:line="300" w:lineRule="auto"/>
              <w:rPr>
                <w:rFonts w:ascii="Arial"/>
                <w:sz w:val="21"/>
                <w:highlight w:val="none"/>
              </w:rPr>
            </w:pPr>
          </w:p>
          <w:p w14:paraId="0982B520">
            <w:pPr>
              <w:spacing w:line="300" w:lineRule="auto"/>
              <w:rPr>
                <w:rFonts w:ascii="Arial"/>
                <w:sz w:val="21"/>
                <w:highlight w:val="none"/>
              </w:rPr>
            </w:pPr>
          </w:p>
          <w:p w14:paraId="3C74C82C">
            <w:pPr>
              <w:pStyle w:val="6"/>
              <w:spacing w:before="68" w:line="220" w:lineRule="auto"/>
              <w:ind w:left="360"/>
              <w:rPr>
                <w:highlight w:val="none"/>
              </w:rPr>
            </w:pPr>
            <w:r>
              <w:rPr>
                <w:spacing w:val="-2"/>
                <w:highlight w:val="none"/>
              </w:rPr>
              <w:t>是否接受联合体投标</w:t>
            </w:r>
          </w:p>
        </w:tc>
        <w:tc>
          <w:tcPr>
            <w:tcW w:w="5209" w:type="dxa"/>
            <w:vAlign w:val="top"/>
          </w:tcPr>
          <w:p w14:paraId="3DBD7910">
            <w:pPr>
              <w:pStyle w:val="6"/>
              <w:spacing w:before="124" w:line="221" w:lineRule="auto"/>
              <w:ind w:left="94"/>
              <w:rPr>
                <w:highlight w:val="none"/>
              </w:rPr>
            </w:pPr>
            <w:r>
              <w:rPr>
                <w:color w:val="0000FF"/>
                <w:spacing w:val="2"/>
                <w:highlight w:val="none"/>
              </w:rPr>
              <w:t>□</w:t>
            </w:r>
            <w:r>
              <w:rPr>
                <w:spacing w:val="2"/>
                <w:highlight w:val="none"/>
              </w:rPr>
              <w:t>不接受</w:t>
            </w:r>
          </w:p>
          <w:p w14:paraId="48B73FCF">
            <w:pPr>
              <w:pStyle w:val="6"/>
              <w:spacing w:before="147" w:line="219" w:lineRule="auto"/>
              <w:ind w:left="94"/>
              <w:rPr>
                <w:highlight w:val="none"/>
              </w:rPr>
            </w:pPr>
            <w:r>
              <w:rPr>
                <w:rFonts w:ascii="MS Gothic" w:hAnsi="MS Gothic" w:eastAsia="MS Gothic" w:cs="MS Gothic"/>
                <w:color w:val="0000FF"/>
                <w:highlight w:val="none"/>
              </w:rPr>
              <w:t>☑</w:t>
            </w:r>
            <w:r>
              <w:rPr>
                <w:highlight w:val="none"/>
              </w:rPr>
              <w:t>接受，应满足下列要求：</w:t>
            </w:r>
          </w:p>
          <w:p w14:paraId="5FD27894">
            <w:pPr>
              <w:pStyle w:val="6"/>
              <w:spacing w:before="148" w:line="218" w:lineRule="auto"/>
              <w:ind w:left="94"/>
              <w:rPr>
                <w:highlight w:val="none"/>
              </w:rPr>
            </w:pPr>
            <w:r>
              <w:rPr>
                <w:color w:val="0000FF"/>
                <w:highlight w:val="none"/>
              </w:rPr>
              <w:t>具体内容详见招标公告3投标人资格3.2款要求。</w:t>
            </w:r>
          </w:p>
          <w:p w14:paraId="12C61773">
            <w:pPr>
              <w:pStyle w:val="6"/>
              <w:spacing w:before="103" w:line="266" w:lineRule="auto"/>
              <w:ind w:left="114" w:right="53"/>
              <w:rPr>
                <w:highlight w:val="none"/>
              </w:rPr>
            </w:pPr>
            <w:r>
              <w:rPr>
                <w:spacing w:val="-1"/>
                <w:highlight w:val="none"/>
              </w:rPr>
              <w:t>其中：联合体资质按照联合体协议约定的分工认定，其</w:t>
            </w:r>
            <w:r>
              <w:rPr>
                <w:spacing w:val="13"/>
                <w:highlight w:val="none"/>
              </w:rPr>
              <w:t xml:space="preserve"> </w:t>
            </w:r>
            <w:r>
              <w:rPr>
                <w:spacing w:val="-1"/>
                <w:highlight w:val="none"/>
              </w:rPr>
              <w:t>他审查标准按联合体协议中约定的各成员分工所占合</w:t>
            </w:r>
          </w:p>
          <w:p w14:paraId="35379254">
            <w:pPr>
              <w:pStyle w:val="6"/>
              <w:spacing w:before="25" w:line="202" w:lineRule="auto"/>
              <w:ind w:left="94"/>
              <w:rPr>
                <w:highlight w:val="none"/>
              </w:rPr>
            </w:pPr>
            <w:r>
              <w:rPr>
                <w:highlight w:val="none"/>
              </w:rPr>
              <w:t>同工作量的比例，进行加权折算。</w:t>
            </w:r>
          </w:p>
        </w:tc>
      </w:tr>
      <w:tr w14:paraId="5D5D6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9" w:hRule="atLeast"/>
        </w:trPr>
        <w:tc>
          <w:tcPr>
            <w:tcW w:w="1144" w:type="dxa"/>
            <w:vAlign w:val="top"/>
          </w:tcPr>
          <w:p w14:paraId="1065F623">
            <w:pPr>
              <w:spacing w:line="343" w:lineRule="auto"/>
              <w:rPr>
                <w:rFonts w:ascii="Arial"/>
                <w:sz w:val="21"/>
                <w:highlight w:val="none"/>
              </w:rPr>
            </w:pPr>
          </w:p>
          <w:p w14:paraId="6B52593D">
            <w:pPr>
              <w:pStyle w:val="6"/>
              <w:spacing w:before="68" w:line="222" w:lineRule="auto"/>
              <w:ind w:left="85"/>
              <w:rPr>
                <w:highlight w:val="none"/>
              </w:rPr>
            </w:pPr>
            <w:r>
              <w:rPr>
                <w:spacing w:val="-3"/>
                <w:highlight w:val="none"/>
              </w:rPr>
              <w:t>1.4.3(19)</w:t>
            </w:r>
          </w:p>
        </w:tc>
        <w:tc>
          <w:tcPr>
            <w:tcW w:w="2637" w:type="dxa"/>
            <w:vAlign w:val="top"/>
          </w:tcPr>
          <w:p w14:paraId="4E03531D">
            <w:pPr>
              <w:spacing w:line="340" w:lineRule="auto"/>
              <w:rPr>
                <w:rFonts w:ascii="Arial"/>
                <w:sz w:val="21"/>
                <w:highlight w:val="none"/>
              </w:rPr>
            </w:pPr>
          </w:p>
          <w:p w14:paraId="782F0B5A">
            <w:pPr>
              <w:pStyle w:val="6"/>
              <w:spacing w:before="68" w:line="219" w:lineRule="auto"/>
              <w:ind w:left="360"/>
              <w:rPr>
                <w:highlight w:val="none"/>
              </w:rPr>
            </w:pPr>
            <w:r>
              <w:rPr>
                <w:spacing w:val="1"/>
                <w:highlight w:val="none"/>
              </w:rPr>
              <w:t>不得存在的其他情形</w:t>
            </w:r>
          </w:p>
        </w:tc>
        <w:tc>
          <w:tcPr>
            <w:tcW w:w="5209" w:type="dxa"/>
            <w:vAlign w:val="top"/>
          </w:tcPr>
          <w:p w14:paraId="57470D21">
            <w:pPr>
              <w:rPr>
                <w:rFonts w:ascii="Arial"/>
                <w:sz w:val="21"/>
                <w:highlight w:val="none"/>
              </w:rPr>
            </w:pPr>
          </w:p>
        </w:tc>
      </w:tr>
      <w:tr w14:paraId="3A54B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atLeast"/>
        </w:trPr>
        <w:tc>
          <w:tcPr>
            <w:tcW w:w="1144" w:type="dxa"/>
            <w:vAlign w:val="top"/>
          </w:tcPr>
          <w:p w14:paraId="01EA632E">
            <w:pPr>
              <w:spacing w:line="351" w:lineRule="auto"/>
              <w:rPr>
                <w:rFonts w:ascii="Arial"/>
                <w:sz w:val="21"/>
                <w:highlight w:val="none"/>
              </w:rPr>
            </w:pPr>
          </w:p>
          <w:p w14:paraId="0A28E61E">
            <w:pPr>
              <w:pStyle w:val="6"/>
              <w:spacing w:before="69" w:line="239" w:lineRule="auto"/>
              <w:ind w:left="404"/>
              <w:rPr>
                <w:highlight w:val="none"/>
              </w:rPr>
            </w:pPr>
            <w:r>
              <w:rPr>
                <w:spacing w:val="-6"/>
                <w:highlight w:val="none"/>
              </w:rPr>
              <w:t>1.5</w:t>
            </w:r>
          </w:p>
        </w:tc>
        <w:tc>
          <w:tcPr>
            <w:tcW w:w="2637" w:type="dxa"/>
            <w:vAlign w:val="top"/>
          </w:tcPr>
          <w:p w14:paraId="4D8B63B4">
            <w:pPr>
              <w:spacing w:line="331" w:lineRule="auto"/>
              <w:rPr>
                <w:rFonts w:ascii="Arial"/>
                <w:sz w:val="21"/>
                <w:highlight w:val="none"/>
              </w:rPr>
            </w:pPr>
          </w:p>
          <w:p w14:paraId="04BD0A65">
            <w:pPr>
              <w:pStyle w:val="6"/>
              <w:spacing w:before="68" w:line="219" w:lineRule="auto"/>
              <w:ind w:left="150"/>
              <w:rPr>
                <w:highlight w:val="none"/>
              </w:rPr>
            </w:pPr>
            <w:r>
              <w:rPr>
                <w:highlight w:val="none"/>
              </w:rPr>
              <w:t>费用承担和设计成果补偿</w:t>
            </w:r>
          </w:p>
        </w:tc>
        <w:tc>
          <w:tcPr>
            <w:tcW w:w="5209" w:type="dxa"/>
            <w:vAlign w:val="top"/>
          </w:tcPr>
          <w:p w14:paraId="4F8074A1">
            <w:pPr>
              <w:pStyle w:val="6"/>
              <w:spacing w:before="252" w:line="220" w:lineRule="auto"/>
              <w:ind w:left="94"/>
              <w:rPr>
                <w:highlight w:val="none"/>
              </w:rPr>
            </w:pPr>
            <w:r>
              <w:rPr>
                <w:rFonts w:ascii="MS Gothic" w:hAnsi="MS Gothic" w:eastAsia="MS Gothic" w:cs="MS Gothic"/>
                <w:color w:val="0000FF"/>
                <w:spacing w:val="2"/>
                <w:highlight w:val="none"/>
              </w:rPr>
              <w:t>☑</w:t>
            </w:r>
            <w:r>
              <w:rPr>
                <w:spacing w:val="2"/>
                <w:highlight w:val="none"/>
              </w:rPr>
              <w:t>不补偿</w:t>
            </w:r>
          </w:p>
          <w:p w14:paraId="54BBF680">
            <w:pPr>
              <w:pStyle w:val="6"/>
              <w:spacing w:before="139" w:line="220" w:lineRule="auto"/>
              <w:ind w:left="94"/>
              <w:rPr>
                <w:highlight w:val="none"/>
              </w:rPr>
            </w:pPr>
            <w:r>
              <w:rPr>
                <w:color w:val="0000FF"/>
                <w:highlight w:val="none"/>
              </w:rPr>
              <w:t>□</w:t>
            </w:r>
            <w:r>
              <w:rPr>
                <w:highlight w:val="none"/>
              </w:rPr>
              <w:t>补偿，补偿标准：</w:t>
            </w:r>
          </w:p>
        </w:tc>
      </w:tr>
      <w:tr w14:paraId="1FEA8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9" w:hRule="atLeast"/>
        </w:trPr>
        <w:tc>
          <w:tcPr>
            <w:tcW w:w="1144" w:type="dxa"/>
            <w:vAlign w:val="top"/>
          </w:tcPr>
          <w:p w14:paraId="72D8E989">
            <w:pPr>
              <w:spacing w:line="320" w:lineRule="auto"/>
              <w:rPr>
                <w:rFonts w:ascii="Arial"/>
                <w:sz w:val="21"/>
                <w:highlight w:val="none"/>
              </w:rPr>
            </w:pPr>
          </w:p>
          <w:p w14:paraId="459D8764">
            <w:pPr>
              <w:spacing w:line="321" w:lineRule="auto"/>
              <w:rPr>
                <w:rFonts w:ascii="Arial"/>
                <w:sz w:val="21"/>
                <w:highlight w:val="none"/>
              </w:rPr>
            </w:pPr>
          </w:p>
          <w:p w14:paraId="61980F3C">
            <w:pPr>
              <w:pStyle w:val="6"/>
              <w:spacing w:before="68" w:line="239" w:lineRule="auto"/>
              <w:ind w:left="295"/>
              <w:rPr>
                <w:highlight w:val="none"/>
              </w:rPr>
            </w:pPr>
            <w:r>
              <w:rPr>
                <w:spacing w:val="-4"/>
                <w:highlight w:val="none"/>
              </w:rPr>
              <w:t>1.9.1</w:t>
            </w:r>
          </w:p>
        </w:tc>
        <w:tc>
          <w:tcPr>
            <w:tcW w:w="2637" w:type="dxa"/>
            <w:vAlign w:val="top"/>
          </w:tcPr>
          <w:p w14:paraId="0301E7F6">
            <w:pPr>
              <w:spacing w:line="310" w:lineRule="auto"/>
              <w:rPr>
                <w:rFonts w:ascii="Arial"/>
                <w:sz w:val="21"/>
                <w:highlight w:val="none"/>
              </w:rPr>
            </w:pPr>
          </w:p>
          <w:p w14:paraId="26A77696">
            <w:pPr>
              <w:spacing w:line="310" w:lineRule="auto"/>
              <w:rPr>
                <w:rFonts w:ascii="Arial"/>
                <w:sz w:val="21"/>
                <w:highlight w:val="none"/>
              </w:rPr>
            </w:pPr>
          </w:p>
          <w:p w14:paraId="2B60F3D7">
            <w:pPr>
              <w:pStyle w:val="6"/>
              <w:spacing w:before="68" w:line="219" w:lineRule="auto"/>
              <w:ind w:left="890"/>
              <w:rPr>
                <w:highlight w:val="none"/>
              </w:rPr>
            </w:pPr>
            <w:r>
              <w:rPr>
                <w:spacing w:val="3"/>
                <w:highlight w:val="none"/>
              </w:rPr>
              <w:t>踏勘现场</w:t>
            </w:r>
          </w:p>
        </w:tc>
        <w:tc>
          <w:tcPr>
            <w:tcW w:w="5209" w:type="dxa"/>
            <w:vAlign w:val="top"/>
          </w:tcPr>
          <w:p w14:paraId="55F932FF">
            <w:pPr>
              <w:pStyle w:val="6"/>
              <w:spacing w:before="136" w:line="222" w:lineRule="auto"/>
              <w:ind w:left="94"/>
              <w:rPr>
                <w:highlight w:val="none"/>
              </w:rPr>
            </w:pPr>
            <w:r>
              <w:rPr>
                <w:rFonts w:ascii="MS Gothic" w:hAnsi="MS Gothic" w:eastAsia="MS Gothic" w:cs="MS Gothic"/>
                <w:color w:val="0000FF"/>
                <w:highlight w:val="none"/>
              </w:rPr>
              <w:t>☑</w:t>
            </w:r>
            <w:r>
              <w:rPr>
                <w:highlight w:val="none"/>
              </w:rPr>
              <w:t>不组织：</w:t>
            </w:r>
          </w:p>
          <w:p w14:paraId="686285D0">
            <w:pPr>
              <w:pStyle w:val="6"/>
              <w:spacing w:before="144" w:line="219" w:lineRule="auto"/>
              <w:ind w:left="94"/>
              <w:rPr>
                <w:highlight w:val="none"/>
              </w:rPr>
            </w:pPr>
            <w:r>
              <w:rPr>
                <w:color w:val="0000FF"/>
                <w:highlight w:val="none"/>
              </w:rPr>
              <w:t>□</w:t>
            </w:r>
            <w:r>
              <w:rPr>
                <w:highlight w:val="none"/>
              </w:rPr>
              <w:t>组织，踏勘时间：</w:t>
            </w:r>
          </w:p>
          <w:p w14:paraId="1C3F5433">
            <w:pPr>
              <w:pStyle w:val="6"/>
              <w:spacing w:before="150" w:line="219" w:lineRule="auto"/>
              <w:ind w:left="934"/>
              <w:rPr>
                <w:highlight w:val="none"/>
              </w:rPr>
            </w:pPr>
            <w:r>
              <w:rPr>
                <w:spacing w:val="-1"/>
                <w:highlight w:val="none"/>
              </w:rPr>
              <w:t>踏勘集中地点：</w:t>
            </w:r>
          </w:p>
        </w:tc>
      </w:tr>
      <w:tr w14:paraId="7CE23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9" w:hRule="atLeast"/>
        </w:trPr>
        <w:tc>
          <w:tcPr>
            <w:tcW w:w="1144" w:type="dxa"/>
            <w:vAlign w:val="top"/>
          </w:tcPr>
          <w:p w14:paraId="02FFA198">
            <w:pPr>
              <w:spacing w:line="326" w:lineRule="auto"/>
              <w:rPr>
                <w:rFonts w:ascii="Arial"/>
                <w:sz w:val="21"/>
                <w:highlight w:val="none"/>
              </w:rPr>
            </w:pPr>
          </w:p>
          <w:p w14:paraId="3ADB2687">
            <w:pPr>
              <w:spacing w:line="326" w:lineRule="auto"/>
              <w:rPr>
                <w:rFonts w:ascii="Arial"/>
                <w:sz w:val="21"/>
                <w:highlight w:val="none"/>
              </w:rPr>
            </w:pPr>
          </w:p>
          <w:p w14:paraId="341FC444">
            <w:pPr>
              <w:pStyle w:val="6"/>
              <w:spacing w:before="68" w:line="239" w:lineRule="auto"/>
              <w:ind w:left="244"/>
              <w:rPr>
                <w:highlight w:val="none"/>
              </w:rPr>
            </w:pPr>
            <w:r>
              <w:rPr>
                <w:spacing w:val="-4"/>
                <w:highlight w:val="none"/>
              </w:rPr>
              <w:t>1.10.1</w:t>
            </w:r>
          </w:p>
        </w:tc>
        <w:tc>
          <w:tcPr>
            <w:tcW w:w="2637" w:type="dxa"/>
            <w:vAlign w:val="top"/>
          </w:tcPr>
          <w:p w14:paraId="754B3C8B">
            <w:pPr>
              <w:spacing w:line="315" w:lineRule="auto"/>
              <w:rPr>
                <w:rFonts w:ascii="Arial"/>
                <w:sz w:val="21"/>
                <w:highlight w:val="none"/>
              </w:rPr>
            </w:pPr>
          </w:p>
          <w:p w14:paraId="7781BA57">
            <w:pPr>
              <w:spacing w:line="315" w:lineRule="auto"/>
              <w:rPr>
                <w:rFonts w:ascii="Arial"/>
                <w:sz w:val="21"/>
                <w:highlight w:val="none"/>
              </w:rPr>
            </w:pPr>
          </w:p>
          <w:p w14:paraId="6EF935C0">
            <w:pPr>
              <w:pStyle w:val="6"/>
              <w:spacing w:before="68" w:line="219" w:lineRule="auto"/>
              <w:ind w:left="781"/>
              <w:rPr>
                <w:highlight w:val="none"/>
              </w:rPr>
            </w:pPr>
            <w:r>
              <w:rPr>
                <w:spacing w:val="-2"/>
                <w:highlight w:val="none"/>
              </w:rPr>
              <w:t>投标预备会</w:t>
            </w:r>
          </w:p>
        </w:tc>
        <w:tc>
          <w:tcPr>
            <w:tcW w:w="5209" w:type="dxa"/>
            <w:vAlign w:val="top"/>
          </w:tcPr>
          <w:p w14:paraId="7EC12871">
            <w:pPr>
              <w:pStyle w:val="6"/>
              <w:spacing w:before="144" w:line="221" w:lineRule="auto"/>
              <w:ind w:left="94"/>
              <w:rPr>
                <w:highlight w:val="none"/>
              </w:rPr>
            </w:pPr>
            <w:r>
              <w:rPr>
                <w:rFonts w:ascii="MS Gothic" w:hAnsi="MS Gothic" w:eastAsia="MS Gothic" w:cs="MS Gothic"/>
                <w:color w:val="0000FF"/>
                <w:spacing w:val="2"/>
                <w:highlight w:val="none"/>
              </w:rPr>
              <w:t>☑</w:t>
            </w:r>
            <w:r>
              <w:rPr>
                <w:spacing w:val="2"/>
                <w:highlight w:val="none"/>
              </w:rPr>
              <w:t>不召开</w:t>
            </w:r>
          </w:p>
          <w:p w14:paraId="260A14AE">
            <w:pPr>
              <w:pStyle w:val="6"/>
              <w:spacing w:before="138" w:line="221" w:lineRule="auto"/>
              <w:ind w:left="94"/>
              <w:rPr>
                <w:highlight w:val="none"/>
              </w:rPr>
            </w:pPr>
            <w:r>
              <w:rPr>
                <w:color w:val="0000FF"/>
                <w:highlight w:val="none"/>
              </w:rPr>
              <w:t>□</w:t>
            </w:r>
            <w:r>
              <w:rPr>
                <w:highlight w:val="none"/>
              </w:rPr>
              <w:t>召开，召开时间：</w:t>
            </w:r>
          </w:p>
          <w:p w14:paraId="45016AA1">
            <w:pPr>
              <w:pStyle w:val="6"/>
              <w:spacing w:before="168" w:line="221" w:lineRule="auto"/>
              <w:ind w:left="953"/>
              <w:rPr>
                <w:highlight w:val="none"/>
              </w:rPr>
            </w:pPr>
            <w:r>
              <w:rPr>
                <w:spacing w:val="-1"/>
                <w:highlight w:val="none"/>
              </w:rPr>
              <w:t>召开地点：</w:t>
            </w:r>
          </w:p>
        </w:tc>
      </w:tr>
      <w:tr w14:paraId="752B1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44" w:type="dxa"/>
            <w:vAlign w:val="top"/>
          </w:tcPr>
          <w:p w14:paraId="26A7C3C7">
            <w:pPr>
              <w:spacing w:line="315" w:lineRule="auto"/>
              <w:rPr>
                <w:rFonts w:ascii="Arial"/>
                <w:sz w:val="21"/>
                <w:highlight w:val="none"/>
              </w:rPr>
            </w:pPr>
          </w:p>
          <w:p w14:paraId="5F6A20EC">
            <w:pPr>
              <w:pStyle w:val="6"/>
              <w:spacing w:before="68" w:line="239" w:lineRule="auto"/>
              <w:ind w:left="244"/>
              <w:rPr>
                <w:highlight w:val="none"/>
              </w:rPr>
            </w:pPr>
            <w:r>
              <w:rPr>
                <w:spacing w:val="-4"/>
                <w:highlight w:val="none"/>
              </w:rPr>
              <w:t>1.10.2</w:t>
            </w:r>
          </w:p>
        </w:tc>
        <w:tc>
          <w:tcPr>
            <w:tcW w:w="2637" w:type="dxa"/>
            <w:vAlign w:val="top"/>
          </w:tcPr>
          <w:p w14:paraId="0021E8D8">
            <w:pPr>
              <w:pStyle w:val="6"/>
              <w:spacing w:before="216" w:line="305" w:lineRule="auto"/>
              <w:ind w:left="1199" w:right="153" w:hanging="1049"/>
              <w:rPr>
                <w:highlight w:val="none"/>
              </w:rPr>
            </w:pPr>
            <w:r>
              <w:rPr>
                <w:spacing w:val="1"/>
                <w:highlight w:val="none"/>
              </w:rPr>
              <w:t>投标人提出问题的截止时</w:t>
            </w:r>
            <w:r>
              <w:rPr>
                <w:highlight w:val="none"/>
              </w:rPr>
              <w:t xml:space="preserve"> 间</w:t>
            </w:r>
          </w:p>
        </w:tc>
        <w:tc>
          <w:tcPr>
            <w:tcW w:w="5209" w:type="dxa"/>
            <w:vAlign w:val="top"/>
          </w:tcPr>
          <w:p w14:paraId="597E5873">
            <w:pPr>
              <w:spacing w:line="293" w:lineRule="auto"/>
              <w:rPr>
                <w:rFonts w:ascii="Arial"/>
                <w:sz w:val="21"/>
                <w:highlight w:val="none"/>
              </w:rPr>
            </w:pPr>
          </w:p>
          <w:p w14:paraId="11AFC5DB">
            <w:pPr>
              <w:pStyle w:val="6"/>
              <w:spacing w:before="68" w:line="219" w:lineRule="auto"/>
              <w:ind w:left="94"/>
              <w:rPr>
                <w:highlight w:val="none"/>
              </w:rPr>
            </w:pPr>
            <w:r>
              <w:rPr>
                <w:spacing w:val="1"/>
                <w:highlight w:val="none"/>
              </w:rPr>
              <w:t>召开投标预备会之日/日前</w:t>
            </w:r>
          </w:p>
        </w:tc>
      </w:tr>
      <w:tr w14:paraId="02E29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9" w:hRule="atLeast"/>
        </w:trPr>
        <w:tc>
          <w:tcPr>
            <w:tcW w:w="1144" w:type="dxa"/>
            <w:vAlign w:val="top"/>
          </w:tcPr>
          <w:p w14:paraId="526BC0A1">
            <w:pPr>
              <w:spacing w:line="454" w:lineRule="auto"/>
              <w:rPr>
                <w:rFonts w:ascii="Arial"/>
                <w:sz w:val="21"/>
                <w:highlight w:val="none"/>
              </w:rPr>
            </w:pPr>
          </w:p>
          <w:p w14:paraId="24880C01">
            <w:pPr>
              <w:pStyle w:val="6"/>
              <w:spacing w:before="68" w:line="239" w:lineRule="auto"/>
              <w:ind w:left="244"/>
              <w:rPr>
                <w:highlight w:val="none"/>
              </w:rPr>
            </w:pPr>
            <w:r>
              <w:rPr>
                <w:spacing w:val="-4"/>
                <w:highlight w:val="none"/>
              </w:rPr>
              <w:t>1.11.1</w:t>
            </w:r>
          </w:p>
        </w:tc>
        <w:tc>
          <w:tcPr>
            <w:tcW w:w="2637" w:type="dxa"/>
            <w:vAlign w:val="top"/>
          </w:tcPr>
          <w:p w14:paraId="0F0FA9FA">
            <w:pPr>
              <w:spacing w:line="305" w:lineRule="auto"/>
              <w:rPr>
                <w:rFonts w:ascii="Arial"/>
                <w:sz w:val="21"/>
                <w:highlight w:val="none"/>
              </w:rPr>
            </w:pPr>
          </w:p>
          <w:p w14:paraId="610AB6F4">
            <w:pPr>
              <w:pStyle w:val="6"/>
              <w:spacing w:before="68" w:line="328" w:lineRule="auto"/>
              <w:ind w:left="990" w:right="175" w:hanging="840"/>
              <w:rPr>
                <w:highlight w:val="none"/>
              </w:rPr>
            </w:pPr>
            <w:r>
              <w:rPr>
                <w:spacing w:val="-1"/>
                <w:highlight w:val="none"/>
              </w:rPr>
              <w:t>招标人规定由分包人承担</w:t>
            </w:r>
            <w:r>
              <w:rPr>
                <w:highlight w:val="none"/>
              </w:rPr>
              <w:t xml:space="preserve"> </w:t>
            </w:r>
            <w:r>
              <w:rPr>
                <w:spacing w:val="4"/>
                <w:highlight w:val="none"/>
              </w:rPr>
              <w:t>的工作</w:t>
            </w:r>
          </w:p>
        </w:tc>
        <w:tc>
          <w:tcPr>
            <w:tcW w:w="5209" w:type="dxa"/>
            <w:vAlign w:val="top"/>
          </w:tcPr>
          <w:p w14:paraId="739EF3EC">
            <w:pPr>
              <w:spacing w:line="439" w:lineRule="auto"/>
              <w:rPr>
                <w:rFonts w:ascii="Arial"/>
                <w:sz w:val="21"/>
                <w:highlight w:val="none"/>
              </w:rPr>
            </w:pPr>
          </w:p>
          <w:p w14:paraId="03BBF7AB">
            <w:pPr>
              <w:pStyle w:val="6"/>
              <w:spacing w:before="68" w:line="224" w:lineRule="auto"/>
              <w:ind w:left="904"/>
              <w:rPr>
                <w:highlight w:val="none"/>
              </w:rPr>
            </w:pPr>
            <w:r>
              <w:rPr>
                <w:color w:val="0010FF"/>
                <w:highlight w:val="none"/>
              </w:rPr>
              <w:t>/</w:t>
            </w:r>
          </w:p>
        </w:tc>
      </w:tr>
      <w:tr w14:paraId="6098F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7" w:hRule="atLeast"/>
        </w:trPr>
        <w:tc>
          <w:tcPr>
            <w:tcW w:w="1144" w:type="dxa"/>
            <w:vAlign w:val="top"/>
          </w:tcPr>
          <w:p w14:paraId="3CCC5D01">
            <w:pPr>
              <w:spacing w:line="272" w:lineRule="auto"/>
              <w:rPr>
                <w:rFonts w:ascii="Arial"/>
                <w:sz w:val="21"/>
                <w:highlight w:val="none"/>
              </w:rPr>
            </w:pPr>
          </w:p>
          <w:p w14:paraId="62552A3C">
            <w:pPr>
              <w:spacing w:line="272" w:lineRule="auto"/>
              <w:rPr>
                <w:rFonts w:ascii="Arial"/>
                <w:sz w:val="21"/>
                <w:highlight w:val="none"/>
              </w:rPr>
            </w:pPr>
          </w:p>
          <w:p w14:paraId="1C6827D4">
            <w:pPr>
              <w:spacing w:line="272" w:lineRule="auto"/>
              <w:rPr>
                <w:rFonts w:ascii="Arial"/>
                <w:sz w:val="21"/>
                <w:highlight w:val="none"/>
              </w:rPr>
            </w:pPr>
          </w:p>
          <w:p w14:paraId="782ADC51">
            <w:pPr>
              <w:spacing w:line="273" w:lineRule="auto"/>
              <w:rPr>
                <w:rFonts w:ascii="Arial"/>
                <w:sz w:val="21"/>
                <w:highlight w:val="none"/>
              </w:rPr>
            </w:pPr>
          </w:p>
          <w:p w14:paraId="37AE994D">
            <w:pPr>
              <w:spacing w:line="273" w:lineRule="auto"/>
              <w:rPr>
                <w:rFonts w:ascii="Arial"/>
                <w:sz w:val="21"/>
                <w:highlight w:val="none"/>
              </w:rPr>
            </w:pPr>
          </w:p>
          <w:p w14:paraId="1E759637">
            <w:pPr>
              <w:spacing w:line="273" w:lineRule="auto"/>
              <w:rPr>
                <w:rFonts w:ascii="Arial"/>
                <w:sz w:val="21"/>
                <w:highlight w:val="none"/>
              </w:rPr>
            </w:pPr>
          </w:p>
          <w:p w14:paraId="479B4A63">
            <w:pPr>
              <w:pStyle w:val="6"/>
              <w:spacing w:before="69" w:line="239" w:lineRule="auto"/>
              <w:ind w:left="247"/>
              <w:rPr>
                <w:highlight w:val="none"/>
              </w:rPr>
            </w:pPr>
            <w:r>
              <w:rPr>
                <w:b/>
                <w:bCs/>
                <w:spacing w:val="-6"/>
                <w:highlight w:val="none"/>
              </w:rPr>
              <w:t>1.11.2</w:t>
            </w:r>
          </w:p>
        </w:tc>
        <w:tc>
          <w:tcPr>
            <w:tcW w:w="2637" w:type="dxa"/>
            <w:vAlign w:val="top"/>
          </w:tcPr>
          <w:p w14:paraId="4836301A">
            <w:pPr>
              <w:spacing w:line="269" w:lineRule="auto"/>
              <w:rPr>
                <w:rFonts w:ascii="Arial"/>
                <w:sz w:val="21"/>
                <w:highlight w:val="none"/>
              </w:rPr>
            </w:pPr>
          </w:p>
          <w:p w14:paraId="6B225774">
            <w:pPr>
              <w:spacing w:line="269" w:lineRule="auto"/>
              <w:rPr>
                <w:rFonts w:ascii="Arial"/>
                <w:sz w:val="21"/>
                <w:highlight w:val="none"/>
              </w:rPr>
            </w:pPr>
          </w:p>
          <w:p w14:paraId="00913393">
            <w:pPr>
              <w:spacing w:line="269" w:lineRule="auto"/>
              <w:rPr>
                <w:rFonts w:ascii="Arial"/>
                <w:sz w:val="21"/>
                <w:highlight w:val="none"/>
              </w:rPr>
            </w:pPr>
          </w:p>
          <w:p w14:paraId="0954AA07">
            <w:pPr>
              <w:spacing w:line="269" w:lineRule="auto"/>
              <w:rPr>
                <w:rFonts w:ascii="Arial"/>
                <w:sz w:val="21"/>
                <w:highlight w:val="none"/>
              </w:rPr>
            </w:pPr>
          </w:p>
          <w:p w14:paraId="1BA9D2FD">
            <w:pPr>
              <w:spacing w:line="270" w:lineRule="auto"/>
              <w:rPr>
                <w:rFonts w:ascii="Arial"/>
                <w:sz w:val="21"/>
                <w:highlight w:val="none"/>
              </w:rPr>
            </w:pPr>
          </w:p>
          <w:p w14:paraId="489DD19B">
            <w:pPr>
              <w:spacing w:line="270" w:lineRule="auto"/>
              <w:rPr>
                <w:rFonts w:ascii="Arial"/>
                <w:sz w:val="21"/>
                <w:highlight w:val="none"/>
              </w:rPr>
            </w:pPr>
          </w:p>
          <w:p w14:paraId="3BF12DE6">
            <w:pPr>
              <w:pStyle w:val="6"/>
              <w:spacing w:before="68" w:line="219" w:lineRule="auto"/>
              <w:ind w:left="360"/>
              <w:rPr>
                <w:highlight w:val="none"/>
              </w:rPr>
            </w:pPr>
            <w:r>
              <w:rPr>
                <w:spacing w:val="1"/>
                <w:highlight w:val="none"/>
              </w:rPr>
              <w:t>投标人拟分包的工作</w:t>
            </w:r>
          </w:p>
        </w:tc>
        <w:tc>
          <w:tcPr>
            <w:tcW w:w="5209" w:type="dxa"/>
            <w:vAlign w:val="top"/>
          </w:tcPr>
          <w:p w14:paraId="4DAA9BC0">
            <w:pPr>
              <w:pStyle w:val="6"/>
              <w:spacing w:before="145" w:line="219" w:lineRule="auto"/>
              <w:ind w:left="94"/>
              <w:rPr>
                <w:highlight w:val="none"/>
              </w:rPr>
            </w:pPr>
            <w:r>
              <w:rPr>
                <w:color w:val="0000FF"/>
                <w:spacing w:val="-3"/>
                <w:highlight w:val="none"/>
              </w:rPr>
              <w:t>□</w:t>
            </w:r>
            <w:r>
              <w:rPr>
                <w:spacing w:val="-3"/>
                <w:highlight w:val="none"/>
              </w:rPr>
              <w:t>不允许</w:t>
            </w:r>
          </w:p>
          <w:p w14:paraId="1A4EF093">
            <w:pPr>
              <w:pStyle w:val="6"/>
              <w:spacing w:before="150" w:line="219" w:lineRule="auto"/>
              <w:ind w:left="94"/>
              <w:rPr>
                <w:highlight w:val="none"/>
              </w:rPr>
            </w:pPr>
            <w:r>
              <w:rPr>
                <w:rFonts w:ascii="MS Gothic" w:hAnsi="MS Gothic" w:eastAsia="MS Gothic" w:cs="MS Gothic"/>
                <w:color w:val="0000FF"/>
                <w:highlight w:val="none"/>
              </w:rPr>
              <w:t>☑</w:t>
            </w:r>
            <w:r>
              <w:rPr>
                <w:highlight w:val="none"/>
              </w:rPr>
              <w:t>允许，分包内容要求：</w:t>
            </w:r>
          </w:p>
          <w:p w14:paraId="405E9C09">
            <w:pPr>
              <w:pStyle w:val="6"/>
              <w:spacing w:before="181" w:line="347" w:lineRule="auto"/>
              <w:ind w:left="94" w:right="53"/>
              <w:jc w:val="both"/>
              <w:rPr>
                <w:highlight w:val="none"/>
              </w:rPr>
            </w:pPr>
            <w:r>
              <w:rPr>
                <w:color w:val="0000FF"/>
                <w:spacing w:val="-1"/>
                <w:highlight w:val="none"/>
              </w:rPr>
              <w:t>可以将非主体、非关键性或者适合专业化施工的工程分</w:t>
            </w:r>
            <w:r>
              <w:rPr>
                <w:color w:val="0000FF"/>
                <w:spacing w:val="13"/>
                <w:highlight w:val="none"/>
              </w:rPr>
              <w:t xml:space="preserve"> </w:t>
            </w:r>
            <w:r>
              <w:rPr>
                <w:color w:val="0000FF"/>
                <w:highlight w:val="none"/>
              </w:rPr>
              <w:t>包给具有相应资质条件的单位承担，但需要经过甲方认</w:t>
            </w:r>
            <w:r>
              <w:rPr>
                <w:color w:val="0000FF"/>
                <w:spacing w:val="10"/>
                <w:highlight w:val="none"/>
              </w:rPr>
              <w:t xml:space="preserve"> </w:t>
            </w:r>
            <w:r>
              <w:rPr>
                <w:color w:val="0000FF"/>
                <w:spacing w:val="2"/>
                <w:highlight w:val="none"/>
              </w:rPr>
              <w:t>可。</w:t>
            </w:r>
          </w:p>
          <w:p w14:paraId="2EE512C3">
            <w:pPr>
              <w:pStyle w:val="6"/>
              <w:spacing w:before="5" w:line="219" w:lineRule="auto"/>
              <w:ind w:left="934"/>
              <w:rPr>
                <w:highlight w:val="none"/>
              </w:rPr>
            </w:pPr>
            <w:r>
              <w:rPr>
                <w:spacing w:val="-1"/>
                <w:highlight w:val="none"/>
              </w:rPr>
              <w:t>分包金额要求：</w:t>
            </w:r>
          </w:p>
          <w:p w14:paraId="2E858421">
            <w:pPr>
              <w:spacing w:line="460" w:lineRule="auto"/>
              <w:rPr>
                <w:rFonts w:ascii="Arial"/>
                <w:sz w:val="21"/>
                <w:highlight w:val="none"/>
              </w:rPr>
            </w:pPr>
          </w:p>
          <w:p w14:paraId="639BD4F8">
            <w:pPr>
              <w:pStyle w:val="6"/>
              <w:spacing w:before="68" w:line="220" w:lineRule="auto"/>
              <w:ind w:left="943"/>
              <w:rPr>
                <w:highlight w:val="none"/>
              </w:rPr>
            </w:pPr>
            <w:r>
              <w:rPr>
                <w:spacing w:val="-1"/>
                <w:highlight w:val="none"/>
              </w:rPr>
              <w:t>对分包人的资质要求：</w:t>
            </w:r>
          </w:p>
          <w:p w14:paraId="589F1313">
            <w:pPr>
              <w:pStyle w:val="6"/>
              <w:spacing w:before="149" w:line="204" w:lineRule="auto"/>
              <w:ind w:left="94"/>
              <w:rPr>
                <w:highlight w:val="none"/>
              </w:rPr>
            </w:pPr>
            <w:r>
              <w:rPr>
                <w:color w:val="0000FF"/>
                <w:highlight w:val="none"/>
              </w:rPr>
              <w:t>应符合国家有关法律法规要求。</w:t>
            </w:r>
          </w:p>
        </w:tc>
      </w:tr>
      <w:tr w14:paraId="3A236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1144" w:type="dxa"/>
            <w:vAlign w:val="top"/>
          </w:tcPr>
          <w:p w14:paraId="6196EDF9">
            <w:pPr>
              <w:pStyle w:val="6"/>
              <w:spacing w:before="177" w:line="182" w:lineRule="auto"/>
              <w:ind w:left="358"/>
              <w:rPr>
                <w:highlight w:val="none"/>
              </w:rPr>
            </w:pPr>
            <w:r>
              <w:rPr>
                <w:b/>
                <w:bCs/>
                <w:spacing w:val="-7"/>
                <w:highlight w:val="none"/>
              </w:rPr>
              <w:t>1.12</w:t>
            </w:r>
          </w:p>
        </w:tc>
        <w:tc>
          <w:tcPr>
            <w:tcW w:w="2637" w:type="dxa"/>
            <w:vAlign w:val="top"/>
          </w:tcPr>
          <w:p w14:paraId="2731A1EE">
            <w:pPr>
              <w:pStyle w:val="6"/>
              <w:spacing w:before="138" w:line="217" w:lineRule="auto"/>
              <w:ind w:left="1101"/>
              <w:rPr>
                <w:highlight w:val="none"/>
              </w:rPr>
            </w:pPr>
            <w:r>
              <w:rPr>
                <w:spacing w:val="6"/>
                <w:highlight w:val="none"/>
              </w:rPr>
              <w:t>偏离</w:t>
            </w:r>
          </w:p>
        </w:tc>
        <w:tc>
          <w:tcPr>
            <w:tcW w:w="5209" w:type="dxa"/>
            <w:vAlign w:val="top"/>
          </w:tcPr>
          <w:p w14:paraId="5F3DE9B2">
            <w:pPr>
              <w:pStyle w:val="6"/>
              <w:spacing w:before="158" w:line="199" w:lineRule="auto"/>
              <w:ind w:left="94"/>
              <w:rPr>
                <w:highlight w:val="none"/>
              </w:rPr>
            </w:pPr>
            <w:r>
              <w:rPr>
                <w:rFonts w:ascii="MS Gothic" w:hAnsi="MS Gothic" w:eastAsia="MS Gothic" w:cs="MS Gothic"/>
                <w:color w:val="0000FF"/>
                <w:spacing w:val="-3"/>
                <w:highlight w:val="none"/>
              </w:rPr>
              <w:t>☑</w:t>
            </w:r>
            <w:r>
              <w:rPr>
                <w:spacing w:val="-3"/>
                <w:highlight w:val="none"/>
              </w:rPr>
              <w:t>不允许</w:t>
            </w:r>
          </w:p>
        </w:tc>
      </w:tr>
    </w:tbl>
    <w:p w14:paraId="18542672">
      <w:pPr>
        <w:pStyle w:val="2"/>
        <w:rPr>
          <w:highlight w:val="none"/>
        </w:rPr>
      </w:pPr>
    </w:p>
    <w:p w14:paraId="6D216B01">
      <w:pPr>
        <w:rPr>
          <w:highlight w:val="none"/>
        </w:rPr>
        <w:sectPr>
          <w:footerReference r:id="rId19" w:type="default"/>
          <w:pgSz w:w="11910" w:h="16840"/>
          <w:pgMar w:top="400" w:right="1274" w:bottom="1184" w:left="1635" w:header="0" w:footer="1024" w:gutter="0"/>
          <w:cols w:space="720" w:num="1"/>
        </w:sectPr>
      </w:pPr>
    </w:p>
    <w:p w14:paraId="7ECCED61">
      <w:pPr>
        <w:spacing w:before="20"/>
        <w:rPr>
          <w:highlight w:val="none"/>
        </w:rPr>
      </w:pPr>
    </w:p>
    <w:p w14:paraId="0BA1720E">
      <w:pPr>
        <w:spacing w:before="20"/>
        <w:rPr>
          <w:highlight w:val="none"/>
        </w:rPr>
      </w:pPr>
    </w:p>
    <w:p w14:paraId="69DE2F43">
      <w:pPr>
        <w:spacing w:before="20"/>
        <w:rPr>
          <w:highlight w:val="none"/>
        </w:rPr>
      </w:pPr>
    </w:p>
    <w:p w14:paraId="52869881">
      <w:pPr>
        <w:spacing w:before="19"/>
        <w:rPr>
          <w:highlight w:val="none"/>
        </w:rPr>
      </w:pPr>
    </w:p>
    <w:tbl>
      <w:tblPr>
        <w:tblStyle w:val="5"/>
        <w:tblW w:w="89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4"/>
        <w:gridCol w:w="2637"/>
        <w:gridCol w:w="5219"/>
      </w:tblGrid>
      <w:tr w14:paraId="24A1B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1134" w:type="dxa"/>
            <w:vAlign w:val="top"/>
          </w:tcPr>
          <w:p w14:paraId="15ED92F8">
            <w:pPr>
              <w:rPr>
                <w:rFonts w:ascii="Arial"/>
                <w:sz w:val="21"/>
                <w:highlight w:val="none"/>
              </w:rPr>
            </w:pPr>
          </w:p>
        </w:tc>
        <w:tc>
          <w:tcPr>
            <w:tcW w:w="2637" w:type="dxa"/>
            <w:vAlign w:val="top"/>
          </w:tcPr>
          <w:p w14:paraId="09F12532">
            <w:pPr>
              <w:rPr>
                <w:rFonts w:ascii="Arial"/>
                <w:sz w:val="21"/>
                <w:highlight w:val="none"/>
              </w:rPr>
            </w:pPr>
          </w:p>
        </w:tc>
        <w:tc>
          <w:tcPr>
            <w:tcW w:w="5219" w:type="dxa"/>
            <w:vAlign w:val="top"/>
          </w:tcPr>
          <w:p w14:paraId="537BD06F">
            <w:pPr>
              <w:pStyle w:val="6"/>
              <w:spacing w:before="131" w:line="218" w:lineRule="auto"/>
              <w:ind w:left="114"/>
              <w:rPr>
                <w:highlight w:val="none"/>
              </w:rPr>
            </w:pPr>
            <w:bookmarkStart w:id="10" w:name="bookmark189"/>
            <w:bookmarkEnd w:id="10"/>
            <w:r>
              <w:rPr>
                <w:color w:val="0000FF"/>
                <w:spacing w:val="-1"/>
                <w:highlight w:val="none"/>
              </w:rPr>
              <w:t>□</w:t>
            </w:r>
            <w:r>
              <w:rPr>
                <w:spacing w:val="-1"/>
                <w:highlight w:val="none"/>
              </w:rPr>
              <w:t>允许，允许偏离的内容、偏离范围和幅度：</w:t>
            </w:r>
          </w:p>
        </w:tc>
      </w:tr>
      <w:tr w14:paraId="03C69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1134" w:type="dxa"/>
            <w:vAlign w:val="top"/>
          </w:tcPr>
          <w:p w14:paraId="228F7410">
            <w:pPr>
              <w:rPr>
                <w:rFonts w:ascii="Arial"/>
                <w:sz w:val="21"/>
                <w:highlight w:val="none"/>
              </w:rPr>
            </w:pPr>
          </w:p>
          <w:p w14:paraId="653FB475">
            <w:pPr>
              <w:pStyle w:val="6"/>
              <w:spacing w:before="68" w:line="239" w:lineRule="auto"/>
              <w:ind w:left="394"/>
              <w:rPr>
                <w:highlight w:val="none"/>
              </w:rPr>
            </w:pPr>
            <w:r>
              <w:rPr>
                <w:spacing w:val="-3"/>
                <w:highlight w:val="none"/>
              </w:rPr>
              <w:t>2.1</w:t>
            </w:r>
          </w:p>
        </w:tc>
        <w:tc>
          <w:tcPr>
            <w:tcW w:w="2637" w:type="dxa"/>
            <w:vAlign w:val="top"/>
          </w:tcPr>
          <w:p w14:paraId="51FDF33C">
            <w:pPr>
              <w:pStyle w:val="6"/>
              <w:spacing w:before="289" w:line="219" w:lineRule="auto"/>
              <w:ind w:left="150"/>
              <w:rPr>
                <w:highlight w:val="none"/>
              </w:rPr>
            </w:pPr>
            <w:r>
              <w:rPr>
                <w:spacing w:val="-1"/>
                <w:highlight w:val="none"/>
              </w:rPr>
              <w:t>构成招标文件的其他资料</w:t>
            </w:r>
          </w:p>
        </w:tc>
        <w:tc>
          <w:tcPr>
            <w:tcW w:w="5219" w:type="dxa"/>
            <w:vAlign w:val="top"/>
          </w:tcPr>
          <w:p w14:paraId="4FF704CC">
            <w:pPr>
              <w:pStyle w:val="6"/>
              <w:spacing w:before="139" w:line="281" w:lineRule="auto"/>
              <w:ind w:right="232"/>
              <w:rPr>
                <w:highlight w:val="none"/>
              </w:rPr>
            </w:pPr>
            <w:r>
              <w:rPr>
                <w:color w:val="0000FF"/>
                <w:highlight w:val="none"/>
              </w:rPr>
              <w:t>答疑及澄清文件(如有)、</w:t>
            </w:r>
            <w:r>
              <w:rPr>
                <w:rFonts w:hint="eastAsia"/>
                <w:color w:val="0000FF"/>
                <w:highlight w:val="none"/>
                <w:lang w:val="en-US" w:eastAsia="zh-CN"/>
              </w:rPr>
              <w:t>图纸、</w:t>
            </w:r>
            <w:r>
              <w:rPr>
                <w:color w:val="0000FF"/>
                <w:highlight w:val="none"/>
              </w:rPr>
              <w:t>概算等(详见网上公</w:t>
            </w:r>
            <w:r>
              <w:rPr>
                <w:color w:val="0000FF"/>
                <w:spacing w:val="16"/>
                <w:highlight w:val="none"/>
              </w:rPr>
              <w:t xml:space="preserve"> </w:t>
            </w:r>
            <w:r>
              <w:rPr>
                <w:color w:val="0000FF"/>
                <w:spacing w:val="4"/>
                <w:highlight w:val="none"/>
              </w:rPr>
              <w:t>告和网上上传附件)</w:t>
            </w:r>
          </w:p>
        </w:tc>
      </w:tr>
      <w:tr w14:paraId="0B126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1134" w:type="dxa"/>
            <w:vAlign w:val="top"/>
          </w:tcPr>
          <w:p w14:paraId="7D16FF5D">
            <w:pPr>
              <w:spacing w:line="321" w:lineRule="auto"/>
              <w:rPr>
                <w:rFonts w:ascii="Arial"/>
                <w:sz w:val="21"/>
                <w:highlight w:val="none"/>
              </w:rPr>
            </w:pPr>
          </w:p>
          <w:p w14:paraId="2EC3D465">
            <w:pPr>
              <w:pStyle w:val="6"/>
              <w:spacing w:before="68" w:line="239" w:lineRule="auto"/>
              <w:ind w:left="295"/>
              <w:rPr>
                <w:highlight w:val="none"/>
              </w:rPr>
            </w:pPr>
            <w:r>
              <w:rPr>
                <w:spacing w:val="-2"/>
                <w:highlight w:val="none"/>
              </w:rPr>
              <w:t>2.2.1</w:t>
            </w:r>
          </w:p>
        </w:tc>
        <w:tc>
          <w:tcPr>
            <w:tcW w:w="2637" w:type="dxa"/>
            <w:vAlign w:val="top"/>
          </w:tcPr>
          <w:p w14:paraId="41F02AA4">
            <w:pPr>
              <w:pStyle w:val="6"/>
              <w:spacing w:before="149" w:line="281" w:lineRule="auto"/>
              <w:ind w:left="780" w:right="176" w:hanging="630"/>
              <w:rPr>
                <w:highlight w:val="none"/>
              </w:rPr>
            </w:pPr>
            <w:r>
              <w:rPr>
                <w:spacing w:val="-1"/>
                <w:highlight w:val="none"/>
              </w:rPr>
              <w:t>投标人要求澄清招标文件</w:t>
            </w:r>
            <w:r>
              <w:rPr>
                <w:highlight w:val="none"/>
              </w:rPr>
              <w:t xml:space="preserve"> </w:t>
            </w:r>
            <w:r>
              <w:rPr>
                <w:spacing w:val="4"/>
                <w:highlight w:val="none"/>
              </w:rPr>
              <w:t>的截止时间</w:t>
            </w:r>
          </w:p>
        </w:tc>
        <w:tc>
          <w:tcPr>
            <w:tcW w:w="5219" w:type="dxa"/>
            <w:vAlign w:val="top"/>
          </w:tcPr>
          <w:p w14:paraId="6F53981F">
            <w:pPr>
              <w:spacing w:line="290" w:lineRule="auto"/>
              <w:rPr>
                <w:rFonts w:ascii="Arial"/>
                <w:sz w:val="21"/>
                <w:highlight w:val="none"/>
              </w:rPr>
            </w:pPr>
          </w:p>
          <w:p w14:paraId="73B4A005">
            <w:pPr>
              <w:pStyle w:val="6"/>
              <w:spacing w:before="68" w:line="219" w:lineRule="auto"/>
              <w:ind w:left="114"/>
              <w:rPr>
                <w:highlight w:val="none"/>
              </w:rPr>
            </w:pPr>
            <w:r>
              <w:rPr>
                <w:spacing w:val="-1"/>
                <w:highlight w:val="none"/>
              </w:rPr>
              <w:t>递交投标文件截止之日10日前</w:t>
            </w:r>
          </w:p>
        </w:tc>
      </w:tr>
      <w:tr w14:paraId="3193D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134" w:type="dxa"/>
            <w:vAlign w:val="top"/>
          </w:tcPr>
          <w:p w14:paraId="57CA0559">
            <w:pPr>
              <w:pStyle w:val="6"/>
              <w:spacing w:before="302" w:line="239" w:lineRule="auto"/>
              <w:ind w:left="295"/>
              <w:rPr>
                <w:highlight w:val="none"/>
              </w:rPr>
            </w:pPr>
            <w:r>
              <w:rPr>
                <w:spacing w:val="-2"/>
                <w:highlight w:val="none"/>
              </w:rPr>
              <w:t>3.1.1</w:t>
            </w:r>
          </w:p>
        </w:tc>
        <w:tc>
          <w:tcPr>
            <w:tcW w:w="2637" w:type="dxa"/>
            <w:vAlign w:val="top"/>
          </w:tcPr>
          <w:p w14:paraId="52E71848">
            <w:pPr>
              <w:pStyle w:val="6"/>
              <w:spacing w:before="241" w:line="219" w:lineRule="auto"/>
              <w:ind w:left="150"/>
              <w:rPr>
                <w:highlight w:val="none"/>
              </w:rPr>
            </w:pPr>
            <w:r>
              <w:rPr>
                <w:spacing w:val="-1"/>
                <w:highlight w:val="none"/>
              </w:rPr>
              <w:t>构成投标文件的其他资料</w:t>
            </w:r>
          </w:p>
        </w:tc>
        <w:tc>
          <w:tcPr>
            <w:tcW w:w="5219" w:type="dxa"/>
            <w:vAlign w:val="top"/>
          </w:tcPr>
          <w:p w14:paraId="6C68F11E">
            <w:pPr>
              <w:pStyle w:val="6"/>
              <w:spacing w:before="257" w:line="224" w:lineRule="auto"/>
              <w:ind w:left="74"/>
              <w:rPr>
                <w:highlight w:val="none"/>
              </w:rPr>
            </w:pPr>
            <w:r>
              <w:rPr>
                <w:color w:val="0010FF"/>
                <w:highlight w:val="none"/>
              </w:rPr>
              <w:t>/</w:t>
            </w:r>
          </w:p>
        </w:tc>
      </w:tr>
      <w:tr w14:paraId="120EB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9" w:hRule="atLeast"/>
        </w:trPr>
        <w:tc>
          <w:tcPr>
            <w:tcW w:w="1134" w:type="dxa"/>
            <w:vAlign w:val="top"/>
          </w:tcPr>
          <w:p w14:paraId="1E3764F0">
            <w:pPr>
              <w:spacing w:line="285" w:lineRule="auto"/>
              <w:rPr>
                <w:rFonts w:ascii="Arial"/>
                <w:sz w:val="21"/>
                <w:highlight w:val="none"/>
              </w:rPr>
            </w:pPr>
          </w:p>
          <w:p w14:paraId="080DCFBB">
            <w:pPr>
              <w:spacing w:line="285" w:lineRule="auto"/>
              <w:rPr>
                <w:rFonts w:ascii="Arial"/>
                <w:sz w:val="21"/>
                <w:highlight w:val="none"/>
              </w:rPr>
            </w:pPr>
          </w:p>
          <w:p w14:paraId="6D6A7C17">
            <w:pPr>
              <w:spacing w:line="286" w:lineRule="auto"/>
              <w:rPr>
                <w:rFonts w:ascii="Arial"/>
                <w:sz w:val="21"/>
                <w:highlight w:val="none"/>
              </w:rPr>
            </w:pPr>
          </w:p>
          <w:p w14:paraId="27180CCA">
            <w:pPr>
              <w:pStyle w:val="6"/>
              <w:spacing w:before="69" w:line="239" w:lineRule="auto"/>
              <w:ind w:left="298"/>
              <w:rPr>
                <w:highlight w:val="none"/>
              </w:rPr>
            </w:pPr>
            <w:r>
              <w:rPr>
                <w:b/>
                <w:bCs/>
                <w:spacing w:val="-5"/>
                <w:highlight w:val="none"/>
              </w:rPr>
              <w:t>3.2.4</w:t>
            </w:r>
          </w:p>
        </w:tc>
        <w:tc>
          <w:tcPr>
            <w:tcW w:w="2637" w:type="dxa"/>
            <w:vAlign w:val="top"/>
          </w:tcPr>
          <w:p w14:paraId="254FE737">
            <w:pPr>
              <w:spacing w:line="333" w:lineRule="auto"/>
              <w:rPr>
                <w:rFonts w:ascii="Arial"/>
                <w:sz w:val="21"/>
                <w:highlight w:val="none"/>
              </w:rPr>
            </w:pPr>
          </w:p>
          <w:p w14:paraId="2639BE99">
            <w:pPr>
              <w:spacing w:line="334" w:lineRule="auto"/>
              <w:rPr>
                <w:rFonts w:ascii="Arial"/>
                <w:sz w:val="21"/>
                <w:highlight w:val="none"/>
              </w:rPr>
            </w:pPr>
          </w:p>
          <w:p w14:paraId="17F7D7E5">
            <w:pPr>
              <w:pStyle w:val="6"/>
              <w:spacing w:before="68" w:line="364" w:lineRule="auto"/>
              <w:ind w:left="680" w:right="696"/>
              <w:rPr>
                <w:highlight w:val="none"/>
              </w:rPr>
            </w:pPr>
            <w:r>
              <w:rPr>
                <w:spacing w:val="-2"/>
                <w:highlight w:val="none"/>
              </w:rPr>
              <w:t>最高投标限价</w:t>
            </w:r>
            <w:r>
              <w:rPr>
                <w:highlight w:val="none"/>
              </w:rPr>
              <w:t xml:space="preserve"> </w:t>
            </w:r>
            <w:r>
              <w:rPr>
                <w:spacing w:val="-2"/>
                <w:highlight w:val="none"/>
              </w:rPr>
              <w:t>或其计算方法</w:t>
            </w:r>
          </w:p>
        </w:tc>
        <w:tc>
          <w:tcPr>
            <w:tcW w:w="5219" w:type="dxa"/>
            <w:vAlign w:val="top"/>
          </w:tcPr>
          <w:p w14:paraId="31AFDC98">
            <w:pPr>
              <w:pStyle w:val="6"/>
              <w:spacing w:before="160" w:line="325" w:lineRule="auto"/>
              <w:ind w:left="84" w:right="20"/>
              <w:rPr>
                <w:highlight w:val="none"/>
              </w:rPr>
            </w:pPr>
            <w:r>
              <w:rPr>
                <w:color w:val="0000FF"/>
                <w:spacing w:val="-1"/>
                <w:highlight w:val="none"/>
              </w:rPr>
              <w:t>最高投标限价为：</w:t>
            </w:r>
            <w:r>
              <w:rPr>
                <w:rFonts w:hint="eastAsia"/>
                <w:color w:val="0000FF"/>
                <w:spacing w:val="-1"/>
                <w:highlight w:val="none"/>
                <w:lang w:val="en-US" w:eastAsia="zh-CN"/>
              </w:rPr>
              <w:t>1629.0426</w:t>
            </w:r>
            <w:r>
              <w:rPr>
                <w:color w:val="0000FF"/>
                <w:spacing w:val="-1"/>
                <w:highlight w:val="none"/>
              </w:rPr>
              <w:t>万元；最高投标限价=工程</w:t>
            </w:r>
            <w:r>
              <w:rPr>
                <w:color w:val="0000FF"/>
                <w:spacing w:val="17"/>
                <w:highlight w:val="none"/>
              </w:rPr>
              <w:t xml:space="preserve"> </w:t>
            </w:r>
            <w:r>
              <w:rPr>
                <w:color w:val="0000FF"/>
                <w:spacing w:val="4"/>
                <w:highlight w:val="none"/>
              </w:rPr>
              <w:t>费用×(1-工程费报价最低下浮率)+工程设计费+预备</w:t>
            </w:r>
            <w:r>
              <w:rPr>
                <w:color w:val="0000FF"/>
                <w:spacing w:val="2"/>
                <w:highlight w:val="none"/>
              </w:rPr>
              <w:t xml:space="preserve">  费(其中工程费用：</w:t>
            </w:r>
            <w:r>
              <w:rPr>
                <w:rFonts w:hint="eastAsia"/>
                <w:color w:val="0000FF"/>
                <w:spacing w:val="2"/>
                <w:highlight w:val="none"/>
                <w:lang w:val="en-US" w:eastAsia="zh-CN"/>
              </w:rPr>
              <w:t>1596.79</w:t>
            </w:r>
            <w:r>
              <w:rPr>
                <w:color w:val="0000FF"/>
                <w:spacing w:val="2"/>
                <w:highlight w:val="none"/>
              </w:rPr>
              <w:t>万元，工程设计费：</w:t>
            </w:r>
            <w:r>
              <w:rPr>
                <w:rFonts w:hint="eastAsia"/>
                <w:color w:val="0000FF"/>
                <w:spacing w:val="1"/>
                <w:highlight w:val="none"/>
                <w:lang w:val="en-US" w:eastAsia="zh-CN"/>
              </w:rPr>
              <w:t>57.47</w:t>
            </w:r>
            <w:r>
              <w:rPr>
                <w:color w:val="0000FF"/>
                <w:highlight w:val="none"/>
              </w:rPr>
              <w:t xml:space="preserve">  </w:t>
            </w:r>
            <w:r>
              <w:rPr>
                <w:color w:val="1000FF"/>
                <w:spacing w:val="2"/>
                <w:highlight w:val="none"/>
              </w:rPr>
              <w:t>万元，预备费：</w:t>
            </w:r>
            <w:r>
              <w:rPr>
                <w:rFonts w:hint="eastAsia"/>
                <w:color w:val="0000FF"/>
                <w:spacing w:val="2"/>
                <w:highlight w:val="none"/>
                <w:lang w:val="en-US" w:eastAsia="zh-CN"/>
              </w:rPr>
              <w:t>70.59</w:t>
            </w:r>
            <w:r>
              <w:rPr>
                <w:color w:val="0000FF"/>
                <w:spacing w:val="2"/>
                <w:highlight w:val="none"/>
              </w:rPr>
              <w:t>万元，工程费报价最低下浮率6%,</w:t>
            </w:r>
            <w:r>
              <w:rPr>
                <w:color w:val="0000FF"/>
                <w:spacing w:val="7"/>
                <w:highlight w:val="none"/>
              </w:rPr>
              <w:t xml:space="preserve"> </w:t>
            </w:r>
            <w:r>
              <w:rPr>
                <w:color w:val="0000FF"/>
                <w:spacing w:val="3"/>
                <w:highlight w:val="none"/>
              </w:rPr>
              <w:t>预备费不得下浮)。</w:t>
            </w:r>
          </w:p>
        </w:tc>
      </w:tr>
      <w:tr w14:paraId="61252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9" w:hRule="atLeast"/>
        </w:trPr>
        <w:tc>
          <w:tcPr>
            <w:tcW w:w="1134" w:type="dxa"/>
            <w:vAlign w:val="top"/>
          </w:tcPr>
          <w:p w14:paraId="7E921099">
            <w:pPr>
              <w:spacing w:line="248" w:lineRule="auto"/>
              <w:rPr>
                <w:rFonts w:ascii="Arial"/>
                <w:sz w:val="21"/>
                <w:highlight w:val="none"/>
              </w:rPr>
            </w:pPr>
          </w:p>
          <w:p w14:paraId="041DA60D">
            <w:pPr>
              <w:spacing w:line="248" w:lineRule="auto"/>
              <w:rPr>
                <w:rFonts w:ascii="Arial"/>
                <w:sz w:val="21"/>
                <w:highlight w:val="none"/>
              </w:rPr>
            </w:pPr>
          </w:p>
          <w:p w14:paraId="17DB46EF">
            <w:pPr>
              <w:spacing w:line="248" w:lineRule="auto"/>
              <w:rPr>
                <w:rFonts w:ascii="Arial"/>
                <w:sz w:val="21"/>
                <w:highlight w:val="none"/>
              </w:rPr>
            </w:pPr>
          </w:p>
          <w:p w14:paraId="788F4418">
            <w:pPr>
              <w:spacing w:line="248" w:lineRule="auto"/>
              <w:rPr>
                <w:rFonts w:ascii="Arial"/>
                <w:sz w:val="21"/>
                <w:highlight w:val="none"/>
              </w:rPr>
            </w:pPr>
          </w:p>
          <w:p w14:paraId="5F3CBE3D">
            <w:pPr>
              <w:spacing w:line="248" w:lineRule="auto"/>
              <w:rPr>
                <w:rFonts w:ascii="Arial"/>
                <w:sz w:val="21"/>
                <w:highlight w:val="none"/>
              </w:rPr>
            </w:pPr>
          </w:p>
          <w:p w14:paraId="735DEA1B">
            <w:pPr>
              <w:spacing w:line="248" w:lineRule="auto"/>
              <w:rPr>
                <w:rFonts w:ascii="Arial"/>
                <w:sz w:val="21"/>
                <w:highlight w:val="none"/>
              </w:rPr>
            </w:pPr>
          </w:p>
          <w:p w14:paraId="46A9D3A9">
            <w:pPr>
              <w:spacing w:line="248" w:lineRule="auto"/>
              <w:rPr>
                <w:rFonts w:ascii="Arial"/>
                <w:sz w:val="21"/>
                <w:highlight w:val="none"/>
              </w:rPr>
            </w:pPr>
          </w:p>
          <w:p w14:paraId="1B470459">
            <w:pPr>
              <w:spacing w:line="248" w:lineRule="auto"/>
              <w:rPr>
                <w:rFonts w:ascii="Arial"/>
                <w:sz w:val="21"/>
                <w:highlight w:val="none"/>
              </w:rPr>
            </w:pPr>
          </w:p>
          <w:p w14:paraId="14683F92">
            <w:pPr>
              <w:spacing w:line="248" w:lineRule="auto"/>
              <w:rPr>
                <w:rFonts w:ascii="Arial"/>
                <w:sz w:val="21"/>
                <w:highlight w:val="none"/>
              </w:rPr>
            </w:pPr>
          </w:p>
          <w:p w14:paraId="74BC489D">
            <w:pPr>
              <w:spacing w:line="248" w:lineRule="auto"/>
              <w:rPr>
                <w:rFonts w:ascii="Arial"/>
                <w:sz w:val="21"/>
                <w:highlight w:val="none"/>
              </w:rPr>
            </w:pPr>
          </w:p>
          <w:p w14:paraId="5214A334">
            <w:pPr>
              <w:spacing w:line="248" w:lineRule="auto"/>
              <w:rPr>
                <w:rFonts w:ascii="Arial"/>
                <w:sz w:val="21"/>
                <w:highlight w:val="none"/>
              </w:rPr>
            </w:pPr>
          </w:p>
          <w:p w14:paraId="566EC44E">
            <w:pPr>
              <w:spacing w:line="248" w:lineRule="auto"/>
              <w:rPr>
                <w:rFonts w:ascii="Arial"/>
                <w:sz w:val="21"/>
                <w:highlight w:val="none"/>
              </w:rPr>
            </w:pPr>
          </w:p>
          <w:p w14:paraId="75191DB5">
            <w:pPr>
              <w:spacing w:line="248" w:lineRule="auto"/>
              <w:rPr>
                <w:rFonts w:ascii="Arial"/>
                <w:sz w:val="21"/>
                <w:highlight w:val="none"/>
              </w:rPr>
            </w:pPr>
          </w:p>
          <w:p w14:paraId="52D4DF34">
            <w:pPr>
              <w:spacing w:line="248" w:lineRule="auto"/>
              <w:rPr>
                <w:rFonts w:ascii="Arial"/>
                <w:sz w:val="21"/>
                <w:highlight w:val="none"/>
              </w:rPr>
            </w:pPr>
          </w:p>
          <w:p w14:paraId="2E78EAF5">
            <w:pPr>
              <w:spacing w:line="249" w:lineRule="auto"/>
              <w:rPr>
                <w:rFonts w:ascii="Arial"/>
                <w:sz w:val="21"/>
                <w:highlight w:val="none"/>
              </w:rPr>
            </w:pPr>
          </w:p>
          <w:p w14:paraId="6E6E8DBF">
            <w:pPr>
              <w:spacing w:line="249" w:lineRule="auto"/>
              <w:rPr>
                <w:rFonts w:ascii="Arial"/>
                <w:sz w:val="21"/>
                <w:highlight w:val="none"/>
              </w:rPr>
            </w:pPr>
          </w:p>
          <w:p w14:paraId="514B282A">
            <w:pPr>
              <w:spacing w:line="249" w:lineRule="auto"/>
              <w:rPr>
                <w:rFonts w:ascii="Arial"/>
                <w:sz w:val="21"/>
                <w:highlight w:val="none"/>
              </w:rPr>
            </w:pPr>
          </w:p>
          <w:p w14:paraId="14D3F648">
            <w:pPr>
              <w:pStyle w:val="6"/>
              <w:spacing w:before="68" w:line="239" w:lineRule="auto"/>
              <w:ind w:left="295"/>
              <w:rPr>
                <w:highlight w:val="none"/>
              </w:rPr>
            </w:pPr>
            <w:r>
              <w:rPr>
                <w:spacing w:val="-2"/>
                <w:highlight w:val="none"/>
              </w:rPr>
              <w:t>3.2.5</w:t>
            </w:r>
          </w:p>
        </w:tc>
        <w:tc>
          <w:tcPr>
            <w:tcW w:w="2637" w:type="dxa"/>
            <w:vAlign w:val="top"/>
          </w:tcPr>
          <w:p w14:paraId="088B11A8">
            <w:pPr>
              <w:spacing w:line="246" w:lineRule="auto"/>
              <w:rPr>
                <w:rFonts w:ascii="Arial"/>
                <w:sz w:val="21"/>
                <w:highlight w:val="none"/>
              </w:rPr>
            </w:pPr>
          </w:p>
          <w:p w14:paraId="0ECAEFCC">
            <w:pPr>
              <w:spacing w:line="246" w:lineRule="auto"/>
              <w:rPr>
                <w:rFonts w:ascii="Arial"/>
                <w:sz w:val="21"/>
                <w:highlight w:val="none"/>
              </w:rPr>
            </w:pPr>
          </w:p>
          <w:p w14:paraId="50A22B9A">
            <w:pPr>
              <w:spacing w:line="246" w:lineRule="auto"/>
              <w:rPr>
                <w:rFonts w:ascii="Arial"/>
                <w:sz w:val="21"/>
                <w:highlight w:val="none"/>
              </w:rPr>
            </w:pPr>
          </w:p>
          <w:p w14:paraId="526B5B92">
            <w:pPr>
              <w:spacing w:line="247" w:lineRule="auto"/>
              <w:rPr>
                <w:rFonts w:ascii="Arial"/>
                <w:sz w:val="21"/>
                <w:highlight w:val="none"/>
              </w:rPr>
            </w:pPr>
          </w:p>
          <w:p w14:paraId="1A0085E7">
            <w:pPr>
              <w:spacing w:line="247" w:lineRule="auto"/>
              <w:rPr>
                <w:rFonts w:ascii="Arial"/>
                <w:sz w:val="21"/>
                <w:highlight w:val="none"/>
              </w:rPr>
            </w:pPr>
          </w:p>
          <w:p w14:paraId="08AADE4B">
            <w:pPr>
              <w:spacing w:line="247" w:lineRule="auto"/>
              <w:rPr>
                <w:rFonts w:ascii="Arial"/>
                <w:sz w:val="21"/>
                <w:highlight w:val="none"/>
              </w:rPr>
            </w:pPr>
          </w:p>
          <w:p w14:paraId="23DDBD09">
            <w:pPr>
              <w:spacing w:line="247" w:lineRule="auto"/>
              <w:rPr>
                <w:rFonts w:ascii="Arial"/>
                <w:sz w:val="21"/>
                <w:highlight w:val="none"/>
              </w:rPr>
            </w:pPr>
          </w:p>
          <w:p w14:paraId="6AB325D0">
            <w:pPr>
              <w:spacing w:line="247" w:lineRule="auto"/>
              <w:rPr>
                <w:rFonts w:ascii="Arial"/>
                <w:sz w:val="21"/>
                <w:highlight w:val="none"/>
              </w:rPr>
            </w:pPr>
          </w:p>
          <w:p w14:paraId="22455DAD">
            <w:pPr>
              <w:spacing w:line="247" w:lineRule="auto"/>
              <w:rPr>
                <w:rFonts w:ascii="Arial"/>
                <w:sz w:val="21"/>
                <w:highlight w:val="none"/>
              </w:rPr>
            </w:pPr>
          </w:p>
          <w:p w14:paraId="461409B0">
            <w:pPr>
              <w:spacing w:line="247" w:lineRule="auto"/>
              <w:rPr>
                <w:rFonts w:ascii="Arial"/>
                <w:sz w:val="21"/>
                <w:highlight w:val="none"/>
              </w:rPr>
            </w:pPr>
          </w:p>
          <w:p w14:paraId="49624316">
            <w:pPr>
              <w:spacing w:line="247" w:lineRule="auto"/>
              <w:rPr>
                <w:rFonts w:ascii="Arial"/>
                <w:sz w:val="21"/>
                <w:highlight w:val="none"/>
              </w:rPr>
            </w:pPr>
          </w:p>
          <w:p w14:paraId="3597E803">
            <w:pPr>
              <w:spacing w:line="247" w:lineRule="auto"/>
              <w:rPr>
                <w:rFonts w:ascii="Arial"/>
                <w:sz w:val="21"/>
                <w:highlight w:val="none"/>
              </w:rPr>
            </w:pPr>
          </w:p>
          <w:p w14:paraId="39C7434E">
            <w:pPr>
              <w:spacing w:line="247" w:lineRule="auto"/>
              <w:rPr>
                <w:rFonts w:ascii="Arial"/>
                <w:sz w:val="21"/>
                <w:highlight w:val="none"/>
              </w:rPr>
            </w:pPr>
          </w:p>
          <w:p w14:paraId="1BDB99A1">
            <w:pPr>
              <w:spacing w:line="247" w:lineRule="auto"/>
              <w:rPr>
                <w:rFonts w:ascii="Arial"/>
                <w:sz w:val="21"/>
                <w:highlight w:val="none"/>
              </w:rPr>
            </w:pPr>
          </w:p>
          <w:p w14:paraId="16C82CAA">
            <w:pPr>
              <w:spacing w:line="247" w:lineRule="auto"/>
              <w:rPr>
                <w:rFonts w:ascii="Arial"/>
                <w:sz w:val="21"/>
                <w:highlight w:val="none"/>
              </w:rPr>
            </w:pPr>
          </w:p>
          <w:p w14:paraId="59F00C72">
            <w:pPr>
              <w:spacing w:line="247" w:lineRule="auto"/>
              <w:rPr>
                <w:rFonts w:ascii="Arial"/>
                <w:sz w:val="21"/>
                <w:highlight w:val="none"/>
              </w:rPr>
            </w:pPr>
          </w:p>
          <w:p w14:paraId="15C3FF2A">
            <w:pPr>
              <w:spacing w:line="247" w:lineRule="auto"/>
              <w:rPr>
                <w:rFonts w:ascii="Arial"/>
                <w:sz w:val="21"/>
                <w:highlight w:val="none"/>
              </w:rPr>
            </w:pPr>
          </w:p>
          <w:p w14:paraId="587E568A">
            <w:pPr>
              <w:pStyle w:val="6"/>
              <w:spacing w:before="69" w:line="218" w:lineRule="auto"/>
              <w:ind w:left="360"/>
              <w:rPr>
                <w:highlight w:val="none"/>
              </w:rPr>
            </w:pPr>
            <w:r>
              <w:rPr>
                <w:spacing w:val="1"/>
                <w:highlight w:val="none"/>
              </w:rPr>
              <w:t>投标报价的其他要求</w:t>
            </w:r>
          </w:p>
        </w:tc>
        <w:tc>
          <w:tcPr>
            <w:tcW w:w="5219" w:type="dxa"/>
            <w:vAlign w:val="top"/>
          </w:tcPr>
          <w:p w14:paraId="14957DD0">
            <w:pPr>
              <w:pStyle w:val="6"/>
              <w:spacing w:before="120" w:line="218" w:lineRule="auto"/>
              <w:ind w:left="133"/>
              <w:rPr>
                <w:highlight w:val="none"/>
              </w:rPr>
            </w:pPr>
            <w:r>
              <w:rPr>
                <w:color w:val="1000FF"/>
                <w:highlight w:val="none"/>
              </w:rPr>
              <w:t>1、</w:t>
            </w:r>
            <w:r>
              <w:rPr>
                <w:color w:val="0000FF"/>
                <w:highlight w:val="none"/>
              </w:rPr>
              <w:t>投标人的投标报价均为含税费报价，包含增值税及</w:t>
            </w:r>
          </w:p>
          <w:p w14:paraId="059F17DE">
            <w:pPr>
              <w:pStyle w:val="6"/>
              <w:spacing w:before="162" w:line="218" w:lineRule="auto"/>
              <w:ind w:left="133"/>
              <w:rPr>
                <w:highlight w:val="none"/>
              </w:rPr>
            </w:pPr>
            <w:r>
              <w:rPr>
                <w:color w:val="0000FF"/>
                <w:highlight w:val="none"/>
              </w:rPr>
              <w:t>附加税等税金。2、投标人投标函中的大写报价或算术</w:t>
            </w:r>
          </w:p>
          <w:p w14:paraId="3DF84141">
            <w:pPr>
              <w:pStyle w:val="6"/>
              <w:spacing w:before="162" w:line="218" w:lineRule="auto"/>
              <w:ind w:left="84"/>
              <w:rPr>
                <w:highlight w:val="none"/>
              </w:rPr>
            </w:pPr>
            <w:r>
              <w:rPr>
                <w:color w:val="0000FF"/>
                <w:spacing w:val="-1"/>
                <w:highlight w:val="none"/>
              </w:rPr>
              <w:t>错误修正后的投标总报价大于最高投标限价的，其投标</w:t>
            </w:r>
          </w:p>
          <w:p w14:paraId="3027529E">
            <w:pPr>
              <w:pStyle w:val="6"/>
              <w:spacing w:before="142" w:line="219" w:lineRule="auto"/>
              <w:ind w:left="183"/>
              <w:rPr>
                <w:highlight w:val="none"/>
              </w:rPr>
            </w:pPr>
            <w:r>
              <w:rPr>
                <w:color w:val="0000FF"/>
                <w:spacing w:val="-1"/>
                <w:highlight w:val="none"/>
              </w:rPr>
              <w:t>将被否决。3、(1)投标人必须依据设计方案报出本项</w:t>
            </w:r>
          </w:p>
          <w:p w14:paraId="5951EB93">
            <w:pPr>
              <w:pStyle w:val="6"/>
              <w:spacing w:before="150" w:line="218" w:lineRule="auto"/>
              <w:ind w:left="84"/>
              <w:rPr>
                <w:highlight w:val="none"/>
              </w:rPr>
            </w:pPr>
            <w:r>
              <w:rPr>
                <w:color w:val="0000FF"/>
                <w:highlight w:val="none"/>
              </w:rPr>
              <w:t>目的投标报价、设计费报价、工程费报价下浮率，否则</w:t>
            </w:r>
          </w:p>
          <w:p w14:paraId="1010FBF9">
            <w:pPr>
              <w:pStyle w:val="6"/>
              <w:spacing w:before="151" w:line="218" w:lineRule="auto"/>
              <w:ind w:left="133"/>
              <w:rPr>
                <w:highlight w:val="none"/>
              </w:rPr>
            </w:pPr>
            <w:r>
              <w:rPr>
                <w:color w:val="0000FF"/>
                <w:spacing w:val="-1"/>
                <w:highlight w:val="none"/>
              </w:rPr>
              <w:t>其投标将被否决。(2)其投标报价不得超出本项目最高</w:t>
            </w:r>
          </w:p>
          <w:p w14:paraId="7D645CF4">
            <w:pPr>
              <w:pStyle w:val="6"/>
              <w:spacing w:before="142" w:line="218" w:lineRule="auto"/>
              <w:ind w:left="84"/>
              <w:rPr>
                <w:highlight w:val="none"/>
              </w:rPr>
            </w:pPr>
            <w:r>
              <w:rPr>
                <w:color w:val="0000FF"/>
                <w:highlight w:val="none"/>
              </w:rPr>
              <w:t>投标限价，设计费不得超过设计费上限，否则其投标将</w:t>
            </w:r>
          </w:p>
          <w:p w14:paraId="419D5F45">
            <w:pPr>
              <w:pStyle w:val="6"/>
              <w:keepNext w:val="0"/>
              <w:keepLines w:val="0"/>
              <w:pageBreakBefore w:val="0"/>
              <w:widowControl/>
              <w:kinsoku w:val="0"/>
              <w:wordWrap/>
              <w:overflowPunct/>
              <w:topLinePunct w:val="0"/>
              <w:autoSpaceDE w:val="0"/>
              <w:autoSpaceDN w:val="0"/>
              <w:bidi w:val="0"/>
              <w:adjustRightInd w:val="0"/>
              <w:snapToGrid w:val="0"/>
              <w:spacing w:before="151" w:line="400" w:lineRule="exact"/>
              <w:ind w:left="130"/>
              <w:textAlignment w:val="baseline"/>
              <w:rPr>
                <w:color w:val="0000FF"/>
                <w:spacing w:val="-1"/>
                <w:highlight w:val="none"/>
              </w:rPr>
            </w:pPr>
            <w:r>
              <w:rPr>
                <w:color w:val="0000FF"/>
                <w:spacing w:val="-1"/>
                <w:highlight w:val="none"/>
              </w:rPr>
              <w:t>被否决。(3)工程费报价下浮率不得小于6%,否则其投标将被否决。(投标人应在招标文件第七章“投标文件格式------十四、投标函附表2”中自行填报本次招标</w:t>
            </w:r>
          </w:p>
          <w:p w14:paraId="50AE6531">
            <w:pPr>
              <w:pStyle w:val="6"/>
              <w:spacing w:before="151" w:line="218" w:lineRule="auto"/>
              <w:ind w:left="133"/>
              <w:rPr>
                <w:highlight w:val="none"/>
              </w:rPr>
            </w:pPr>
            <w:r>
              <w:rPr>
                <w:color w:val="0000FF"/>
                <w:spacing w:val="-1"/>
                <w:highlight w:val="none"/>
              </w:rPr>
              <w:t>的工程费报价下浮率和设计费，若投标人没有按照要</w:t>
            </w:r>
            <w:r>
              <w:rPr>
                <w:color w:val="0000FF"/>
                <w:highlight w:val="none"/>
              </w:rPr>
              <w:t>求</w:t>
            </w:r>
          </w:p>
          <w:p w14:paraId="37EBF0E7">
            <w:pPr>
              <w:pStyle w:val="6"/>
              <w:spacing w:before="151" w:line="218" w:lineRule="auto"/>
              <w:ind w:left="84"/>
              <w:rPr>
                <w:highlight w:val="none"/>
              </w:rPr>
            </w:pPr>
            <w:r>
              <w:rPr>
                <w:color w:val="0000FF"/>
                <w:spacing w:val="-1"/>
                <w:highlight w:val="none"/>
              </w:rPr>
              <w:t>进行报价，导致无法评审的，其投标将被否决)。4、本</w:t>
            </w:r>
          </w:p>
          <w:p w14:paraId="3009A771">
            <w:pPr>
              <w:pStyle w:val="6"/>
              <w:spacing w:before="143" w:line="218" w:lineRule="auto"/>
              <w:ind w:left="133"/>
              <w:rPr>
                <w:highlight w:val="none"/>
              </w:rPr>
            </w:pPr>
            <w:r>
              <w:rPr>
                <w:color w:val="0000FF"/>
                <w:spacing w:val="-1"/>
                <w:highlight w:val="none"/>
              </w:rPr>
              <w:t>项目为总价合同，工程据实结算。5、本项目在中标人</w:t>
            </w:r>
          </w:p>
          <w:p w14:paraId="46D1508B">
            <w:pPr>
              <w:pStyle w:val="6"/>
              <w:spacing w:before="151" w:line="218" w:lineRule="auto"/>
              <w:ind w:left="133"/>
              <w:rPr>
                <w:highlight w:val="none"/>
              </w:rPr>
            </w:pPr>
            <w:r>
              <w:rPr>
                <w:color w:val="0000FF"/>
                <w:spacing w:val="-1"/>
                <w:highlight w:val="none"/>
              </w:rPr>
              <w:t>产生后按以下方式计算出合同价：(1)承包人根据其设</w:t>
            </w:r>
          </w:p>
          <w:p w14:paraId="4D03DDFD">
            <w:pPr>
              <w:pStyle w:val="6"/>
              <w:spacing w:before="153" w:line="219" w:lineRule="auto"/>
              <w:ind w:left="84"/>
              <w:rPr>
                <w:highlight w:val="none"/>
              </w:rPr>
            </w:pPr>
            <w:r>
              <w:rPr>
                <w:color w:val="1000FF"/>
                <w:spacing w:val="-1"/>
                <w:highlight w:val="none"/>
              </w:rPr>
              <w:t>计方案设计出施工图交本项目建设单位，由建设单位组</w:t>
            </w:r>
          </w:p>
          <w:p w14:paraId="75FC0EBA">
            <w:pPr>
              <w:pStyle w:val="6"/>
              <w:keepNext w:val="0"/>
              <w:keepLines w:val="0"/>
              <w:pageBreakBefore w:val="0"/>
              <w:widowControl/>
              <w:kinsoku w:val="0"/>
              <w:wordWrap/>
              <w:overflowPunct/>
              <w:topLinePunct w:val="0"/>
              <w:autoSpaceDE w:val="0"/>
              <w:autoSpaceDN w:val="0"/>
              <w:bidi w:val="0"/>
              <w:adjustRightInd w:val="0"/>
              <w:snapToGrid w:val="0"/>
              <w:spacing w:before="139" w:line="400" w:lineRule="exact"/>
              <w:ind w:left="113"/>
              <w:textAlignment w:val="baseline"/>
              <w:rPr>
                <w:highlight w:val="none"/>
              </w:rPr>
            </w:pPr>
            <w:r>
              <w:rPr>
                <w:color w:val="0000FF"/>
                <w:spacing w:val="-1"/>
                <w:highlight w:val="none"/>
              </w:rPr>
              <w:t>织相关审查机构进行图审(如有),图审合格后聘请有</w:t>
            </w:r>
            <w:r>
              <w:rPr>
                <w:color w:val="0010FF"/>
                <w:highlight w:val="none"/>
              </w:rPr>
              <w:t>相关资质的造价咨询机构根据相关计价规范进行编制</w:t>
            </w:r>
            <w:r>
              <w:rPr>
                <w:color w:val="0000FF"/>
                <w:highlight w:val="none"/>
              </w:rPr>
              <w:t>工程量清单及总价，如果信息价中没有的材料则由建设单位、承包人、造价部门三方共同询价定价。承包人按工程费报价下浮率下浮后，加上本项目承包人设计费报</w:t>
            </w:r>
            <w:r>
              <w:rPr>
                <w:color w:val="0000FF"/>
                <w:spacing w:val="1"/>
                <w:highlight w:val="none"/>
              </w:rPr>
              <w:t>价、预备费等为合同价款。(2)结算时按工程量据实结</w:t>
            </w:r>
            <w:r>
              <w:rPr>
                <w:color w:val="0010FF"/>
                <w:spacing w:val="-7"/>
                <w:highlight w:val="none"/>
              </w:rPr>
              <w:t>算</w:t>
            </w:r>
            <w:r>
              <w:rPr>
                <w:color w:val="0010FF"/>
                <w:spacing w:val="74"/>
                <w:highlight w:val="none"/>
              </w:rPr>
              <w:t xml:space="preserve"> </w:t>
            </w:r>
            <w:r>
              <w:rPr>
                <w:color w:val="0010FF"/>
                <w:spacing w:val="-7"/>
                <w:highlight w:val="none"/>
              </w:rPr>
              <w:t>，</w:t>
            </w:r>
            <w:r>
              <w:rPr>
                <w:color w:val="0000FF"/>
                <w:spacing w:val="-7"/>
                <w:highlight w:val="none"/>
              </w:rPr>
              <w:t>最终以建设单位聘请的第三方造价咨询中介机构结</w:t>
            </w:r>
          </w:p>
        </w:tc>
      </w:tr>
    </w:tbl>
    <w:p w14:paraId="6123C150">
      <w:pPr>
        <w:pStyle w:val="2"/>
        <w:rPr>
          <w:highlight w:val="none"/>
        </w:rPr>
      </w:pPr>
    </w:p>
    <w:p w14:paraId="33BD5700">
      <w:pPr>
        <w:spacing w:before="17"/>
        <w:rPr>
          <w:highlight w:val="none"/>
        </w:rPr>
      </w:pPr>
    </w:p>
    <w:p w14:paraId="24AFFC34">
      <w:pPr>
        <w:spacing w:before="17"/>
        <w:rPr>
          <w:highlight w:val="none"/>
        </w:rPr>
      </w:pPr>
    </w:p>
    <w:tbl>
      <w:tblPr>
        <w:tblStyle w:val="5"/>
        <w:tblW w:w="90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4"/>
        <w:gridCol w:w="2637"/>
        <w:gridCol w:w="5219"/>
      </w:tblGrid>
      <w:tr w14:paraId="1737F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1144" w:type="dxa"/>
            <w:vAlign w:val="top"/>
          </w:tcPr>
          <w:p w14:paraId="35F97194">
            <w:pPr>
              <w:rPr>
                <w:rFonts w:ascii="Arial"/>
                <w:sz w:val="21"/>
                <w:highlight w:val="none"/>
              </w:rPr>
            </w:pPr>
          </w:p>
        </w:tc>
        <w:tc>
          <w:tcPr>
            <w:tcW w:w="2637" w:type="dxa"/>
            <w:vAlign w:val="top"/>
          </w:tcPr>
          <w:p w14:paraId="57DB1058">
            <w:pPr>
              <w:rPr>
                <w:rFonts w:ascii="Arial"/>
                <w:sz w:val="21"/>
                <w:highlight w:val="none"/>
              </w:rPr>
            </w:pPr>
          </w:p>
        </w:tc>
        <w:tc>
          <w:tcPr>
            <w:tcW w:w="5219" w:type="dxa"/>
            <w:vAlign w:val="top"/>
          </w:tcPr>
          <w:p w14:paraId="13DFE7E2">
            <w:pPr>
              <w:pStyle w:val="6"/>
              <w:spacing w:before="133" w:line="219" w:lineRule="auto"/>
              <w:ind w:left="114"/>
              <w:rPr>
                <w:highlight w:val="none"/>
              </w:rPr>
            </w:pPr>
            <w:r>
              <w:rPr>
                <w:color w:val="0000FF"/>
                <w:spacing w:val="-1"/>
                <w:highlight w:val="none"/>
              </w:rPr>
              <w:t>算、决算审核为准。</w:t>
            </w:r>
          </w:p>
        </w:tc>
      </w:tr>
      <w:tr w14:paraId="67DBB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1144" w:type="dxa"/>
            <w:vAlign w:val="top"/>
          </w:tcPr>
          <w:p w14:paraId="55103B9E">
            <w:pPr>
              <w:spacing w:line="297" w:lineRule="auto"/>
              <w:rPr>
                <w:rFonts w:ascii="Arial"/>
                <w:sz w:val="21"/>
                <w:highlight w:val="none"/>
              </w:rPr>
            </w:pPr>
          </w:p>
          <w:p w14:paraId="695C14CB">
            <w:pPr>
              <w:pStyle w:val="6"/>
              <w:spacing w:before="68" w:line="239" w:lineRule="auto"/>
              <w:ind w:left="298"/>
              <w:rPr>
                <w:highlight w:val="none"/>
              </w:rPr>
            </w:pPr>
            <w:bookmarkStart w:id="11" w:name="bookmark190"/>
            <w:bookmarkEnd w:id="11"/>
            <w:r>
              <w:rPr>
                <w:b/>
                <w:bCs/>
                <w:spacing w:val="-5"/>
                <w:highlight w:val="none"/>
              </w:rPr>
              <w:t>3.3.1</w:t>
            </w:r>
          </w:p>
        </w:tc>
        <w:tc>
          <w:tcPr>
            <w:tcW w:w="2637" w:type="dxa"/>
            <w:vAlign w:val="top"/>
          </w:tcPr>
          <w:p w14:paraId="06AA8481">
            <w:pPr>
              <w:spacing w:line="249" w:lineRule="auto"/>
              <w:rPr>
                <w:rFonts w:ascii="Arial"/>
                <w:sz w:val="21"/>
                <w:highlight w:val="none"/>
              </w:rPr>
            </w:pPr>
          </w:p>
          <w:p w14:paraId="08B794ED">
            <w:pPr>
              <w:pStyle w:val="6"/>
              <w:spacing w:before="68" w:line="220" w:lineRule="auto"/>
              <w:ind w:left="781"/>
              <w:rPr>
                <w:highlight w:val="none"/>
              </w:rPr>
            </w:pPr>
            <w:r>
              <w:rPr>
                <w:spacing w:val="2"/>
                <w:highlight w:val="none"/>
              </w:rPr>
              <w:t>投标有效期</w:t>
            </w:r>
          </w:p>
        </w:tc>
        <w:tc>
          <w:tcPr>
            <w:tcW w:w="5219" w:type="dxa"/>
            <w:vAlign w:val="top"/>
          </w:tcPr>
          <w:p w14:paraId="70A3E4AC">
            <w:pPr>
              <w:spacing w:line="249" w:lineRule="auto"/>
              <w:rPr>
                <w:rFonts w:ascii="Arial"/>
                <w:sz w:val="21"/>
                <w:highlight w:val="none"/>
              </w:rPr>
            </w:pPr>
          </w:p>
          <w:p w14:paraId="72742D8F">
            <w:pPr>
              <w:pStyle w:val="6"/>
              <w:spacing w:before="68" w:line="220" w:lineRule="auto"/>
              <w:ind w:left="123"/>
              <w:rPr>
                <w:highlight w:val="none"/>
              </w:rPr>
            </w:pPr>
            <w:r>
              <w:rPr>
                <w:spacing w:val="-1"/>
                <w:highlight w:val="none"/>
              </w:rPr>
              <w:t>自投标截止时间起</w:t>
            </w:r>
            <w:r>
              <w:rPr>
                <w:color w:val="0000FF"/>
                <w:spacing w:val="-1"/>
                <w:highlight w:val="none"/>
              </w:rPr>
              <w:t>90</w:t>
            </w:r>
            <w:r>
              <w:rPr>
                <w:spacing w:val="-1"/>
                <w:highlight w:val="none"/>
              </w:rPr>
              <w:t>天</w:t>
            </w:r>
          </w:p>
        </w:tc>
      </w:tr>
      <w:tr w14:paraId="0FD42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12" w:hRule="atLeast"/>
        </w:trPr>
        <w:tc>
          <w:tcPr>
            <w:tcW w:w="1144" w:type="dxa"/>
            <w:vAlign w:val="top"/>
          </w:tcPr>
          <w:p w14:paraId="4DA13BA3">
            <w:pPr>
              <w:spacing w:line="251" w:lineRule="auto"/>
              <w:rPr>
                <w:rFonts w:ascii="Arial"/>
                <w:sz w:val="21"/>
                <w:highlight w:val="none"/>
              </w:rPr>
            </w:pPr>
          </w:p>
          <w:p w14:paraId="71E459C7">
            <w:pPr>
              <w:spacing w:line="251" w:lineRule="auto"/>
              <w:rPr>
                <w:rFonts w:ascii="Arial"/>
                <w:sz w:val="21"/>
                <w:highlight w:val="none"/>
              </w:rPr>
            </w:pPr>
          </w:p>
          <w:p w14:paraId="518F15FC">
            <w:pPr>
              <w:spacing w:line="251" w:lineRule="auto"/>
              <w:rPr>
                <w:rFonts w:ascii="Arial"/>
                <w:sz w:val="21"/>
                <w:highlight w:val="none"/>
              </w:rPr>
            </w:pPr>
          </w:p>
          <w:p w14:paraId="77786702">
            <w:pPr>
              <w:spacing w:line="251" w:lineRule="auto"/>
              <w:rPr>
                <w:rFonts w:ascii="Arial"/>
                <w:sz w:val="21"/>
                <w:highlight w:val="none"/>
              </w:rPr>
            </w:pPr>
          </w:p>
          <w:p w14:paraId="67324313">
            <w:pPr>
              <w:spacing w:line="251" w:lineRule="auto"/>
              <w:rPr>
                <w:rFonts w:ascii="Arial"/>
                <w:sz w:val="21"/>
                <w:highlight w:val="none"/>
              </w:rPr>
            </w:pPr>
          </w:p>
          <w:p w14:paraId="2DDA212F">
            <w:pPr>
              <w:spacing w:line="251" w:lineRule="auto"/>
              <w:rPr>
                <w:rFonts w:ascii="Arial"/>
                <w:sz w:val="21"/>
                <w:highlight w:val="none"/>
              </w:rPr>
            </w:pPr>
          </w:p>
          <w:p w14:paraId="7A7E88BF">
            <w:pPr>
              <w:spacing w:line="251" w:lineRule="auto"/>
              <w:rPr>
                <w:rFonts w:ascii="Arial"/>
                <w:sz w:val="21"/>
                <w:highlight w:val="none"/>
              </w:rPr>
            </w:pPr>
          </w:p>
          <w:p w14:paraId="174797E6">
            <w:pPr>
              <w:spacing w:line="251" w:lineRule="auto"/>
              <w:rPr>
                <w:rFonts w:ascii="Arial"/>
                <w:sz w:val="21"/>
                <w:highlight w:val="none"/>
              </w:rPr>
            </w:pPr>
          </w:p>
          <w:p w14:paraId="541D5064">
            <w:pPr>
              <w:spacing w:line="251" w:lineRule="auto"/>
              <w:rPr>
                <w:rFonts w:ascii="Arial"/>
                <w:sz w:val="21"/>
                <w:highlight w:val="none"/>
              </w:rPr>
            </w:pPr>
          </w:p>
          <w:p w14:paraId="1372DD56">
            <w:pPr>
              <w:spacing w:line="251" w:lineRule="auto"/>
              <w:rPr>
                <w:rFonts w:ascii="Arial"/>
                <w:sz w:val="21"/>
                <w:highlight w:val="none"/>
              </w:rPr>
            </w:pPr>
          </w:p>
          <w:p w14:paraId="5FCDC9E1">
            <w:pPr>
              <w:spacing w:line="251" w:lineRule="auto"/>
              <w:rPr>
                <w:rFonts w:ascii="Arial"/>
                <w:sz w:val="21"/>
                <w:highlight w:val="none"/>
              </w:rPr>
            </w:pPr>
          </w:p>
          <w:p w14:paraId="19C4A4C0">
            <w:pPr>
              <w:spacing w:line="251" w:lineRule="auto"/>
              <w:rPr>
                <w:rFonts w:ascii="Arial"/>
                <w:sz w:val="21"/>
                <w:highlight w:val="none"/>
              </w:rPr>
            </w:pPr>
          </w:p>
          <w:p w14:paraId="7D0EB9F2">
            <w:pPr>
              <w:spacing w:line="251" w:lineRule="auto"/>
              <w:rPr>
                <w:rFonts w:ascii="Arial"/>
                <w:sz w:val="21"/>
                <w:highlight w:val="none"/>
              </w:rPr>
            </w:pPr>
          </w:p>
          <w:p w14:paraId="0D681BCB">
            <w:pPr>
              <w:spacing w:line="252" w:lineRule="auto"/>
              <w:rPr>
                <w:rFonts w:ascii="Arial"/>
                <w:sz w:val="21"/>
                <w:highlight w:val="none"/>
              </w:rPr>
            </w:pPr>
          </w:p>
          <w:p w14:paraId="18B0FB9F">
            <w:pPr>
              <w:spacing w:line="252" w:lineRule="auto"/>
              <w:rPr>
                <w:rFonts w:ascii="Arial"/>
                <w:sz w:val="21"/>
                <w:highlight w:val="none"/>
              </w:rPr>
            </w:pPr>
          </w:p>
          <w:p w14:paraId="35A1D6C6">
            <w:pPr>
              <w:spacing w:line="252" w:lineRule="auto"/>
              <w:rPr>
                <w:rFonts w:ascii="Arial"/>
                <w:sz w:val="21"/>
                <w:highlight w:val="none"/>
              </w:rPr>
            </w:pPr>
          </w:p>
          <w:p w14:paraId="3A72E0A1">
            <w:pPr>
              <w:spacing w:line="252" w:lineRule="auto"/>
              <w:rPr>
                <w:rFonts w:ascii="Arial"/>
                <w:sz w:val="21"/>
                <w:highlight w:val="none"/>
              </w:rPr>
            </w:pPr>
          </w:p>
          <w:p w14:paraId="19D6D7D2">
            <w:pPr>
              <w:spacing w:line="252" w:lineRule="auto"/>
              <w:rPr>
                <w:rFonts w:ascii="Arial"/>
                <w:sz w:val="21"/>
                <w:highlight w:val="none"/>
              </w:rPr>
            </w:pPr>
          </w:p>
          <w:p w14:paraId="7B5A606C">
            <w:pPr>
              <w:spacing w:line="252" w:lineRule="auto"/>
              <w:rPr>
                <w:rFonts w:ascii="Arial"/>
                <w:sz w:val="21"/>
                <w:highlight w:val="none"/>
              </w:rPr>
            </w:pPr>
          </w:p>
          <w:p w14:paraId="5EEFB6C1">
            <w:pPr>
              <w:spacing w:line="252" w:lineRule="auto"/>
              <w:rPr>
                <w:rFonts w:ascii="Arial"/>
                <w:sz w:val="21"/>
                <w:highlight w:val="none"/>
              </w:rPr>
            </w:pPr>
          </w:p>
          <w:p w14:paraId="13BAA590">
            <w:pPr>
              <w:spacing w:line="252" w:lineRule="auto"/>
              <w:rPr>
                <w:rFonts w:ascii="Arial"/>
                <w:sz w:val="21"/>
                <w:highlight w:val="none"/>
              </w:rPr>
            </w:pPr>
          </w:p>
          <w:p w14:paraId="1DC6754E">
            <w:pPr>
              <w:pStyle w:val="6"/>
              <w:spacing w:before="68" w:line="239" w:lineRule="auto"/>
              <w:ind w:left="295"/>
              <w:rPr>
                <w:highlight w:val="none"/>
              </w:rPr>
            </w:pPr>
            <w:r>
              <w:rPr>
                <w:spacing w:val="-2"/>
                <w:highlight w:val="none"/>
              </w:rPr>
              <w:t>3.4.1</w:t>
            </w:r>
          </w:p>
        </w:tc>
        <w:tc>
          <w:tcPr>
            <w:tcW w:w="2637" w:type="dxa"/>
            <w:vAlign w:val="top"/>
          </w:tcPr>
          <w:p w14:paraId="6EE2082D">
            <w:pPr>
              <w:spacing w:line="250" w:lineRule="auto"/>
              <w:rPr>
                <w:rFonts w:ascii="Arial"/>
                <w:sz w:val="21"/>
                <w:highlight w:val="none"/>
              </w:rPr>
            </w:pPr>
          </w:p>
          <w:p w14:paraId="2261609C">
            <w:pPr>
              <w:spacing w:line="250" w:lineRule="auto"/>
              <w:rPr>
                <w:rFonts w:ascii="Arial"/>
                <w:sz w:val="21"/>
                <w:highlight w:val="none"/>
              </w:rPr>
            </w:pPr>
          </w:p>
          <w:p w14:paraId="4EEF5955">
            <w:pPr>
              <w:spacing w:line="250" w:lineRule="auto"/>
              <w:rPr>
                <w:rFonts w:ascii="Arial"/>
                <w:sz w:val="21"/>
                <w:highlight w:val="none"/>
              </w:rPr>
            </w:pPr>
          </w:p>
          <w:p w14:paraId="58137469">
            <w:pPr>
              <w:spacing w:line="250" w:lineRule="auto"/>
              <w:rPr>
                <w:rFonts w:ascii="Arial"/>
                <w:sz w:val="21"/>
                <w:highlight w:val="none"/>
              </w:rPr>
            </w:pPr>
          </w:p>
          <w:p w14:paraId="1B1C384E">
            <w:pPr>
              <w:spacing w:line="250" w:lineRule="auto"/>
              <w:rPr>
                <w:rFonts w:ascii="Arial"/>
                <w:sz w:val="21"/>
                <w:highlight w:val="none"/>
              </w:rPr>
            </w:pPr>
          </w:p>
          <w:p w14:paraId="662DCE01">
            <w:pPr>
              <w:spacing w:line="250" w:lineRule="auto"/>
              <w:rPr>
                <w:rFonts w:ascii="Arial"/>
                <w:sz w:val="21"/>
                <w:highlight w:val="none"/>
              </w:rPr>
            </w:pPr>
          </w:p>
          <w:p w14:paraId="0216E8C7">
            <w:pPr>
              <w:spacing w:line="250" w:lineRule="auto"/>
              <w:rPr>
                <w:rFonts w:ascii="Arial"/>
                <w:sz w:val="21"/>
                <w:highlight w:val="none"/>
              </w:rPr>
            </w:pPr>
          </w:p>
          <w:p w14:paraId="060F9498">
            <w:pPr>
              <w:spacing w:line="250" w:lineRule="auto"/>
              <w:rPr>
                <w:rFonts w:ascii="Arial"/>
                <w:sz w:val="21"/>
                <w:highlight w:val="none"/>
              </w:rPr>
            </w:pPr>
          </w:p>
          <w:p w14:paraId="0F08F28E">
            <w:pPr>
              <w:spacing w:line="250" w:lineRule="auto"/>
              <w:rPr>
                <w:rFonts w:ascii="Arial"/>
                <w:sz w:val="21"/>
                <w:highlight w:val="none"/>
              </w:rPr>
            </w:pPr>
          </w:p>
          <w:p w14:paraId="29A95BA4">
            <w:pPr>
              <w:spacing w:line="250" w:lineRule="auto"/>
              <w:rPr>
                <w:rFonts w:ascii="Arial"/>
                <w:sz w:val="21"/>
                <w:highlight w:val="none"/>
              </w:rPr>
            </w:pPr>
          </w:p>
          <w:p w14:paraId="373DBD79">
            <w:pPr>
              <w:spacing w:line="250" w:lineRule="auto"/>
              <w:rPr>
                <w:rFonts w:ascii="Arial"/>
                <w:sz w:val="21"/>
                <w:highlight w:val="none"/>
              </w:rPr>
            </w:pPr>
          </w:p>
          <w:p w14:paraId="2A7C31EE">
            <w:pPr>
              <w:spacing w:line="250" w:lineRule="auto"/>
              <w:rPr>
                <w:rFonts w:ascii="Arial"/>
                <w:sz w:val="21"/>
                <w:highlight w:val="none"/>
              </w:rPr>
            </w:pPr>
          </w:p>
          <w:p w14:paraId="4B4B2933">
            <w:pPr>
              <w:spacing w:line="251" w:lineRule="auto"/>
              <w:rPr>
                <w:rFonts w:ascii="Arial"/>
                <w:sz w:val="21"/>
                <w:highlight w:val="none"/>
              </w:rPr>
            </w:pPr>
          </w:p>
          <w:p w14:paraId="3B23C106">
            <w:pPr>
              <w:spacing w:line="251" w:lineRule="auto"/>
              <w:rPr>
                <w:rFonts w:ascii="Arial"/>
                <w:sz w:val="21"/>
                <w:highlight w:val="none"/>
              </w:rPr>
            </w:pPr>
          </w:p>
          <w:p w14:paraId="5543231E">
            <w:pPr>
              <w:spacing w:line="251" w:lineRule="auto"/>
              <w:rPr>
                <w:rFonts w:ascii="Arial"/>
                <w:sz w:val="21"/>
                <w:highlight w:val="none"/>
              </w:rPr>
            </w:pPr>
          </w:p>
          <w:p w14:paraId="7301F8A3">
            <w:pPr>
              <w:spacing w:line="251" w:lineRule="auto"/>
              <w:rPr>
                <w:rFonts w:ascii="Arial"/>
                <w:sz w:val="21"/>
                <w:highlight w:val="none"/>
              </w:rPr>
            </w:pPr>
          </w:p>
          <w:p w14:paraId="50886F48">
            <w:pPr>
              <w:spacing w:line="251" w:lineRule="auto"/>
              <w:rPr>
                <w:rFonts w:ascii="Arial"/>
                <w:sz w:val="21"/>
                <w:highlight w:val="none"/>
              </w:rPr>
            </w:pPr>
          </w:p>
          <w:p w14:paraId="011EBB6D">
            <w:pPr>
              <w:spacing w:line="251" w:lineRule="auto"/>
              <w:rPr>
                <w:rFonts w:ascii="Arial"/>
                <w:sz w:val="21"/>
                <w:highlight w:val="none"/>
              </w:rPr>
            </w:pPr>
          </w:p>
          <w:p w14:paraId="3DEEA88B">
            <w:pPr>
              <w:spacing w:line="251" w:lineRule="auto"/>
              <w:rPr>
                <w:rFonts w:ascii="Arial"/>
                <w:sz w:val="21"/>
                <w:highlight w:val="none"/>
              </w:rPr>
            </w:pPr>
          </w:p>
          <w:p w14:paraId="2F7C31CE">
            <w:pPr>
              <w:spacing w:line="251" w:lineRule="auto"/>
              <w:rPr>
                <w:rFonts w:ascii="Arial"/>
                <w:sz w:val="21"/>
                <w:highlight w:val="none"/>
              </w:rPr>
            </w:pPr>
          </w:p>
          <w:p w14:paraId="3D812264">
            <w:pPr>
              <w:spacing w:line="251" w:lineRule="auto"/>
              <w:rPr>
                <w:rFonts w:ascii="Arial"/>
                <w:sz w:val="21"/>
                <w:highlight w:val="none"/>
              </w:rPr>
            </w:pPr>
          </w:p>
          <w:p w14:paraId="7FCF7679">
            <w:pPr>
              <w:pStyle w:val="6"/>
              <w:spacing w:before="68" w:line="220" w:lineRule="auto"/>
              <w:ind w:left="781"/>
              <w:rPr>
                <w:highlight w:val="none"/>
              </w:rPr>
            </w:pPr>
            <w:r>
              <w:rPr>
                <w:spacing w:val="-2"/>
                <w:highlight w:val="none"/>
              </w:rPr>
              <w:t>投标保证金</w:t>
            </w:r>
          </w:p>
        </w:tc>
        <w:tc>
          <w:tcPr>
            <w:tcW w:w="5219" w:type="dxa"/>
            <w:vAlign w:val="top"/>
          </w:tcPr>
          <w:p w14:paraId="1AA197CD">
            <w:pPr>
              <w:pStyle w:val="6"/>
              <w:spacing w:before="130" w:line="220" w:lineRule="auto"/>
              <w:ind w:left="94"/>
              <w:rPr>
                <w:highlight w:val="none"/>
              </w:rPr>
            </w:pPr>
            <w:r>
              <w:rPr>
                <w:rFonts w:ascii="MS Gothic" w:hAnsi="MS Gothic" w:eastAsia="MS Gothic" w:cs="MS Gothic"/>
                <w:color w:val="0000FF"/>
                <w:spacing w:val="2"/>
                <w:highlight w:val="none"/>
              </w:rPr>
              <w:t>☑</w:t>
            </w:r>
            <w:r>
              <w:rPr>
                <w:spacing w:val="2"/>
                <w:highlight w:val="none"/>
              </w:rPr>
              <w:t>不提交</w:t>
            </w:r>
          </w:p>
          <w:p w14:paraId="7D146BD3">
            <w:pPr>
              <w:pStyle w:val="6"/>
              <w:spacing w:before="149" w:line="220" w:lineRule="auto"/>
              <w:ind w:left="104"/>
              <w:rPr>
                <w:highlight w:val="none"/>
              </w:rPr>
            </w:pPr>
            <w:r>
              <w:rPr>
                <w:color w:val="0000FF"/>
                <w:spacing w:val="-2"/>
                <w:highlight w:val="none"/>
              </w:rPr>
              <w:t>□</w:t>
            </w:r>
            <w:r>
              <w:rPr>
                <w:spacing w:val="-2"/>
                <w:highlight w:val="none"/>
              </w:rPr>
              <w:t>提交，</w:t>
            </w:r>
          </w:p>
          <w:p w14:paraId="547F5A51">
            <w:pPr>
              <w:pStyle w:val="6"/>
              <w:spacing w:before="147" w:line="219" w:lineRule="auto"/>
              <w:ind w:left="104"/>
              <w:rPr>
                <w:highlight w:val="none"/>
              </w:rPr>
            </w:pPr>
            <w:r>
              <w:rPr>
                <w:highlight w:val="none"/>
              </w:rPr>
              <w:t>1.递交截止时间(到账时间):同本标段投标截止时</w:t>
            </w:r>
            <w:r>
              <w:rPr>
                <w:spacing w:val="-1"/>
                <w:highlight w:val="none"/>
              </w:rPr>
              <w:t>间。</w:t>
            </w:r>
          </w:p>
          <w:p w14:paraId="6E494C75">
            <w:pPr>
              <w:pStyle w:val="6"/>
              <w:spacing w:before="152" w:line="219" w:lineRule="auto"/>
              <w:ind w:left="104"/>
              <w:rPr>
                <w:highlight w:val="none"/>
              </w:rPr>
            </w:pPr>
            <w:r>
              <w:rPr>
                <w:spacing w:val="-11"/>
                <w:highlight w:val="none"/>
              </w:rPr>
              <w:t>2.金额：</w:t>
            </w:r>
            <w:r>
              <w:rPr>
                <w:color w:val="0000FF"/>
                <w:spacing w:val="-11"/>
                <w:highlight w:val="none"/>
              </w:rPr>
              <w:t>0</w:t>
            </w:r>
            <w:r>
              <w:rPr>
                <w:spacing w:val="-11"/>
                <w:highlight w:val="none"/>
              </w:rPr>
              <w:t>元</w:t>
            </w:r>
            <w:r>
              <w:rPr>
                <w:spacing w:val="12"/>
                <w:highlight w:val="none"/>
              </w:rPr>
              <w:t xml:space="preserve"> </w:t>
            </w:r>
            <w:r>
              <w:rPr>
                <w:spacing w:val="-11"/>
                <w:highlight w:val="none"/>
              </w:rPr>
              <w:t>。</w:t>
            </w:r>
          </w:p>
          <w:p w14:paraId="02C8731D">
            <w:pPr>
              <w:pStyle w:val="6"/>
              <w:spacing w:before="120" w:line="260" w:lineRule="auto"/>
              <w:ind w:left="123" w:right="55" w:hanging="19"/>
              <w:rPr>
                <w:highlight w:val="none"/>
              </w:rPr>
            </w:pPr>
            <w:r>
              <w:rPr>
                <w:highlight w:val="none"/>
              </w:rPr>
              <w:t>3.形式：投标人应当采用现金、电子银行保函、电子担</w:t>
            </w:r>
            <w:r>
              <w:rPr>
                <w:spacing w:val="8"/>
                <w:highlight w:val="none"/>
              </w:rPr>
              <w:t xml:space="preserve"> </w:t>
            </w:r>
            <w:r>
              <w:rPr>
                <w:spacing w:val="-1"/>
                <w:highlight w:val="none"/>
              </w:rPr>
              <w:t>保保函、电子保险保单中的一种形式递交投标担保。</w:t>
            </w:r>
          </w:p>
          <w:p w14:paraId="65C2BEEF">
            <w:pPr>
              <w:pStyle w:val="6"/>
              <w:spacing w:before="90" w:line="221" w:lineRule="auto"/>
              <w:ind w:left="104"/>
              <w:rPr>
                <w:highlight w:val="none"/>
              </w:rPr>
            </w:pPr>
            <w:r>
              <w:rPr>
                <w:spacing w:val="-1"/>
                <w:highlight w:val="none"/>
              </w:rPr>
              <w:t>4.递交方式及要求：</w:t>
            </w:r>
          </w:p>
          <w:p w14:paraId="6FBAE340">
            <w:pPr>
              <w:pStyle w:val="6"/>
              <w:spacing w:before="53" w:line="219" w:lineRule="auto"/>
              <w:ind w:left="406"/>
              <w:rPr>
                <w:highlight w:val="none"/>
              </w:rPr>
            </w:pPr>
            <w:r>
              <w:rPr>
                <w:b/>
                <w:bCs/>
                <w:spacing w:val="-3"/>
                <w:highlight w:val="none"/>
              </w:rPr>
              <w:t>(1)采用现金方式</w:t>
            </w:r>
          </w:p>
          <w:p w14:paraId="35A34DDD">
            <w:pPr>
              <w:pStyle w:val="6"/>
              <w:spacing w:before="54" w:line="256" w:lineRule="auto"/>
              <w:ind w:left="104" w:right="134" w:firstLine="550"/>
              <w:rPr>
                <w:highlight w:val="none"/>
              </w:rPr>
            </w:pPr>
            <w:r>
              <w:rPr>
                <w:highlight w:val="none"/>
              </w:rPr>
              <w:t>1)必须从投标人的基本账户汇至招标人指定的账</w:t>
            </w:r>
            <w:r>
              <w:rPr>
                <w:spacing w:val="9"/>
                <w:highlight w:val="none"/>
              </w:rPr>
              <w:t xml:space="preserve"> </w:t>
            </w:r>
            <w:r>
              <w:rPr>
                <w:spacing w:val="-1"/>
                <w:highlight w:val="none"/>
              </w:rPr>
              <w:t>户及账号。</w:t>
            </w:r>
          </w:p>
          <w:p w14:paraId="3FE0B768">
            <w:pPr>
              <w:pStyle w:val="6"/>
              <w:spacing w:before="60" w:line="220" w:lineRule="auto"/>
              <w:ind w:left="763"/>
              <w:rPr>
                <w:highlight w:val="none"/>
              </w:rPr>
            </w:pPr>
            <w:r>
              <w:rPr>
                <w:spacing w:val="5"/>
                <w:highlight w:val="none"/>
              </w:rPr>
              <w:t>保证金账号：;</w:t>
            </w:r>
          </w:p>
          <w:p w14:paraId="6950D8D5">
            <w:pPr>
              <w:pStyle w:val="6"/>
              <w:spacing w:before="80" w:line="220" w:lineRule="auto"/>
              <w:ind w:left="763"/>
              <w:rPr>
                <w:highlight w:val="none"/>
              </w:rPr>
            </w:pPr>
            <w:r>
              <w:rPr>
                <w:spacing w:val="6"/>
                <w:highlight w:val="none"/>
              </w:rPr>
              <w:t>账户名称：;</w:t>
            </w:r>
          </w:p>
          <w:p w14:paraId="6D182F71">
            <w:pPr>
              <w:pStyle w:val="6"/>
              <w:spacing w:before="69" w:line="220" w:lineRule="auto"/>
              <w:ind w:left="763"/>
              <w:rPr>
                <w:highlight w:val="none"/>
              </w:rPr>
            </w:pPr>
            <w:r>
              <w:rPr>
                <w:spacing w:val="6"/>
                <w:highlight w:val="none"/>
              </w:rPr>
              <w:t>开户银行：;</w:t>
            </w:r>
          </w:p>
          <w:p w14:paraId="27361D07">
            <w:pPr>
              <w:pStyle w:val="6"/>
              <w:spacing w:before="70" w:line="220" w:lineRule="auto"/>
              <w:ind w:left="763"/>
              <w:rPr>
                <w:highlight w:val="none"/>
              </w:rPr>
            </w:pPr>
            <w:r>
              <w:rPr>
                <w:spacing w:val="-1"/>
                <w:highlight w:val="none"/>
              </w:rPr>
              <w:t>其他要求：。</w:t>
            </w:r>
          </w:p>
          <w:p w14:paraId="1CCDA7F6">
            <w:pPr>
              <w:pStyle w:val="6"/>
              <w:spacing w:before="60" w:line="270" w:lineRule="auto"/>
              <w:ind w:left="114" w:right="52" w:firstLine="499"/>
              <w:rPr>
                <w:highlight w:val="none"/>
              </w:rPr>
            </w:pPr>
            <w:r>
              <w:rPr>
                <w:highlight w:val="none"/>
              </w:rPr>
              <w:t>2)基本账户信息将以投标人办理交易主体注册登</w:t>
            </w:r>
            <w:r>
              <w:rPr>
                <w:spacing w:val="4"/>
                <w:highlight w:val="none"/>
              </w:rPr>
              <w:t xml:space="preserve">  </w:t>
            </w:r>
            <w:r>
              <w:rPr>
                <w:highlight w:val="none"/>
              </w:rPr>
              <w:t>记所填基本账户信息为准，若投标人汇款账户与注册登</w:t>
            </w:r>
            <w:r>
              <w:rPr>
                <w:spacing w:val="1"/>
                <w:highlight w:val="none"/>
              </w:rPr>
              <w:t xml:space="preserve"> </w:t>
            </w:r>
            <w:r>
              <w:rPr>
                <w:highlight w:val="none"/>
              </w:rPr>
              <w:t>记时的基本账户信息不相符，由此造成投标保证金比对</w:t>
            </w:r>
            <w:r>
              <w:rPr>
                <w:spacing w:val="1"/>
                <w:highlight w:val="none"/>
              </w:rPr>
              <w:t xml:space="preserve"> </w:t>
            </w:r>
            <w:r>
              <w:rPr>
                <w:spacing w:val="-1"/>
                <w:highlight w:val="none"/>
              </w:rPr>
              <w:t>失败的责任由投标人自行承担。</w:t>
            </w:r>
          </w:p>
          <w:p w14:paraId="68232C40">
            <w:pPr>
              <w:pStyle w:val="6"/>
              <w:spacing w:before="61" w:line="220" w:lineRule="auto"/>
              <w:ind w:left="624"/>
              <w:rPr>
                <w:highlight w:val="none"/>
              </w:rPr>
            </w:pPr>
            <w:r>
              <w:rPr>
                <w:spacing w:val="-1"/>
                <w:highlight w:val="none"/>
              </w:rPr>
              <w:t>3)投标保证金到账查询方法及其他要求：</w:t>
            </w:r>
          </w:p>
          <w:p w14:paraId="667D1180">
            <w:pPr>
              <w:pStyle w:val="6"/>
              <w:spacing w:before="190" w:line="178" w:lineRule="auto"/>
              <w:ind w:left="114"/>
              <w:rPr>
                <w:highlight w:val="none"/>
              </w:rPr>
            </w:pPr>
            <w:r>
              <w:rPr>
                <w:highlight w:val="none"/>
              </w:rPr>
              <w:t>o</w:t>
            </w:r>
          </w:p>
          <w:p w14:paraId="2AB4B016">
            <w:pPr>
              <w:pStyle w:val="6"/>
              <w:spacing w:before="2" w:line="270" w:lineRule="auto"/>
              <w:ind w:left="107" w:right="149" w:firstLine="439"/>
              <w:rPr>
                <w:highlight w:val="none"/>
              </w:rPr>
            </w:pPr>
            <w:r>
              <w:rPr>
                <w:b/>
                <w:bCs/>
                <w:spacing w:val="-3"/>
                <w:highlight w:val="none"/>
              </w:rPr>
              <w:t>(2)采用电子银行保函、电子担保保函、电子保险</w:t>
            </w:r>
            <w:r>
              <w:rPr>
                <w:spacing w:val="15"/>
                <w:highlight w:val="none"/>
              </w:rPr>
              <w:t xml:space="preserve"> </w:t>
            </w:r>
            <w:r>
              <w:rPr>
                <w:b/>
                <w:bCs/>
                <w:highlight w:val="none"/>
              </w:rPr>
              <w:t>保单方式(以下简称保函、保单)</w:t>
            </w:r>
          </w:p>
          <w:p w14:paraId="640755EE">
            <w:pPr>
              <w:pStyle w:val="6"/>
              <w:spacing w:before="22" w:line="254" w:lineRule="auto"/>
              <w:ind w:left="123" w:right="135" w:firstLine="530"/>
              <w:rPr>
                <w:highlight w:val="none"/>
              </w:rPr>
            </w:pPr>
            <w:r>
              <w:rPr>
                <w:highlight w:val="none"/>
              </w:rPr>
              <w:t>1)投标人须及时登录“电子交易平台”选择所投</w:t>
            </w:r>
            <w:r>
              <w:rPr>
                <w:spacing w:val="8"/>
                <w:highlight w:val="none"/>
              </w:rPr>
              <w:t xml:space="preserve"> </w:t>
            </w:r>
            <w:r>
              <w:rPr>
                <w:spacing w:val="-1"/>
                <w:highlight w:val="none"/>
              </w:rPr>
              <w:t>标段按系统引导的程序申请电子保函或保单。</w:t>
            </w:r>
          </w:p>
          <w:p w14:paraId="07430379">
            <w:pPr>
              <w:pStyle w:val="6"/>
              <w:spacing w:before="53" w:line="260" w:lineRule="auto"/>
              <w:ind w:left="123" w:right="32" w:firstLine="490"/>
              <w:rPr>
                <w:highlight w:val="none"/>
              </w:rPr>
            </w:pPr>
            <w:r>
              <w:rPr>
                <w:spacing w:val="-1"/>
                <w:highlight w:val="none"/>
              </w:rPr>
              <w:t>2)投标人可在“电子交易平台”查询保函或保单</w:t>
            </w:r>
            <w:r>
              <w:rPr>
                <w:spacing w:val="5"/>
                <w:highlight w:val="none"/>
              </w:rPr>
              <w:t xml:space="preserve">  </w:t>
            </w:r>
            <w:r>
              <w:rPr>
                <w:highlight w:val="none"/>
              </w:rPr>
              <w:t>是否申请成功，开具成功后可下载电子保函或保单。电</w:t>
            </w:r>
            <w:r>
              <w:rPr>
                <w:spacing w:val="11"/>
                <w:highlight w:val="none"/>
              </w:rPr>
              <w:t xml:space="preserve"> </w:t>
            </w:r>
            <w:r>
              <w:rPr>
                <w:spacing w:val="4"/>
                <w:highlight w:val="none"/>
              </w:rPr>
              <w:t>子保函或保单应载明：保函或保单受益人(招标人)、</w:t>
            </w:r>
          </w:p>
          <w:p w14:paraId="1302CA38">
            <w:pPr>
              <w:pStyle w:val="6"/>
              <w:spacing w:before="70" w:line="266" w:lineRule="auto"/>
              <w:ind w:left="114" w:right="31" w:hanging="10"/>
              <w:rPr>
                <w:highlight w:val="none"/>
              </w:rPr>
            </w:pPr>
            <w:r>
              <w:rPr>
                <w:spacing w:val="-1"/>
                <w:highlight w:val="none"/>
              </w:rPr>
              <w:t>标段名称、标段编号、担保内容、担保金额、保函或保</w:t>
            </w:r>
            <w:r>
              <w:rPr>
                <w:spacing w:val="13"/>
                <w:highlight w:val="none"/>
              </w:rPr>
              <w:t xml:space="preserve"> </w:t>
            </w:r>
            <w:r>
              <w:rPr>
                <w:spacing w:val="1"/>
                <w:highlight w:val="none"/>
              </w:rPr>
              <w:t>单有效期等信息，检查其内容符合招标文件的相关</w:t>
            </w:r>
            <w:r>
              <w:rPr>
                <w:highlight w:val="none"/>
              </w:rPr>
              <w:t xml:space="preserve">约定 </w:t>
            </w:r>
            <w:r>
              <w:rPr>
                <w:spacing w:val="-1"/>
                <w:highlight w:val="none"/>
              </w:rPr>
              <w:t>后，上传至投标文件的“投标保证金”栏目中。</w:t>
            </w:r>
          </w:p>
          <w:p w14:paraId="4FD5D369">
            <w:pPr>
              <w:pStyle w:val="6"/>
              <w:spacing w:before="53" w:line="219" w:lineRule="auto"/>
              <w:ind w:left="114"/>
              <w:rPr>
                <w:highlight w:val="none"/>
              </w:rPr>
            </w:pPr>
            <w:r>
              <w:rPr>
                <w:highlight w:val="none"/>
              </w:rPr>
              <w:t>3)开标后，电子交易平台将自动比对投标截止时间前</w:t>
            </w:r>
          </w:p>
          <w:p w14:paraId="45AF646B">
            <w:pPr>
              <w:pStyle w:val="6"/>
              <w:spacing w:before="79" w:line="239" w:lineRule="auto"/>
              <w:ind w:left="104" w:right="45" w:firstLine="10"/>
              <w:rPr>
                <w:highlight w:val="none"/>
              </w:rPr>
            </w:pPr>
            <w:r>
              <w:rPr>
                <w:highlight w:val="none"/>
              </w:rPr>
              <w:t>收到的电子保函或保单情况；评标时评标委员会可以直</w:t>
            </w:r>
            <w:r>
              <w:rPr>
                <w:spacing w:val="8"/>
                <w:highlight w:val="none"/>
              </w:rPr>
              <w:t xml:space="preserve"> </w:t>
            </w:r>
            <w:r>
              <w:rPr>
                <w:spacing w:val="-1"/>
                <w:highlight w:val="none"/>
              </w:rPr>
              <w:t>接在投标文件中查验电子保函或保单。</w:t>
            </w:r>
          </w:p>
        </w:tc>
      </w:tr>
      <w:tr w14:paraId="7F88D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4" w:hRule="atLeast"/>
        </w:trPr>
        <w:tc>
          <w:tcPr>
            <w:tcW w:w="1144" w:type="dxa"/>
            <w:vAlign w:val="top"/>
          </w:tcPr>
          <w:p w14:paraId="24261199">
            <w:pPr>
              <w:spacing w:line="447" w:lineRule="auto"/>
              <w:rPr>
                <w:rFonts w:ascii="Arial"/>
                <w:sz w:val="21"/>
                <w:highlight w:val="none"/>
              </w:rPr>
            </w:pPr>
          </w:p>
          <w:p w14:paraId="1A4C5A8F">
            <w:pPr>
              <w:pStyle w:val="6"/>
              <w:spacing w:before="68" w:line="239" w:lineRule="auto"/>
              <w:ind w:left="295"/>
              <w:rPr>
                <w:highlight w:val="none"/>
              </w:rPr>
            </w:pPr>
            <w:r>
              <w:rPr>
                <w:spacing w:val="-2"/>
                <w:highlight w:val="none"/>
              </w:rPr>
              <w:t>3.4.3</w:t>
            </w:r>
          </w:p>
        </w:tc>
        <w:tc>
          <w:tcPr>
            <w:tcW w:w="2637" w:type="dxa"/>
            <w:vAlign w:val="top"/>
          </w:tcPr>
          <w:p w14:paraId="09FB6765">
            <w:pPr>
              <w:spacing w:line="427" w:lineRule="auto"/>
              <w:rPr>
                <w:rFonts w:ascii="Arial"/>
                <w:sz w:val="21"/>
                <w:highlight w:val="none"/>
              </w:rPr>
            </w:pPr>
          </w:p>
          <w:p w14:paraId="0A71C43E">
            <w:pPr>
              <w:pStyle w:val="6"/>
              <w:spacing w:before="68" w:line="220" w:lineRule="auto"/>
              <w:ind w:left="261"/>
              <w:rPr>
                <w:highlight w:val="none"/>
              </w:rPr>
            </w:pPr>
            <w:r>
              <w:rPr>
                <w:spacing w:val="1"/>
                <w:highlight w:val="none"/>
              </w:rPr>
              <w:t>退还投标保证金及利息</w:t>
            </w:r>
          </w:p>
        </w:tc>
        <w:tc>
          <w:tcPr>
            <w:tcW w:w="5219" w:type="dxa"/>
            <w:vAlign w:val="top"/>
          </w:tcPr>
          <w:p w14:paraId="671B7AF5">
            <w:pPr>
              <w:pStyle w:val="6"/>
              <w:spacing w:before="146" w:line="219" w:lineRule="auto"/>
              <w:ind w:left="104"/>
              <w:rPr>
                <w:highlight w:val="none"/>
              </w:rPr>
            </w:pPr>
            <w:r>
              <w:rPr>
                <w:spacing w:val="1"/>
                <w:highlight w:val="none"/>
              </w:rPr>
              <w:t>1.采用现金方式</w:t>
            </w:r>
          </w:p>
          <w:p w14:paraId="06091662">
            <w:pPr>
              <w:pStyle w:val="6"/>
              <w:spacing w:before="172" w:line="219" w:lineRule="auto"/>
              <w:ind w:left="114"/>
              <w:rPr>
                <w:highlight w:val="none"/>
              </w:rPr>
            </w:pPr>
            <w:r>
              <w:rPr>
                <w:spacing w:val="-1"/>
                <w:highlight w:val="none"/>
              </w:rPr>
              <w:t>计息标准：</w:t>
            </w:r>
            <w:r>
              <w:rPr>
                <w:color w:val="0000FF"/>
                <w:spacing w:val="-1"/>
                <w:highlight w:val="none"/>
              </w:rPr>
              <w:t>人民银行同期活期存款利率</w:t>
            </w:r>
          </w:p>
          <w:p w14:paraId="63DBACE9">
            <w:pPr>
              <w:pStyle w:val="6"/>
              <w:spacing w:before="151" w:line="181" w:lineRule="auto"/>
              <w:ind w:left="114"/>
              <w:rPr>
                <w:highlight w:val="none"/>
              </w:rPr>
            </w:pPr>
            <w:r>
              <w:rPr>
                <w:spacing w:val="1"/>
                <w:highlight w:val="none"/>
              </w:rPr>
              <w:t>计息时间：</w:t>
            </w:r>
            <w:r>
              <w:rPr>
                <w:color w:val="0000FF"/>
                <w:spacing w:val="1"/>
                <w:highlight w:val="none"/>
              </w:rPr>
              <w:t>投标保证金到账之日至退还的前一日</w:t>
            </w:r>
          </w:p>
        </w:tc>
      </w:tr>
    </w:tbl>
    <w:p w14:paraId="352A78E9">
      <w:pPr>
        <w:pStyle w:val="2"/>
        <w:rPr>
          <w:highlight w:val="none"/>
        </w:rPr>
      </w:pPr>
    </w:p>
    <w:p w14:paraId="77A4BD03">
      <w:pPr>
        <w:rPr>
          <w:highlight w:val="none"/>
        </w:rPr>
        <w:sectPr>
          <w:footerReference r:id="rId20" w:type="default"/>
          <w:pgSz w:w="11910" w:h="16840"/>
          <w:pgMar w:top="400" w:right="1264" w:bottom="1169" w:left="1635" w:header="0" w:footer="1028" w:gutter="0"/>
          <w:cols w:space="720" w:num="1"/>
        </w:sectPr>
      </w:pPr>
    </w:p>
    <w:p w14:paraId="011AB0EC">
      <w:pPr>
        <w:spacing w:before="18"/>
        <w:rPr>
          <w:highlight w:val="none"/>
        </w:rPr>
      </w:pPr>
    </w:p>
    <w:p w14:paraId="4DB2D015">
      <w:pPr>
        <w:spacing w:before="17"/>
        <w:rPr>
          <w:highlight w:val="none"/>
        </w:rPr>
      </w:pPr>
    </w:p>
    <w:p w14:paraId="1E944853">
      <w:pPr>
        <w:spacing w:before="17"/>
        <w:rPr>
          <w:highlight w:val="none"/>
        </w:rPr>
      </w:pPr>
    </w:p>
    <w:p w14:paraId="3D56A72A">
      <w:pPr>
        <w:spacing w:before="17"/>
        <w:rPr>
          <w:highlight w:val="none"/>
        </w:rPr>
      </w:pPr>
    </w:p>
    <w:tbl>
      <w:tblPr>
        <w:tblStyle w:val="5"/>
        <w:tblW w:w="90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4"/>
        <w:gridCol w:w="2617"/>
        <w:gridCol w:w="5239"/>
      </w:tblGrid>
      <w:tr w14:paraId="0948A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1144" w:type="dxa"/>
            <w:vAlign w:val="top"/>
          </w:tcPr>
          <w:p w14:paraId="31EF2A8E">
            <w:pPr>
              <w:rPr>
                <w:rFonts w:ascii="Arial"/>
                <w:sz w:val="21"/>
                <w:highlight w:val="none"/>
              </w:rPr>
            </w:pPr>
          </w:p>
        </w:tc>
        <w:tc>
          <w:tcPr>
            <w:tcW w:w="2617" w:type="dxa"/>
            <w:vAlign w:val="top"/>
          </w:tcPr>
          <w:p w14:paraId="3AF2E01C">
            <w:pPr>
              <w:rPr>
                <w:rFonts w:ascii="Arial"/>
                <w:sz w:val="21"/>
                <w:highlight w:val="none"/>
              </w:rPr>
            </w:pPr>
          </w:p>
        </w:tc>
        <w:tc>
          <w:tcPr>
            <w:tcW w:w="5239" w:type="dxa"/>
            <w:vAlign w:val="top"/>
          </w:tcPr>
          <w:p w14:paraId="57561D61">
            <w:pPr>
              <w:pStyle w:val="6"/>
              <w:spacing w:before="133" w:line="219" w:lineRule="auto"/>
              <w:ind w:left="193"/>
              <w:rPr>
                <w:highlight w:val="none"/>
              </w:rPr>
            </w:pPr>
            <w:r>
              <w:rPr>
                <w:spacing w:val="-1"/>
                <w:highlight w:val="none"/>
              </w:rPr>
              <w:t>退还办法：</w:t>
            </w:r>
          </w:p>
          <w:p w14:paraId="663CA790">
            <w:pPr>
              <w:pStyle w:val="6"/>
              <w:spacing w:before="60" w:line="255" w:lineRule="auto"/>
              <w:ind w:left="193" w:right="65" w:hanging="79"/>
              <w:rPr>
                <w:highlight w:val="none"/>
              </w:rPr>
            </w:pPr>
            <w:r>
              <w:rPr>
                <w:highlight w:val="none"/>
              </w:rPr>
              <w:t>2.采用电子保函或保单方式，不产生利息，电子保函或</w:t>
            </w:r>
            <w:r>
              <w:rPr>
                <w:spacing w:val="8"/>
                <w:highlight w:val="none"/>
              </w:rPr>
              <w:t xml:space="preserve"> </w:t>
            </w:r>
            <w:r>
              <w:rPr>
                <w:spacing w:val="-1"/>
                <w:highlight w:val="none"/>
              </w:rPr>
              <w:t>保单到期后自动失效。</w:t>
            </w:r>
          </w:p>
        </w:tc>
      </w:tr>
      <w:tr w14:paraId="36EFE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1144" w:type="dxa"/>
            <w:vAlign w:val="top"/>
          </w:tcPr>
          <w:p w14:paraId="092894C1">
            <w:pPr>
              <w:pStyle w:val="6"/>
              <w:spacing w:before="308" w:line="239" w:lineRule="auto"/>
              <w:ind w:left="298"/>
              <w:rPr>
                <w:highlight w:val="none"/>
              </w:rPr>
            </w:pPr>
            <w:r>
              <w:rPr>
                <w:b/>
                <w:bCs/>
                <w:spacing w:val="-5"/>
                <w:highlight w:val="none"/>
              </w:rPr>
              <w:t>3.5.2</w:t>
            </w:r>
          </w:p>
        </w:tc>
        <w:tc>
          <w:tcPr>
            <w:tcW w:w="2617" w:type="dxa"/>
            <w:vAlign w:val="top"/>
          </w:tcPr>
          <w:p w14:paraId="5E21F7CF">
            <w:pPr>
              <w:pStyle w:val="6"/>
              <w:spacing w:before="259" w:line="219" w:lineRule="auto"/>
              <w:ind w:left="670"/>
              <w:rPr>
                <w:highlight w:val="none"/>
              </w:rPr>
            </w:pPr>
            <w:r>
              <w:rPr>
                <w:spacing w:val="-2"/>
                <w:highlight w:val="none"/>
              </w:rPr>
              <w:t>近年财务状况</w:t>
            </w:r>
          </w:p>
        </w:tc>
        <w:tc>
          <w:tcPr>
            <w:tcW w:w="5239" w:type="dxa"/>
            <w:vAlign w:val="top"/>
          </w:tcPr>
          <w:p w14:paraId="41F27EA6">
            <w:pPr>
              <w:pStyle w:val="6"/>
              <w:spacing w:before="259" w:line="219" w:lineRule="auto"/>
              <w:ind w:left="88"/>
              <w:rPr>
                <w:highlight w:val="none"/>
              </w:rPr>
            </w:pPr>
            <w:r>
              <w:rPr>
                <w:spacing w:val="10"/>
                <w:highlight w:val="none"/>
              </w:rPr>
              <w:t>“近年”是指近</w:t>
            </w:r>
            <w:r>
              <w:rPr>
                <w:color w:val="0000FF"/>
                <w:spacing w:val="10"/>
                <w:highlight w:val="none"/>
              </w:rPr>
              <w:t>3</w:t>
            </w:r>
            <w:r>
              <w:rPr>
                <w:spacing w:val="10"/>
                <w:highlight w:val="none"/>
              </w:rPr>
              <w:t>年</w:t>
            </w:r>
          </w:p>
        </w:tc>
      </w:tr>
      <w:tr w14:paraId="78D8B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8" w:hRule="atLeast"/>
        </w:trPr>
        <w:tc>
          <w:tcPr>
            <w:tcW w:w="1144" w:type="dxa"/>
            <w:vAlign w:val="top"/>
          </w:tcPr>
          <w:p w14:paraId="27E867FB">
            <w:pPr>
              <w:spacing w:line="283" w:lineRule="auto"/>
              <w:rPr>
                <w:rFonts w:ascii="Arial"/>
                <w:sz w:val="21"/>
                <w:highlight w:val="none"/>
              </w:rPr>
            </w:pPr>
          </w:p>
          <w:p w14:paraId="0F8618F1">
            <w:pPr>
              <w:spacing w:line="283" w:lineRule="auto"/>
              <w:rPr>
                <w:rFonts w:ascii="Arial"/>
                <w:sz w:val="21"/>
                <w:highlight w:val="none"/>
              </w:rPr>
            </w:pPr>
          </w:p>
          <w:p w14:paraId="6F02B2F3">
            <w:pPr>
              <w:spacing w:line="283" w:lineRule="auto"/>
              <w:rPr>
                <w:rFonts w:ascii="Arial"/>
                <w:sz w:val="21"/>
                <w:highlight w:val="none"/>
              </w:rPr>
            </w:pPr>
          </w:p>
          <w:p w14:paraId="6C3AFF64">
            <w:pPr>
              <w:spacing w:line="283" w:lineRule="auto"/>
              <w:rPr>
                <w:rFonts w:ascii="Arial"/>
                <w:sz w:val="21"/>
                <w:highlight w:val="none"/>
              </w:rPr>
            </w:pPr>
          </w:p>
          <w:p w14:paraId="467DCE40">
            <w:pPr>
              <w:pStyle w:val="6"/>
              <w:spacing w:before="69" w:line="239" w:lineRule="auto"/>
              <w:ind w:left="298"/>
              <w:rPr>
                <w:highlight w:val="none"/>
              </w:rPr>
            </w:pPr>
            <w:r>
              <w:rPr>
                <w:b/>
                <w:bCs/>
                <w:spacing w:val="-5"/>
                <w:highlight w:val="none"/>
              </w:rPr>
              <w:t>3.5.3</w:t>
            </w:r>
          </w:p>
        </w:tc>
        <w:tc>
          <w:tcPr>
            <w:tcW w:w="2617" w:type="dxa"/>
            <w:vAlign w:val="top"/>
          </w:tcPr>
          <w:p w14:paraId="3F808C6D">
            <w:pPr>
              <w:spacing w:line="255" w:lineRule="auto"/>
              <w:rPr>
                <w:rFonts w:ascii="Arial"/>
                <w:sz w:val="21"/>
                <w:highlight w:val="none"/>
              </w:rPr>
            </w:pPr>
          </w:p>
          <w:p w14:paraId="76705238">
            <w:pPr>
              <w:spacing w:line="255" w:lineRule="auto"/>
              <w:rPr>
                <w:rFonts w:ascii="Arial"/>
                <w:sz w:val="21"/>
                <w:highlight w:val="none"/>
              </w:rPr>
            </w:pPr>
          </w:p>
          <w:p w14:paraId="0E94D7BB">
            <w:pPr>
              <w:spacing w:line="256" w:lineRule="auto"/>
              <w:rPr>
                <w:rFonts w:ascii="Arial"/>
                <w:sz w:val="21"/>
                <w:highlight w:val="none"/>
              </w:rPr>
            </w:pPr>
          </w:p>
          <w:p w14:paraId="7ED703E8">
            <w:pPr>
              <w:pStyle w:val="6"/>
              <w:spacing w:before="69" w:line="219" w:lineRule="auto"/>
              <w:ind w:left="350"/>
              <w:rPr>
                <w:highlight w:val="none"/>
              </w:rPr>
            </w:pPr>
            <w:r>
              <w:rPr>
                <w:spacing w:val="4"/>
                <w:highlight w:val="none"/>
              </w:rPr>
              <w:t>近年完成的类似项目</w:t>
            </w:r>
          </w:p>
          <w:p w14:paraId="2BA8F91C">
            <w:pPr>
              <w:pStyle w:val="6"/>
              <w:spacing w:before="210" w:line="219" w:lineRule="auto"/>
              <w:ind w:left="140"/>
              <w:rPr>
                <w:highlight w:val="none"/>
              </w:rPr>
            </w:pPr>
            <w:r>
              <w:rPr>
                <w:spacing w:val="3"/>
                <w:highlight w:val="none"/>
              </w:rPr>
              <w:t>近年完成的类似设计项目</w:t>
            </w:r>
          </w:p>
          <w:p w14:paraId="1CF7FA5F">
            <w:pPr>
              <w:pStyle w:val="6"/>
              <w:spacing w:before="121" w:line="219" w:lineRule="auto"/>
              <w:ind w:left="140"/>
              <w:rPr>
                <w:highlight w:val="none"/>
              </w:rPr>
            </w:pPr>
            <w:r>
              <w:rPr>
                <w:spacing w:val="3"/>
                <w:highlight w:val="none"/>
              </w:rPr>
              <w:t>近年完成的类似施工项目</w:t>
            </w:r>
          </w:p>
        </w:tc>
        <w:tc>
          <w:tcPr>
            <w:tcW w:w="5239" w:type="dxa"/>
            <w:vAlign w:val="top"/>
          </w:tcPr>
          <w:p w14:paraId="5D359062">
            <w:pPr>
              <w:pStyle w:val="6"/>
              <w:spacing w:before="209" w:line="219" w:lineRule="auto"/>
              <w:ind w:left="88"/>
              <w:rPr>
                <w:highlight w:val="none"/>
              </w:rPr>
            </w:pPr>
            <w:r>
              <w:rPr>
                <w:spacing w:val="10"/>
                <w:highlight w:val="none"/>
              </w:rPr>
              <w:t>“近年”是指近</w:t>
            </w:r>
            <w:r>
              <w:rPr>
                <w:color w:val="0000FF"/>
                <w:spacing w:val="10"/>
                <w:highlight w:val="none"/>
              </w:rPr>
              <w:t>5</w:t>
            </w:r>
            <w:r>
              <w:rPr>
                <w:spacing w:val="10"/>
                <w:highlight w:val="none"/>
              </w:rPr>
              <w:t>年</w:t>
            </w:r>
          </w:p>
          <w:p w14:paraId="7D3BCFA3">
            <w:pPr>
              <w:pStyle w:val="6"/>
              <w:spacing w:before="189" w:line="382" w:lineRule="auto"/>
              <w:ind w:left="88" w:right="839"/>
              <w:rPr>
                <w:highlight w:val="none"/>
              </w:rPr>
            </w:pPr>
            <w:r>
              <w:rPr>
                <w:spacing w:val="5"/>
                <w:highlight w:val="none"/>
              </w:rPr>
              <w:t>“类似项目”是指</w:t>
            </w:r>
            <w:r>
              <w:rPr>
                <w:color w:val="0000FF"/>
                <w:spacing w:val="5"/>
                <w:highlight w:val="none"/>
              </w:rPr>
              <w:t>详见招标公告或评标办法。</w:t>
            </w:r>
            <w:r>
              <w:rPr>
                <w:color w:val="0000FF"/>
                <w:highlight w:val="none"/>
              </w:rPr>
              <w:t xml:space="preserve"> </w:t>
            </w:r>
            <w:r>
              <w:rPr>
                <w:spacing w:val="11"/>
                <w:highlight w:val="none"/>
              </w:rPr>
              <w:t>“类似设计项目”是指</w:t>
            </w:r>
          </w:p>
          <w:p w14:paraId="624FCA7E">
            <w:pPr>
              <w:pStyle w:val="6"/>
              <w:spacing w:before="1" w:line="217" w:lineRule="auto"/>
              <w:ind w:left="193"/>
              <w:rPr>
                <w:highlight w:val="none"/>
              </w:rPr>
            </w:pPr>
            <w:r>
              <w:rPr>
                <w:color w:val="0000FF"/>
                <w:spacing w:val="-1"/>
                <w:highlight w:val="none"/>
              </w:rPr>
              <w:t>详见招标公告或评标办法。</w:t>
            </w:r>
          </w:p>
          <w:p w14:paraId="3FBE1E17">
            <w:pPr>
              <w:pStyle w:val="6"/>
              <w:spacing w:before="144" w:line="219" w:lineRule="auto"/>
              <w:ind w:left="88"/>
              <w:rPr>
                <w:highlight w:val="none"/>
              </w:rPr>
            </w:pPr>
            <w:r>
              <w:rPr>
                <w:spacing w:val="11"/>
                <w:highlight w:val="none"/>
              </w:rPr>
              <w:t>“类似施工项目”是指</w:t>
            </w:r>
          </w:p>
          <w:p w14:paraId="1D61D50C">
            <w:pPr>
              <w:pStyle w:val="6"/>
              <w:spacing w:before="179" w:line="211" w:lineRule="auto"/>
              <w:ind w:left="193"/>
              <w:rPr>
                <w:highlight w:val="none"/>
              </w:rPr>
            </w:pPr>
            <w:r>
              <w:rPr>
                <w:color w:val="0000FF"/>
                <w:spacing w:val="-1"/>
                <w:highlight w:val="none"/>
              </w:rPr>
              <w:t>详见招标公告或评标办法。</w:t>
            </w:r>
          </w:p>
        </w:tc>
      </w:tr>
      <w:tr w14:paraId="6422C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1144" w:type="dxa"/>
            <w:vAlign w:val="top"/>
          </w:tcPr>
          <w:p w14:paraId="10EA0D4B">
            <w:pPr>
              <w:spacing w:line="300" w:lineRule="auto"/>
              <w:rPr>
                <w:rFonts w:ascii="Arial"/>
                <w:sz w:val="21"/>
                <w:highlight w:val="none"/>
              </w:rPr>
            </w:pPr>
          </w:p>
          <w:p w14:paraId="4B9EAE46">
            <w:pPr>
              <w:pStyle w:val="6"/>
              <w:spacing w:before="68" w:line="239" w:lineRule="auto"/>
              <w:ind w:left="298"/>
              <w:rPr>
                <w:highlight w:val="none"/>
              </w:rPr>
            </w:pPr>
            <w:r>
              <w:rPr>
                <w:b/>
                <w:bCs/>
                <w:spacing w:val="-5"/>
                <w:highlight w:val="none"/>
              </w:rPr>
              <w:t>3.5.4</w:t>
            </w:r>
          </w:p>
        </w:tc>
        <w:tc>
          <w:tcPr>
            <w:tcW w:w="2617" w:type="dxa"/>
            <w:vAlign w:val="top"/>
          </w:tcPr>
          <w:p w14:paraId="5FB2DDCC">
            <w:pPr>
              <w:pStyle w:val="6"/>
              <w:spacing w:before="141" w:line="276" w:lineRule="auto"/>
              <w:ind w:left="1189" w:right="163" w:hanging="1049"/>
              <w:rPr>
                <w:highlight w:val="none"/>
              </w:rPr>
            </w:pPr>
            <w:r>
              <w:rPr>
                <w:spacing w:val="-1"/>
                <w:highlight w:val="none"/>
              </w:rPr>
              <w:t>近年发生的诉讼及仲裁情</w:t>
            </w:r>
            <w:r>
              <w:rPr>
                <w:spacing w:val="2"/>
                <w:highlight w:val="none"/>
              </w:rPr>
              <w:t xml:space="preserve"> </w:t>
            </w:r>
            <w:r>
              <w:rPr>
                <w:highlight w:val="none"/>
              </w:rPr>
              <w:t>况</w:t>
            </w:r>
          </w:p>
        </w:tc>
        <w:tc>
          <w:tcPr>
            <w:tcW w:w="5239" w:type="dxa"/>
            <w:vAlign w:val="top"/>
          </w:tcPr>
          <w:p w14:paraId="286B41D6">
            <w:pPr>
              <w:spacing w:line="271" w:lineRule="auto"/>
              <w:rPr>
                <w:rFonts w:ascii="Arial"/>
                <w:sz w:val="21"/>
                <w:highlight w:val="none"/>
              </w:rPr>
            </w:pPr>
          </w:p>
          <w:p w14:paraId="3E9CDE9B">
            <w:pPr>
              <w:pStyle w:val="6"/>
              <w:spacing w:before="69" w:line="219" w:lineRule="auto"/>
              <w:ind w:left="88"/>
              <w:rPr>
                <w:highlight w:val="none"/>
              </w:rPr>
            </w:pPr>
            <w:r>
              <w:rPr>
                <w:spacing w:val="10"/>
                <w:highlight w:val="none"/>
              </w:rPr>
              <w:t>“近年”是指近</w:t>
            </w:r>
            <w:r>
              <w:rPr>
                <w:color w:val="0000FF"/>
                <w:spacing w:val="10"/>
                <w:highlight w:val="none"/>
              </w:rPr>
              <w:t>3</w:t>
            </w:r>
            <w:r>
              <w:rPr>
                <w:spacing w:val="10"/>
                <w:highlight w:val="none"/>
              </w:rPr>
              <w:t>年</w:t>
            </w:r>
          </w:p>
        </w:tc>
      </w:tr>
      <w:tr w14:paraId="59E43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9" w:hRule="atLeast"/>
        </w:trPr>
        <w:tc>
          <w:tcPr>
            <w:tcW w:w="1144" w:type="dxa"/>
            <w:vAlign w:val="top"/>
          </w:tcPr>
          <w:p w14:paraId="087467AC">
            <w:pPr>
              <w:spacing w:line="442" w:lineRule="auto"/>
              <w:rPr>
                <w:rFonts w:ascii="Arial"/>
                <w:sz w:val="21"/>
                <w:highlight w:val="none"/>
              </w:rPr>
            </w:pPr>
          </w:p>
          <w:p w14:paraId="588D884F">
            <w:pPr>
              <w:pStyle w:val="6"/>
              <w:spacing w:before="68" w:line="239" w:lineRule="auto"/>
              <w:ind w:left="295"/>
              <w:rPr>
                <w:highlight w:val="none"/>
              </w:rPr>
            </w:pPr>
            <w:r>
              <w:rPr>
                <w:spacing w:val="-2"/>
                <w:highlight w:val="none"/>
              </w:rPr>
              <w:t>3.5.5</w:t>
            </w:r>
          </w:p>
        </w:tc>
        <w:tc>
          <w:tcPr>
            <w:tcW w:w="2617" w:type="dxa"/>
            <w:vAlign w:val="top"/>
          </w:tcPr>
          <w:p w14:paraId="34B8F851">
            <w:pPr>
              <w:pStyle w:val="6"/>
              <w:spacing w:before="151" w:line="301" w:lineRule="auto"/>
              <w:ind w:left="90" w:right="109" w:firstLine="50"/>
              <w:jc w:val="both"/>
              <w:rPr>
                <w:highlight w:val="none"/>
              </w:rPr>
            </w:pPr>
            <w:r>
              <w:rPr>
                <w:spacing w:val="-1"/>
                <w:highlight w:val="none"/>
              </w:rPr>
              <w:t>近年投标人或项目管理机</w:t>
            </w:r>
            <w:r>
              <w:rPr>
                <w:spacing w:val="2"/>
                <w:highlight w:val="none"/>
              </w:rPr>
              <w:t xml:space="preserve"> </w:t>
            </w:r>
            <w:r>
              <w:rPr>
                <w:spacing w:val="-1"/>
                <w:highlight w:val="none"/>
              </w:rPr>
              <w:t>构相关主要人员获工程(设</w:t>
            </w:r>
            <w:r>
              <w:rPr>
                <w:highlight w:val="none"/>
              </w:rPr>
              <w:t xml:space="preserve"> </w:t>
            </w:r>
            <w:r>
              <w:rPr>
                <w:spacing w:val="-1"/>
                <w:highlight w:val="none"/>
              </w:rPr>
              <w:t>计)质量奖项、获表彰情况</w:t>
            </w:r>
          </w:p>
        </w:tc>
        <w:tc>
          <w:tcPr>
            <w:tcW w:w="5239" w:type="dxa"/>
            <w:vAlign w:val="top"/>
          </w:tcPr>
          <w:p w14:paraId="28F640C9">
            <w:pPr>
              <w:spacing w:line="421" w:lineRule="auto"/>
              <w:rPr>
                <w:rFonts w:ascii="Arial"/>
                <w:sz w:val="21"/>
                <w:highlight w:val="none"/>
              </w:rPr>
            </w:pPr>
          </w:p>
          <w:p w14:paraId="36CEB44E">
            <w:pPr>
              <w:pStyle w:val="6"/>
              <w:spacing w:before="69" w:line="219" w:lineRule="auto"/>
              <w:ind w:left="88"/>
              <w:rPr>
                <w:highlight w:val="none"/>
              </w:rPr>
            </w:pPr>
            <w:r>
              <w:rPr>
                <w:spacing w:val="10"/>
                <w:highlight w:val="none"/>
              </w:rPr>
              <w:t>“近年”是指近</w:t>
            </w:r>
            <w:r>
              <w:rPr>
                <w:color w:val="0000FF"/>
                <w:spacing w:val="10"/>
                <w:highlight w:val="none"/>
              </w:rPr>
              <w:t>5</w:t>
            </w:r>
            <w:r>
              <w:rPr>
                <w:spacing w:val="10"/>
                <w:highlight w:val="none"/>
              </w:rPr>
              <w:t>年</w:t>
            </w:r>
          </w:p>
        </w:tc>
      </w:tr>
      <w:tr w14:paraId="26BC3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144" w:type="dxa"/>
            <w:vAlign w:val="top"/>
          </w:tcPr>
          <w:p w14:paraId="583866BF">
            <w:pPr>
              <w:spacing w:line="423" w:lineRule="auto"/>
              <w:rPr>
                <w:rFonts w:ascii="Arial"/>
                <w:sz w:val="21"/>
                <w:highlight w:val="none"/>
              </w:rPr>
            </w:pPr>
          </w:p>
          <w:p w14:paraId="75EE788D">
            <w:pPr>
              <w:pStyle w:val="6"/>
              <w:spacing w:before="68" w:line="239" w:lineRule="auto"/>
              <w:ind w:left="295"/>
              <w:rPr>
                <w:highlight w:val="none"/>
              </w:rPr>
            </w:pPr>
            <w:r>
              <w:rPr>
                <w:spacing w:val="-2"/>
                <w:highlight w:val="none"/>
              </w:rPr>
              <w:t>3.5.6</w:t>
            </w:r>
          </w:p>
        </w:tc>
        <w:tc>
          <w:tcPr>
            <w:tcW w:w="2617" w:type="dxa"/>
            <w:vAlign w:val="top"/>
          </w:tcPr>
          <w:p w14:paraId="7A007867">
            <w:pPr>
              <w:spacing w:line="371" w:lineRule="auto"/>
              <w:rPr>
                <w:rFonts w:ascii="Arial"/>
                <w:sz w:val="21"/>
                <w:highlight w:val="none"/>
              </w:rPr>
            </w:pPr>
          </w:p>
          <w:p w14:paraId="16EA7192">
            <w:pPr>
              <w:pStyle w:val="6"/>
              <w:spacing w:before="69" w:line="219" w:lineRule="auto"/>
              <w:ind w:left="880"/>
              <w:rPr>
                <w:highlight w:val="none"/>
              </w:rPr>
            </w:pPr>
            <w:r>
              <w:rPr>
                <w:spacing w:val="-2"/>
                <w:highlight w:val="none"/>
              </w:rPr>
              <w:t>其他材料</w:t>
            </w:r>
          </w:p>
        </w:tc>
        <w:tc>
          <w:tcPr>
            <w:tcW w:w="5239" w:type="dxa"/>
            <w:vAlign w:val="top"/>
          </w:tcPr>
          <w:p w14:paraId="158366E0">
            <w:pPr>
              <w:pStyle w:val="6"/>
              <w:spacing w:before="92" w:line="219" w:lineRule="auto"/>
              <w:ind w:left="193"/>
              <w:rPr>
                <w:highlight w:val="none"/>
              </w:rPr>
            </w:pPr>
            <w:r>
              <w:rPr>
                <w:spacing w:val="-1"/>
                <w:highlight w:val="none"/>
              </w:rPr>
              <w:t>其他材料是指：</w:t>
            </w:r>
          </w:p>
          <w:p w14:paraId="3B267AA7">
            <w:pPr>
              <w:spacing w:line="332" w:lineRule="auto"/>
              <w:rPr>
                <w:rFonts w:ascii="Arial"/>
                <w:sz w:val="21"/>
                <w:highlight w:val="none"/>
              </w:rPr>
            </w:pPr>
          </w:p>
          <w:p w14:paraId="27C98603">
            <w:pPr>
              <w:pStyle w:val="6"/>
              <w:spacing w:before="68" w:line="189" w:lineRule="auto"/>
              <w:ind w:left="88"/>
              <w:rPr>
                <w:highlight w:val="none"/>
              </w:rPr>
            </w:pPr>
            <w:r>
              <w:rPr>
                <w:spacing w:val="10"/>
                <w:highlight w:val="none"/>
              </w:rPr>
              <w:t>“近年”是指近</w:t>
            </w:r>
            <w:r>
              <w:rPr>
                <w:color w:val="0000FF"/>
                <w:spacing w:val="10"/>
                <w:highlight w:val="none"/>
              </w:rPr>
              <w:t>3</w:t>
            </w:r>
            <w:r>
              <w:rPr>
                <w:spacing w:val="10"/>
                <w:highlight w:val="none"/>
              </w:rPr>
              <w:t>年</w:t>
            </w:r>
          </w:p>
        </w:tc>
      </w:tr>
      <w:tr w14:paraId="748A1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9" w:hRule="atLeast"/>
        </w:trPr>
        <w:tc>
          <w:tcPr>
            <w:tcW w:w="1144" w:type="dxa"/>
            <w:vAlign w:val="top"/>
          </w:tcPr>
          <w:p w14:paraId="31DA376C">
            <w:pPr>
              <w:spacing w:line="256" w:lineRule="auto"/>
              <w:rPr>
                <w:rFonts w:ascii="Arial"/>
                <w:sz w:val="21"/>
                <w:highlight w:val="none"/>
              </w:rPr>
            </w:pPr>
          </w:p>
          <w:p w14:paraId="00B43CD0">
            <w:pPr>
              <w:spacing w:line="257" w:lineRule="auto"/>
              <w:rPr>
                <w:rFonts w:ascii="Arial"/>
                <w:sz w:val="21"/>
                <w:highlight w:val="none"/>
              </w:rPr>
            </w:pPr>
          </w:p>
          <w:p w14:paraId="1F6F3D21">
            <w:pPr>
              <w:pStyle w:val="6"/>
              <w:spacing w:before="69" w:line="239" w:lineRule="auto"/>
              <w:ind w:left="404"/>
              <w:rPr>
                <w:highlight w:val="none"/>
              </w:rPr>
            </w:pPr>
            <w:r>
              <w:rPr>
                <w:spacing w:val="-3"/>
                <w:highlight w:val="none"/>
              </w:rPr>
              <w:t>3.6</w:t>
            </w:r>
          </w:p>
        </w:tc>
        <w:tc>
          <w:tcPr>
            <w:tcW w:w="2617" w:type="dxa"/>
            <w:vAlign w:val="top"/>
          </w:tcPr>
          <w:p w14:paraId="2DCB2352">
            <w:pPr>
              <w:spacing w:line="343" w:lineRule="auto"/>
              <w:rPr>
                <w:rFonts w:ascii="Arial"/>
                <w:sz w:val="21"/>
                <w:highlight w:val="none"/>
              </w:rPr>
            </w:pPr>
          </w:p>
          <w:p w14:paraId="2E4B461D">
            <w:pPr>
              <w:pStyle w:val="6"/>
              <w:spacing w:before="69" w:line="355" w:lineRule="auto"/>
              <w:ind w:left="670" w:right="665"/>
              <w:rPr>
                <w:highlight w:val="none"/>
              </w:rPr>
            </w:pPr>
            <w:r>
              <w:rPr>
                <w:spacing w:val="1"/>
                <w:highlight w:val="none"/>
              </w:rPr>
              <w:t>是否允许递交</w:t>
            </w:r>
            <w:r>
              <w:rPr>
                <w:spacing w:val="2"/>
                <w:highlight w:val="none"/>
              </w:rPr>
              <w:t xml:space="preserve"> </w:t>
            </w:r>
            <w:r>
              <w:rPr>
                <w:spacing w:val="1"/>
                <w:highlight w:val="none"/>
              </w:rPr>
              <w:t>备选投标方案</w:t>
            </w:r>
          </w:p>
        </w:tc>
        <w:tc>
          <w:tcPr>
            <w:tcW w:w="5239" w:type="dxa"/>
            <w:vAlign w:val="top"/>
          </w:tcPr>
          <w:p w14:paraId="34AE87C6">
            <w:pPr>
              <w:pStyle w:val="6"/>
              <w:spacing w:before="194" w:line="219" w:lineRule="auto"/>
              <w:ind w:left="193"/>
              <w:rPr>
                <w:highlight w:val="none"/>
              </w:rPr>
            </w:pPr>
            <w:r>
              <w:rPr>
                <w:rFonts w:ascii="MS Gothic" w:hAnsi="MS Gothic" w:eastAsia="MS Gothic" w:cs="MS Gothic"/>
                <w:color w:val="0000FF"/>
                <w:spacing w:val="-3"/>
                <w:highlight w:val="none"/>
              </w:rPr>
              <w:t>☑</w:t>
            </w:r>
            <w:r>
              <w:rPr>
                <w:spacing w:val="-3"/>
                <w:highlight w:val="none"/>
              </w:rPr>
              <w:t>不允许</w:t>
            </w:r>
          </w:p>
          <w:p w14:paraId="42549468">
            <w:pPr>
              <w:pStyle w:val="6"/>
              <w:spacing w:before="169" w:line="310" w:lineRule="auto"/>
              <w:ind w:left="193" w:right="34" w:hanging="50"/>
              <w:rPr>
                <w:highlight w:val="none"/>
              </w:rPr>
            </w:pPr>
            <w:r>
              <w:rPr>
                <w:color w:val="0000FF"/>
                <w:highlight w:val="none"/>
              </w:rPr>
              <w:t>□</w:t>
            </w:r>
            <w:r>
              <w:rPr>
                <w:highlight w:val="none"/>
              </w:rPr>
              <w:t>允许，但只能提供一个备选方案并注明主选方案，且</w:t>
            </w:r>
            <w:r>
              <w:rPr>
                <w:spacing w:val="9"/>
                <w:highlight w:val="none"/>
              </w:rPr>
              <w:t xml:space="preserve"> </w:t>
            </w:r>
            <w:r>
              <w:rPr>
                <w:spacing w:val="-1"/>
                <w:highlight w:val="none"/>
              </w:rPr>
              <w:t>备选方案的投标价格不得高于主选方案。</w:t>
            </w:r>
          </w:p>
        </w:tc>
      </w:tr>
      <w:tr w14:paraId="322E9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1144" w:type="dxa"/>
            <w:vAlign w:val="top"/>
          </w:tcPr>
          <w:p w14:paraId="0D9E79D9">
            <w:pPr>
              <w:spacing w:line="276" w:lineRule="auto"/>
              <w:rPr>
                <w:rFonts w:ascii="Arial"/>
                <w:sz w:val="21"/>
                <w:highlight w:val="none"/>
              </w:rPr>
            </w:pPr>
          </w:p>
          <w:p w14:paraId="381681A4">
            <w:pPr>
              <w:pStyle w:val="6"/>
              <w:spacing w:before="68" w:line="239" w:lineRule="auto"/>
              <w:ind w:left="295"/>
              <w:rPr>
                <w:highlight w:val="none"/>
              </w:rPr>
            </w:pPr>
            <w:r>
              <w:rPr>
                <w:spacing w:val="-2"/>
                <w:highlight w:val="none"/>
              </w:rPr>
              <w:t>4.2.1</w:t>
            </w:r>
          </w:p>
        </w:tc>
        <w:tc>
          <w:tcPr>
            <w:tcW w:w="2617" w:type="dxa"/>
            <w:vAlign w:val="top"/>
          </w:tcPr>
          <w:p w14:paraId="5C5A8B71">
            <w:pPr>
              <w:pStyle w:val="6"/>
              <w:spacing w:before="306" w:line="220" w:lineRule="auto"/>
              <w:ind w:left="670"/>
              <w:rPr>
                <w:highlight w:val="none"/>
              </w:rPr>
            </w:pPr>
            <w:r>
              <w:rPr>
                <w:spacing w:val="3"/>
                <w:highlight w:val="none"/>
              </w:rPr>
              <w:t>投标截止时间</w:t>
            </w:r>
          </w:p>
        </w:tc>
        <w:tc>
          <w:tcPr>
            <w:tcW w:w="5239" w:type="dxa"/>
            <w:vAlign w:val="top"/>
          </w:tcPr>
          <w:p w14:paraId="096A0740">
            <w:pPr>
              <w:spacing w:line="276" w:lineRule="auto"/>
              <w:rPr>
                <w:rFonts w:ascii="Arial"/>
                <w:sz w:val="21"/>
                <w:highlight w:val="none"/>
              </w:rPr>
            </w:pPr>
          </w:p>
          <w:p w14:paraId="635547B7">
            <w:pPr>
              <w:pStyle w:val="6"/>
              <w:numPr>
                <w:ilvl w:val="0"/>
                <w:numId w:val="0"/>
              </w:numPr>
              <w:spacing w:before="68" w:line="239" w:lineRule="auto"/>
              <w:rPr>
                <w:highlight w:val="none"/>
              </w:rPr>
            </w:pPr>
            <w:r>
              <w:rPr>
                <w:rFonts w:hint="eastAsia"/>
                <w:color w:val="0000FF"/>
                <w:spacing w:val="-1"/>
                <w:highlight w:val="none"/>
                <w:lang w:val="en-US" w:eastAsia="zh-CN"/>
              </w:rPr>
              <w:t xml:space="preserve">2026年    月    日  </w:t>
            </w:r>
            <w:r>
              <w:rPr>
                <w:color w:val="0000FF"/>
                <w:spacing w:val="-1"/>
                <w:highlight w:val="none"/>
              </w:rPr>
              <w:t>09:00:00</w:t>
            </w:r>
          </w:p>
        </w:tc>
      </w:tr>
      <w:tr w14:paraId="1FF99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trPr>
        <w:tc>
          <w:tcPr>
            <w:tcW w:w="1144" w:type="dxa"/>
            <w:vAlign w:val="top"/>
          </w:tcPr>
          <w:p w14:paraId="292D8883">
            <w:pPr>
              <w:spacing w:line="296" w:lineRule="auto"/>
              <w:rPr>
                <w:rFonts w:ascii="Arial"/>
                <w:sz w:val="21"/>
                <w:highlight w:val="none"/>
              </w:rPr>
            </w:pPr>
          </w:p>
          <w:p w14:paraId="09014AC3">
            <w:pPr>
              <w:pStyle w:val="6"/>
              <w:spacing w:before="68" w:line="239" w:lineRule="auto"/>
              <w:ind w:left="295"/>
              <w:rPr>
                <w:highlight w:val="none"/>
              </w:rPr>
            </w:pPr>
            <w:r>
              <w:rPr>
                <w:spacing w:val="-2"/>
                <w:highlight w:val="none"/>
              </w:rPr>
              <w:t>4.2.3</w:t>
            </w:r>
          </w:p>
        </w:tc>
        <w:tc>
          <w:tcPr>
            <w:tcW w:w="2617" w:type="dxa"/>
            <w:vAlign w:val="top"/>
          </w:tcPr>
          <w:p w14:paraId="05E5D519">
            <w:pPr>
              <w:spacing w:line="275" w:lineRule="auto"/>
              <w:rPr>
                <w:rFonts w:ascii="Arial"/>
                <w:sz w:val="21"/>
                <w:highlight w:val="none"/>
              </w:rPr>
            </w:pPr>
          </w:p>
          <w:p w14:paraId="459072BD">
            <w:pPr>
              <w:pStyle w:val="6"/>
              <w:spacing w:before="69" w:line="219" w:lineRule="auto"/>
              <w:ind w:left="460"/>
              <w:rPr>
                <w:highlight w:val="none"/>
              </w:rPr>
            </w:pPr>
            <w:r>
              <w:rPr>
                <w:spacing w:val="1"/>
                <w:highlight w:val="none"/>
              </w:rPr>
              <w:t>是否退还投标文件</w:t>
            </w:r>
          </w:p>
        </w:tc>
        <w:tc>
          <w:tcPr>
            <w:tcW w:w="5239" w:type="dxa"/>
            <w:vAlign w:val="top"/>
          </w:tcPr>
          <w:p w14:paraId="2396E96E">
            <w:pPr>
              <w:pStyle w:val="6"/>
              <w:spacing w:before="196" w:line="220" w:lineRule="auto"/>
              <w:ind w:left="193"/>
              <w:rPr>
                <w:highlight w:val="none"/>
              </w:rPr>
            </w:pPr>
            <w:r>
              <w:rPr>
                <w:rFonts w:ascii="MS Gothic" w:hAnsi="MS Gothic" w:eastAsia="MS Gothic" w:cs="MS Gothic"/>
                <w:color w:val="0000FF"/>
                <w:spacing w:val="-8"/>
                <w:highlight w:val="none"/>
              </w:rPr>
              <w:t>☑</w:t>
            </w:r>
            <w:r>
              <w:rPr>
                <w:spacing w:val="-8"/>
                <w:highlight w:val="none"/>
              </w:rPr>
              <w:t>否</w:t>
            </w:r>
          </w:p>
          <w:p w14:paraId="25067F65">
            <w:pPr>
              <w:pStyle w:val="6"/>
              <w:spacing w:before="140" w:line="221" w:lineRule="auto"/>
              <w:ind w:left="193"/>
              <w:rPr>
                <w:highlight w:val="none"/>
              </w:rPr>
            </w:pPr>
            <w:r>
              <w:rPr>
                <w:color w:val="0000FF"/>
                <w:spacing w:val="-1"/>
                <w:highlight w:val="none"/>
              </w:rPr>
              <w:t>□</w:t>
            </w:r>
            <w:r>
              <w:rPr>
                <w:spacing w:val="-1"/>
                <w:highlight w:val="none"/>
              </w:rPr>
              <w:t>是，退还安排：</w:t>
            </w:r>
          </w:p>
        </w:tc>
      </w:tr>
      <w:tr w14:paraId="008E4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1144" w:type="dxa"/>
            <w:vAlign w:val="top"/>
          </w:tcPr>
          <w:p w14:paraId="2EDF7B24">
            <w:pPr>
              <w:spacing w:line="415" w:lineRule="auto"/>
              <w:rPr>
                <w:rFonts w:ascii="Arial"/>
                <w:sz w:val="21"/>
                <w:highlight w:val="none"/>
              </w:rPr>
            </w:pPr>
          </w:p>
          <w:p w14:paraId="63BD840E">
            <w:pPr>
              <w:pStyle w:val="6"/>
              <w:spacing w:before="68" w:line="239" w:lineRule="auto"/>
              <w:ind w:left="295"/>
              <w:rPr>
                <w:highlight w:val="none"/>
              </w:rPr>
            </w:pPr>
            <w:r>
              <w:rPr>
                <w:spacing w:val="-2"/>
                <w:highlight w:val="none"/>
              </w:rPr>
              <w:t>5.1.2</w:t>
            </w:r>
          </w:p>
        </w:tc>
        <w:tc>
          <w:tcPr>
            <w:tcW w:w="2617" w:type="dxa"/>
            <w:vAlign w:val="top"/>
          </w:tcPr>
          <w:p w14:paraId="7A212DBA">
            <w:pPr>
              <w:spacing w:line="306" w:lineRule="auto"/>
              <w:rPr>
                <w:rFonts w:ascii="Arial"/>
                <w:sz w:val="21"/>
                <w:highlight w:val="none"/>
              </w:rPr>
            </w:pPr>
          </w:p>
          <w:p w14:paraId="14B22ACD">
            <w:pPr>
              <w:pStyle w:val="6"/>
              <w:spacing w:before="68" w:line="220" w:lineRule="auto"/>
              <w:ind w:left="670"/>
              <w:rPr>
                <w:highlight w:val="none"/>
              </w:rPr>
            </w:pPr>
            <w:r>
              <w:rPr>
                <w:spacing w:val="3"/>
                <w:highlight w:val="none"/>
              </w:rPr>
              <w:t>组织开标地点</w:t>
            </w:r>
          </w:p>
        </w:tc>
        <w:tc>
          <w:tcPr>
            <w:tcW w:w="5239" w:type="dxa"/>
            <w:vAlign w:val="top"/>
          </w:tcPr>
          <w:p w14:paraId="5BAE1C93">
            <w:pPr>
              <w:pStyle w:val="6"/>
              <w:spacing w:before="215" w:line="318" w:lineRule="auto"/>
              <w:ind w:left="193" w:right="378" w:hanging="59"/>
              <w:rPr>
                <w:highlight w:val="none"/>
              </w:rPr>
            </w:pPr>
            <w:r>
              <w:rPr>
                <w:color w:val="0000FF"/>
                <w:spacing w:val="-1"/>
                <w:highlight w:val="none"/>
              </w:rPr>
              <w:t>麻城市金桥大道81号(市政府斜对面原麻城市城乡规</w:t>
            </w:r>
            <w:r>
              <w:rPr>
                <w:color w:val="0000FF"/>
                <w:spacing w:val="13"/>
                <w:highlight w:val="none"/>
              </w:rPr>
              <w:t xml:space="preserve"> </w:t>
            </w:r>
            <w:r>
              <w:rPr>
                <w:color w:val="0000FF"/>
                <w:spacing w:val="-1"/>
                <w:highlight w:val="none"/>
              </w:rPr>
              <w:t>划局七楼开标厅)</w:t>
            </w:r>
            <w:r>
              <w:rPr>
                <w:rFonts w:hint="eastAsia"/>
                <w:color w:val="0000FF"/>
                <w:spacing w:val="-1"/>
                <w:highlight w:val="none"/>
                <w:lang w:val="en-US" w:eastAsia="zh-CN"/>
              </w:rPr>
              <w:t>远程</w:t>
            </w:r>
            <w:r>
              <w:rPr>
                <w:color w:val="0000FF"/>
                <w:spacing w:val="-1"/>
                <w:highlight w:val="none"/>
              </w:rPr>
              <w:t>开标</w:t>
            </w:r>
          </w:p>
        </w:tc>
      </w:tr>
      <w:tr w14:paraId="2226A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9" w:hRule="atLeast"/>
        </w:trPr>
        <w:tc>
          <w:tcPr>
            <w:tcW w:w="1144" w:type="dxa"/>
            <w:vAlign w:val="top"/>
          </w:tcPr>
          <w:p w14:paraId="2CC7345A">
            <w:pPr>
              <w:spacing w:line="349" w:lineRule="auto"/>
              <w:rPr>
                <w:rFonts w:ascii="Arial"/>
                <w:sz w:val="21"/>
                <w:highlight w:val="none"/>
              </w:rPr>
            </w:pPr>
          </w:p>
          <w:p w14:paraId="3B502FD2">
            <w:pPr>
              <w:pStyle w:val="6"/>
              <w:spacing w:before="68" w:line="222" w:lineRule="auto"/>
              <w:ind w:left="144"/>
              <w:rPr>
                <w:highlight w:val="none"/>
              </w:rPr>
            </w:pPr>
            <w:r>
              <w:rPr>
                <w:spacing w:val="-1"/>
                <w:highlight w:val="none"/>
              </w:rPr>
              <w:t>5.2.1(5)</w:t>
            </w:r>
          </w:p>
        </w:tc>
        <w:tc>
          <w:tcPr>
            <w:tcW w:w="2617" w:type="dxa"/>
            <w:vAlign w:val="top"/>
          </w:tcPr>
          <w:p w14:paraId="4E8224A8">
            <w:pPr>
              <w:spacing w:line="344" w:lineRule="auto"/>
              <w:rPr>
                <w:rFonts w:ascii="Arial"/>
                <w:sz w:val="21"/>
                <w:highlight w:val="none"/>
              </w:rPr>
            </w:pPr>
          </w:p>
          <w:p w14:paraId="3417D5B4">
            <w:pPr>
              <w:pStyle w:val="6"/>
              <w:spacing w:before="68" w:line="218" w:lineRule="auto"/>
              <w:ind w:left="251"/>
              <w:rPr>
                <w:highlight w:val="none"/>
              </w:rPr>
            </w:pPr>
            <w:r>
              <w:rPr>
                <w:spacing w:val="-1"/>
                <w:highlight w:val="none"/>
              </w:rPr>
              <w:t>抽取评标基准价下浮值</w:t>
            </w:r>
          </w:p>
        </w:tc>
        <w:tc>
          <w:tcPr>
            <w:tcW w:w="5239" w:type="dxa"/>
            <w:vAlign w:val="top"/>
          </w:tcPr>
          <w:p w14:paraId="6DE4D65D">
            <w:pPr>
              <w:pStyle w:val="6"/>
              <w:spacing w:before="266" w:line="219" w:lineRule="auto"/>
              <w:ind w:left="193"/>
              <w:rPr>
                <w:highlight w:val="none"/>
              </w:rPr>
            </w:pPr>
            <w:r>
              <w:rPr>
                <w:color w:val="0000FF"/>
                <w:spacing w:val="-1"/>
                <w:highlight w:val="none"/>
              </w:rPr>
              <w:t>□</w:t>
            </w:r>
            <w:r>
              <w:rPr>
                <w:spacing w:val="-1"/>
                <w:highlight w:val="none"/>
              </w:rPr>
              <w:t>否，下浮值为：</w:t>
            </w:r>
          </w:p>
          <w:p w14:paraId="00B54034">
            <w:pPr>
              <w:pStyle w:val="6"/>
              <w:spacing w:before="160" w:line="219" w:lineRule="auto"/>
              <w:ind w:left="193"/>
              <w:rPr>
                <w:highlight w:val="none"/>
              </w:rPr>
            </w:pPr>
            <w:r>
              <w:rPr>
                <w:color w:val="0000FF"/>
                <w:spacing w:val="-1"/>
                <w:highlight w:val="none"/>
              </w:rPr>
              <w:t>□</w:t>
            </w:r>
            <w:r>
              <w:rPr>
                <w:spacing w:val="-1"/>
                <w:highlight w:val="none"/>
              </w:rPr>
              <w:t>是，下浮值抽取方法：</w:t>
            </w:r>
          </w:p>
        </w:tc>
      </w:tr>
      <w:tr w14:paraId="00383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4" w:hRule="atLeast"/>
        </w:trPr>
        <w:tc>
          <w:tcPr>
            <w:tcW w:w="1144" w:type="dxa"/>
            <w:vAlign w:val="top"/>
          </w:tcPr>
          <w:p w14:paraId="2705D08D">
            <w:pPr>
              <w:spacing w:line="268" w:lineRule="auto"/>
              <w:rPr>
                <w:rFonts w:ascii="Arial"/>
                <w:sz w:val="21"/>
                <w:highlight w:val="none"/>
              </w:rPr>
            </w:pPr>
          </w:p>
          <w:p w14:paraId="3FDCC85B">
            <w:pPr>
              <w:spacing w:line="268" w:lineRule="auto"/>
              <w:rPr>
                <w:rFonts w:ascii="Arial"/>
                <w:sz w:val="21"/>
                <w:highlight w:val="none"/>
              </w:rPr>
            </w:pPr>
          </w:p>
          <w:p w14:paraId="75419926">
            <w:pPr>
              <w:pStyle w:val="6"/>
              <w:spacing w:before="68" w:line="222" w:lineRule="auto"/>
              <w:ind w:left="147"/>
              <w:rPr>
                <w:highlight w:val="none"/>
              </w:rPr>
            </w:pPr>
            <w:r>
              <w:rPr>
                <w:b/>
                <w:bCs/>
                <w:spacing w:val="-4"/>
                <w:highlight w:val="none"/>
              </w:rPr>
              <w:t>5.2.1(6)</w:t>
            </w:r>
          </w:p>
        </w:tc>
        <w:tc>
          <w:tcPr>
            <w:tcW w:w="2617" w:type="dxa"/>
            <w:vAlign w:val="top"/>
          </w:tcPr>
          <w:p w14:paraId="715A278C">
            <w:pPr>
              <w:spacing w:line="268" w:lineRule="auto"/>
              <w:rPr>
                <w:rFonts w:ascii="Arial"/>
                <w:sz w:val="21"/>
                <w:highlight w:val="none"/>
              </w:rPr>
            </w:pPr>
          </w:p>
          <w:p w14:paraId="27B9C9B6">
            <w:pPr>
              <w:spacing w:line="268" w:lineRule="auto"/>
              <w:rPr>
                <w:rFonts w:ascii="Arial"/>
                <w:sz w:val="21"/>
                <w:highlight w:val="none"/>
              </w:rPr>
            </w:pPr>
          </w:p>
          <w:p w14:paraId="087BE4B3">
            <w:pPr>
              <w:pStyle w:val="6"/>
              <w:spacing w:before="69" w:line="220" w:lineRule="auto"/>
              <w:ind w:left="880"/>
              <w:rPr>
                <w:highlight w:val="none"/>
              </w:rPr>
            </w:pPr>
            <w:r>
              <w:rPr>
                <w:spacing w:val="5"/>
                <w:highlight w:val="none"/>
              </w:rPr>
              <w:t>解密时间</w:t>
            </w:r>
          </w:p>
        </w:tc>
        <w:tc>
          <w:tcPr>
            <w:tcW w:w="5239" w:type="dxa"/>
            <w:vAlign w:val="top"/>
          </w:tcPr>
          <w:p w14:paraId="7659E39D">
            <w:pPr>
              <w:pStyle w:val="6"/>
              <w:spacing w:before="257" w:line="219" w:lineRule="auto"/>
              <w:ind w:left="193"/>
              <w:rPr>
                <w:highlight w:val="none"/>
              </w:rPr>
            </w:pPr>
            <w:r>
              <w:rPr>
                <w:spacing w:val="1"/>
                <w:highlight w:val="none"/>
              </w:rPr>
              <w:t>招标人发出解密提示后</w:t>
            </w:r>
            <w:r>
              <w:rPr>
                <w:color w:val="0000FF"/>
                <w:spacing w:val="1"/>
                <w:highlight w:val="none"/>
              </w:rPr>
              <w:t>30</w:t>
            </w:r>
            <w:r>
              <w:rPr>
                <w:spacing w:val="1"/>
                <w:highlight w:val="none"/>
              </w:rPr>
              <w:t>分钟内</w:t>
            </w:r>
          </w:p>
          <w:p w14:paraId="085067B5">
            <w:pPr>
              <w:pStyle w:val="6"/>
              <w:spacing w:before="180" w:line="315" w:lineRule="auto"/>
              <w:ind w:left="193" w:right="157" w:hanging="59"/>
              <w:rPr>
                <w:highlight w:val="none"/>
              </w:rPr>
            </w:pPr>
            <w:r>
              <w:rPr>
                <w:highlight w:val="none"/>
              </w:rPr>
              <w:t>(招标人应充分考虑标段数和投标人数量，合理设置解</w:t>
            </w:r>
            <w:r>
              <w:rPr>
                <w:spacing w:val="1"/>
                <w:highlight w:val="none"/>
              </w:rPr>
              <w:t xml:space="preserve"> </w:t>
            </w:r>
            <w:r>
              <w:rPr>
                <w:spacing w:val="2"/>
                <w:highlight w:val="none"/>
              </w:rPr>
              <w:t>密时间，该时间不应少于20分钟)</w:t>
            </w:r>
          </w:p>
        </w:tc>
      </w:tr>
    </w:tbl>
    <w:p w14:paraId="283E7931">
      <w:pPr>
        <w:pStyle w:val="2"/>
        <w:rPr>
          <w:highlight w:val="none"/>
        </w:rPr>
      </w:pPr>
    </w:p>
    <w:p w14:paraId="31E52A4E">
      <w:pPr>
        <w:rPr>
          <w:highlight w:val="none"/>
        </w:rPr>
        <w:sectPr>
          <w:footerReference r:id="rId21" w:type="default"/>
          <w:pgSz w:w="11910" w:h="16840"/>
          <w:pgMar w:top="400" w:right="1264" w:bottom="1217" w:left="1635" w:header="0" w:footer="1013" w:gutter="0"/>
          <w:cols w:space="720" w:num="1"/>
        </w:sectPr>
      </w:pPr>
    </w:p>
    <w:p w14:paraId="540AC5DD">
      <w:pPr>
        <w:spacing w:before="18"/>
        <w:rPr>
          <w:highlight w:val="none"/>
        </w:rPr>
      </w:pPr>
    </w:p>
    <w:p w14:paraId="1303C07E">
      <w:pPr>
        <w:spacing w:before="17"/>
        <w:rPr>
          <w:highlight w:val="none"/>
        </w:rPr>
      </w:pPr>
    </w:p>
    <w:p w14:paraId="21DDE675">
      <w:pPr>
        <w:spacing w:before="17"/>
        <w:rPr>
          <w:highlight w:val="none"/>
        </w:rPr>
      </w:pPr>
    </w:p>
    <w:p w14:paraId="1827C4A4">
      <w:pPr>
        <w:spacing w:before="17"/>
        <w:rPr>
          <w:highlight w:val="none"/>
        </w:rPr>
      </w:pPr>
    </w:p>
    <w:tbl>
      <w:tblPr>
        <w:tblStyle w:val="5"/>
        <w:tblW w:w="90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4"/>
        <w:gridCol w:w="2627"/>
        <w:gridCol w:w="5239"/>
      </w:tblGrid>
      <w:tr w14:paraId="3B5A5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3" w:hRule="atLeast"/>
        </w:trPr>
        <w:tc>
          <w:tcPr>
            <w:tcW w:w="1134" w:type="dxa"/>
            <w:vAlign w:val="top"/>
          </w:tcPr>
          <w:p w14:paraId="521EA288">
            <w:pPr>
              <w:spacing w:line="331" w:lineRule="auto"/>
              <w:rPr>
                <w:rFonts w:ascii="Arial"/>
                <w:sz w:val="21"/>
                <w:highlight w:val="none"/>
              </w:rPr>
            </w:pPr>
          </w:p>
          <w:p w14:paraId="497CC043">
            <w:pPr>
              <w:spacing w:line="331" w:lineRule="auto"/>
              <w:rPr>
                <w:rFonts w:ascii="Arial"/>
                <w:sz w:val="21"/>
                <w:highlight w:val="none"/>
              </w:rPr>
            </w:pPr>
          </w:p>
          <w:p w14:paraId="1933B3A4">
            <w:pPr>
              <w:pStyle w:val="6"/>
              <w:spacing w:before="68" w:line="239" w:lineRule="auto"/>
              <w:ind w:left="295"/>
              <w:rPr>
                <w:highlight w:val="none"/>
              </w:rPr>
            </w:pPr>
            <w:bookmarkStart w:id="12" w:name="bookmark191"/>
            <w:bookmarkEnd w:id="12"/>
            <w:r>
              <w:rPr>
                <w:spacing w:val="-2"/>
                <w:highlight w:val="none"/>
              </w:rPr>
              <w:t>6.1.1</w:t>
            </w:r>
          </w:p>
        </w:tc>
        <w:tc>
          <w:tcPr>
            <w:tcW w:w="2627" w:type="dxa"/>
            <w:vAlign w:val="top"/>
          </w:tcPr>
          <w:p w14:paraId="63C405CF">
            <w:pPr>
              <w:spacing w:line="320" w:lineRule="auto"/>
              <w:rPr>
                <w:rFonts w:ascii="Arial"/>
                <w:sz w:val="21"/>
                <w:highlight w:val="none"/>
              </w:rPr>
            </w:pPr>
          </w:p>
          <w:p w14:paraId="6DDF5DDC">
            <w:pPr>
              <w:spacing w:line="320" w:lineRule="auto"/>
              <w:rPr>
                <w:rFonts w:ascii="Arial"/>
                <w:sz w:val="21"/>
                <w:highlight w:val="none"/>
              </w:rPr>
            </w:pPr>
          </w:p>
          <w:p w14:paraId="304898B5">
            <w:pPr>
              <w:pStyle w:val="6"/>
              <w:spacing w:before="68" w:line="219" w:lineRule="auto"/>
              <w:ind w:left="460"/>
              <w:rPr>
                <w:highlight w:val="none"/>
              </w:rPr>
            </w:pPr>
            <w:r>
              <w:rPr>
                <w:spacing w:val="-1"/>
                <w:highlight w:val="none"/>
              </w:rPr>
              <w:t>评标委员会的组建</w:t>
            </w:r>
          </w:p>
        </w:tc>
        <w:tc>
          <w:tcPr>
            <w:tcW w:w="5239" w:type="dxa"/>
            <w:vAlign w:val="top"/>
          </w:tcPr>
          <w:p w14:paraId="5821425D">
            <w:pPr>
              <w:pStyle w:val="6"/>
              <w:spacing w:before="141" w:line="345" w:lineRule="auto"/>
              <w:ind w:left="123" w:right="41" w:firstLine="10"/>
              <w:rPr>
                <w:highlight w:val="none"/>
              </w:rPr>
            </w:pPr>
            <w:r>
              <w:rPr>
                <w:highlight w:val="none"/>
              </w:rPr>
              <w:t>评标委员会构成：5人，其中招标人代表1人，专家</w:t>
            </w:r>
            <w:r>
              <w:rPr>
                <w:color w:val="0000FF"/>
                <w:highlight w:val="none"/>
              </w:rPr>
              <w:t>4(异</w:t>
            </w:r>
            <w:r>
              <w:rPr>
                <w:color w:val="0000FF"/>
                <w:spacing w:val="12"/>
                <w:highlight w:val="none"/>
              </w:rPr>
              <w:t xml:space="preserve"> </w:t>
            </w:r>
            <w:r>
              <w:rPr>
                <w:color w:val="0000FF"/>
                <w:spacing w:val="-2"/>
                <w:highlight w:val="none"/>
              </w:rPr>
              <w:t>地2人，本地2人)</w:t>
            </w:r>
            <w:r>
              <w:rPr>
                <w:spacing w:val="-2"/>
                <w:highlight w:val="none"/>
              </w:rPr>
              <w:t>人</w:t>
            </w:r>
            <w:r>
              <w:rPr>
                <w:spacing w:val="65"/>
                <w:highlight w:val="none"/>
              </w:rPr>
              <w:t xml:space="preserve"> </w:t>
            </w:r>
            <w:r>
              <w:rPr>
                <w:spacing w:val="-2"/>
                <w:highlight w:val="none"/>
              </w:rPr>
              <w:t>；</w:t>
            </w:r>
          </w:p>
          <w:p w14:paraId="5F2CB50E">
            <w:pPr>
              <w:pStyle w:val="6"/>
              <w:spacing w:before="26" w:line="290" w:lineRule="auto"/>
              <w:ind w:left="133" w:right="43"/>
              <w:rPr>
                <w:highlight w:val="none"/>
              </w:rPr>
            </w:pPr>
            <w:r>
              <w:rPr>
                <w:highlight w:val="none"/>
              </w:rPr>
              <w:t>评标专家确定方式：</w:t>
            </w:r>
            <w:r>
              <w:rPr>
                <w:color w:val="0000FF"/>
                <w:highlight w:val="none"/>
              </w:rPr>
              <w:t>从湖北省综合评标专家总库相应专</w:t>
            </w:r>
            <w:r>
              <w:rPr>
                <w:color w:val="0000FF"/>
                <w:spacing w:val="10"/>
                <w:highlight w:val="none"/>
              </w:rPr>
              <w:t xml:space="preserve"> </w:t>
            </w:r>
            <w:r>
              <w:rPr>
                <w:color w:val="0000FF"/>
                <w:spacing w:val="-1"/>
                <w:highlight w:val="none"/>
              </w:rPr>
              <w:t>业中随机抽取产生。</w:t>
            </w:r>
          </w:p>
        </w:tc>
      </w:tr>
      <w:tr w14:paraId="2A70C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1134" w:type="dxa"/>
            <w:vAlign w:val="top"/>
          </w:tcPr>
          <w:p w14:paraId="170F1FC1">
            <w:pPr>
              <w:spacing w:line="324" w:lineRule="auto"/>
              <w:rPr>
                <w:rFonts w:ascii="Arial"/>
                <w:sz w:val="21"/>
                <w:highlight w:val="none"/>
              </w:rPr>
            </w:pPr>
          </w:p>
          <w:p w14:paraId="7936B695">
            <w:pPr>
              <w:spacing w:line="325" w:lineRule="auto"/>
              <w:rPr>
                <w:rFonts w:ascii="Arial"/>
                <w:sz w:val="21"/>
                <w:highlight w:val="none"/>
              </w:rPr>
            </w:pPr>
          </w:p>
          <w:p w14:paraId="43269FEF">
            <w:pPr>
              <w:pStyle w:val="6"/>
              <w:spacing w:before="68" w:line="239" w:lineRule="auto"/>
              <w:ind w:left="394"/>
              <w:rPr>
                <w:highlight w:val="none"/>
              </w:rPr>
            </w:pPr>
            <w:r>
              <w:rPr>
                <w:spacing w:val="-3"/>
                <w:highlight w:val="none"/>
              </w:rPr>
              <w:t>6.4</w:t>
            </w:r>
          </w:p>
        </w:tc>
        <w:tc>
          <w:tcPr>
            <w:tcW w:w="2627" w:type="dxa"/>
            <w:vAlign w:val="top"/>
          </w:tcPr>
          <w:p w14:paraId="0D9DB534">
            <w:pPr>
              <w:spacing w:line="313" w:lineRule="auto"/>
              <w:rPr>
                <w:rFonts w:ascii="Arial"/>
                <w:sz w:val="21"/>
                <w:highlight w:val="none"/>
              </w:rPr>
            </w:pPr>
          </w:p>
          <w:p w14:paraId="02A4909D">
            <w:pPr>
              <w:spacing w:line="314" w:lineRule="auto"/>
              <w:rPr>
                <w:rFonts w:ascii="Arial"/>
                <w:sz w:val="21"/>
                <w:highlight w:val="none"/>
              </w:rPr>
            </w:pPr>
          </w:p>
          <w:p w14:paraId="29E84F19">
            <w:pPr>
              <w:pStyle w:val="6"/>
              <w:spacing w:before="68" w:line="219" w:lineRule="auto"/>
              <w:ind w:left="460"/>
              <w:rPr>
                <w:highlight w:val="none"/>
              </w:rPr>
            </w:pPr>
            <w:r>
              <w:rPr>
                <w:spacing w:val="-1"/>
                <w:highlight w:val="none"/>
              </w:rPr>
              <w:t>评标结果公示媒介</w:t>
            </w:r>
          </w:p>
        </w:tc>
        <w:tc>
          <w:tcPr>
            <w:tcW w:w="5239" w:type="dxa"/>
            <w:vAlign w:val="top"/>
          </w:tcPr>
          <w:p w14:paraId="2E46B657">
            <w:pPr>
              <w:pStyle w:val="6"/>
              <w:spacing w:before="150" w:line="219" w:lineRule="auto"/>
              <w:ind w:left="123"/>
              <w:rPr>
                <w:highlight w:val="none"/>
              </w:rPr>
            </w:pPr>
            <w:r>
              <w:rPr>
                <w:color w:val="0000FF"/>
                <w:spacing w:val="1"/>
                <w:highlight w:val="none"/>
              </w:rPr>
              <w:t>湖北省电子招投标交易平台</w:t>
            </w:r>
          </w:p>
          <w:p w14:paraId="19D90B81">
            <w:pPr>
              <w:pStyle w:val="6"/>
              <w:spacing w:before="146" w:line="224" w:lineRule="auto"/>
              <w:ind w:left="123"/>
              <w:rPr>
                <w:highlight w:val="none"/>
              </w:rPr>
            </w:pPr>
            <w:r>
              <w:rPr>
                <w:spacing w:val="-10"/>
                <w:highlight w:val="none"/>
              </w:rPr>
              <w:t>网 址</w:t>
            </w:r>
            <w:r>
              <w:rPr>
                <w:spacing w:val="-12"/>
                <w:highlight w:val="none"/>
              </w:rPr>
              <w:t xml:space="preserve"> </w:t>
            </w:r>
            <w:r>
              <w:rPr>
                <w:spacing w:val="-10"/>
                <w:highlight w:val="none"/>
              </w:rPr>
              <w:t>：</w:t>
            </w:r>
            <w:r>
              <w:rPr>
                <w:highlight w:val="none"/>
              </w:rPr>
              <w:fldChar w:fldCharType="begin"/>
            </w:r>
            <w:r>
              <w:rPr>
                <w:highlight w:val="none"/>
              </w:rPr>
              <w:instrText xml:space="preserve"> HYPERLINK "https://www.hbbidcloud.cn" </w:instrText>
            </w:r>
            <w:r>
              <w:rPr>
                <w:highlight w:val="none"/>
              </w:rPr>
              <w:fldChar w:fldCharType="separate"/>
            </w:r>
            <w:r>
              <w:rPr>
                <w:color w:val="0000FF"/>
                <w:spacing w:val="-10"/>
                <w:highlight w:val="none"/>
              </w:rPr>
              <w:t>www.hbbidcloud.cn</w:t>
            </w:r>
            <w:r>
              <w:rPr>
                <w:color w:val="0000FF"/>
                <w:spacing w:val="-10"/>
                <w:highlight w:val="none"/>
              </w:rPr>
              <w:fldChar w:fldCharType="end"/>
            </w:r>
          </w:p>
          <w:p w14:paraId="5252F9F4">
            <w:pPr>
              <w:pStyle w:val="6"/>
              <w:spacing w:before="137" w:line="290" w:lineRule="auto"/>
              <w:ind w:left="114" w:right="1952" w:firstLine="19"/>
              <w:rPr>
                <w:highlight w:val="none"/>
              </w:rPr>
            </w:pPr>
            <w:r>
              <w:rPr>
                <w:color w:val="0000FF"/>
                <w:spacing w:val="-1"/>
                <w:highlight w:val="none"/>
              </w:rPr>
              <w:t>湖北省公共资源交易电子服务系统</w:t>
            </w:r>
            <w:r>
              <w:rPr>
                <w:color w:val="0000FF"/>
                <w:spacing w:val="6"/>
                <w:highlight w:val="none"/>
              </w:rPr>
              <w:t xml:space="preserve"> </w:t>
            </w:r>
            <w:r>
              <w:rPr>
                <w:spacing w:val="-10"/>
                <w:highlight w:val="none"/>
              </w:rPr>
              <w:t>网 址</w:t>
            </w:r>
            <w:r>
              <w:rPr>
                <w:spacing w:val="-12"/>
                <w:highlight w:val="none"/>
              </w:rPr>
              <w:t xml:space="preserve"> </w:t>
            </w:r>
            <w:r>
              <w:rPr>
                <w:spacing w:val="-10"/>
                <w:highlight w:val="none"/>
              </w:rPr>
              <w:t>：</w:t>
            </w:r>
            <w:r>
              <w:rPr>
                <w:highlight w:val="none"/>
              </w:rPr>
              <w:fldChar w:fldCharType="begin"/>
            </w:r>
            <w:r>
              <w:rPr>
                <w:highlight w:val="none"/>
              </w:rPr>
              <w:instrText xml:space="preserve"> HYPERLINK "https://www.hbggzyfwpt.cn" </w:instrText>
            </w:r>
            <w:r>
              <w:rPr>
                <w:highlight w:val="none"/>
              </w:rPr>
              <w:fldChar w:fldCharType="separate"/>
            </w:r>
            <w:r>
              <w:rPr>
                <w:color w:val="0000FF"/>
                <w:spacing w:val="-10"/>
                <w:highlight w:val="none"/>
              </w:rPr>
              <w:t>www.hbggzyfwpt.cn</w:t>
            </w:r>
            <w:r>
              <w:rPr>
                <w:color w:val="0000FF"/>
                <w:spacing w:val="-10"/>
                <w:highlight w:val="none"/>
              </w:rPr>
              <w:fldChar w:fldCharType="end"/>
            </w:r>
          </w:p>
        </w:tc>
      </w:tr>
      <w:tr w14:paraId="73F77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8" w:hRule="atLeast"/>
        </w:trPr>
        <w:tc>
          <w:tcPr>
            <w:tcW w:w="1134" w:type="dxa"/>
            <w:vAlign w:val="top"/>
          </w:tcPr>
          <w:p w14:paraId="74C2CE3B">
            <w:pPr>
              <w:spacing w:line="261" w:lineRule="auto"/>
              <w:rPr>
                <w:rFonts w:ascii="Arial"/>
                <w:sz w:val="21"/>
                <w:highlight w:val="none"/>
              </w:rPr>
            </w:pPr>
          </w:p>
          <w:p w14:paraId="62CA2FC6">
            <w:pPr>
              <w:spacing w:line="262" w:lineRule="auto"/>
              <w:rPr>
                <w:rFonts w:ascii="Arial"/>
                <w:sz w:val="21"/>
                <w:highlight w:val="none"/>
              </w:rPr>
            </w:pPr>
          </w:p>
          <w:p w14:paraId="54358B8E">
            <w:pPr>
              <w:spacing w:line="262" w:lineRule="auto"/>
              <w:rPr>
                <w:rFonts w:ascii="Arial"/>
                <w:sz w:val="21"/>
                <w:highlight w:val="none"/>
              </w:rPr>
            </w:pPr>
          </w:p>
          <w:p w14:paraId="1CF18B64">
            <w:pPr>
              <w:spacing w:line="262" w:lineRule="auto"/>
              <w:rPr>
                <w:rFonts w:ascii="Arial"/>
                <w:sz w:val="21"/>
                <w:highlight w:val="none"/>
              </w:rPr>
            </w:pPr>
          </w:p>
          <w:p w14:paraId="6B39D14C">
            <w:pPr>
              <w:pStyle w:val="6"/>
              <w:spacing w:before="68" w:line="239" w:lineRule="auto"/>
              <w:ind w:left="394"/>
              <w:rPr>
                <w:highlight w:val="none"/>
              </w:rPr>
            </w:pPr>
            <w:r>
              <w:rPr>
                <w:spacing w:val="-3"/>
                <w:highlight w:val="none"/>
              </w:rPr>
              <w:t>7.1</w:t>
            </w:r>
          </w:p>
        </w:tc>
        <w:tc>
          <w:tcPr>
            <w:tcW w:w="2627" w:type="dxa"/>
            <w:vAlign w:val="top"/>
          </w:tcPr>
          <w:p w14:paraId="1F1CE83C">
            <w:pPr>
              <w:spacing w:line="286" w:lineRule="auto"/>
              <w:rPr>
                <w:rFonts w:ascii="Arial"/>
                <w:sz w:val="21"/>
                <w:highlight w:val="none"/>
              </w:rPr>
            </w:pPr>
          </w:p>
          <w:p w14:paraId="424C1798">
            <w:pPr>
              <w:spacing w:line="286" w:lineRule="auto"/>
              <w:rPr>
                <w:rFonts w:ascii="Arial"/>
                <w:sz w:val="21"/>
                <w:highlight w:val="none"/>
              </w:rPr>
            </w:pPr>
          </w:p>
          <w:p w14:paraId="09C8BC6C">
            <w:pPr>
              <w:spacing w:line="286" w:lineRule="auto"/>
              <w:rPr>
                <w:rFonts w:ascii="Arial"/>
                <w:sz w:val="21"/>
                <w:highlight w:val="none"/>
              </w:rPr>
            </w:pPr>
          </w:p>
          <w:p w14:paraId="14FFA978">
            <w:pPr>
              <w:pStyle w:val="6"/>
              <w:spacing w:before="68" w:line="355" w:lineRule="auto"/>
              <w:ind w:left="990" w:right="142" w:hanging="840"/>
              <w:rPr>
                <w:highlight w:val="none"/>
              </w:rPr>
            </w:pPr>
            <w:r>
              <w:rPr>
                <w:spacing w:val="1"/>
                <w:highlight w:val="none"/>
              </w:rPr>
              <w:t xml:space="preserve">是否授权评标委员会确定 </w:t>
            </w:r>
            <w:r>
              <w:rPr>
                <w:spacing w:val="3"/>
                <w:highlight w:val="none"/>
              </w:rPr>
              <w:t>中标人</w:t>
            </w:r>
          </w:p>
        </w:tc>
        <w:tc>
          <w:tcPr>
            <w:tcW w:w="5239" w:type="dxa"/>
            <w:vAlign w:val="top"/>
          </w:tcPr>
          <w:p w14:paraId="4C1EA451">
            <w:pPr>
              <w:pStyle w:val="6"/>
              <w:spacing w:before="150" w:line="219" w:lineRule="auto"/>
              <w:ind w:left="123"/>
              <w:rPr>
                <w:color w:val="auto"/>
                <w:spacing w:val="1"/>
                <w:highlight w:val="none"/>
              </w:rPr>
            </w:pPr>
            <w:r>
              <w:rPr>
                <w:color w:val="auto"/>
                <w:spacing w:val="1"/>
                <w:highlight w:val="none"/>
              </w:rPr>
              <w:t>□是</w:t>
            </w:r>
          </w:p>
          <w:p w14:paraId="3DCB998F">
            <w:pPr>
              <w:pStyle w:val="6"/>
              <w:spacing w:before="150" w:line="219" w:lineRule="auto"/>
              <w:ind w:left="123"/>
              <w:rPr>
                <w:rFonts w:hint="eastAsia"/>
                <w:color w:val="0000FF"/>
                <w:spacing w:val="1"/>
                <w:highlight w:val="none"/>
              </w:rPr>
            </w:pPr>
            <w:r>
              <w:rPr>
                <w:color w:val="auto"/>
                <w:spacing w:val="1"/>
                <w:highlight w:val="none"/>
              </w:rPr>
              <w:t>☑否，推荐的中标候选人数：</w:t>
            </w:r>
            <w:r>
              <w:rPr>
                <w:rFonts w:hint="eastAsia"/>
                <w:color w:val="0000FF"/>
                <w:spacing w:val="1"/>
                <w:highlight w:val="none"/>
              </w:rPr>
              <w:t>投标人的数量少于或等于</w:t>
            </w:r>
          </w:p>
          <w:p w14:paraId="758B572A">
            <w:pPr>
              <w:pStyle w:val="6"/>
              <w:spacing w:before="150" w:line="219" w:lineRule="auto"/>
              <w:ind w:left="123"/>
              <w:rPr>
                <w:rFonts w:hint="eastAsia"/>
                <w:color w:val="0000FF"/>
                <w:spacing w:val="1"/>
                <w:highlight w:val="none"/>
              </w:rPr>
            </w:pPr>
            <w:r>
              <w:rPr>
                <w:rFonts w:hint="eastAsia"/>
                <w:color w:val="0000FF"/>
                <w:spacing w:val="1"/>
                <w:highlight w:val="none"/>
              </w:rPr>
              <w:t>10 家时，评标委员会推荐的中标候选人数量不超过3</w:t>
            </w:r>
          </w:p>
          <w:p w14:paraId="7B43CAAC">
            <w:pPr>
              <w:pStyle w:val="6"/>
              <w:spacing w:before="150" w:line="219" w:lineRule="auto"/>
              <w:ind w:left="123"/>
              <w:rPr>
                <w:rFonts w:hint="eastAsia"/>
                <w:color w:val="0000FF"/>
                <w:spacing w:val="1"/>
                <w:highlight w:val="none"/>
              </w:rPr>
            </w:pPr>
            <w:r>
              <w:rPr>
                <w:rFonts w:hint="eastAsia"/>
                <w:color w:val="0000FF"/>
                <w:spacing w:val="1"/>
                <w:highlight w:val="none"/>
              </w:rPr>
              <w:t>家</w:t>
            </w:r>
            <w:r>
              <w:rPr>
                <w:rFonts w:hint="eastAsia"/>
                <w:color w:val="0000FF"/>
                <w:spacing w:val="1"/>
                <w:highlight w:val="none"/>
                <w:lang w:val="en-US" w:eastAsia="zh-CN"/>
              </w:rPr>
              <w:t>;</w:t>
            </w:r>
            <w:r>
              <w:rPr>
                <w:rFonts w:hint="eastAsia"/>
                <w:color w:val="0000FF"/>
                <w:spacing w:val="1"/>
                <w:highlight w:val="none"/>
              </w:rPr>
              <w:t>投标人的数量多于10家时，评标委员会推荐的中</w:t>
            </w:r>
          </w:p>
          <w:p w14:paraId="6CA29AF5">
            <w:pPr>
              <w:pStyle w:val="6"/>
              <w:spacing w:before="150" w:line="219" w:lineRule="auto"/>
              <w:ind w:left="123"/>
              <w:rPr>
                <w:rFonts w:hint="eastAsia" w:eastAsia="宋体"/>
                <w:highlight w:val="none"/>
                <w:lang w:val="en-US" w:eastAsia="zh-CN"/>
              </w:rPr>
            </w:pPr>
            <w:r>
              <w:rPr>
                <w:rFonts w:hint="eastAsia"/>
                <w:color w:val="0000FF"/>
                <w:spacing w:val="1"/>
                <w:highlight w:val="none"/>
              </w:rPr>
              <w:t>标候选人数量不超过</w:t>
            </w:r>
            <w:r>
              <w:rPr>
                <w:rFonts w:hint="eastAsia"/>
                <w:color w:val="0000FF"/>
                <w:spacing w:val="1"/>
                <w:highlight w:val="none"/>
                <w:lang w:val="en-US" w:eastAsia="zh-CN"/>
              </w:rPr>
              <w:t xml:space="preserve"> </w:t>
            </w:r>
            <w:r>
              <w:rPr>
                <w:rFonts w:hint="eastAsia"/>
                <w:color w:val="0000FF"/>
                <w:spacing w:val="1"/>
                <w:highlight w:val="none"/>
              </w:rPr>
              <w:t>5 家</w:t>
            </w:r>
            <w:r>
              <w:rPr>
                <w:rFonts w:hint="eastAsia"/>
                <w:color w:val="0000FF"/>
                <w:spacing w:val="1"/>
                <w:highlight w:val="none"/>
                <w:lang w:val="en-US" w:eastAsia="zh-CN"/>
              </w:rPr>
              <w:t>.</w:t>
            </w:r>
          </w:p>
        </w:tc>
      </w:tr>
      <w:tr w14:paraId="45622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6" w:hRule="atLeast"/>
        </w:trPr>
        <w:tc>
          <w:tcPr>
            <w:tcW w:w="1134" w:type="dxa"/>
            <w:vAlign w:val="top"/>
          </w:tcPr>
          <w:p w14:paraId="3722010E">
            <w:pPr>
              <w:spacing w:line="256" w:lineRule="auto"/>
              <w:rPr>
                <w:rFonts w:ascii="Arial"/>
                <w:sz w:val="21"/>
                <w:highlight w:val="none"/>
              </w:rPr>
            </w:pPr>
          </w:p>
          <w:p w14:paraId="78EC4942">
            <w:pPr>
              <w:spacing w:line="256" w:lineRule="auto"/>
              <w:rPr>
                <w:rFonts w:ascii="Arial"/>
                <w:sz w:val="21"/>
                <w:highlight w:val="none"/>
              </w:rPr>
            </w:pPr>
          </w:p>
          <w:p w14:paraId="1FE86634">
            <w:pPr>
              <w:spacing w:line="256" w:lineRule="auto"/>
              <w:rPr>
                <w:rFonts w:ascii="Arial"/>
                <w:sz w:val="21"/>
                <w:highlight w:val="none"/>
              </w:rPr>
            </w:pPr>
          </w:p>
          <w:p w14:paraId="1D118A46">
            <w:pPr>
              <w:spacing w:line="256" w:lineRule="auto"/>
              <w:rPr>
                <w:rFonts w:ascii="Arial"/>
                <w:sz w:val="21"/>
                <w:highlight w:val="none"/>
              </w:rPr>
            </w:pPr>
          </w:p>
          <w:p w14:paraId="3D408D9C">
            <w:pPr>
              <w:spacing w:line="257" w:lineRule="auto"/>
              <w:rPr>
                <w:rFonts w:ascii="Arial"/>
                <w:sz w:val="21"/>
                <w:highlight w:val="none"/>
              </w:rPr>
            </w:pPr>
          </w:p>
          <w:p w14:paraId="72888720">
            <w:pPr>
              <w:spacing w:line="257" w:lineRule="auto"/>
              <w:rPr>
                <w:rFonts w:ascii="Arial"/>
                <w:sz w:val="21"/>
                <w:highlight w:val="none"/>
              </w:rPr>
            </w:pPr>
          </w:p>
          <w:p w14:paraId="6ABB4693">
            <w:pPr>
              <w:spacing w:line="257" w:lineRule="auto"/>
              <w:rPr>
                <w:rFonts w:ascii="Arial"/>
                <w:sz w:val="21"/>
                <w:highlight w:val="none"/>
              </w:rPr>
            </w:pPr>
          </w:p>
          <w:p w14:paraId="5898C1D8">
            <w:pPr>
              <w:pStyle w:val="6"/>
              <w:spacing w:before="68" w:line="239" w:lineRule="auto"/>
              <w:ind w:left="295"/>
              <w:rPr>
                <w:highlight w:val="none"/>
              </w:rPr>
            </w:pPr>
            <w:r>
              <w:rPr>
                <w:spacing w:val="-3"/>
                <w:highlight w:val="none"/>
              </w:rPr>
              <w:t>7.3.1</w:t>
            </w:r>
          </w:p>
        </w:tc>
        <w:tc>
          <w:tcPr>
            <w:tcW w:w="2627" w:type="dxa"/>
            <w:vAlign w:val="top"/>
          </w:tcPr>
          <w:p w14:paraId="5AE7F394">
            <w:pPr>
              <w:spacing w:line="253" w:lineRule="auto"/>
              <w:rPr>
                <w:rFonts w:ascii="Arial"/>
                <w:sz w:val="21"/>
                <w:highlight w:val="none"/>
              </w:rPr>
            </w:pPr>
          </w:p>
          <w:p w14:paraId="6C8E2976">
            <w:pPr>
              <w:spacing w:line="253" w:lineRule="auto"/>
              <w:rPr>
                <w:rFonts w:ascii="Arial"/>
                <w:sz w:val="21"/>
                <w:highlight w:val="none"/>
              </w:rPr>
            </w:pPr>
          </w:p>
          <w:p w14:paraId="778F3ADF">
            <w:pPr>
              <w:spacing w:line="253" w:lineRule="auto"/>
              <w:rPr>
                <w:rFonts w:ascii="Arial"/>
                <w:sz w:val="21"/>
                <w:highlight w:val="none"/>
              </w:rPr>
            </w:pPr>
          </w:p>
          <w:p w14:paraId="308A452C">
            <w:pPr>
              <w:spacing w:line="254" w:lineRule="auto"/>
              <w:rPr>
                <w:rFonts w:ascii="Arial"/>
                <w:sz w:val="21"/>
                <w:highlight w:val="none"/>
              </w:rPr>
            </w:pPr>
          </w:p>
          <w:p w14:paraId="612F02C9">
            <w:pPr>
              <w:spacing w:line="254" w:lineRule="auto"/>
              <w:rPr>
                <w:rFonts w:ascii="Arial"/>
                <w:sz w:val="21"/>
                <w:highlight w:val="none"/>
              </w:rPr>
            </w:pPr>
          </w:p>
          <w:p w14:paraId="4C8C3482">
            <w:pPr>
              <w:spacing w:line="254" w:lineRule="auto"/>
              <w:rPr>
                <w:rFonts w:ascii="Arial"/>
                <w:sz w:val="21"/>
                <w:highlight w:val="none"/>
              </w:rPr>
            </w:pPr>
          </w:p>
          <w:p w14:paraId="54E8C12F">
            <w:pPr>
              <w:spacing w:line="254" w:lineRule="auto"/>
              <w:rPr>
                <w:rFonts w:ascii="Arial"/>
                <w:sz w:val="21"/>
                <w:highlight w:val="none"/>
              </w:rPr>
            </w:pPr>
          </w:p>
          <w:p w14:paraId="4D98AA4C">
            <w:pPr>
              <w:pStyle w:val="6"/>
              <w:spacing w:before="68" w:line="220" w:lineRule="auto"/>
              <w:ind w:left="880"/>
              <w:rPr>
                <w:highlight w:val="none"/>
              </w:rPr>
            </w:pPr>
            <w:r>
              <w:rPr>
                <w:spacing w:val="-3"/>
                <w:highlight w:val="none"/>
              </w:rPr>
              <w:t>履约担保</w:t>
            </w:r>
          </w:p>
        </w:tc>
        <w:tc>
          <w:tcPr>
            <w:tcW w:w="5239" w:type="dxa"/>
            <w:vAlign w:val="top"/>
          </w:tcPr>
          <w:p w14:paraId="58D712C3">
            <w:pPr>
              <w:pStyle w:val="6"/>
              <w:spacing w:before="134" w:line="220" w:lineRule="auto"/>
              <w:ind w:left="114"/>
              <w:rPr>
                <w:highlight w:val="none"/>
              </w:rPr>
            </w:pPr>
            <w:r>
              <w:rPr>
                <w:rFonts w:ascii="MS Gothic" w:hAnsi="MS Gothic" w:eastAsia="MS Gothic" w:cs="MS Gothic"/>
                <w:color w:val="0000FF"/>
                <w:spacing w:val="2"/>
                <w:highlight w:val="none"/>
              </w:rPr>
              <w:t>☑</w:t>
            </w:r>
            <w:r>
              <w:rPr>
                <w:spacing w:val="2"/>
                <w:highlight w:val="none"/>
              </w:rPr>
              <w:t>不提交</w:t>
            </w:r>
          </w:p>
          <w:p w14:paraId="0DD24CB5">
            <w:pPr>
              <w:pStyle w:val="6"/>
              <w:spacing w:before="149" w:line="220" w:lineRule="auto"/>
              <w:ind w:left="123"/>
              <w:rPr>
                <w:highlight w:val="none"/>
              </w:rPr>
            </w:pPr>
            <w:r>
              <w:rPr>
                <w:color w:val="0000FF"/>
                <w:spacing w:val="-1"/>
                <w:highlight w:val="none"/>
              </w:rPr>
              <w:t>□</w:t>
            </w:r>
            <w:r>
              <w:rPr>
                <w:spacing w:val="-1"/>
                <w:highlight w:val="none"/>
              </w:rPr>
              <w:t>提交，履约保证金的形式：</w:t>
            </w:r>
          </w:p>
          <w:p w14:paraId="70671FA2">
            <w:pPr>
              <w:pStyle w:val="6"/>
              <w:spacing w:before="69" w:line="220" w:lineRule="auto"/>
              <w:ind w:left="953"/>
              <w:rPr>
                <w:highlight w:val="none"/>
              </w:rPr>
            </w:pPr>
            <w:r>
              <w:rPr>
                <w:color w:val="0000FF"/>
                <w:spacing w:val="4"/>
                <w:highlight w:val="none"/>
              </w:rPr>
              <w:t>□</w:t>
            </w:r>
            <w:r>
              <w:rPr>
                <w:spacing w:val="4"/>
                <w:highlight w:val="none"/>
              </w:rPr>
              <w:t>银行保函</w:t>
            </w:r>
          </w:p>
          <w:p w14:paraId="0047A4BB">
            <w:pPr>
              <w:spacing w:line="309" w:lineRule="auto"/>
              <w:rPr>
                <w:rFonts w:ascii="Arial"/>
                <w:sz w:val="21"/>
                <w:highlight w:val="none"/>
              </w:rPr>
            </w:pPr>
          </w:p>
          <w:p w14:paraId="6A8D286D">
            <w:pPr>
              <w:pStyle w:val="6"/>
              <w:spacing w:before="68" w:line="220" w:lineRule="auto"/>
              <w:ind w:left="953"/>
              <w:rPr>
                <w:highlight w:val="none"/>
              </w:rPr>
            </w:pPr>
            <w:r>
              <w:rPr>
                <w:color w:val="0000FF"/>
                <w:spacing w:val="-2"/>
                <w:highlight w:val="none"/>
              </w:rPr>
              <w:t>□</w:t>
            </w:r>
            <w:r>
              <w:rPr>
                <w:spacing w:val="-2"/>
                <w:highlight w:val="none"/>
              </w:rPr>
              <w:t>保证保险</w:t>
            </w:r>
          </w:p>
          <w:p w14:paraId="7C94B303">
            <w:pPr>
              <w:spacing w:line="319" w:lineRule="auto"/>
              <w:rPr>
                <w:rFonts w:ascii="Arial"/>
                <w:sz w:val="21"/>
                <w:highlight w:val="none"/>
              </w:rPr>
            </w:pPr>
          </w:p>
          <w:p w14:paraId="5C448B35">
            <w:pPr>
              <w:pStyle w:val="6"/>
              <w:spacing w:before="69" w:line="220" w:lineRule="auto"/>
              <w:ind w:left="953"/>
              <w:rPr>
                <w:highlight w:val="none"/>
              </w:rPr>
            </w:pPr>
            <w:r>
              <w:rPr>
                <w:color w:val="0000FF"/>
                <w:spacing w:val="-2"/>
                <w:highlight w:val="none"/>
              </w:rPr>
              <w:t>□</w:t>
            </w:r>
            <w:r>
              <w:rPr>
                <w:spacing w:val="-2"/>
                <w:highlight w:val="none"/>
              </w:rPr>
              <w:t>其他形式</w:t>
            </w:r>
          </w:p>
          <w:p w14:paraId="5757ECFF">
            <w:pPr>
              <w:spacing w:line="396" w:lineRule="auto"/>
              <w:rPr>
                <w:rFonts w:ascii="Arial"/>
                <w:sz w:val="21"/>
                <w:highlight w:val="none"/>
              </w:rPr>
            </w:pPr>
          </w:p>
          <w:p w14:paraId="487B49F0">
            <w:pPr>
              <w:pStyle w:val="6"/>
              <w:spacing w:before="69" w:line="218" w:lineRule="auto"/>
              <w:ind w:left="953"/>
              <w:rPr>
                <w:highlight w:val="none"/>
              </w:rPr>
            </w:pPr>
            <w:r>
              <w:rPr>
                <w:highlight w:val="none"/>
              </w:rPr>
              <w:t>履约保证金的金额：合同总价的%</w:t>
            </w:r>
          </w:p>
          <w:p w14:paraId="54C5AA31">
            <w:pPr>
              <w:pStyle w:val="6"/>
              <w:spacing w:before="164" w:line="278" w:lineRule="auto"/>
              <w:ind w:left="133" w:right="119" w:firstLine="720"/>
              <w:rPr>
                <w:highlight w:val="none"/>
              </w:rPr>
            </w:pPr>
            <w:r>
              <w:rPr>
                <w:highlight w:val="none"/>
              </w:rPr>
              <w:t xml:space="preserve">(根据相关政策，支持中小企业自主选择以保  </w:t>
            </w:r>
            <w:r>
              <w:rPr>
                <w:spacing w:val="1"/>
                <w:highlight w:val="none"/>
              </w:rPr>
              <w:t>函、支票、汇票、本票等非现金形式提交履约保证金)</w:t>
            </w:r>
          </w:p>
        </w:tc>
      </w:tr>
      <w:tr w14:paraId="2DAF2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3" w:hRule="atLeast"/>
        </w:trPr>
        <w:tc>
          <w:tcPr>
            <w:tcW w:w="1134" w:type="dxa"/>
            <w:vAlign w:val="top"/>
          </w:tcPr>
          <w:p w14:paraId="0EA9617D">
            <w:pPr>
              <w:spacing w:line="243" w:lineRule="auto"/>
              <w:rPr>
                <w:rFonts w:ascii="Arial"/>
                <w:sz w:val="21"/>
                <w:highlight w:val="none"/>
              </w:rPr>
            </w:pPr>
          </w:p>
          <w:p w14:paraId="7A0200F6">
            <w:pPr>
              <w:spacing w:line="243" w:lineRule="auto"/>
              <w:rPr>
                <w:rFonts w:ascii="Arial"/>
                <w:sz w:val="21"/>
                <w:highlight w:val="none"/>
              </w:rPr>
            </w:pPr>
          </w:p>
          <w:p w14:paraId="6333CC1E">
            <w:pPr>
              <w:spacing w:line="244" w:lineRule="auto"/>
              <w:rPr>
                <w:rFonts w:ascii="Arial"/>
                <w:sz w:val="21"/>
                <w:highlight w:val="none"/>
              </w:rPr>
            </w:pPr>
          </w:p>
          <w:p w14:paraId="093E3D14">
            <w:pPr>
              <w:spacing w:line="244" w:lineRule="auto"/>
              <w:rPr>
                <w:rFonts w:ascii="Arial"/>
                <w:sz w:val="21"/>
                <w:highlight w:val="none"/>
              </w:rPr>
            </w:pPr>
          </w:p>
          <w:p w14:paraId="6328BF82">
            <w:pPr>
              <w:pStyle w:val="6"/>
              <w:spacing w:before="68" w:line="239" w:lineRule="auto"/>
              <w:ind w:left="394"/>
              <w:rPr>
                <w:highlight w:val="none"/>
              </w:rPr>
            </w:pPr>
            <w:r>
              <w:rPr>
                <w:spacing w:val="-3"/>
                <w:highlight w:val="none"/>
              </w:rPr>
              <w:t>9.5</w:t>
            </w:r>
          </w:p>
        </w:tc>
        <w:tc>
          <w:tcPr>
            <w:tcW w:w="2627" w:type="dxa"/>
            <w:vAlign w:val="top"/>
          </w:tcPr>
          <w:p w14:paraId="5A0D7CBC">
            <w:pPr>
              <w:spacing w:line="317" w:lineRule="auto"/>
              <w:rPr>
                <w:rFonts w:ascii="Arial"/>
                <w:sz w:val="21"/>
                <w:highlight w:val="none"/>
              </w:rPr>
            </w:pPr>
          </w:p>
          <w:p w14:paraId="7359D68E">
            <w:pPr>
              <w:spacing w:line="318" w:lineRule="auto"/>
              <w:rPr>
                <w:rFonts w:ascii="Arial"/>
                <w:sz w:val="21"/>
                <w:highlight w:val="none"/>
              </w:rPr>
            </w:pPr>
          </w:p>
          <w:p w14:paraId="1B2904F6">
            <w:pPr>
              <w:spacing w:line="318" w:lineRule="auto"/>
              <w:rPr>
                <w:rFonts w:ascii="Arial"/>
                <w:sz w:val="21"/>
                <w:highlight w:val="none"/>
              </w:rPr>
            </w:pPr>
          </w:p>
          <w:p w14:paraId="40724D29">
            <w:pPr>
              <w:pStyle w:val="6"/>
              <w:spacing w:before="68" w:line="219" w:lineRule="auto"/>
              <w:ind w:left="670"/>
              <w:rPr>
                <w:highlight w:val="none"/>
              </w:rPr>
            </w:pPr>
            <w:r>
              <w:rPr>
                <w:spacing w:val="3"/>
                <w:highlight w:val="none"/>
              </w:rPr>
              <w:t>行政监督部门</w:t>
            </w:r>
          </w:p>
        </w:tc>
        <w:tc>
          <w:tcPr>
            <w:tcW w:w="5239" w:type="dxa"/>
            <w:vAlign w:val="top"/>
          </w:tcPr>
          <w:p w14:paraId="3EB1FB2C">
            <w:pPr>
              <w:pStyle w:val="6"/>
              <w:spacing w:before="277" w:line="219" w:lineRule="auto"/>
              <w:ind w:left="133"/>
              <w:rPr>
                <w:highlight w:val="none"/>
              </w:rPr>
            </w:pPr>
            <w:r>
              <w:rPr>
                <w:spacing w:val="-11"/>
                <w:highlight w:val="none"/>
              </w:rPr>
              <w:t>名</w:t>
            </w:r>
            <w:r>
              <w:rPr>
                <w:spacing w:val="10"/>
                <w:highlight w:val="none"/>
              </w:rPr>
              <w:t xml:space="preserve">    </w:t>
            </w:r>
            <w:r>
              <w:rPr>
                <w:spacing w:val="-11"/>
                <w:highlight w:val="none"/>
              </w:rPr>
              <w:t>称：</w:t>
            </w:r>
            <w:r>
              <w:rPr>
                <w:color w:val="0000FF"/>
                <w:spacing w:val="-11"/>
                <w:highlight w:val="none"/>
              </w:rPr>
              <w:t>麻城市发展和改革局</w:t>
            </w:r>
          </w:p>
          <w:p w14:paraId="19C7A8E4">
            <w:pPr>
              <w:pStyle w:val="6"/>
              <w:spacing w:before="140" w:line="219" w:lineRule="auto"/>
              <w:ind w:left="123"/>
              <w:rPr>
                <w:highlight w:val="none"/>
              </w:rPr>
            </w:pPr>
            <w:r>
              <w:rPr>
                <w:spacing w:val="-12"/>
                <w:highlight w:val="none"/>
              </w:rPr>
              <w:t>地</w:t>
            </w:r>
            <w:r>
              <w:rPr>
                <w:spacing w:val="8"/>
                <w:highlight w:val="none"/>
              </w:rPr>
              <w:t xml:space="preserve">    </w:t>
            </w:r>
            <w:r>
              <w:rPr>
                <w:spacing w:val="-12"/>
                <w:highlight w:val="none"/>
              </w:rPr>
              <w:t>址：</w:t>
            </w:r>
            <w:r>
              <w:rPr>
                <w:color w:val="0000FF"/>
                <w:spacing w:val="-12"/>
                <w:highlight w:val="none"/>
              </w:rPr>
              <w:t>麻城市金桥大道</w:t>
            </w:r>
            <w:r>
              <w:rPr>
                <w:color w:val="1000FF"/>
                <w:spacing w:val="-12"/>
                <w:highlight w:val="none"/>
              </w:rPr>
              <w:t>61</w:t>
            </w:r>
            <w:r>
              <w:rPr>
                <w:color w:val="0000FF"/>
                <w:spacing w:val="-12"/>
                <w:highlight w:val="none"/>
              </w:rPr>
              <w:t>号</w:t>
            </w:r>
          </w:p>
          <w:p w14:paraId="4A90C26F">
            <w:pPr>
              <w:pStyle w:val="6"/>
              <w:spacing w:before="153" w:line="221" w:lineRule="auto"/>
              <w:ind w:left="123"/>
              <w:rPr>
                <w:highlight w:val="none"/>
              </w:rPr>
            </w:pPr>
            <w:r>
              <w:rPr>
                <w:spacing w:val="-14"/>
                <w:highlight w:val="none"/>
              </w:rPr>
              <w:t>电</w:t>
            </w:r>
            <w:r>
              <w:rPr>
                <w:spacing w:val="10"/>
                <w:highlight w:val="none"/>
              </w:rPr>
              <w:t xml:space="preserve">   </w:t>
            </w:r>
            <w:r>
              <w:rPr>
                <w:spacing w:val="-14"/>
                <w:highlight w:val="none"/>
              </w:rPr>
              <w:t>话</w:t>
            </w:r>
            <w:r>
              <w:rPr>
                <w:spacing w:val="59"/>
                <w:highlight w:val="none"/>
              </w:rPr>
              <w:t xml:space="preserve"> </w:t>
            </w:r>
            <w:r>
              <w:rPr>
                <w:spacing w:val="-14"/>
                <w:highlight w:val="none"/>
              </w:rPr>
              <w:t>：</w:t>
            </w:r>
            <w:r>
              <w:rPr>
                <w:color w:val="0000FF"/>
                <w:spacing w:val="-14"/>
                <w:highlight w:val="none"/>
              </w:rPr>
              <w:t>0713-2951430</w:t>
            </w:r>
          </w:p>
          <w:p w14:paraId="3B7FA749">
            <w:pPr>
              <w:pStyle w:val="6"/>
              <w:spacing w:before="174" w:line="219" w:lineRule="auto"/>
              <w:ind w:left="133"/>
              <w:rPr>
                <w:highlight w:val="none"/>
              </w:rPr>
            </w:pPr>
            <w:r>
              <w:rPr>
                <w:spacing w:val="-10"/>
                <w:highlight w:val="none"/>
              </w:rPr>
              <w:t>传</w:t>
            </w:r>
            <w:r>
              <w:rPr>
                <w:spacing w:val="7"/>
                <w:highlight w:val="none"/>
              </w:rPr>
              <w:t xml:space="preserve">    </w:t>
            </w:r>
            <w:r>
              <w:rPr>
                <w:spacing w:val="-10"/>
                <w:highlight w:val="none"/>
              </w:rPr>
              <w:t>真：</w:t>
            </w:r>
            <w:r>
              <w:rPr>
                <w:color w:val="0000FF"/>
                <w:spacing w:val="-10"/>
                <w:highlight w:val="none"/>
              </w:rPr>
              <w:t>0713-2951430</w:t>
            </w:r>
          </w:p>
          <w:p w14:paraId="241BCA82">
            <w:pPr>
              <w:pStyle w:val="6"/>
              <w:spacing w:before="143" w:line="219" w:lineRule="auto"/>
              <w:ind w:left="133"/>
              <w:rPr>
                <w:highlight w:val="none"/>
              </w:rPr>
            </w:pPr>
            <w:r>
              <w:rPr>
                <w:spacing w:val="-1"/>
                <w:highlight w:val="none"/>
              </w:rPr>
              <w:t>邮政编码：</w:t>
            </w:r>
            <w:r>
              <w:rPr>
                <w:color w:val="0000FF"/>
                <w:spacing w:val="-1"/>
                <w:highlight w:val="none"/>
              </w:rPr>
              <w:t>438300</w:t>
            </w:r>
          </w:p>
        </w:tc>
      </w:tr>
    </w:tbl>
    <w:p w14:paraId="71673F6C">
      <w:pPr>
        <w:pStyle w:val="2"/>
        <w:rPr>
          <w:highlight w:val="none"/>
        </w:rPr>
      </w:pPr>
    </w:p>
    <w:p w14:paraId="733EE86E">
      <w:pPr>
        <w:rPr>
          <w:highlight w:val="none"/>
        </w:rPr>
        <w:sectPr>
          <w:footerReference r:id="rId22" w:type="default"/>
          <w:pgSz w:w="11910" w:h="16840"/>
          <w:pgMar w:top="400" w:right="1244" w:bottom="1217" w:left="1655" w:header="0" w:footer="1013" w:gutter="0"/>
          <w:cols w:space="720" w:num="1"/>
        </w:sectPr>
      </w:pPr>
    </w:p>
    <w:p w14:paraId="697DEC2D">
      <w:pPr>
        <w:spacing w:before="20"/>
        <w:rPr>
          <w:highlight w:val="none"/>
        </w:rPr>
      </w:pPr>
    </w:p>
    <w:p w14:paraId="14635729">
      <w:pPr>
        <w:spacing w:before="20"/>
        <w:rPr>
          <w:highlight w:val="none"/>
        </w:rPr>
      </w:pPr>
    </w:p>
    <w:p w14:paraId="3687E1D1">
      <w:pPr>
        <w:spacing w:before="20"/>
        <w:rPr>
          <w:highlight w:val="none"/>
        </w:rPr>
      </w:pPr>
    </w:p>
    <w:p w14:paraId="50D9BB6E">
      <w:pPr>
        <w:spacing w:before="19"/>
        <w:rPr>
          <w:highlight w:val="none"/>
        </w:rPr>
      </w:pPr>
    </w:p>
    <w:tbl>
      <w:tblPr>
        <w:tblStyle w:val="5"/>
        <w:tblW w:w="89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4"/>
        <w:gridCol w:w="2617"/>
        <w:gridCol w:w="5229"/>
      </w:tblGrid>
      <w:tr w14:paraId="4DBC9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2" w:hRule="atLeast"/>
        </w:trPr>
        <w:tc>
          <w:tcPr>
            <w:tcW w:w="1134" w:type="dxa"/>
            <w:vAlign w:val="top"/>
          </w:tcPr>
          <w:p w14:paraId="682F4F08">
            <w:pPr>
              <w:spacing w:line="254" w:lineRule="auto"/>
              <w:rPr>
                <w:rFonts w:ascii="Arial"/>
                <w:sz w:val="21"/>
                <w:highlight w:val="none"/>
              </w:rPr>
            </w:pPr>
          </w:p>
          <w:p w14:paraId="6BEF66B4">
            <w:pPr>
              <w:spacing w:line="254" w:lineRule="auto"/>
              <w:rPr>
                <w:rFonts w:ascii="Arial"/>
                <w:sz w:val="21"/>
                <w:highlight w:val="none"/>
              </w:rPr>
            </w:pPr>
          </w:p>
          <w:p w14:paraId="5A865C9D">
            <w:pPr>
              <w:spacing w:line="254" w:lineRule="auto"/>
              <w:rPr>
                <w:rFonts w:ascii="Arial"/>
                <w:sz w:val="21"/>
                <w:highlight w:val="none"/>
              </w:rPr>
            </w:pPr>
          </w:p>
          <w:p w14:paraId="4DB0DBBB">
            <w:pPr>
              <w:spacing w:line="254" w:lineRule="auto"/>
              <w:rPr>
                <w:rFonts w:ascii="Arial"/>
                <w:sz w:val="21"/>
                <w:highlight w:val="none"/>
              </w:rPr>
            </w:pPr>
          </w:p>
          <w:p w14:paraId="58041A64">
            <w:pPr>
              <w:spacing w:line="254" w:lineRule="auto"/>
              <w:rPr>
                <w:rFonts w:ascii="Arial"/>
                <w:sz w:val="21"/>
                <w:highlight w:val="none"/>
              </w:rPr>
            </w:pPr>
          </w:p>
          <w:p w14:paraId="605B3F61">
            <w:pPr>
              <w:spacing w:line="254" w:lineRule="auto"/>
              <w:rPr>
                <w:rFonts w:ascii="Arial"/>
                <w:sz w:val="21"/>
                <w:highlight w:val="none"/>
              </w:rPr>
            </w:pPr>
          </w:p>
          <w:p w14:paraId="5C644F48">
            <w:pPr>
              <w:spacing w:line="254" w:lineRule="auto"/>
              <w:rPr>
                <w:rFonts w:ascii="Arial"/>
                <w:sz w:val="21"/>
                <w:highlight w:val="none"/>
              </w:rPr>
            </w:pPr>
          </w:p>
          <w:p w14:paraId="0A39D0B3">
            <w:pPr>
              <w:spacing w:line="255" w:lineRule="auto"/>
              <w:rPr>
                <w:rFonts w:ascii="Arial"/>
                <w:sz w:val="21"/>
                <w:highlight w:val="none"/>
              </w:rPr>
            </w:pPr>
          </w:p>
          <w:p w14:paraId="745647CF">
            <w:pPr>
              <w:pStyle w:val="6"/>
              <w:spacing w:before="68" w:line="239" w:lineRule="auto"/>
              <w:ind w:left="345"/>
              <w:rPr>
                <w:highlight w:val="none"/>
              </w:rPr>
            </w:pPr>
            <w:r>
              <w:rPr>
                <w:spacing w:val="-5"/>
                <w:highlight w:val="none"/>
              </w:rPr>
              <w:t>10.1</w:t>
            </w:r>
          </w:p>
        </w:tc>
        <w:tc>
          <w:tcPr>
            <w:tcW w:w="2617" w:type="dxa"/>
            <w:vAlign w:val="top"/>
          </w:tcPr>
          <w:p w14:paraId="71639DEB">
            <w:pPr>
              <w:spacing w:line="251" w:lineRule="auto"/>
              <w:rPr>
                <w:rFonts w:ascii="Arial"/>
                <w:sz w:val="21"/>
                <w:highlight w:val="none"/>
              </w:rPr>
            </w:pPr>
          </w:p>
          <w:p w14:paraId="7204A7BE">
            <w:pPr>
              <w:spacing w:line="251" w:lineRule="auto"/>
              <w:rPr>
                <w:rFonts w:ascii="Arial"/>
                <w:sz w:val="21"/>
                <w:highlight w:val="none"/>
              </w:rPr>
            </w:pPr>
          </w:p>
          <w:p w14:paraId="245C57B9">
            <w:pPr>
              <w:spacing w:line="251" w:lineRule="auto"/>
              <w:rPr>
                <w:rFonts w:ascii="Arial"/>
                <w:sz w:val="21"/>
                <w:highlight w:val="none"/>
              </w:rPr>
            </w:pPr>
          </w:p>
          <w:p w14:paraId="40437934">
            <w:pPr>
              <w:spacing w:line="252" w:lineRule="auto"/>
              <w:rPr>
                <w:rFonts w:ascii="Arial"/>
                <w:sz w:val="21"/>
                <w:highlight w:val="none"/>
              </w:rPr>
            </w:pPr>
          </w:p>
          <w:p w14:paraId="04B4C9A6">
            <w:pPr>
              <w:spacing w:line="252" w:lineRule="auto"/>
              <w:rPr>
                <w:rFonts w:ascii="Arial"/>
                <w:sz w:val="21"/>
                <w:highlight w:val="none"/>
              </w:rPr>
            </w:pPr>
          </w:p>
          <w:p w14:paraId="3996D3A4">
            <w:pPr>
              <w:spacing w:line="252" w:lineRule="auto"/>
              <w:rPr>
                <w:rFonts w:ascii="Arial"/>
                <w:sz w:val="21"/>
                <w:highlight w:val="none"/>
              </w:rPr>
            </w:pPr>
          </w:p>
          <w:p w14:paraId="55372874">
            <w:pPr>
              <w:spacing w:line="252" w:lineRule="auto"/>
              <w:rPr>
                <w:rFonts w:ascii="Arial"/>
                <w:sz w:val="21"/>
                <w:highlight w:val="none"/>
              </w:rPr>
            </w:pPr>
          </w:p>
          <w:p w14:paraId="2113C4F8">
            <w:pPr>
              <w:spacing w:line="252" w:lineRule="auto"/>
              <w:rPr>
                <w:rFonts w:ascii="Arial"/>
                <w:sz w:val="21"/>
                <w:highlight w:val="none"/>
              </w:rPr>
            </w:pPr>
          </w:p>
          <w:p w14:paraId="37CBD038">
            <w:pPr>
              <w:pStyle w:val="6"/>
              <w:spacing w:before="68" w:line="220" w:lineRule="auto"/>
              <w:ind w:left="771"/>
              <w:rPr>
                <w:highlight w:val="none"/>
              </w:rPr>
            </w:pPr>
            <w:r>
              <w:rPr>
                <w:spacing w:val="1"/>
                <w:highlight w:val="none"/>
              </w:rPr>
              <w:t>多标段投标</w:t>
            </w:r>
          </w:p>
        </w:tc>
        <w:tc>
          <w:tcPr>
            <w:tcW w:w="5229" w:type="dxa"/>
            <w:vAlign w:val="top"/>
          </w:tcPr>
          <w:p w14:paraId="31D2E07A">
            <w:pPr>
              <w:pStyle w:val="6"/>
              <w:spacing w:before="113" w:line="356" w:lineRule="auto"/>
              <w:ind w:left="134" w:right="160"/>
              <w:rPr>
                <w:highlight w:val="none"/>
              </w:rPr>
            </w:pPr>
            <w:bookmarkStart w:id="13" w:name="bookmark192"/>
            <w:bookmarkEnd w:id="13"/>
            <w:r>
              <w:rPr>
                <w:spacing w:val="-1"/>
                <w:highlight w:val="none"/>
              </w:rPr>
              <w:t>投标人可同时对本次招标标段中的</w:t>
            </w:r>
            <w:r>
              <w:rPr>
                <w:rFonts w:hint="eastAsia"/>
                <w:b/>
                <w:bCs/>
                <w:color w:val="0000FF"/>
                <w:spacing w:val="-1"/>
                <w:highlight w:val="none"/>
                <w:lang w:val="en-US" w:eastAsia="zh-CN"/>
              </w:rPr>
              <w:t>1</w:t>
            </w:r>
            <w:r>
              <w:rPr>
                <w:spacing w:val="-1"/>
                <w:highlight w:val="none"/>
              </w:rPr>
              <w:t>个标段投标。招标</w:t>
            </w:r>
            <w:r>
              <w:rPr>
                <w:spacing w:val="12"/>
                <w:highlight w:val="none"/>
              </w:rPr>
              <w:t xml:space="preserve"> </w:t>
            </w:r>
            <w:r>
              <w:rPr>
                <w:spacing w:val="-1"/>
                <w:highlight w:val="none"/>
              </w:rPr>
              <w:t>人按下列原则选择中标人：</w:t>
            </w:r>
          </w:p>
          <w:p w14:paraId="065A22EC">
            <w:pPr>
              <w:pStyle w:val="6"/>
              <w:spacing w:line="219" w:lineRule="auto"/>
              <w:ind w:left="134"/>
              <w:rPr>
                <w:highlight w:val="none"/>
              </w:rPr>
            </w:pPr>
            <w:r>
              <w:rPr>
                <w:color w:val="0000FF"/>
                <w:spacing w:val="-1"/>
                <w:highlight w:val="none"/>
              </w:rPr>
              <w:t>□</w:t>
            </w:r>
            <w:r>
              <w:rPr>
                <w:spacing w:val="-1"/>
                <w:highlight w:val="none"/>
              </w:rPr>
              <w:t>招标人按标段择优选择中标人。</w:t>
            </w:r>
          </w:p>
          <w:p w14:paraId="4B076743">
            <w:pPr>
              <w:pStyle w:val="6"/>
              <w:spacing w:before="151" w:line="280" w:lineRule="auto"/>
              <w:ind w:left="134" w:right="243"/>
              <w:rPr>
                <w:highlight w:val="none"/>
              </w:rPr>
            </w:pPr>
            <w:r>
              <w:rPr>
                <w:color w:val="0000FF"/>
                <w:highlight w:val="none"/>
              </w:rPr>
              <w:t>□</w:t>
            </w:r>
            <w:r>
              <w:rPr>
                <w:highlight w:val="none"/>
              </w:rPr>
              <w:t>投标人最多只允许中标个标段。如果同一投标人在</w:t>
            </w:r>
            <w:r>
              <w:rPr>
                <w:spacing w:val="10"/>
                <w:highlight w:val="none"/>
              </w:rPr>
              <w:t xml:space="preserve"> </w:t>
            </w:r>
            <w:r>
              <w:rPr>
                <w:spacing w:val="-1"/>
                <w:highlight w:val="none"/>
              </w:rPr>
              <w:t>多个标段中均排序第一，推荐中标候选人顺序为：</w:t>
            </w:r>
          </w:p>
          <w:p w14:paraId="085F9BE8">
            <w:pPr>
              <w:pStyle w:val="6"/>
              <w:spacing w:before="171" w:line="285" w:lineRule="auto"/>
              <w:ind w:left="134" w:right="49"/>
              <w:rPr>
                <w:highlight w:val="none"/>
              </w:rPr>
            </w:pPr>
            <w:r>
              <w:rPr>
                <w:color w:val="0000FF"/>
                <w:spacing w:val="-1"/>
                <w:highlight w:val="none"/>
              </w:rPr>
              <w:t>□</w:t>
            </w:r>
            <w:r>
              <w:rPr>
                <w:spacing w:val="-1"/>
                <w:highlight w:val="none"/>
              </w:rPr>
              <w:t>按照标段顺序，投标人在前面标段被推荐为第一中标</w:t>
            </w:r>
            <w:r>
              <w:rPr>
                <w:spacing w:val="13"/>
                <w:highlight w:val="none"/>
              </w:rPr>
              <w:t xml:space="preserve"> </w:t>
            </w:r>
            <w:r>
              <w:rPr>
                <w:spacing w:val="-1"/>
                <w:highlight w:val="none"/>
              </w:rPr>
              <w:t>候选人后，所投其他标段将不再被推荐为中标候选人。</w:t>
            </w:r>
          </w:p>
          <w:p w14:paraId="4BE6CC8D">
            <w:pPr>
              <w:pStyle w:val="6"/>
              <w:spacing w:before="142" w:line="310" w:lineRule="auto"/>
              <w:ind w:left="134" w:right="34"/>
              <w:rPr>
                <w:highlight w:val="none"/>
              </w:rPr>
            </w:pPr>
            <w:r>
              <w:rPr>
                <w:color w:val="0000FF"/>
                <w:highlight w:val="none"/>
              </w:rPr>
              <w:t>□</w:t>
            </w:r>
            <w:r>
              <w:rPr>
                <w:highlight w:val="none"/>
              </w:rPr>
              <w:t>按照标段最高投标限价从大到小的顺序，投标人在最</w:t>
            </w:r>
            <w:r>
              <w:rPr>
                <w:spacing w:val="9"/>
                <w:highlight w:val="none"/>
              </w:rPr>
              <w:t xml:space="preserve"> </w:t>
            </w:r>
            <w:r>
              <w:rPr>
                <w:highlight w:val="none"/>
              </w:rPr>
              <w:t>高投标限价大的标段被推荐为第一中标候选人后，所投</w:t>
            </w:r>
            <w:r>
              <w:rPr>
                <w:spacing w:val="8"/>
                <w:highlight w:val="none"/>
              </w:rPr>
              <w:t xml:space="preserve"> </w:t>
            </w:r>
            <w:r>
              <w:rPr>
                <w:spacing w:val="-1"/>
                <w:highlight w:val="none"/>
              </w:rPr>
              <w:t>其他标段将不再被推荐为中标候选人。</w:t>
            </w:r>
          </w:p>
          <w:p w14:paraId="7CA70D4E">
            <w:pPr>
              <w:pStyle w:val="6"/>
              <w:spacing w:before="163" w:line="200" w:lineRule="auto"/>
              <w:ind w:left="124"/>
              <w:rPr>
                <w:highlight w:val="none"/>
              </w:rPr>
            </w:pPr>
            <w:r>
              <w:rPr>
                <w:color w:val="0010FF"/>
                <w:spacing w:val="-16"/>
                <w:highlight w:val="none"/>
              </w:rPr>
              <w:t>□。</w:t>
            </w:r>
          </w:p>
        </w:tc>
      </w:tr>
      <w:tr w14:paraId="0A368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1134" w:type="dxa"/>
            <w:vAlign w:val="top"/>
          </w:tcPr>
          <w:p w14:paraId="1E07EECB">
            <w:pPr>
              <w:spacing w:line="471" w:lineRule="auto"/>
              <w:rPr>
                <w:rFonts w:ascii="Arial"/>
                <w:sz w:val="21"/>
                <w:highlight w:val="none"/>
              </w:rPr>
            </w:pPr>
          </w:p>
          <w:p w14:paraId="2CBD40D4">
            <w:pPr>
              <w:pStyle w:val="6"/>
              <w:spacing w:before="68" w:line="239" w:lineRule="auto"/>
              <w:ind w:left="244"/>
              <w:rPr>
                <w:highlight w:val="none"/>
              </w:rPr>
            </w:pPr>
            <w:r>
              <w:rPr>
                <w:spacing w:val="-4"/>
                <w:highlight w:val="none"/>
              </w:rPr>
              <w:t>10.2.1</w:t>
            </w:r>
          </w:p>
        </w:tc>
        <w:tc>
          <w:tcPr>
            <w:tcW w:w="2617" w:type="dxa"/>
            <w:vAlign w:val="top"/>
          </w:tcPr>
          <w:p w14:paraId="7F9A9416">
            <w:pPr>
              <w:spacing w:line="309" w:lineRule="auto"/>
              <w:rPr>
                <w:rFonts w:ascii="Arial"/>
                <w:sz w:val="21"/>
                <w:highlight w:val="none"/>
              </w:rPr>
            </w:pPr>
          </w:p>
          <w:p w14:paraId="04CDB5C1">
            <w:pPr>
              <w:pStyle w:val="6"/>
              <w:spacing w:before="69" w:line="267" w:lineRule="auto"/>
              <w:ind w:left="1090" w:right="110" w:hanging="950"/>
              <w:rPr>
                <w:highlight w:val="none"/>
              </w:rPr>
            </w:pPr>
            <w:r>
              <w:rPr>
                <w:spacing w:val="3"/>
                <w:highlight w:val="none"/>
              </w:rPr>
              <w:t>小微企业报价优惠(扣除)</w:t>
            </w:r>
            <w:r>
              <w:rPr>
                <w:spacing w:val="8"/>
                <w:highlight w:val="none"/>
              </w:rPr>
              <w:t xml:space="preserve"> </w:t>
            </w:r>
            <w:r>
              <w:rPr>
                <w:spacing w:val="4"/>
                <w:highlight w:val="none"/>
              </w:rPr>
              <w:t>系数</w:t>
            </w:r>
          </w:p>
        </w:tc>
        <w:tc>
          <w:tcPr>
            <w:tcW w:w="5229" w:type="dxa"/>
            <w:vAlign w:val="top"/>
          </w:tcPr>
          <w:p w14:paraId="272067C6">
            <w:pPr>
              <w:spacing w:line="311" w:lineRule="auto"/>
              <w:rPr>
                <w:rFonts w:ascii="Arial"/>
                <w:sz w:val="21"/>
                <w:highlight w:val="none"/>
              </w:rPr>
            </w:pPr>
          </w:p>
          <w:p w14:paraId="0EB8B768">
            <w:pPr>
              <w:pStyle w:val="6"/>
              <w:spacing w:before="68" w:line="219" w:lineRule="auto"/>
              <w:ind w:left="114"/>
              <w:rPr>
                <w:highlight w:val="none"/>
              </w:rPr>
            </w:pPr>
            <w:r>
              <w:rPr>
                <w:spacing w:val="-1"/>
                <w:highlight w:val="none"/>
              </w:rPr>
              <w:t>P的取值：</w:t>
            </w:r>
          </w:p>
        </w:tc>
      </w:tr>
      <w:tr w14:paraId="7094A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134" w:type="dxa"/>
            <w:vAlign w:val="top"/>
          </w:tcPr>
          <w:p w14:paraId="1A0DC522">
            <w:pPr>
              <w:spacing w:line="472" w:lineRule="auto"/>
              <w:rPr>
                <w:rFonts w:ascii="Arial"/>
                <w:sz w:val="21"/>
                <w:highlight w:val="none"/>
              </w:rPr>
            </w:pPr>
          </w:p>
          <w:p w14:paraId="24918FC0">
            <w:pPr>
              <w:pStyle w:val="6"/>
              <w:spacing w:before="68" w:line="239" w:lineRule="auto"/>
              <w:ind w:left="244"/>
              <w:rPr>
                <w:highlight w:val="none"/>
              </w:rPr>
            </w:pPr>
            <w:r>
              <w:rPr>
                <w:spacing w:val="-4"/>
                <w:highlight w:val="none"/>
              </w:rPr>
              <w:t>10.2.2</w:t>
            </w:r>
          </w:p>
        </w:tc>
        <w:tc>
          <w:tcPr>
            <w:tcW w:w="2617" w:type="dxa"/>
            <w:vAlign w:val="top"/>
          </w:tcPr>
          <w:p w14:paraId="0A2E70FC">
            <w:pPr>
              <w:pStyle w:val="6"/>
              <w:spacing w:before="212" w:line="219" w:lineRule="auto"/>
              <w:ind w:left="140"/>
              <w:rPr>
                <w:highlight w:val="none"/>
              </w:rPr>
            </w:pPr>
            <w:r>
              <w:rPr>
                <w:spacing w:val="-1"/>
                <w:highlight w:val="none"/>
              </w:rPr>
              <w:t>满足条件的联合体或者分</w:t>
            </w:r>
          </w:p>
          <w:p w14:paraId="6D5AEA4E">
            <w:pPr>
              <w:pStyle w:val="6"/>
              <w:spacing w:before="88" w:line="218" w:lineRule="auto"/>
              <w:ind w:left="140"/>
              <w:rPr>
                <w:highlight w:val="none"/>
              </w:rPr>
            </w:pPr>
            <w:r>
              <w:rPr>
                <w:spacing w:val="1"/>
                <w:highlight w:val="none"/>
              </w:rPr>
              <w:t>包企业报价优惠(扣除)系</w:t>
            </w:r>
          </w:p>
          <w:p w14:paraId="76BD6B92">
            <w:pPr>
              <w:pStyle w:val="6"/>
              <w:spacing w:before="54" w:line="219" w:lineRule="auto"/>
              <w:ind w:left="1190"/>
              <w:rPr>
                <w:highlight w:val="none"/>
              </w:rPr>
            </w:pPr>
            <w:r>
              <w:rPr>
                <w:highlight w:val="none"/>
              </w:rPr>
              <w:t>数</w:t>
            </w:r>
          </w:p>
        </w:tc>
        <w:tc>
          <w:tcPr>
            <w:tcW w:w="5229" w:type="dxa"/>
            <w:vAlign w:val="top"/>
          </w:tcPr>
          <w:p w14:paraId="31D0F578">
            <w:pPr>
              <w:spacing w:line="292" w:lineRule="auto"/>
              <w:rPr>
                <w:rFonts w:ascii="Arial"/>
                <w:sz w:val="21"/>
                <w:highlight w:val="none"/>
              </w:rPr>
            </w:pPr>
          </w:p>
          <w:p w14:paraId="61D4CA91">
            <w:pPr>
              <w:pStyle w:val="6"/>
              <w:spacing w:before="69" w:line="219" w:lineRule="auto"/>
              <w:ind w:left="114"/>
              <w:rPr>
                <w:highlight w:val="none"/>
              </w:rPr>
            </w:pPr>
            <w:r>
              <w:rPr>
                <w:spacing w:val="-1"/>
                <w:highlight w:val="none"/>
              </w:rPr>
              <w:t>Q的取值：</w:t>
            </w:r>
          </w:p>
        </w:tc>
      </w:tr>
      <w:tr w14:paraId="6638F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1134" w:type="dxa"/>
            <w:vAlign w:val="top"/>
          </w:tcPr>
          <w:p w14:paraId="1DF3F318">
            <w:pPr>
              <w:spacing w:line="241" w:lineRule="auto"/>
              <w:rPr>
                <w:rFonts w:ascii="Arial"/>
                <w:sz w:val="21"/>
                <w:highlight w:val="none"/>
              </w:rPr>
            </w:pPr>
          </w:p>
          <w:p w14:paraId="7339EBDC">
            <w:pPr>
              <w:spacing w:line="242" w:lineRule="auto"/>
              <w:rPr>
                <w:rFonts w:ascii="Arial"/>
                <w:sz w:val="21"/>
                <w:highlight w:val="none"/>
              </w:rPr>
            </w:pPr>
          </w:p>
          <w:p w14:paraId="05F4FA16">
            <w:pPr>
              <w:pStyle w:val="6"/>
              <w:spacing w:before="68" w:line="239" w:lineRule="auto"/>
              <w:ind w:left="345"/>
              <w:rPr>
                <w:highlight w:val="none"/>
              </w:rPr>
            </w:pPr>
            <w:r>
              <w:rPr>
                <w:spacing w:val="-5"/>
                <w:highlight w:val="none"/>
              </w:rPr>
              <w:t>10.3</w:t>
            </w:r>
          </w:p>
        </w:tc>
        <w:tc>
          <w:tcPr>
            <w:tcW w:w="2617" w:type="dxa"/>
            <w:vAlign w:val="top"/>
          </w:tcPr>
          <w:p w14:paraId="7B56DAE5">
            <w:pPr>
              <w:spacing w:line="462" w:lineRule="auto"/>
              <w:rPr>
                <w:rFonts w:ascii="Arial"/>
                <w:sz w:val="21"/>
                <w:highlight w:val="none"/>
              </w:rPr>
            </w:pPr>
          </w:p>
          <w:p w14:paraId="38635DEE">
            <w:pPr>
              <w:pStyle w:val="6"/>
              <w:spacing w:before="69" w:line="219" w:lineRule="auto"/>
              <w:ind w:left="350"/>
              <w:rPr>
                <w:highlight w:val="none"/>
              </w:rPr>
            </w:pPr>
            <w:r>
              <w:rPr>
                <w:spacing w:val="1"/>
                <w:highlight w:val="none"/>
              </w:rPr>
              <w:t>交易平台信息服务费</w:t>
            </w:r>
          </w:p>
        </w:tc>
        <w:tc>
          <w:tcPr>
            <w:tcW w:w="5229" w:type="dxa"/>
            <w:vAlign w:val="top"/>
          </w:tcPr>
          <w:p w14:paraId="44507926">
            <w:pPr>
              <w:rPr>
                <w:rFonts w:ascii="Arial"/>
                <w:sz w:val="21"/>
                <w:highlight w:val="none"/>
              </w:rPr>
            </w:pPr>
          </w:p>
        </w:tc>
      </w:tr>
      <w:tr w14:paraId="40111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8" w:hRule="atLeast"/>
        </w:trPr>
        <w:tc>
          <w:tcPr>
            <w:tcW w:w="1134" w:type="dxa"/>
            <w:vAlign w:val="top"/>
          </w:tcPr>
          <w:p w14:paraId="06BAFB02">
            <w:pPr>
              <w:spacing w:line="248" w:lineRule="auto"/>
              <w:rPr>
                <w:rFonts w:ascii="Arial"/>
                <w:sz w:val="21"/>
                <w:highlight w:val="none"/>
              </w:rPr>
            </w:pPr>
          </w:p>
          <w:p w14:paraId="5959E713">
            <w:pPr>
              <w:spacing w:line="248" w:lineRule="auto"/>
              <w:rPr>
                <w:rFonts w:ascii="Arial"/>
                <w:sz w:val="21"/>
                <w:highlight w:val="none"/>
              </w:rPr>
            </w:pPr>
          </w:p>
          <w:p w14:paraId="6CD7554B">
            <w:pPr>
              <w:spacing w:line="248" w:lineRule="auto"/>
              <w:rPr>
                <w:rFonts w:ascii="Arial"/>
                <w:sz w:val="21"/>
                <w:highlight w:val="none"/>
              </w:rPr>
            </w:pPr>
          </w:p>
          <w:p w14:paraId="7E39302D">
            <w:pPr>
              <w:spacing w:line="248" w:lineRule="auto"/>
              <w:rPr>
                <w:rFonts w:ascii="Arial"/>
                <w:sz w:val="21"/>
                <w:highlight w:val="none"/>
              </w:rPr>
            </w:pPr>
          </w:p>
          <w:p w14:paraId="515B5B82">
            <w:pPr>
              <w:spacing w:line="248" w:lineRule="auto"/>
              <w:rPr>
                <w:rFonts w:ascii="Arial"/>
                <w:sz w:val="21"/>
                <w:highlight w:val="none"/>
              </w:rPr>
            </w:pPr>
          </w:p>
          <w:p w14:paraId="7B8B9FA8">
            <w:pPr>
              <w:spacing w:line="248" w:lineRule="auto"/>
              <w:rPr>
                <w:rFonts w:ascii="Arial"/>
                <w:sz w:val="21"/>
                <w:highlight w:val="none"/>
              </w:rPr>
            </w:pPr>
          </w:p>
          <w:p w14:paraId="62A2817C">
            <w:pPr>
              <w:pStyle w:val="6"/>
              <w:spacing w:before="68" w:line="239" w:lineRule="auto"/>
              <w:ind w:left="345"/>
              <w:rPr>
                <w:highlight w:val="none"/>
              </w:rPr>
            </w:pPr>
            <w:r>
              <w:rPr>
                <w:spacing w:val="-5"/>
                <w:highlight w:val="none"/>
              </w:rPr>
              <w:t>10.4</w:t>
            </w:r>
          </w:p>
        </w:tc>
        <w:tc>
          <w:tcPr>
            <w:tcW w:w="2617" w:type="dxa"/>
            <w:vAlign w:val="top"/>
          </w:tcPr>
          <w:p w14:paraId="22A41091">
            <w:pPr>
              <w:spacing w:line="244" w:lineRule="auto"/>
              <w:rPr>
                <w:rFonts w:ascii="Arial"/>
                <w:sz w:val="21"/>
                <w:highlight w:val="none"/>
              </w:rPr>
            </w:pPr>
          </w:p>
          <w:p w14:paraId="6ABCF552">
            <w:pPr>
              <w:spacing w:line="244" w:lineRule="auto"/>
              <w:rPr>
                <w:rFonts w:ascii="Arial"/>
                <w:sz w:val="21"/>
                <w:highlight w:val="none"/>
              </w:rPr>
            </w:pPr>
          </w:p>
          <w:p w14:paraId="7312CCDB">
            <w:pPr>
              <w:spacing w:line="244" w:lineRule="auto"/>
              <w:rPr>
                <w:rFonts w:ascii="Arial"/>
                <w:sz w:val="21"/>
                <w:highlight w:val="none"/>
              </w:rPr>
            </w:pPr>
          </w:p>
          <w:p w14:paraId="23684D08">
            <w:pPr>
              <w:spacing w:line="245" w:lineRule="auto"/>
              <w:rPr>
                <w:rFonts w:ascii="Arial"/>
                <w:sz w:val="21"/>
                <w:highlight w:val="none"/>
              </w:rPr>
            </w:pPr>
          </w:p>
          <w:p w14:paraId="07280264">
            <w:pPr>
              <w:spacing w:line="245" w:lineRule="auto"/>
              <w:rPr>
                <w:rFonts w:ascii="Arial"/>
                <w:sz w:val="21"/>
                <w:highlight w:val="none"/>
              </w:rPr>
            </w:pPr>
          </w:p>
          <w:p w14:paraId="171579F9">
            <w:pPr>
              <w:spacing w:line="245" w:lineRule="auto"/>
              <w:rPr>
                <w:rFonts w:ascii="Arial"/>
                <w:sz w:val="21"/>
                <w:highlight w:val="none"/>
              </w:rPr>
            </w:pPr>
          </w:p>
          <w:p w14:paraId="09545DA8">
            <w:pPr>
              <w:pStyle w:val="6"/>
              <w:spacing w:before="68" w:line="219" w:lineRule="auto"/>
              <w:ind w:left="561"/>
              <w:rPr>
                <w:highlight w:val="none"/>
              </w:rPr>
            </w:pPr>
            <w:r>
              <w:rPr>
                <w:spacing w:val="1"/>
                <w:highlight w:val="none"/>
              </w:rPr>
              <w:t>招标代理服务费</w:t>
            </w:r>
          </w:p>
        </w:tc>
        <w:tc>
          <w:tcPr>
            <w:tcW w:w="5229" w:type="dxa"/>
            <w:vAlign w:val="top"/>
          </w:tcPr>
          <w:p w14:paraId="5C818268">
            <w:pPr>
              <w:spacing w:line="263" w:lineRule="auto"/>
              <w:rPr>
                <w:rFonts w:ascii="Arial"/>
                <w:sz w:val="21"/>
                <w:highlight w:val="none"/>
              </w:rPr>
            </w:pPr>
          </w:p>
          <w:p w14:paraId="458D2310">
            <w:pPr>
              <w:pStyle w:val="6"/>
              <w:spacing w:before="68" w:line="219" w:lineRule="auto"/>
              <w:ind w:left="134"/>
              <w:rPr>
                <w:highlight w:val="none"/>
              </w:rPr>
            </w:pPr>
            <w:r>
              <w:rPr>
                <w:color w:val="0000FF"/>
                <w:spacing w:val="-1"/>
                <w:highlight w:val="none"/>
              </w:rPr>
              <w:t>□</w:t>
            </w:r>
            <w:r>
              <w:rPr>
                <w:spacing w:val="-1"/>
                <w:highlight w:val="none"/>
              </w:rPr>
              <w:t>本次招标没有招标代理服务费。</w:t>
            </w:r>
          </w:p>
          <w:p w14:paraId="4FB6DDA8">
            <w:pPr>
              <w:pStyle w:val="6"/>
              <w:spacing w:before="50" w:line="257" w:lineRule="auto"/>
              <w:ind w:left="124" w:right="64"/>
              <w:rPr>
                <w:highlight w:val="none"/>
              </w:rPr>
            </w:pPr>
            <w:r>
              <w:rPr>
                <w:rFonts w:ascii="MS Gothic" w:hAnsi="MS Gothic" w:eastAsia="MS Gothic" w:cs="MS Gothic"/>
                <w:color w:val="0000FF"/>
                <w:spacing w:val="-1"/>
                <w:highlight w:val="none"/>
              </w:rPr>
              <w:t>☑</w:t>
            </w:r>
            <w:r>
              <w:rPr>
                <w:spacing w:val="-1"/>
                <w:highlight w:val="none"/>
              </w:rPr>
              <w:t>本次招标有招标代理服务费。根据招标人和招标代理</w:t>
            </w:r>
            <w:r>
              <w:rPr>
                <w:spacing w:val="13"/>
                <w:highlight w:val="none"/>
              </w:rPr>
              <w:t xml:space="preserve"> </w:t>
            </w:r>
            <w:r>
              <w:rPr>
                <w:spacing w:val="-1"/>
                <w:highlight w:val="none"/>
              </w:rPr>
              <w:t>机构委托代理合同的约定，本项目招标代理服务费：</w:t>
            </w:r>
          </w:p>
          <w:p w14:paraId="7FAF0EAD">
            <w:pPr>
              <w:pStyle w:val="6"/>
              <w:spacing w:before="47" w:line="219" w:lineRule="auto"/>
              <w:ind w:left="124"/>
              <w:rPr>
                <w:highlight w:val="none"/>
              </w:rPr>
            </w:pPr>
            <w:r>
              <w:rPr>
                <w:color w:val="0000FF"/>
                <w:spacing w:val="-1"/>
                <w:highlight w:val="none"/>
              </w:rPr>
              <w:t>□</w:t>
            </w:r>
            <w:r>
              <w:rPr>
                <w:spacing w:val="-1"/>
                <w:highlight w:val="none"/>
              </w:rPr>
              <w:t>由招标人支付。</w:t>
            </w:r>
          </w:p>
          <w:p w14:paraId="4B841312">
            <w:pPr>
              <w:pStyle w:val="6"/>
              <w:spacing w:before="110" w:line="219" w:lineRule="auto"/>
              <w:ind w:left="127"/>
              <w:rPr>
                <w:highlight w:val="none"/>
              </w:rPr>
            </w:pPr>
            <w:r>
              <w:rPr>
                <w:rFonts w:ascii="MS Gothic" w:hAnsi="MS Gothic" w:eastAsia="MS Gothic" w:cs="MS Gothic"/>
                <w:b/>
                <w:bCs/>
                <w:color w:val="0000FF"/>
                <w:spacing w:val="-2"/>
                <w:highlight w:val="none"/>
              </w:rPr>
              <w:t>☑</w:t>
            </w:r>
            <w:r>
              <w:rPr>
                <w:b/>
                <w:bCs/>
                <w:spacing w:val="-2"/>
                <w:highlight w:val="none"/>
              </w:rPr>
              <w:t>由</w:t>
            </w:r>
            <w:r>
              <w:rPr>
                <w:spacing w:val="-2"/>
                <w:highlight w:val="none"/>
              </w:rPr>
              <w:t>中标人支付。</w:t>
            </w:r>
          </w:p>
          <w:p w14:paraId="1C60ECA7">
            <w:pPr>
              <w:pStyle w:val="6"/>
              <w:spacing w:before="39" w:line="218" w:lineRule="auto"/>
              <w:ind w:left="654"/>
              <w:rPr>
                <w:highlight w:val="none"/>
              </w:rPr>
            </w:pPr>
            <w:r>
              <w:rPr>
                <w:spacing w:val="-1"/>
                <w:highlight w:val="none"/>
              </w:rPr>
              <w:t>支付标准：</w:t>
            </w:r>
            <w:r>
              <w:rPr>
                <w:color w:val="0000FF"/>
                <w:spacing w:val="-1"/>
                <w:highlight w:val="none"/>
              </w:rPr>
              <w:t>参照计价格[2002]1980号、发改价格</w:t>
            </w:r>
          </w:p>
          <w:p w14:paraId="6CDF7984">
            <w:pPr>
              <w:pStyle w:val="6"/>
              <w:spacing w:before="104" w:line="220" w:lineRule="auto"/>
              <w:ind w:left="114"/>
              <w:rPr>
                <w:highlight w:val="none"/>
              </w:rPr>
            </w:pPr>
            <w:r>
              <w:rPr>
                <w:color w:val="0000FF"/>
                <w:spacing w:val="3"/>
                <w:highlight w:val="none"/>
              </w:rPr>
              <w:t>[2011]534号文、鄂建文[2023]35号文的规定计取；</w:t>
            </w:r>
          </w:p>
          <w:p w14:paraId="61016E5D">
            <w:pPr>
              <w:pStyle w:val="6"/>
              <w:spacing w:before="59" w:line="219" w:lineRule="auto"/>
              <w:ind w:left="644"/>
              <w:rPr>
                <w:highlight w:val="none"/>
              </w:rPr>
            </w:pPr>
            <w:r>
              <w:rPr>
                <w:spacing w:val="9"/>
                <w:highlight w:val="none"/>
              </w:rPr>
              <w:t>支付方式：</w:t>
            </w:r>
            <w:r>
              <w:rPr>
                <w:color w:val="0000FF"/>
                <w:spacing w:val="9"/>
                <w:highlight w:val="none"/>
              </w:rPr>
              <w:t>现金或转账；</w:t>
            </w:r>
          </w:p>
          <w:p w14:paraId="3D66197E">
            <w:pPr>
              <w:pStyle w:val="6"/>
              <w:spacing w:before="50" w:line="219" w:lineRule="auto"/>
              <w:ind w:left="644"/>
              <w:rPr>
                <w:highlight w:val="none"/>
              </w:rPr>
            </w:pPr>
            <w:r>
              <w:rPr>
                <w:highlight w:val="none"/>
              </w:rPr>
              <w:t>支付时间：</w:t>
            </w:r>
            <w:r>
              <w:rPr>
                <w:color w:val="0000FF"/>
                <w:highlight w:val="none"/>
              </w:rPr>
              <w:t>中标通知书发放前。</w:t>
            </w:r>
          </w:p>
        </w:tc>
      </w:tr>
      <w:tr w14:paraId="7ABE9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134" w:type="dxa"/>
            <w:vAlign w:val="top"/>
          </w:tcPr>
          <w:p w14:paraId="45746102">
            <w:pPr>
              <w:spacing w:line="347" w:lineRule="auto"/>
              <w:rPr>
                <w:rFonts w:ascii="Arial"/>
                <w:sz w:val="21"/>
                <w:highlight w:val="none"/>
              </w:rPr>
            </w:pPr>
          </w:p>
          <w:p w14:paraId="05A206F2">
            <w:pPr>
              <w:pStyle w:val="6"/>
              <w:spacing w:before="68" w:line="239" w:lineRule="auto"/>
              <w:ind w:left="345"/>
              <w:rPr>
                <w:highlight w:val="none"/>
              </w:rPr>
            </w:pPr>
            <w:r>
              <w:rPr>
                <w:spacing w:val="-5"/>
                <w:highlight w:val="none"/>
              </w:rPr>
              <w:t>10.5</w:t>
            </w:r>
          </w:p>
        </w:tc>
        <w:tc>
          <w:tcPr>
            <w:tcW w:w="2617" w:type="dxa"/>
            <w:vAlign w:val="top"/>
          </w:tcPr>
          <w:p w14:paraId="0D7FE830">
            <w:pPr>
              <w:pStyle w:val="6"/>
              <w:spacing w:before="187" w:line="273" w:lineRule="auto"/>
              <w:ind w:left="1090" w:right="147" w:hanging="950"/>
              <w:rPr>
                <w:highlight w:val="none"/>
              </w:rPr>
            </w:pPr>
            <w:r>
              <w:rPr>
                <w:highlight w:val="none"/>
              </w:rPr>
              <w:t>中标后须提交的纸质投标</w:t>
            </w:r>
            <w:r>
              <w:rPr>
                <w:spacing w:val="7"/>
                <w:highlight w:val="none"/>
              </w:rPr>
              <w:t xml:space="preserve"> </w:t>
            </w:r>
            <w:r>
              <w:rPr>
                <w:spacing w:val="-3"/>
                <w:highlight w:val="none"/>
              </w:rPr>
              <w:t>文件</w:t>
            </w:r>
          </w:p>
        </w:tc>
        <w:tc>
          <w:tcPr>
            <w:tcW w:w="5229" w:type="dxa"/>
            <w:vAlign w:val="top"/>
          </w:tcPr>
          <w:p w14:paraId="238627D8">
            <w:pPr>
              <w:pStyle w:val="6"/>
              <w:spacing w:before="174" w:line="279" w:lineRule="auto"/>
              <w:ind w:left="134" w:right="238"/>
              <w:rPr>
                <w:highlight w:val="none"/>
              </w:rPr>
            </w:pPr>
            <w:r>
              <w:rPr>
                <w:highlight w:val="none"/>
              </w:rPr>
              <w:t>份数：</w:t>
            </w:r>
            <w:r>
              <w:rPr>
                <w:color w:val="0000FF"/>
                <w:highlight w:val="none"/>
              </w:rPr>
              <w:t>3</w:t>
            </w:r>
            <w:r>
              <w:rPr>
                <w:rFonts w:hint="eastAsia"/>
                <w:color w:val="0000FF"/>
                <w:highlight w:val="none"/>
                <w:lang w:val="en-US" w:eastAsia="zh-CN"/>
              </w:rPr>
              <w:t xml:space="preserve"> </w:t>
            </w:r>
            <w:r>
              <w:rPr>
                <w:highlight w:val="none"/>
              </w:rPr>
              <w:t>,中标人提交的纸质投标文件应当与投标时的电子投标文件内容一致。</w:t>
            </w:r>
          </w:p>
        </w:tc>
      </w:tr>
      <w:tr w14:paraId="0DC71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4" w:hRule="atLeast"/>
        </w:trPr>
        <w:tc>
          <w:tcPr>
            <w:tcW w:w="1134" w:type="dxa"/>
            <w:vAlign w:val="top"/>
          </w:tcPr>
          <w:p w14:paraId="56891E26">
            <w:pPr>
              <w:spacing w:line="323" w:lineRule="auto"/>
              <w:rPr>
                <w:rFonts w:ascii="Arial"/>
                <w:sz w:val="21"/>
                <w:highlight w:val="none"/>
              </w:rPr>
            </w:pPr>
          </w:p>
          <w:p w14:paraId="78AD4378">
            <w:pPr>
              <w:spacing w:line="323" w:lineRule="auto"/>
              <w:rPr>
                <w:rFonts w:ascii="Arial"/>
                <w:sz w:val="21"/>
                <w:highlight w:val="none"/>
              </w:rPr>
            </w:pPr>
          </w:p>
          <w:p w14:paraId="6E03C3B8">
            <w:pPr>
              <w:pStyle w:val="6"/>
              <w:spacing w:before="68" w:line="239" w:lineRule="auto"/>
              <w:ind w:left="345"/>
              <w:rPr>
                <w:highlight w:val="none"/>
              </w:rPr>
            </w:pPr>
            <w:r>
              <w:rPr>
                <w:spacing w:val="-5"/>
                <w:highlight w:val="none"/>
              </w:rPr>
              <w:t>10.6</w:t>
            </w:r>
          </w:p>
        </w:tc>
        <w:tc>
          <w:tcPr>
            <w:tcW w:w="2617" w:type="dxa"/>
            <w:vAlign w:val="top"/>
          </w:tcPr>
          <w:p w14:paraId="31D3FA5F">
            <w:pPr>
              <w:spacing w:line="312" w:lineRule="auto"/>
              <w:rPr>
                <w:rFonts w:ascii="Arial"/>
                <w:sz w:val="21"/>
                <w:highlight w:val="none"/>
              </w:rPr>
            </w:pPr>
          </w:p>
          <w:p w14:paraId="0F50F42E">
            <w:pPr>
              <w:spacing w:line="312" w:lineRule="auto"/>
              <w:rPr>
                <w:rFonts w:ascii="Arial"/>
                <w:sz w:val="21"/>
                <w:highlight w:val="none"/>
              </w:rPr>
            </w:pPr>
          </w:p>
          <w:p w14:paraId="2E279E12">
            <w:pPr>
              <w:pStyle w:val="6"/>
              <w:spacing w:before="68" w:line="219" w:lineRule="auto"/>
              <w:ind w:left="251"/>
              <w:rPr>
                <w:highlight w:val="none"/>
              </w:rPr>
            </w:pPr>
            <w:r>
              <w:rPr>
                <w:spacing w:val="-1"/>
                <w:highlight w:val="none"/>
              </w:rPr>
              <w:t>政府采购合同融资政策</w:t>
            </w:r>
          </w:p>
        </w:tc>
        <w:tc>
          <w:tcPr>
            <w:tcW w:w="5229" w:type="dxa"/>
            <w:vAlign w:val="top"/>
          </w:tcPr>
          <w:p w14:paraId="509D6EBF">
            <w:pPr>
              <w:pStyle w:val="6"/>
              <w:spacing w:before="86" w:line="219" w:lineRule="auto"/>
              <w:ind w:left="114"/>
              <w:rPr>
                <w:highlight w:val="none"/>
              </w:rPr>
            </w:pPr>
            <w:r>
              <w:rPr>
                <w:spacing w:val="-1"/>
                <w:highlight w:val="none"/>
              </w:rPr>
              <w:t>政府采购合同融资(以下简称“政采贷”)指参与政府</w:t>
            </w:r>
          </w:p>
          <w:p w14:paraId="16391729">
            <w:pPr>
              <w:pStyle w:val="6"/>
              <w:spacing w:before="50" w:line="219" w:lineRule="auto"/>
              <w:ind w:left="134"/>
              <w:rPr>
                <w:highlight w:val="none"/>
              </w:rPr>
            </w:pPr>
            <w:r>
              <w:rPr>
                <w:spacing w:val="2"/>
                <w:highlight w:val="none"/>
              </w:rPr>
              <w:t>采购活动的中小微企业，在获得政府采购中标(</w:t>
            </w:r>
            <w:r>
              <w:rPr>
                <w:spacing w:val="1"/>
                <w:highlight w:val="none"/>
              </w:rPr>
              <w:t>成交)</w:t>
            </w:r>
          </w:p>
          <w:p w14:paraId="3A5E4F36">
            <w:pPr>
              <w:pStyle w:val="6"/>
              <w:spacing w:before="100" w:line="266" w:lineRule="auto"/>
              <w:ind w:left="143" w:right="19" w:hanging="9"/>
              <w:rPr>
                <w:highlight w:val="none"/>
              </w:rPr>
            </w:pPr>
            <w:r>
              <w:rPr>
                <w:spacing w:val="1"/>
                <w:highlight w:val="none"/>
              </w:rPr>
              <w:t>通知书后，即可向开展“政采贷”业务的金融机构提出</w:t>
            </w:r>
            <w:r>
              <w:rPr>
                <w:highlight w:val="none"/>
              </w:rPr>
              <w:t xml:space="preserve"> 申请，金融机构依据政府采购中标(成交)通知书和政</w:t>
            </w:r>
          </w:p>
          <w:p w14:paraId="78CF39AE">
            <w:pPr>
              <w:pStyle w:val="6"/>
              <w:spacing w:before="5" w:line="200" w:lineRule="auto"/>
              <w:ind w:left="134"/>
              <w:rPr>
                <w:highlight w:val="none"/>
              </w:rPr>
            </w:pPr>
            <w:r>
              <w:rPr>
                <w:spacing w:val="-1"/>
                <w:highlight w:val="none"/>
              </w:rPr>
              <w:t>府采购合同，为中小微企业提供融资服务。</w:t>
            </w:r>
          </w:p>
        </w:tc>
      </w:tr>
    </w:tbl>
    <w:p w14:paraId="7B15FD28">
      <w:pPr>
        <w:pStyle w:val="2"/>
        <w:rPr>
          <w:highlight w:val="none"/>
        </w:rPr>
      </w:pPr>
    </w:p>
    <w:p w14:paraId="1CCACC0F">
      <w:pPr>
        <w:rPr>
          <w:highlight w:val="none"/>
        </w:rPr>
        <w:sectPr>
          <w:footerReference r:id="rId23" w:type="default"/>
          <w:pgSz w:w="11910" w:h="16840"/>
          <w:pgMar w:top="400" w:right="1274" w:bottom="1184" w:left="1645" w:header="0" w:footer="1024" w:gutter="0"/>
          <w:cols w:space="720" w:num="1"/>
        </w:sectPr>
      </w:pPr>
    </w:p>
    <w:p w14:paraId="7563A4D2">
      <w:pPr>
        <w:spacing w:before="18"/>
        <w:rPr>
          <w:highlight w:val="none"/>
        </w:rPr>
      </w:pPr>
    </w:p>
    <w:p w14:paraId="0A2912E8">
      <w:pPr>
        <w:spacing w:before="17"/>
        <w:rPr>
          <w:highlight w:val="none"/>
        </w:rPr>
      </w:pPr>
    </w:p>
    <w:p w14:paraId="021C4E91">
      <w:pPr>
        <w:spacing w:before="17"/>
        <w:rPr>
          <w:highlight w:val="none"/>
        </w:rPr>
      </w:pPr>
    </w:p>
    <w:p w14:paraId="7F86BCF2">
      <w:pPr>
        <w:spacing w:before="17"/>
        <w:rPr>
          <w:highlight w:val="none"/>
        </w:rPr>
      </w:pPr>
    </w:p>
    <w:tbl>
      <w:tblPr>
        <w:tblStyle w:val="5"/>
        <w:tblW w:w="90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4"/>
        <w:gridCol w:w="2637"/>
        <w:gridCol w:w="5229"/>
      </w:tblGrid>
      <w:tr w14:paraId="06F9E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3" w:hRule="atLeast"/>
        </w:trPr>
        <w:tc>
          <w:tcPr>
            <w:tcW w:w="1144" w:type="dxa"/>
            <w:vAlign w:val="top"/>
          </w:tcPr>
          <w:p w14:paraId="24D5E68B">
            <w:pPr>
              <w:rPr>
                <w:rFonts w:ascii="Arial"/>
                <w:sz w:val="21"/>
                <w:highlight w:val="none"/>
              </w:rPr>
            </w:pPr>
          </w:p>
        </w:tc>
        <w:tc>
          <w:tcPr>
            <w:tcW w:w="2637" w:type="dxa"/>
            <w:vAlign w:val="top"/>
          </w:tcPr>
          <w:p w14:paraId="029B5B21">
            <w:pPr>
              <w:rPr>
                <w:rFonts w:ascii="Arial"/>
                <w:sz w:val="21"/>
                <w:highlight w:val="none"/>
              </w:rPr>
            </w:pPr>
          </w:p>
        </w:tc>
        <w:tc>
          <w:tcPr>
            <w:tcW w:w="5229" w:type="dxa"/>
            <w:vAlign w:val="top"/>
          </w:tcPr>
          <w:p w14:paraId="5FF4C135">
            <w:pPr>
              <w:pStyle w:val="6"/>
              <w:spacing w:before="53" w:line="281" w:lineRule="auto"/>
              <w:ind w:left="143" w:right="85" w:hanging="144"/>
              <w:rPr>
                <w:highlight w:val="none"/>
              </w:rPr>
            </w:pPr>
            <w:r>
              <w:rPr>
                <w:spacing w:val="4"/>
                <w:highlight w:val="none"/>
              </w:rPr>
              <w:t>“政采贷”业务政策：《湖北省政府采购合同</w:t>
            </w:r>
            <w:r>
              <w:rPr>
                <w:spacing w:val="3"/>
                <w:highlight w:val="none"/>
              </w:rPr>
              <w:t>融资实施</w:t>
            </w:r>
            <w:r>
              <w:rPr>
                <w:highlight w:val="none"/>
              </w:rPr>
              <w:t xml:space="preserve"> </w:t>
            </w:r>
            <w:r>
              <w:rPr>
                <w:spacing w:val="1"/>
                <w:highlight w:val="none"/>
              </w:rPr>
              <w:t>方案》(鄂财采发[2020]5号)</w:t>
            </w:r>
          </w:p>
          <w:p w14:paraId="2AA50FF2">
            <w:pPr>
              <w:pStyle w:val="6"/>
              <w:spacing w:before="1" w:line="250" w:lineRule="auto"/>
              <w:ind w:left="223" w:right="172" w:hanging="135"/>
              <w:rPr>
                <w:highlight w:val="none"/>
              </w:rPr>
            </w:pPr>
            <w:r>
              <w:rPr>
                <w:spacing w:val="5"/>
                <w:highlight w:val="none"/>
              </w:rPr>
              <w:t>“政采贷”业务申请：湖北省政府采购合同融资平台</w:t>
            </w:r>
            <w:r>
              <w:rPr>
                <w:spacing w:val="11"/>
                <w:highlight w:val="none"/>
              </w:rPr>
              <w:t xml:space="preserve"> </w:t>
            </w:r>
            <w:r>
              <w:rPr>
                <w:spacing w:val="-1"/>
                <w:highlight w:val="none"/>
              </w:rPr>
              <w:t>(</w:t>
            </w:r>
            <w:r>
              <w:rPr>
                <w:highlight w:val="none"/>
              </w:rPr>
              <w:fldChar w:fldCharType="begin"/>
            </w:r>
            <w:r>
              <w:rPr>
                <w:highlight w:val="none"/>
              </w:rPr>
              <w:instrText xml:space="preserve"> HYPERLINK "https://czt.hubei.gov.cn/zcd/homepage)" </w:instrText>
            </w:r>
            <w:r>
              <w:rPr>
                <w:highlight w:val="none"/>
              </w:rPr>
              <w:fldChar w:fldCharType="separate"/>
            </w:r>
            <w:r>
              <w:rPr>
                <w:spacing w:val="-1"/>
                <w:highlight w:val="none"/>
              </w:rPr>
              <w:t>https://czt.hubei.gov.cn/zcd/h</w:t>
            </w:r>
            <w:r>
              <w:rPr>
                <w:spacing w:val="-2"/>
                <w:highlight w:val="none"/>
              </w:rPr>
              <w:t>omepage)</w:t>
            </w:r>
            <w:r>
              <w:rPr>
                <w:spacing w:val="-2"/>
                <w:highlight w:val="none"/>
              </w:rPr>
              <w:fldChar w:fldCharType="end"/>
            </w:r>
          </w:p>
        </w:tc>
      </w:tr>
      <w:tr w14:paraId="331BE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56" w:hRule="atLeast"/>
        </w:trPr>
        <w:tc>
          <w:tcPr>
            <w:tcW w:w="1144" w:type="dxa"/>
            <w:vAlign w:val="top"/>
          </w:tcPr>
          <w:p w14:paraId="515DA668">
            <w:pPr>
              <w:spacing w:line="242" w:lineRule="auto"/>
              <w:rPr>
                <w:rFonts w:ascii="Arial"/>
                <w:sz w:val="21"/>
                <w:highlight w:val="none"/>
              </w:rPr>
            </w:pPr>
          </w:p>
          <w:p w14:paraId="214E8B2B">
            <w:pPr>
              <w:spacing w:line="242" w:lineRule="auto"/>
              <w:rPr>
                <w:rFonts w:ascii="Arial"/>
                <w:sz w:val="21"/>
                <w:highlight w:val="none"/>
              </w:rPr>
            </w:pPr>
          </w:p>
          <w:p w14:paraId="6F667E52">
            <w:pPr>
              <w:spacing w:line="243" w:lineRule="auto"/>
              <w:rPr>
                <w:rFonts w:ascii="Arial"/>
                <w:sz w:val="21"/>
                <w:highlight w:val="none"/>
              </w:rPr>
            </w:pPr>
          </w:p>
          <w:p w14:paraId="16A7CA24">
            <w:pPr>
              <w:spacing w:line="243" w:lineRule="auto"/>
              <w:rPr>
                <w:rFonts w:ascii="Arial"/>
                <w:sz w:val="21"/>
                <w:highlight w:val="none"/>
              </w:rPr>
            </w:pPr>
          </w:p>
          <w:p w14:paraId="4887DDC3">
            <w:pPr>
              <w:spacing w:line="243" w:lineRule="auto"/>
              <w:rPr>
                <w:rFonts w:ascii="Arial"/>
                <w:sz w:val="21"/>
                <w:highlight w:val="none"/>
              </w:rPr>
            </w:pPr>
          </w:p>
          <w:p w14:paraId="42292AE6">
            <w:pPr>
              <w:spacing w:line="243" w:lineRule="auto"/>
              <w:rPr>
                <w:rFonts w:ascii="Arial"/>
                <w:sz w:val="21"/>
                <w:highlight w:val="none"/>
              </w:rPr>
            </w:pPr>
          </w:p>
          <w:p w14:paraId="2E6CCD91">
            <w:pPr>
              <w:spacing w:line="243" w:lineRule="auto"/>
              <w:rPr>
                <w:rFonts w:ascii="Arial"/>
                <w:sz w:val="21"/>
                <w:highlight w:val="none"/>
              </w:rPr>
            </w:pPr>
          </w:p>
          <w:p w14:paraId="0D3AC7C0">
            <w:pPr>
              <w:spacing w:line="243" w:lineRule="auto"/>
              <w:rPr>
                <w:rFonts w:ascii="Arial"/>
                <w:sz w:val="21"/>
                <w:highlight w:val="none"/>
              </w:rPr>
            </w:pPr>
          </w:p>
          <w:p w14:paraId="52B2F9C5">
            <w:pPr>
              <w:spacing w:line="243" w:lineRule="auto"/>
              <w:rPr>
                <w:rFonts w:ascii="Arial"/>
                <w:sz w:val="21"/>
                <w:highlight w:val="none"/>
              </w:rPr>
            </w:pPr>
          </w:p>
          <w:p w14:paraId="34707526">
            <w:pPr>
              <w:spacing w:line="243" w:lineRule="auto"/>
              <w:rPr>
                <w:rFonts w:ascii="Arial"/>
                <w:sz w:val="21"/>
                <w:highlight w:val="none"/>
              </w:rPr>
            </w:pPr>
          </w:p>
          <w:p w14:paraId="42AB1A35">
            <w:pPr>
              <w:spacing w:line="243" w:lineRule="auto"/>
              <w:rPr>
                <w:rFonts w:ascii="Arial"/>
                <w:sz w:val="21"/>
                <w:highlight w:val="none"/>
              </w:rPr>
            </w:pPr>
          </w:p>
          <w:p w14:paraId="2F753A61">
            <w:pPr>
              <w:spacing w:line="243" w:lineRule="auto"/>
              <w:rPr>
                <w:rFonts w:ascii="Arial"/>
                <w:sz w:val="21"/>
                <w:highlight w:val="none"/>
              </w:rPr>
            </w:pPr>
          </w:p>
          <w:p w14:paraId="2FF1B1D7">
            <w:pPr>
              <w:spacing w:line="243" w:lineRule="auto"/>
              <w:rPr>
                <w:rFonts w:ascii="Arial"/>
                <w:sz w:val="21"/>
                <w:highlight w:val="none"/>
              </w:rPr>
            </w:pPr>
          </w:p>
          <w:p w14:paraId="634A2340">
            <w:pPr>
              <w:spacing w:line="243" w:lineRule="auto"/>
              <w:rPr>
                <w:rFonts w:ascii="Arial"/>
                <w:sz w:val="21"/>
                <w:highlight w:val="none"/>
              </w:rPr>
            </w:pPr>
          </w:p>
          <w:p w14:paraId="12BE040E">
            <w:pPr>
              <w:spacing w:line="243" w:lineRule="auto"/>
              <w:rPr>
                <w:rFonts w:ascii="Arial"/>
                <w:sz w:val="21"/>
                <w:highlight w:val="none"/>
              </w:rPr>
            </w:pPr>
          </w:p>
          <w:p w14:paraId="6993AC89">
            <w:pPr>
              <w:spacing w:line="243" w:lineRule="auto"/>
              <w:rPr>
                <w:rFonts w:ascii="Arial"/>
                <w:sz w:val="21"/>
                <w:highlight w:val="none"/>
              </w:rPr>
            </w:pPr>
          </w:p>
          <w:p w14:paraId="090FC6E3">
            <w:pPr>
              <w:spacing w:line="243" w:lineRule="auto"/>
              <w:rPr>
                <w:rFonts w:ascii="Arial"/>
                <w:sz w:val="21"/>
                <w:highlight w:val="none"/>
              </w:rPr>
            </w:pPr>
          </w:p>
          <w:p w14:paraId="133F7790">
            <w:pPr>
              <w:spacing w:line="243" w:lineRule="auto"/>
              <w:rPr>
                <w:rFonts w:ascii="Arial"/>
                <w:sz w:val="21"/>
                <w:highlight w:val="none"/>
              </w:rPr>
            </w:pPr>
          </w:p>
          <w:p w14:paraId="2767995B">
            <w:pPr>
              <w:spacing w:line="243" w:lineRule="auto"/>
              <w:rPr>
                <w:rFonts w:ascii="Arial"/>
                <w:sz w:val="21"/>
                <w:highlight w:val="none"/>
              </w:rPr>
            </w:pPr>
          </w:p>
          <w:p w14:paraId="1D4D5BBC">
            <w:pPr>
              <w:spacing w:line="243" w:lineRule="auto"/>
              <w:rPr>
                <w:rFonts w:ascii="Arial"/>
                <w:sz w:val="21"/>
                <w:highlight w:val="none"/>
              </w:rPr>
            </w:pPr>
          </w:p>
          <w:p w14:paraId="5F0FA324">
            <w:pPr>
              <w:spacing w:line="243" w:lineRule="auto"/>
              <w:rPr>
                <w:rFonts w:ascii="Arial"/>
                <w:sz w:val="21"/>
                <w:highlight w:val="none"/>
              </w:rPr>
            </w:pPr>
          </w:p>
          <w:p w14:paraId="2E01CA0E">
            <w:pPr>
              <w:pStyle w:val="6"/>
              <w:spacing w:before="68" w:line="239" w:lineRule="auto"/>
              <w:ind w:left="374"/>
              <w:rPr>
                <w:highlight w:val="none"/>
              </w:rPr>
            </w:pPr>
            <w:r>
              <w:rPr>
                <w:spacing w:val="-5"/>
                <w:highlight w:val="none"/>
              </w:rPr>
              <w:t>10.7</w:t>
            </w:r>
          </w:p>
        </w:tc>
        <w:tc>
          <w:tcPr>
            <w:tcW w:w="2637" w:type="dxa"/>
            <w:vAlign w:val="top"/>
          </w:tcPr>
          <w:p w14:paraId="34952F13">
            <w:pPr>
              <w:spacing w:line="241" w:lineRule="auto"/>
              <w:rPr>
                <w:rFonts w:ascii="Arial"/>
                <w:sz w:val="21"/>
                <w:highlight w:val="none"/>
              </w:rPr>
            </w:pPr>
          </w:p>
          <w:p w14:paraId="423A2D48">
            <w:pPr>
              <w:spacing w:line="242" w:lineRule="auto"/>
              <w:rPr>
                <w:rFonts w:ascii="Arial"/>
                <w:sz w:val="21"/>
                <w:highlight w:val="none"/>
              </w:rPr>
            </w:pPr>
          </w:p>
          <w:p w14:paraId="69605C7B">
            <w:pPr>
              <w:spacing w:line="242" w:lineRule="auto"/>
              <w:rPr>
                <w:rFonts w:ascii="Arial"/>
                <w:sz w:val="21"/>
                <w:highlight w:val="none"/>
              </w:rPr>
            </w:pPr>
          </w:p>
          <w:p w14:paraId="03DBA30B">
            <w:pPr>
              <w:spacing w:line="242" w:lineRule="auto"/>
              <w:rPr>
                <w:rFonts w:ascii="Arial"/>
                <w:sz w:val="21"/>
                <w:highlight w:val="none"/>
              </w:rPr>
            </w:pPr>
          </w:p>
          <w:p w14:paraId="722824F2">
            <w:pPr>
              <w:spacing w:line="242" w:lineRule="auto"/>
              <w:rPr>
                <w:rFonts w:ascii="Arial"/>
                <w:sz w:val="21"/>
                <w:highlight w:val="none"/>
              </w:rPr>
            </w:pPr>
          </w:p>
          <w:p w14:paraId="28844C5E">
            <w:pPr>
              <w:spacing w:line="242" w:lineRule="auto"/>
              <w:rPr>
                <w:rFonts w:ascii="Arial"/>
                <w:sz w:val="21"/>
                <w:highlight w:val="none"/>
              </w:rPr>
            </w:pPr>
          </w:p>
          <w:p w14:paraId="160387CC">
            <w:pPr>
              <w:spacing w:line="242" w:lineRule="auto"/>
              <w:rPr>
                <w:rFonts w:ascii="Arial"/>
                <w:sz w:val="21"/>
                <w:highlight w:val="none"/>
              </w:rPr>
            </w:pPr>
          </w:p>
          <w:p w14:paraId="167181FF">
            <w:pPr>
              <w:spacing w:line="242" w:lineRule="auto"/>
              <w:rPr>
                <w:rFonts w:ascii="Arial"/>
                <w:sz w:val="21"/>
                <w:highlight w:val="none"/>
              </w:rPr>
            </w:pPr>
          </w:p>
          <w:p w14:paraId="44DEBC03">
            <w:pPr>
              <w:spacing w:line="242" w:lineRule="auto"/>
              <w:rPr>
                <w:rFonts w:ascii="Arial"/>
                <w:sz w:val="21"/>
                <w:highlight w:val="none"/>
              </w:rPr>
            </w:pPr>
          </w:p>
          <w:p w14:paraId="3C9ECBB5">
            <w:pPr>
              <w:spacing w:line="242" w:lineRule="auto"/>
              <w:rPr>
                <w:rFonts w:ascii="Arial"/>
                <w:sz w:val="21"/>
                <w:highlight w:val="none"/>
              </w:rPr>
            </w:pPr>
          </w:p>
          <w:p w14:paraId="11DF2F91">
            <w:pPr>
              <w:spacing w:line="242" w:lineRule="auto"/>
              <w:rPr>
                <w:rFonts w:ascii="Arial"/>
                <w:sz w:val="21"/>
                <w:highlight w:val="none"/>
              </w:rPr>
            </w:pPr>
          </w:p>
          <w:p w14:paraId="57A4944C">
            <w:pPr>
              <w:spacing w:line="242" w:lineRule="auto"/>
              <w:rPr>
                <w:rFonts w:ascii="Arial"/>
                <w:sz w:val="21"/>
                <w:highlight w:val="none"/>
              </w:rPr>
            </w:pPr>
          </w:p>
          <w:p w14:paraId="54DDAF29">
            <w:pPr>
              <w:spacing w:line="242" w:lineRule="auto"/>
              <w:rPr>
                <w:rFonts w:ascii="Arial"/>
                <w:sz w:val="21"/>
                <w:highlight w:val="none"/>
              </w:rPr>
            </w:pPr>
          </w:p>
          <w:p w14:paraId="7AA10C8F">
            <w:pPr>
              <w:spacing w:line="242" w:lineRule="auto"/>
              <w:rPr>
                <w:rFonts w:ascii="Arial"/>
                <w:sz w:val="21"/>
                <w:highlight w:val="none"/>
              </w:rPr>
            </w:pPr>
          </w:p>
          <w:p w14:paraId="35B827EF">
            <w:pPr>
              <w:spacing w:line="242" w:lineRule="auto"/>
              <w:rPr>
                <w:rFonts w:ascii="Arial"/>
                <w:sz w:val="21"/>
                <w:highlight w:val="none"/>
              </w:rPr>
            </w:pPr>
          </w:p>
          <w:p w14:paraId="3AD79A50">
            <w:pPr>
              <w:spacing w:line="242" w:lineRule="auto"/>
              <w:rPr>
                <w:rFonts w:ascii="Arial"/>
                <w:sz w:val="21"/>
                <w:highlight w:val="none"/>
              </w:rPr>
            </w:pPr>
          </w:p>
          <w:p w14:paraId="519089DC">
            <w:pPr>
              <w:spacing w:line="242" w:lineRule="auto"/>
              <w:rPr>
                <w:rFonts w:ascii="Arial"/>
                <w:sz w:val="21"/>
                <w:highlight w:val="none"/>
              </w:rPr>
            </w:pPr>
          </w:p>
          <w:p w14:paraId="3E0AA79A">
            <w:pPr>
              <w:spacing w:line="242" w:lineRule="auto"/>
              <w:rPr>
                <w:rFonts w:ascii="Arial"/>
                <w:sz w:val="21"/>
                <w:highlight w:val="none"/>
              </w:rPr>
            </w:pPr>
          </w:p>
          <w:p w14:paraId="2BADDCFE">
            <w:pPr>
              <w:spacing w:line="242" w:lineRule="auto"/>
              <w:rPr>
                <w:rFonts w:ascii="Arial"/>
                <w:sz w:val="21"/>
                <w:highlight w:val="none"/>
              </w:rPr>
            </w:pPr>
          </w:p>
          <w:p w14:paraId="56D40960">
            <w:pPr>
              <w:spacing w:line="242" w:lineRule="auto"/>
              <w:rPr>
                <w:rFonts w:ascii="Arial"/>
                <w:sz w:val="21"/>
                <w:highlight w:val="none"/>
              </w:rPr>
            </w:pPr>
          </w:p>
          <w:p w14:paraId="22054BC7">
            <w:pPr>
              <w:spacing w:line="242" w:lineRule="auto"/>
              <w:rPr>
                <w:rFonts w:ascii="Arial"/>
                <w:sz w:val="21"/>
                <w:highlight w:val="none"/>
              </w:rPr>
            </w:pPr>
          </w:p>
          <w:p w14:paraId="09B0CADB">
            <w:pPr>
              <w:pStyle w:val="6"/>
              <w:spacing w:before="68" w:line="219" w:lineRule="auto"/>
              <w:ind w:left="380"/>
              <w:rPr>
                <w:highlight w:val="none"/>
              </w:rPr>
            </w:pPr>
            <w:r>
              <w:rPr>
                <w:spacing w:val="1"/>
                <w:highlight w:val="none"/>
              </w:rPr>
              <w:t>需要补充的其他内容</w:t>
            </w:r>
          </w:p>
        </w:tc>
        <w:tc>
          <w:tcPr>
            <w:tcW w:w="5229" w:type="dxa"/>
            <w:vAlign w:val="top"/>
          </w:tcPr>
          <w:p w14:paraId="6365ED7A">
            <w:pPr>
              <w:pStyle w:val="6"/>
              <w:spacing w:before="190" w:line="309" w:lineRule="auto"/>
              <w:ind w:left="103" w:right="134" w:firstLine="30"/>
              <w:rPr>
                <w:highlight w:val="none"/>
              </w:rPr>
            </w:pPr>
            <w:r>
              <w:rPr>
                <w:color w:val="1000FF"/>
                <w:highlight w:val="none"/>
              </w:rPr>
              <w:t>1、</w:t>
            </w:r>
            <w:r>
              <w:rPr>
                <w:color w:val="0000FF"/>
                <w:highlight w:val="none"/>
              </w:rPr>
              <w:t>付款方式：按项目进度支付，具体以甲乙双方签订</w:t>
            </w:r>
            <w:r>
              <w:rPr>
                <w:color w:val="0000FF"/>
                <w:spacing w:val="14"/>
                <w:highlight w:val="none"/>
              </w:rPr>
              <w:t xml:space="preserve"> </w:t>
            </w:r>
            <w:r>
              <w:rPr>
                <w:color w:val="0000FF"/>
                <w:spacing w:val="-1"/>
                <w:highlight w:val="none"/>
              </w:rPr>
              <w:t>合同为准。</w:t>
            </w:r>
          </w:p>
          <w:p w14:paraId="42856629">
            <w:pPr>
              <w:pStyle w:val="6"/>
              <w:spacing w:before="185" w:line="331" w:lineRule="auto"/>
              <w:ind w:left="123" w:right="128" w:firstLine="10"/>
              <w:rPr>
                <w:highlight w:val="none"/>
              </w:rPr>
            </w:pPr>
            <w:r>
              <w:rPr>
                <w:color w:val="0000FF"/>
                <w:highlight w:val="none"/>
              </w:rPr>
              <w:t>2、采用“评定分离”(评标和定标分离)方式确定中标</w:t>
            </w:r>
            <w:r>
              <w:rPr>
                <w:color w:val="0000FF"/>
                <w:spacing w:val="12"/>
                <w:highlight w:val="none"/>
              </w:rPr>
              <w:t xml:space="preserve"> </w:t>
            </w:r>
            <w:r>
              <w:rPr>
                <w:color w:val="0000FF"/>
                <w:spacing w:val="1"/>
                <w:highlight w:val="none"/>
              </w:rPr>
              <w:t>单位，定标方法采用票决定标法。(详见发包人提供的</w:t>
            </w:r>
            <w:r>
              <w:rPr>
                <w:color w:val="0000FF"/>
                <w:spacing w:val="6"/>
                <w:highlight w:val="none"/>
              </w:rPr>
              <w:t xml:space="preserve"> </w:t>
            </w:r>
            <w:r>
              <w:rPr>
                <w:color w:val="0000FF"/>
                <w:spacing w:val="4"/>
                <w:highlight w:val="none"/>
              </w:rPr>
              <w:t>资料附件定标办法)</w:t>
            </w:r>
          </w:p>
          <w:p w14:paraId="76CABE64">
            <w:pPr>
              <w:pStyle w:val="6"/>
              <w:spacing w:before="190" w:line="334" w:lineRule="auto"/>
              <w:ind w:left="113" w:right="40" w:firstLine="20"/>
              <w:rPr>
                <w:highlight w:val="none"/>
              </w:rPr>
            </w:pPr>
            <w:r>
              <w:rPr>
                <w:color w:val="0000FF"/>
                <w:highlight w:val="none"/>
              </w:rPr>
              <w:t>3、中标候选人须在定标会议前提供三套完整的投标文</w:t>
            </w:r>
            <w:r>
              <w:rPr>
                <w:color w:val="0000FF"/>
                <w:spacing w:val="7"/>
                <w:highlight w:val="none"/>
              </w:rPr>
              <w:t xml:space="preserve">  </w:t>
            </w:r>
            <w:r>
              <w:rPr>
                <w:color w:val="0000FF"/>
                <w:spacing w:val="5"/>
                <w:highlight w:val="none"/>
              </w:rPr>
              <w:t>件，供定标委员会定标现场查阅参考(具体提供时间、</w:t>
            </w:r>
            <w:r>
              <w:rPr>
                <w:color w:val="0000FF"/>
                <w:spacing w:val="8"/>
                <w:highlight w:val="none"/>
              </w:rPr>
              <w:t xml:space="preserve"> </w:t>
            </w:r>
            <w:r>
              <w:rPr>
                <w:color w:val="0000FF"/>
                <w:highlight w:val="none"/>
              </w:rPr>
              <w:t>地点由代理机构另行通知)。</w:t>
            </w:r>
          </w:p>
          <w:p w14:paraId="2C1A54B8">
            <w:pPr>
              <w:pStyle w:val="6"/>
              <w:spacing w:before="170" w:line="345" w:lineRule="auto"/>
              <w:ind w:left="84" w:right="77"/>
              <w:rPr>
                <w:highlight w:val="none"/>
              </w:rPr>
            </w:pPr>
            <w:r>
              <w:rPr>
                <w:color w:val="0000FF"/>
                <w:highlight w:val="none"/>
              </w:rPr>
              <w:t>4、依据黄发改公管〔2024〕495号</w:t>
            </w:r>
            <w:r>
              <w:rPr>
                <w:color w:val="0000FF"/>
                <w:spacing w:val="-1"/>
                <w:highlight w:val="none"/>
              </w:rPr>
              <w:t>文，为落实招标人主</w:t>
            </w:r>
            <w:r>
              <w:rPr>
                <w:color w:val="0000FF"/>
                <w:highlight w:val="none"/>
              </w:rPr>
              <w:t xml:space="preserve"> 体责任，评定分离项目在定标环节，定标委员会组长原</w:t>
            </w:r>
            <w:r>
              <w:rPr>
                <w:color w:val="0000FF"/>
                <w:spacing w:val="16"/>
                <w:highlight w:val="none"/>
              </w:rPr>
              <w:t xml:space="preserve"> </w:t>
            </w:r>
            <w:r>
              <w:rPr>
                <w:color w:val="0000FF"/>
                <w:spacing w:val="2"/>
                <w:highlight w:val="none"/>
              </w:rPr>
              <w:t>则上由招标人的法定代表人或主要负责人担任(如无法</w:t>
            </w:r>
            <w:r>
              <w:rPr>
                <w:color w:val="0000FF"/>
                <w:spacing w:val="13"/>
                <w:highlight w:val="none"/>
              </w:rPr>
              <w:t xml:space="preserve"> </w:t>
            </w:r>
            <w:r>
              <w:rPr>
                <w:color w:val="0000FF"/>
                <w:spacing w:val="3"/>
                <w:highlight w:val="none"/>
              </w:rPr>
              <w:t>人的单位，为本单位第一责任人)。</w:t>
            </w:r>
          </w:p>
          <w:p w14:paraId="725D79DB">
            <w:pPr>
              <w:pStyle w:val="6"/>
              <w:spacing w:before="203" w:line="357" w:lineRule="auto"/>
              <w:ind w:left="133" w:hanging="49"/>
              <w:rPr>
                <w:highlight w:val="none"/>
              </w:rPr>
            </w:pPr>
            <w:r>
              <w:rPr>
                <w:color w:val="0000FF"/>
                <w:spacing w:val="3"/>
                <w:highlight w:val="none"/>
              </w:rPr>
              <w:t>5、本项目评标分离办法参照(鄂政办发〔2023〕12号、</w:t>
            </w:r>
            <w:r>
              <w:rPr>
                <w:color w:val="0000FF"/>
                <w:spacing w:val="9"/>
                <w:highlight w:val="none"/>
              </w:rPr>
              <w:t xml:space="preserve"> </w:t>
            </w:r>
            <w:r>
              <w:rPr>
                <w:color w:val="0000FF"/>
                <w:highlight w:val="none"/>
              </w:rPr>
              <w:t>鄂公管文〔2023〕25号和黄发改公管〔2024〕495号文</w:t>
            </w:r>
            <w:r>
              <w:rPr>
                <w:color w:val="0000FF"/>
                <w:spacing w:val="2"/>
                <w:highlight w:val="none"/>
              </w:rPr>
              <w:t xml:space="preserve">  </w:t>
            </w:r>
            <w:r>
              <w:rPr>
                <w:color w:val="0000FF"/>
                <w:spacing w:val="1"/>
                <w:highlight w:val="none"/>
              </w:rPr>
              <w:t>执行文件执行。投标人的数量少于或等于10家时，评</w:t>
            </w:r>
            <w:r>
              <w:rPr>
                <w:color w:val="0000FF"/>
                <w:spacing w:val="5"/>
                <w:highlight w:val="none"/>
              </w:rPr>
              <w:t xml:space="preserve">   </w:t>
            </w:r>
            <w:r>
              <w:rPr>
                <w:color w:val="0000FF"/>
                <w:highlight w:val="none"/>
              </w:rPr>
              <w:t>标委员会推荐的中标候选人数量不超过3家；投标人的</w:t>
            </w:r>
            <w:r>
              <w:rPr>
                <w:color w:val="0000FF"/>
                <w:spacing w:val="5"/>
                <w:highlight w:val="none"/>
              </w:rPr>
              <w:t xml:space="preserve">  </w:t>
            </w:r>
            <w:r>
              <w:rPr>
                <w:color w:val="0000FF"/>
                <w:spacing w:val="1"/>
                <w:highlight w:val="none"/>
              </w:rPr>
              <w:t>数量多于10家时，评标委员会推荐的中标候选人数量</w:t>
            </w:r>
            <w:r>
              <w:rPr>
                <w:color w:val="0000FF"/>
                <w:spacing w:val="5"/>
                <w:highlight w:val="none"/>
              </w:rPr>
              <w:t xml:space="preserve">   </w:t>
            </w:r>
            <w:r>
              <w:rPr>
                <w:color w:val="0000FF"/>
                <w:spacing w:val="1"/>
                <w:highlight w:val="none"/>
              </w:rPr>
              <w:t>不超过5家。(具体推选中标候选人数量详</w:t>
            </w:r>
            <w:r>
              <w:rPr>
                <w:color w:val="0000FF"/>
                <w:highlight w:val="none"/>
              </w:rPr>
              <w:t>见本章7.1)。</w:t>
            </w:r>
          </w:p>
          <w:p w14:paraId="030172F5">
            <w:pPr>
              <w:pStyle w:val="6"/>
              <w:spacing w:before="201" w:line="345" w:lineRule="auto"/>
              <w:ind w:left="133" w:hanging="49"/>
              <w:rPr>
                <w:highlight w:val="none"/>
              </w:rPr>
            </w:pPr>
            <w:r>
              <w:rPr>
                <w:color w:val="0000FF"/>
                <w:spacing w:val="-1"/>
                <w:highlight w:val="none"/>
              </w:rPr>
              <w:t>6、投标人可通过手机免费申请电子营业执照应用服务，</w:t>
            </w:r>
            <w:r>
              <w:rPr>
                <w:color w:val="0000FF"/>
                <w:spacing w:val="13"/>
                <w:highlight w:val="none"/>
              </w:rPr>
              <w:t xml:space="preserve"> </w:t>
            </w:r>
            <w:r>
              <w:rPr>
                <w:color w:val="0000FF"/>
                <w:spacing w:val="7"/>
                <w:highlight w:val="none"/>
              </w:rPr>
              <w:t>通过电子营业执照登录交易系统，进行</w:t>
            </w:r>
            <w:r>
              <w:rPr>
                <w:color w:val="0000FF"/>
                <w:highlight w:val="none"/>
              </w:rPr>
              <w:t>CA</w:t>
            </w:r>
            <w:r>
              <w:rPr>
                <w:color w:val="0000FF"/>
                <w:spacing w:val="7"/>
                <w:highlight w:val="none"/>
              </w:rPr>
              <w:t>身份认证、</w:t>
            </w:r>
            <w:r>
              <w:rPr>
                <w:color w:val="0000FF"/>
                <w:highlight w:val="none"/>
              </w:rPr>
              <w:t xml:space="preserve">  电子签章、电子签名、标书加密、标书解密。(补充的</w:t>
            </w:r>
            <w:r>
              <w:rPr>
                <w:color w:val="0000FF"/>
                <w:spacing w:val="5"/>
                <w:highlight w:val="none"/>
              </w:rPr>
              <w:t xml:space="preserve">  </w:t>
            </w:r>
            <w:r>
              <w:rPr>
                <w:color w:val="0000FF"/>
                <w:spacing w:val="1"/>
                <w:highlight w:val="none"/>
              </w:rPr>
              <w:t>内容不得与投标人须知的其他内容不一致或相抵触)</w:t>
            </w:r>
          </w:p>
          <w:p w14:paraId="3AF0E39A">
            <w:pPr>
              <w:pStyle w:val="6"/>
              <w:spacing w:before="201" w:line="288" w:lineRule="auto"/>
              <w:ind w:left="103" w:right="245" w:firstLine="140"/>
              <w:rPr>
                <w:highlight w:val="none"/>
              </w:rPr>
            </w:pPr>
            <w:r>
              <w:rPr>
                <w:highlight w:val="none"/>
              </w:rPr>
              <w:t>(补充的内容不得与投标人须知的其他内容不一致或</w:t>
            </w:r>
            <w:r>
              <w:rPr>
                <w:spacing w:val="4"/>
                <w:highlight w:val="none"/>
              </w:rPr>
              <w:t xml:space="preserve"> </w:t>
            </w:r>
            <w:r>
              <w:rPr>
                <w:spacing w:val="10"/>
                <w:highlight w:val="none"/>
              </w:rPr>
              <w:t>相抵触)</w:t>
            </w:r>
          </w:p>
        </w:tc>
      </w:tr>
    </w:tbl>
    <w:p w14:paraId="0A0A7245">
      <w:pPr>
        <w:pStyle w:val="2"/>
        <w:rPr>
          <w:highlight w:val="none"/>
        </w:rPr>
      </w:pPr>
    </w:p>
    <w:p w14:paraId="1C7949C1">
      <w:pPr>
        <w:rPr>
          <w:highlight w:val="none"/>
        </w:rPr>
        <w:sectPr>
          <w:footerReference r:id="rId24" w:type="default"/>
          <w:pgSz w:w="11910" w:h="16840"/>
          <w:pgMar w:top="400" w:right="1234" w:bottom="1217" w:left="1655" w:header="0" w:footer="1013" w:gutter="0"/>
          <w:cols w:space="720" w:num="1"/>
        </w:sectPr>
      </w:pPr>
    </w:p>
    <w:p w14:paraId="35359357">
      <w:pPr>
        <w:pStyle w:val="2"/>
        <w:spacing w:line="248" w:lineRule="auto"/>
        <w:rPr>
          <w:highlight w:val="none"/>
        </w:rPr>
      </w:pPr>
    </w:p>
    <w:p w14:paraId="6158DA64">
      <w:pPr>
        <w:pStyle w:val="2"/>
        <w:spacing w:line="248" w:lineRule="auto"/>
        <w:rPr>
          <w:highlight w:val="none"/>
        </w:rPr>
      </w:pPr>
    </w:p>
    <w:p w14:paraId="74C7C8ED">
      <w:pPr>
        <w:pStyle w:val="2"/>
        <w:spacing w:line="248" w:lineRule="auto"/>
        <w:rPr>
          <w:highlight w:val="none"/>
        </w:rPr>
      </w:pPr>
    </w:p>
    <w:p w14:paraId="4CEB9553">
      <w:pPr>
        <w:pStyle w:val="2"/>
        <w:spacing w:line="249" w:lineRule="auto"/>
        <w:rPr>
          <w:highlight w:val="none"/>
        </w:rPr>
      </w:pPr>
    </w:p>
    <w:p w14:paraId="54416785">
      <w:pPr>
        <w:spacing w:before="92" w:line="261" w:lineRule="auto"/>
        <w:ind w:right="65"/>
        <w:rPr>
          <w:rFonts w:ascii="宋体" w:hAnsi="宋体" w:eastAsia="宋体" w:cs="宋体"/>
          <w:spacing w:val="7"/>
          <w:sz w:val="22"/>
          <w:szCs w:val="22"/>
          <w:highlight w:val="none"/>
        </w:rPr>
      </w:pPr>
      <w:r>
        <w:rPr>
          <w:rFonts w:ascii="宋体" w:hAnsi="宋体" w:eastAsia="宋体" w:cs="宋体"/>
          <w:spacing w:val="7"/>
          <w:sz w:val="22"/>
          <w:szCs w:val="22"/>
          <w:highlight w:val="none"/>
        </w:rPr>
        <w:t>备注：1.采用资格后审方式的项目。对“近年完成类似项目情况的年份要求”:如要求提供  近5年的类似项目情况，则近5年是指从投标截止日往前推算5年，例如投标截止日为2014  年2月1日，则近5年是指2009年2月1日至2014年1月31日。采用资格预审方式的项 目。对“近年完成类似项目情况的年份要求”:如要求提供近5年的类似项目情况，近5年  是指从申请截止日往前推算5年至投标截止日的前一日，例如申请截止日为2014年2月1 日，投标截止日为2014年3月5日，则近5年是指2009年2月1日至2014年3月4日。  近年完成类似设计项目情况、近年完成类似施工项目情况、近年发生的诉讼及仲裁情况、近 年工程获质量奖项情况、近年项目经理已完工程获质量奖项情况、近年项目经理获得的表彰、 近三年发生重大工程质量问题、近三年行贿犯罪行为如有年份要求的均按上述示例规则推  算。</w:t>
      </w:r>
    </w:p>
    <w:p w14:paraId="5AFE0463">
      <w:pPr>
        <w:spacing w:before="92" w:line="261" w:lineRule="auto"/>
        <w:ind w:right="65"/>
        <w:rPr>
          <w:rFonts w:ascii="宋体" w:hAnsi="宋体" w:eastAsia="宋体" w:cs="宋体"/>
          <w:sz w:val="22"/>
          <w:szCs w:val="22"/>
          <w:highlight w:val="none"/>
        </w:rPr>
      </w:pPr>
      <w:r>
        <w:rPr>
          <w:rFonts w:ascii="宋体" w:hAnsi="宋体" w:eastAsia="宋体" w:cs="宋体"/>
          <w:spacing w:val="3"/>
          <w:sz w:val="22"/>
          <w:szCs w:val="22"/>
          <w:highlight w:val="none"/>
        </w:rPr>
        <w:t>2.</w:t>
      </w:r>
      <w:r>
        <w:rPr>
          <w:rFonts w:ascii="宋体" w:hAnsi="宋体" w:eastAsia="宋体" w:cs="宋体"/>
          <w:spacing w:val="-29"/>
          <w:sz w:val="22"/>
          <w:szCs w:val="22"/>
          <w:highlight w:val="none"/>
        </w:rPr>
        <w:t xml:space="preserve"> </w:t>
      </w:r>
      <w:r>
        <w:rPr>
          <w:rFonts w:ascii="宋体" w:hAnsi="宋体" w:eastAsia="宋体" w:cs="宋体"/>
          <w:spacing w:val="3"/>
          <w:sz w:val="22"/>
          <w:szCs w:val="22"/>
          <w:highlight w:val="none"/>
        </w:rPr>
        <w:t>近年财务状况的年份要求：如要求提供近3年的财务状况，投标截止日如在6月</w:t>
      </w:r>
      <w:r>
        <w:rPr>
          <w:rFonts w:ascii="宋体" w:hAnsi="宋体" w:eastAsia="宋体" w:cs="宋体"/>
          <w:spacing w:val="2"/>
          <w:sz w:val="22"/>
          <w:szCs w:val="22"/>
          <w:highlight w:val="none"/>
        </w:rPr>
        <w:t>30日</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以前，则近3年是指上上个年度往前推算3年，例如投标截止日为</w:t>
      </w:r>
      <w:r>
        <w:rPr>
          <w:rFonts w:ascii="仿宋" w:hAnsi="仿宋" w:eastAsia="仿宋" w:cs="仿宋"/>
          <w:spacing w:val="7"/>
          <w:sz w:val="22"/>
          <w:szCs w:val="22"/>
          <w:highlight w:val="none"/>
        </w:rPr>
        <w:t>2015年2月1日，近3</w:t>
      </w:r>
      <w:r>
        <w:rPr>
          <w:rFonts w:ascii="仿宋" w:hAnsi="仿宋" w:eastAsia="仿宋" w:cs="仿宋"/>
          <w:spacing w:val="16"/>
          <w:sz w:val="22"/>
          <w:szCs w:val="22"/>
          <w:highlight w:val="none"/>
        </w:rPr>
        <w:t xml:space="preserve"> </w:t>
      </w:r>
      <w:r>
        <w:rPr>
          <w:rFonts w:ascii="宋体" w:hAnsi="宋体" w:eastAsia="宋体" w:cs="宋体"/>
          <w:spacing w:val="4"/>
          <w:sz w:val="22"/>
          <w:szCs w:val="22"/>
          <w:highlight w:val="none"/>
        </w:rPr>
        <w:t>年是指2011年度、2012年度、2013年度。投标截止日如在6月30日以后</w:t>
      </w:r>
      <w:r>
        <w:rPr>
          <w:rFonts w:ascii="宋体" w:hAnsi="宋体" w:eastAsia="宋体" w:cs="宋体"/>
          <w:spacing w:val="3"/>
          <w:sz w:val="22"/>
          <w:szCs w:val="22"/>
          <w:highlight w:val="none"/>
        </w:rPr>
        <w:t>，则近3年是指</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上个年度往前推算的3年，例如投标截止日为2015年7月1日，近3年</w:t>
      </w:r>
      <w:r>
        <w:rPr>
          <w:rFonts w:ascii="宋体" w:hAnsi="宋体" w:eastAsia="宋体" w:cs="宋体"/>
          <w:spacing w:val="8"/>
          <w:sz w:val="22"/>
          <w:szCs w:val="22"/>
          <w:highlight w:val="none"/>
        </w:rPr>
        <w:t>是指2012年度、</w:t>
      </w:r>
      <w:r>
        <w:rPr>
          <w:rFonts w:ascii="宋体" w:hAnsi="宋体" w:eastAsia="宋体" w:cs="宋体"/>
          <w:sz w:val="22"/>
          <w:szCs w:val="22"/>
          <w:highlight w:val="none"/>
        </w:rPr>
        <w:t xml:space="preserve"> </w:t>
      </w:r>
      <w:r>
        <w:rPr>
          <w:rFonts w:ascii="宋体" w:hAnsi="宋体" w:eastAsia="宋体" w:cs="宋体"/>
          <w:spacing w:val="-1"/>
          <w:sz w:val="22"/>
          <w:szCs w:val="22"/>
          <w:highlight w:val="none"/>
        </w:rPr>
        <w:t>2013年度、2014年度。</w:t>
      </w:r>
    </w:p>
    <w:p w14:paraId="20FF15D8">
      <w:pPr>
        <w:spacing w:line="261" w:lineRule="auto"/>
        <w:rPr>
          <w:rFonts w:ascii="宋体" w:hAnsi="宋体" w:eastAsia="宋体" w:cs="宋体"/>
          <w:sz w:val="22"/>
          <w:szCs w:val="22"/>
          <w:highlight w:val="none"/>
        </w:rPr>
        <w:sectPr>
          <w:footerReference r:id="rId25" w:type="default"/>
          <w:pgSz w:w="11910" w:h="16840"/>
          <w:pgMar w:top="400" w:right="1734" w:bottom="1217" w:left="1769" w:header="0" w:footer="1013" w:gutter="0"/>
          <w:cols w:space="720" w:num="1"/>
        </w:sectPr>
      </w:pPr>
    </w:p>
    <w:p w14:paraId="6702E4CC">
      <w:pPr>
        <w:pStyle w:val="2"/>
        <w:spacing w:line="263" w:lineRule="auto"/>
        <w:rPr>
          <w:highlight w:val="none"/>
        </w:rPr>
      </w:pPr>
    </w:p>
    <w:p w14:paraId="02556B03">
      <w:pPr>
        <w:pStyle w:val="2"/>
        <w:spacing w:line="263" w:lineRule="auto"/>
        <w:rPr>
          <w:highlight w:val="none"/>
        </w:rPr>
      </w:pPr>
    </w:p>
    <w:p w14:paraId="2DA13761">
      <w:pPr>
        <w:pStyle w:val="2"/>
        <w:spacing w:line="263" w:lineRule="auto"/>
        <w:rPr>
          <w:highlight w:val="none"/>
        </w:rPr>
      </w:pPr>
    </w:p>
    <w:p w14:paraId="677DD0A4">
      <w:pPr>
        <w:pStyle w:val="2"/>
        <w:spacing w:line="264" w:lineRule="auto"/>
        <w:rPr>
          <w:highlight w:val="none"/>
        </w:rPr>
      </w:pPr>
    </w:p>
    <w:p w14:paraId="229857EF">
      <w:pPr>
        <w:spacing w:before="78" w:line="221" w:lineRule="auto"/>
        <w:outlineLvl w:val="1"/>
        <w:rPr>
          <w:rFonts w:ascii="黑体" w:hAnsi="黑体" w:eastAsia="黑体" w:cs="黑体"/>
          <w:sz w:val="24"/>
          <w:szCs w:val="24"/>
          <w:highlight w:val="none"/>
        </w:rPr>
      </w:pPr>
      <w:bookmarkStart w:id="14" w:name="bookmark4"/>
      <w:bookmarkEnd w:id="14"/>
      <w:bookmarkStart w:id="15" w:name="bookmark193"/>
      <w:bookmarkEnd w:id="15"/>
      <w:r>
        <w:rPr>
          <w:rFonts w:ascii="黑体" w:hAnsi="黑体" w:eastAsia="黑体" w:cs="黑体"/>
          <w:spacing w:val="-1"/>
          <w:sz w:val="24"/>
          <w:szCs w:val="24"/>
          <w:highlight w:val="none"/>
        </w:rPr>
        <w:t>投标人须知正文部分</w:t>
      </w:r>
    </w:p>
    <w:p w14:paraId="70CDA7A3">
      <w:pPr>
        <w:pStyle w:val="2"/>
        <w:spacing w:before="204" w:line="222" w:lineRule="auto"/>
        <w:outlineLvl w:val="1"/>
        <w:rPr>
          <w:rFonts w:ascii="黑体" w:hAnsi="黑体" w:eastAsia="黑体" w:cs="黑体"/>
          <w:sz w:val="28"/>
          <w:szCs w:val="28"/>
          <w:highlight w:val="none"/>
        </w:rPr>
      </w:pPr>
      <w:bookmarkStart w:id="16" w:name="bookmark5"/>
      <w:bookmarkEnd w:id="16"/>
      <w:r>
        <w:rPr>
          <w:spacing w:val="-1"/>
          <w:sz w:val="28"/>
          <w:szCs w:val="28"/>
          <w:highlight w:val="none"/>
        </w:rPr>
        <w:t>1.</w:t>
      </w:r>
      <w:r>
        <w:rPr>
          <w:spacing w:val="20"/>
          <w:w w:val="101"/>
          <w:sz w:val="28"/>
          <w:szCs w:val="28"/>
          <w:highlight w:val="none"/>
        </w:rPr>
        <w:t xml:space="preserve">  </w:t>
      </w:r>
      <w:r>
        <w:rPr>
          <w:rFonts w:ascii="黑体" w:hAnsi="黑体" w:eastAsia="黑体" w:cs="黑体"/>
          <w:spacing w:val="-1"/>
          <w:sz w:val="28"/>
          <w:szCs w:val="28"/>
          <w:highlight w:val="none"/>
        </w:rPr>
        <w:t>总则</w:t>
      </w:r>
    </w:p>
    <w:p w14:paraId="6E722913">
      <w:pPr>
        <w:pStyle w:val="2"/>
        <w:spacing w:line="257" w:lineRule="auto"/>
        <w:rPr>
          <w:highlight w:val="none"/>
        </w:rPr>
      </w:pPr>
    </w:p>
    <w:p w14:paraId="7BBD551A">
      <w:pPr>
        <w:pStyle w:val="2"/>
        <w:spacing w:before="72" w:line="221" w:lineRule="auto"/>
        <w:rPr>
          <w:rFonts w:ascii="黑体" w:hAnsi="黑体" w:eastAsia="黑体" w:cs="黑体"/>
          <w:sz w:val="22"/>
          <w:szCs w:val="22"/>
          <w:highlight w:val="none"/>
        </w:rPr>
      </w:pPr>
      <w:r>
        <w:rPr>
          <w:spacing w:val="-6"/>
          <w:sz w:val="22"/>
          <w:szCs w:val="22"/>
          <w:highlight w:val="none"/>
        </w:rPr>
        <w:t xml:space="preserve">1.1  </w:t>
      </w:r>
      <w:r>
        <w:rPr>
          <w:rFonts w:ascii="黑体" w:hAnsi="黑体" w:eastAsia="黑体" w:cs="黑体"/>
          <w:spacing w:val="-6"/>
          <w:sz w:val="22"/>
          <w:szCs w:val="22"/>
          <w:highlight w:val="none"/>
        </w:rPr>
        <w:t>项目概况</w:t>
      </w:r>
    </w:p>
    <w:p w14:paraId="03DD9939">
      <w:pPr>
        <w:spacing w:before="166" w:line="281" w:lineRule="auto"/>
        <w:ind w:right="19" w:firstLine="420"/>
        <w:rPr>
          <w:rFonts w:ascii="宋体" w:hAnsi="宋体" w:eastAsia="宋体" w:cs="宋体"/>
          <w:sz w:val="21"/>
          <w:szCs w:val="21"/>
          <w:highlight w:val="none"/>
        </w:rPr>
      </w:pPr>
      <w:r>
        <w:rPr>
          <w:rFonts w:ascii="Times New Roman" w:hAnsi="Times New Roman" w:eastAsia="Times New Roman" w:cs="Times New Roman"/>
          <w:sz w:val="21"/>
          <w:szCs w:val="21"/>
          <w:highlight w:val="none"/>
        </w:rPr>
        <w:t>1.1.1</w:t>
      </w:r>
      <w:r>
        <w:rPr>
          <w:rFonts w:ascii="Times New Roman" w:hAnsi="Times New Roman" w:eastAsia="Times New Roman" w:cs="Times New Roman"/>
          <w:spacing w:val="14"/>
          <w:w w:val="101"/>
          <w:sz w:val="21"/>
          <w:szCs w:val="21"/>
          <w:highlight w:val="none"/>
        </w:rPr>
        <w:t xml:space="preserve">  </w:t>
      </w:r>
      <w:r>
        <w:rPr>
          <w:rFonts w:ascii="宋体" w:hAnsi="宋体" w:eastAsia="宋体" w:cs="宋体"/>
          <w:sz w:val="21"/>
          <w:szCs w:val="21"/>
          <w:highlight w:val="none"/>
        </w:rPr>
        <w:t>根据《中华人民共和国招标投标法》等有关法律、法规和规章的规定，本项</w:t>
      </w:r>
      <w:r>
        <w:rPr>
          <w:rFonts w:ascii="宋体" w:hAnsi="宋体" w:eastAsia="宋体" w:cs="宋体"/>
          <w:spacing w:val="-1"/>
          <w:sz w:val="21"/>
          <w:szCs w:val="21"/>
          <w:highlight w:val="none"/>
        </w:rPr>
        <w:t>目已</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具备招标条件，现对本项目进行工程总承包招标。</w:t>
      </w:r>
    </w:p>
    <w:p w14:paraId="51B80588">
      <w:pPr>
        <w:spacing w:before="141"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1.1.2   </w:t>
      </w:r>
      <w:r>
        <w:rPr>
          <w:rFonts w:ascii="宋体" w:hAnsi="宋体" w:eastAsia="宋体" w:cs="宋体"/>
          <w:spacing w:val="-6"/>
          <w:sz w:val="22"/>
          <w:szCs w:val="22"/>
          <w:highlight w:val="none"/>
        </w:rPr>
        <w:t>招标人：见投标人须知前附表。</w:t>
      </w:r>
    </w:p>
    <w:p w14:paraId="6CC3C6BB">
      <w:pPr>
        <w:spacing w:before="138" w:line="218" w:lineRule="auto"/>
        <w:ind w:left="420"/>
        <w:rPr>
          <w:rFonts w:ascii="宋体" w:hAnsi="宋体" w:eastAsia="宋体" w:cs="宋体"/>
          <w:sz w:val="22"/>
          <w:szCs w:val="22"/>
          <w:highlight w:val="none"/>
        </w:rPr>
      </w:pPr>
      <w:r>
        <w:rPr>
          <w:rFonts w:ascii="Times New Roman" w:hAnsi="Times New Roman" w:eastAsia="Times New Roman" w:cs="Times New Roman"/>
          <w:spacing w:val="-2"/>
          <w:sz w:val="22"/>
          <w:szCs w:val="22"/>
          <w:highlight w:val="none"/>
        </w:rPr>
        <w:t>1.1.3</w:t>
      </w:r>
      <w:r>
        <w:rPr>
          <w:rFonts w:ascii="Times New Roman" w:hAnsi="Times New Roman" w:eastAsia="Times New Roman" w:cs="Times New Roman"/>
          <w:spacing w:val="13"/>
          <w:w w:val="101"/>
          <w:sz w:val="22"/>
          <w:szCs w:val="22"/>
          <w:highlight w:val="none"/>
        </w:rPr>
        <w:t xml:space="preserve">   </w:t>
      </w:r>
      <w:r>
        <w:rPr>
          <w:rFonts w:ascii="宋体" w:hAnsi="宋体" w:eastAsia="宋体" w:cs="宋体"/>
          <w:spacing w:val="-2"/>
          <w:sz w:val="22"/>
          <w:szCs w:val="22"/>
          <w:highlight w:val="none"/>
        </w:rPr>
        <w:t>招标代理机构(造价咨询人):见</w:t>
      </w:r>
      <w:r>
        <w:rPr>
          <w:rFonts w:ascii="宋体" w:hAnsi="宋体" w:eastAsia="宋体" w:cs="宋体"/>
          <w:spacing w:val="-3"/>
          <w:sz w:val="22"/>
          <w:szCs w:val="22"/>
          <w:highlight w:val="none"/>
        </w:rPr>
        <w:t>投标人须知前附表。</w:t>
      </w:r>
    </w:p>
    <w:p w14:paraId="55498CF5">
      <w:pPr>
        <w:spacing w:before="151" w:line="219" w:lineRule="auto"/>
        <w:ind w:left="420"/>
        <w:rPr>
          <w:rFonts w:ascii="宋体" w:hAnsi="宋体" w:eastAsia="宋体" w:cs="宋体"/>
          <w:sz w:val="22"/>
          <w:szCs w:val="22"/>
          <w:highlight w:val="none"/>
        </w:rPr>
      </w:pPr>
      <w:r>
        <w:rPr>
          <w:rFonts w:ascii="Times New Roman" w:hAnsi="Times New Roman" w:eastAsia="Times New Roman" w:cs="Times New Roman"/>
          <w:sz w:val="22"/>
          <w:szCs w:val="22"/>
          <w:highlight w:val="none"/>
        </w:rPr>
        <w:t xml:space="preserve">1.1.4   </w:t>
      </w:r>
      <w:r>
        <w:rPr>
          <w:rFonts w:ascii="宋体" w:hAnsi="宋体" w:eastAsia="宋体" w:cs="宋体"/>
          <w:sz w:val="22"/>
          <w:szCs w:val="22"/>
          <w:highlight w:val="none"/>
        </w:rPr>
        <w:t>监理人(项目管理单位):见投标人须知前附表。</w:t>
      </w:r>
    </w:p>
    <w:p w14:paraId="4A49F53F">
      <w:pPr>
        <w:spacing w:before="148" w:line="219"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1.1.5    </w:t>
      </w:r>
      <w:r>
        <w:rPr>
          <w:rFonts w:ascii="宋体" w:hAnsi="宋体" w:eastAsia="宋体" w:cs="宋体"/>
          <w:spacing w:val="6"/>
          <w:sz w:val="20"/>
          <w:szCs w:val="20"/>
          <w:highlight w:val="none"/>
        </w:rPr>
        <w:t>代建人：见投标人须知前附表。</w:t>
      </w:r>
    </w:p>
    <w:p w14:paraId="39A1D4BC">
      <w:pPr>
        <w:spacing w:before="153"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1.1.6   </w:t>
      </w:r>
      <w:r>
        <w:rPr>
          <w:rFonts w:ascii="宋体" w:hAnsi="宋体" w:eastAsia="宋体" w:cs="宋体"/>
          <w:spacing w:val="-7"/>
          <w:sz w:val="22"/>
          <w:szCs w:val="22"/>
          <w:highlight w:val="none"/>
        </w:rPr>
        <w:t>招标项目名称、招标编号：见投标人须知前附表。</w:t>
      </w:r>
    </w:p>
    <w:p w14:paraId="6A7761F6">
      <w:pPr>
        <w:spacing w:before="159" w:line="219"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1.1.7    </w:t>
      </w:r>
      <w:r>
        <w:rPr>
          <w:rFonts w:ascii="宋体" w:hAnsi="宋体" w:eastAsia="宋体" w:cs="宋体"/>
          <w:spacing w:val="6"/>
          <w:sz w:val="20"/>
          <w:szCs w:val="20"/>
          <w:highlight w:val="none"/>
        </w:rPr>
        <w:t>项目建设地点：见投标人须知前附表。</w:t>
      </w:r>
    </w:p>
    <w:p w14:paraId="44D4954F">
      <w:pPr>
        <w:spacing w:before="213" w:line="221" w:lineRule="auto"/>
        <w:rPr>
          <w:rFonts w:ascii="黑体" w:hAnsi="黑体" w:eastAsia="黑体" w:cs="黑体"/>
          <w:sz w:val="22"/>
          <w:szCs w:val="22"/>
          <w:highlight w:val="none"/>
        </w:rPr>
      </w:pPr>
      <w:r>
        <w:rPr>
          <w:rFonts w:ascii="黑体" w:hAnsi="黑体" w:eastAsia="黑体" w:cs="黑体"/>
          <w:spacing w:val="-2"/>
          <w:sz w:val="22"/>
          <w:szCs w:val="22"/>
          <w:highlight w:val="none"/>
        </w:rPr>
        <w:t>1.2项目的资金来源和落实情况</w:t>
      </w:r>
    </w:p>
    <w:p w14:paraId="35158562">
      <w:pPr>
        <w:spacing w:before="137" w:line="219" w:lineRule="auto"/>
        <w:ind w:left="420"/>
        <w:rPr>
          <w:rFonts w:ascii="宋体" w:hAnsi="宋体" w:eastAsia="宋体" w:cs="宋体"/>
          <w:sz w:val="22"/>
          <w:szCs w:val="22"/>
          <w:highlight w:val="none"/>
        </w:rPr>
      </w:pPr>
      <w:r>
        <w:rPr>
          <w:rFonts w:ascii="宋体" w:hAnsi="宋体" w:eastAsia="宋体" w:cs="宋体"/>
          <w:spacing w:val="-9"/>
          <w:sz w:val="22"/>
          <w:szCs w:val="22"/>
          <w:highlight w:val="none"/>
        </w:rPr>
        <w:t>1.2.1本招标项目的资金来源：见投标</w:t>
      </w:r>
      <w:r>
        <w:rPr>
          <w:rFonts w:ascii="宋体" w:hAnsi="宋体" w:eastAsia="宋体" w:cs="宋体"/>
          <w:spacing w:val="-10"/>
          <w:sz w:val="22"/>
          <w:szCs w:val="22"/>
          <w:highlight w:val="none"/>
        </w:rPr>
        <w:t>人须知前附表。</w:t>
      </w:r>
    </w:p>
    <w:p w14:paraId="1DC62E7A">
      <w:pPr>
        <w:spacing w:before="149" w:line="219" w:lineRule="auto"/>
        <w:ind w:left="420"/>
        <w:rPr>
          <w:rFonts w:ascii="宋体" w:hAnsi="宋体" w:eastAsia="宋体" w:cs="宋体"/>
          <w:sz w:val="22"/>
          <w:szCs w:val="22"/>
          <w:highlight w:val="none"/>
        </w:rPr>
      </w:pPr>
      <w:r>
        <w:rPr>
          <w:rFonts w:ascii="宋体" w:hAnsi="宋体" w:eastAsia="宋体" w:cs="宋体"/>
          <w:spacing w:val="-9"/>
          <w:sz w:val="22"/>
          <w:szCs w:val="22"/>
          <w:highlight w:val="none"/>
        </w:rPr>
        <w:t>1.2.2本招标项目的出资比例：见投标</w:t>
      </w:r>
      <w:r>
        <w:rPr>
          <w:rFonts w:ascii="宋体" w:hAnsi="宋体" w:eastAsia="宋体" w:cs="宋体"/>
          <w:spacing w:val="-10"/>
          <w:sz w:val="22"/>
          <w:szCs w:val="22"/>
          <w:highlight w:val="none"/>
        </w:rPr>
        <w:t>人须知前附表。</w:t>
      </w:r>
    </w:p>
    <w:p w14:paraId="5E03E9B4">
      <w:pPr>
        <w:spacing w:before="139"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1.2.3本招标项目的资金落实情况：见投标人须知前附表。</w:t>
      </w:r>
    </w:p>
    <w:p w14:paraId="33271267">
      <w:pPr>
        <w:spacing w:before="119"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1.2.4本招标项目性质：见投标人须知前附表。</w:t>
      </w:r>
    </w:p>
    <w:p w14:paraId="3F7C2B63">
      <w:pPr>
        <w:spacing w:before="221" w:line="222" w:lineRule="auto"/>
        <w:rPr>
          <w:rFonts w:ascii="黑体" w:hAnsi="黑体" w:eastAsia="黑体" w:cs="黑体"/>
          <w:sz w:val="22"/>
          <w:szCs w:val="22"/>
          <w:highlight w:val="none"/>
        </w:rPr>
      </w:pPr>
      <w:r>
        <w:rPr>
          <w:rFonts w:ascii="黑体" w:hAnsi="黑体" w:eastAsia="黑体" w:cs="黑体"/>
          <w:spacing w:val="-3"/>
          <w:sz w:val="22"/>
          <w:szCs w:val="22"/>
          <w:highlight w:val="none"/>
        </w:rPr>
        <w:t>1.3招标范围、计划工期和质量标准</w:t>
      </w:r>
    </w:p>
    <w:p w14:paraId="2BEF2182">
      <w:pPr>
        <w:spacing w:before="154"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1.3.1招标范围：见投标人须知前附表。</w:t>
      </w:r>
    </w:p>
    <w:p w14:paraId="355D46AD">
      <w:pPr>
        <w:spacing w:before="148" w:line="219" w:lineRule="auto"/>
        <w:ind w:left="420"/>
        <w:rPr>
          <w:rFonts w:ascii="宋体" w:hAnsi="宋体" w:eastAsia="宋体" w:cs="宋体"/>
          <w:sz w:val="20"/>
          <w:szCs w:val="20"/>
          <w:highlight w:val="none"/>
        </w:rPr>
      </w:pPr>
      <w:r>
        <w:rPr>
          <w:rFonts w:ascii="宋体" w:hAnsi="宋体" w:eastAsia="宋体" w:cs="宋体"/>
          <w:spacing w:val="6"/>
          <w:sz w:val="20"/>
          <w:szCs w:val="20"/>
          <w:highlight w:val="none"/>
        </w:rPr>
        <w:t>1.3.2计划工期：见投标人须知前附表。</w:t>
      </w:r>
    </w:p>
    <w:p w14:paraId="33D305B4">
      <w:pPr>
        <w:spacing w:before="152" w:line="219" w:lineRule="auto"/>
        <w:ind w:left="420"/>
        <w:rPr>
          <w:rFonts w:ascii="宋体" w:hAnsi="宋体" w:eastAsia="宋体" w:cs="宋体"/>
          <w:sz w:val="20"/>
          <w:szCs w:val="20"/>
          <w:highlight w:val="none"/>
        </w:rPr>
      </w:pPr>
      <w:r>
        <w:rPr>
          <w:rFonts w:ascii="宋体" w:hAnsi="宋体" w:eastAsia="宋体" w:cs="宋体"/>
          <w:spacing w:val="6"/>
          <w:sz w:val="20"/>
          <w:szCs w:val="20"/>
          <w:highlight w:val="none"/>
        </w:rPr>
        <w:t>1.3.3质量要求：见投标人须知前附表。</w:t>
      </w:r>
    </w:p>
    <w:p w14:paraId="3D21C80F">
      <w:pPr>
        <w:spacing w:before="164"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1.3.4本标段执行的政府采购政策：见投标人须知前附表。</w:t>
      </w:r>
    </w:p>
    <w:p w14:paraId="69914423">
      <w:pPr>
        <w:spacing w:before="219" w:line="285" w:lineRule="auto"/>
        <w:ind w:left="420" w:right="3554" w:hanging="420"/>
        <w:rPr>
          <w:rFonts w:ascii="宋体" w:hAnsi="宋体" w:eastAsia="宋体" w:cs="宋体"/>
          <w:sz w:val="21"/>
          <w:szCs w:val="21"/>
          <w:highlight w:val="none"/>
        </w:rPr>
      </w:pPr>
      <w:r>
        <w:rPr>
          <w:rFonts w:ascii="黑体" w:hAnsi="黑体" w:eastAsia="黑体" w:cs="黑体"/>
          <w:spacing w:val="9"/>
          <w:sz w:val="21"/>
          <w:szCs w:val="21"/>
          <w:highlight w:val="none"/>
        </w:rPr>
        <w:t>1.4投标人资格要求(适用于已进行资格预审的)</w:t>
      </w:r>
      <w:r>
        <w:rPr>
          <w:rFonts w:ascii="黑体" w:hAnsi="黑体" w:eastAsia="黑体" w:cs="黑体"/>
          <w:spacing w:val="5"/>
          <w:sz w:val="21"/>
          <w:szCs w:val="21"/>
          <w:highlight w:val="none"/>
        </w:rPr>
        <w:t xml:space="preserve">   </w:t>
      </w:r>
      <w:r>
        <w:rPr>
          <w:rFonts w:ascii="宋体" w:hAnsi="宋体" w:eastAsia="宋体" w:cs="宋体"/>
          <w:spacing w:val="-2"/>
          <w:sz w:val="21"/>
          <w:szCs w:val="21"/>
          <w:highlight w:val="none"/>
        </w:rPr>
        <w:t>投标人应是收到招标人发出投标邀请书的单位。</w:t>
      </w:r>
    </w:p>
    <w:p w14:paraId="07007A5F">
      <w:pPr>
        <w:spacing w:before="222" w:line="222" w:lineRule="auto"/>
        <w:rPr>
          <w:rFonts w:ascii="黑体" w:hAnsi="黑体" w:eastAsia="黑体" w:cs="黑体"/>
          <w:sz w:val="22"/>
          <w:szCs w:val="22"/>
          <w:highlight w:val="none"/>
        </w:rPr>
      </w:pPr>
      <w:r>
        <w:rPr>
          <w:rFonts w:ascii="黑体" w:hAnsi="黑体" w:eastAsia="黑体" w:cs="黑体"/>
          <w:spacing w:val="1"/>
          <w:sz w:val="22"/>
          <w:szCs w:val="22"/>
          <w:highlight w:val="none"/>
        </w:rPr>
        <w:t>1.4投标人资格要求(适用于未进行资格预审</w:t>
      </w:r>
      <w:r>
        <w:rPr>
          <w:rFonts w:ascii="黑体" w:hAnsi="黑体" w:eastAsia="黑体" w:cs="黑体"/>
          <w:sz w:val="22"/>
          <w:szCs w:val="22"/>
          <w:highlight w:val="none"/>
        </w:rPr>
        <w:t>的)</w:t>
      </w:r>
    </w:p>
    <w:p w14:paraId="30C14580">
      <w:pPr>
        <w:spacing w:before="135"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1.4.1投标人应具备承担本招标项目资质条件、能力和信誉。</w:t>
      </w:r>
    </w:p>
    <w:p w14:paraId="4011C5F1">
      <w:pPr>
        <w:spacing w:before="159" w:line="219" w:lineRule="auto"/>
        <w:ind w:left="529"/>
        <w:rPr>
          <w:rFonts w:ascii="宋体" w:hAnsi="宋体" w:eastAsia="宋体" w:cs="宋体"/>
          <w:sz w:val="21"/>
          <w:szCs w:val="21"/>
          <w:highlight w:val="none"/>
        </w:rPr>
      </w:pPr>
      <w:r>
        <w:rPr>
          <w:rFonts w:ascii="宋体" w:hAnsi="宋体" w:eastAsia="宋体" w:cs="宋体"/>
          <w:spacing w:val="3"/>
          <w:sz w:val="21"/>
          <w:szCs w:val="21"/>
          <w:highlight w:val="none"/>
        </w:rPr>
        <w:t>(1)资质条件：见投标人须知前附表；</w:t>
      </w:r>
    </w:p>
    <w:p w14:paraId="3423C900">
      <w:pPr>
        <w:spacing w:before="150" w:line="219"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(2)财务要求：见投标人须知前附表；</w:t>
      </w:r>
    </w:p>
    <w:p w14:paraId="39938B15">
      <w:pPr>
        <w:spacing w:before="173" w:line="219"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(3)业绩要求：见投标人须知前附表；</w:t>
      </w:r>
    </w:p>
    <w:p w14:paraId="70C5C9AA">
      <w:pPr>
        <w:spacing w:before="163" w:line="219"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(4)信誉要求：见投标人须知前附表；</w:t>
      </w:r>
    </w:p>
    <w:p w14:paraId="0245EEDB">
      <w:pPr>
        <w:spacing w:before="143" w:line="219"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(5)项目经理的资格要求：见投标人须知前附表；</w:t>
      </w:r>
    </w:p>
    <w:p w14:paraId="7956673A">
      <w:pPr>
        <w:spacing w:before="153"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(6)设计负责人的资格要求：见投标人须知前附表；</w:t>
      </w:r>
    </w:p>
    <w:p w14:paraId="638BA6D7">
      <w:pPr>
        <w:spacing w:before="158" w:line="219"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(7)施工负责人的资格要求：见投标人须知前附表；</w:t>
      </w:r>
    </w:p>
    <w:p w14:paraId="448F54E6">
      <w:pPr>
        <w:spacing w:before="144" w:line="219" w:lineRule="auto"/>
        <w:ind w:left="529"/>
        <w:rPr>
          <w:rFonts w:ascii="宋体" w:hAnsi="宋体" w:eastAsia="宋体" w:cs="宋体"/>
          <w:sz w:val="22"/>
          <w:szCs w:val="22"/>
          <w:highlight w:val="none"/>
        </w:rPr>
      </w:pPr>
      <w:r>
        <w:rPr>
          <w:rFonts w:ascii="宋体" w:hAnsi="宋体" w:eastAsia="宋体" w:cs="宋体"/>
          <w:spacing w:val="-5"/>
          <w:sz w:val="22"/>
          <w:szCs w:val="22"/>
          <w:highlight w:val="none"/>
        </w:rPr>
        <w:t>(8)施工机械设备：见投标人须知前附表；</w:t>
      </w:r>
    </w:p>
    <w:p w14:paraId="79A5D644">
      <w:pPr>
        <w:spacing w:line="219" w:lineRule="auto"/>
        <w:rPr>
          <w:rFonts w:ascii="宋体" w:hAnsi="宋体" w:eastAsia="宋体" w:cs="宋体"/>
          <w:sz w:val="22"/>
          <w:szCs w:val="22"/>
          <w:highlight w:val="none"/>
        </w:rPr>
        <w:sectPr>
          <w:footerReference r:id="rId26" w:type="default"/>
          <w:pgSz w:w="11910" w:h="16840"/>
          <w:pgMar w:top="400" w:right="1786" w:bottom="1238" w:left="1779" w:header="0" w:footer="1006" w:gutter="0"/>
          <w:cols w:space="720" w:num="1"/>
        </w:sectPr>
      </w:pPr>
    </w:p>
    <w:p w14:paraId="7F2F5CB5">
      <w:pPr>
        <w:pStyle w:val="2"/>
        <w:spacing w:line="269" w:lineRule="auto"/>
        <w:rPr>
          <w:highlight w:val="none"/>
        </w:rPr>
      </w:pPr>
    </w:p>
    <w:p w14:paraId="128D6EBE">
      <w:pPr>
        <w:pStyle w:val="2"/>
        <w:spacing w:line="270" w:lineRule="auto"/>
        <w:rPr>
          <w:highlight w:val="none"/>
        </w:rPr>
      </w:pPr>
    </w:p>
    <w:p w14:paraId="5BC28C0D">
      <w:pPr>
        <w:pStyle w:val="2"/>
        <w:spacing w:line="270" w:lineRule="auto"/>
        <w:rPr>
          <w:highlight w:val="none"/>
        </w:rPr>
      </w:pPr>
    </w:p>
    <w:p w14:paraId="3F92BAFB">
      <w:pPr>
        <w:pStyle w:val="2"/>
        <w:spacing w:line="270" w:lineRule="auto"/>
        <w:rPr>
          <w:highlight w:val="none"/>
        </w:rPr>
      </w:pPr>
    </w:p>
    <w:p w14:paraId="5BF4DB98">
      <w:pPr>
        <w:spacing w:before="72" w:line="219" w:lineRule="auto"/>
        <w:ind w:left="529"/>
        <w:rPr>
          <w:rFonts w:ascii="宋体" w:hAnsi="宋体" w:eastAsia="宋体" w:cs="宋体"/>
          <w:sz w:val="22"/>
          <w:szCs w:val="22"/>
          <w:highlight w:val="none"/>
        </w:rPr>
      </w:pPr>
      <w:bookmarkStart w:id="17" w:name="bookmark194"/>
      <w:bookmarkEnd w:id="17"/>
      <w:r>
        <w:rPr>
          <w:rFonts w:ascii="宋体" w:hAnsi="宋体" w:eastAsia="宋体" w:cs="宋体"/>
          <w:spacing w:val="-7"/>
          <w:sz w:val="22"/>
          <w:szCs w:val="22"/>
          <w:highlight w:val="none"/>
        </w:rPr>
        <w:t>(9)项目管理机构及人员：见投标人须知前附表；</w:t>
      </w:r>
    </w:p>
    <w:p w14:paraId="484564CA">
      <w:pPr>
        <w:spacing w:before="129" w:line="219" w:lineRule="auto"/>
        <w:ind w:left="529"/>
        <w:rPr>
          <w:rFonts w:ascii="宋体" w:hAnsi="宋体" w:eastAsia="宋体" w:cs="宋体"/>
          <w:sz w:val="22"/>
          <w:szCs w:val="22"/>
          <w:highlight w:val="none"/>
        </w:rPr>
      </w:pPr>
      <w:r>
        <w:rPr>
          <w:rFonts w:ascii="宋体" w:hAnsi="宋体" w:eastAsia="宋体" w:cs="宋体"/>
          <w:spacing w:val="-4"/>
          <w:sz w:val="22"/>
          <w:szCs w:val="22"/>
          <w:highlight w:val="none"/>
        </w:rPr>
        <w:t>(10)其他要求：见投标人须知前附表。</w:t>
      </w:r>
    </w:p>
    <w:p w14:paraId="175B82E4">
      <w:pPr>
        <w:spacing w:before="139" w:line="344" w:lineRule="auto"/>
        <w:ind w:firstLine="440"/>
        <w:rPr>
          <w:rFonts w:ascii="宋体" w:hAnsi="宋体" w:eastAsia="宋体" w:cs="宋体"/>
          <w:sz w:val="22"/>
          <w:szCs w:val="22"/>
          <w:highlight w:val="none"/>
        </w:rPr>
      </w:pPr>
      <w:r>
        <w:rPr>
          <w:rFonts w:ascii="宋体" w:hAnsi="宋体" w:eastAsia="宋体" w:cs="宋体"/>
          <w:spacing w:val="-10"/>
          <w:sz w:val="22"/>
          <w:szCs w:val="22"/>
          <w:highlight w:val="none"/>
        </w:rPr>
        <w:t>1.4.2投标人须知前附表规定接受联合体投标的，除应符合</w:t>
      </w:r>
      <w:r>
        <w:rPr>
          <w:rFonts w:ascii="宋体" w:hAnsi="宋体" w:eastAsia="宋体" w:cs="宋体"/>
          <w:spacing w:val="-11"/>
          <w:sz w:val="22"/>
          <w:szCs w:val="22"/>
          <w:highlight w:val="none"/>
        </w:rPr>
        <w:t>本章第1.4.1项和投标人须知</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前附表的要求外，还应遵守以下规定：</w:t>
      </w:r>
    </w:p>
    <w:p w14:paraId="00843634">
      <w:pPr>
        <w:spacing w:line="281" w:lineRule="auto"/>
        <w:ind w:right="56" w:firstLine="529"/>
        <w:rPr>
          <w:rFonts w:ascii="宋体" w:hAnsi="宋体" w:eastAsia="宋体" w:cs="宋体"/>
          <w:sz w:val="21"/>
          <w:szCs w:val="21"/>
          <w:highlight w:val="none"/>
        </w:rPr>
      </w:pPr>
      <w:r>
        <w:rPr>
          <w:rFonts w:ascii="宋体" w:hAnsi="宋体" w:eastAsia="宋体" w:cs="宋体"/>
          <w:spacing w:val="3"/>
          <w:sz w:val="21"/>
          <w:szCs w:val="21"/>
          <w:highlight w:val="none"/>
        </w:rPr>
        <w:t>(1)联合体各方应按招标文件提供的格式签订联合体协议书，</w:t>
      </w:r>
      <w:r>
        <w:rPr>
          <w:rFonts w:ascii="宋体" w:hAnsi="宋体" w:eastAsia="宋体" w:cs="宋体"/>
          <w:spacing w:val="2"/>
          <w:sz w:val="21"/>
          <w:szCs w:val="21"/>
          <w:highlight w:val="none"/>
        </w:rPr>
        <w:t>明确联合体牵头人和各</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方权利义务；</w:t>
      </w:r>
    </w:p>
    <w:p w14:paraId="0FAF2BFD">
      <w:pPr>
        <w:spacing w:before="160" w:line="219" w:lineRule="auto"/>
        <w:ind w:left="529"/>
        <w:rPr>
          <w:rFonts w:ascii="宋体" w:hAnsi="宋体" w:eastAsia="宋体" w:cs="宋体"/>
          <w:sz w:val="21"/>
          <w:szCs w:val="21"/>
          <w:highlight w:val="none"/>
        </w:rPr>
      </w:pPr>
      <w:r>
        <w:rPr>
          <w:rFonts w:ascii="宋体" w:hAnsi="宋体" w:eastAsia="宋体" w:cs="宋体"/>
          <w:spacing w:val="2"/>
          <w:sz w:val="21"/>
          <w:szCs w:val="21"/>
          <w:highlight w:val="none"/>
        </w:rPr>
        <w:t>(2)由同一专业的单位组成的联合体，按照资质等级较低的单位确定资质</w:t>
      </w:r>
      <w:r>
        <w:rPr>
          <w:rFonts w:ascii="宋体" w:hAnsi="宋体" w:eastAsia="宋体" w:cs="宋体"/>
          <w:spacing w:val="1"/>
          <w:sz w:val="21"/>
          <w:szCs w:val="21"/>
          <w:highlight w:val="none"/>
        </w:rPr>
        <w:t>等级；</w:t>
      </w:r>
    </w:p>
    <w:p w14:paraId="77D27DFE">
      <w:pPr>
        <w:spacing w:before="129"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(3)联合体各方不得再以自己名义单独或参加其他联合体在本招标项目中投标。</w:t>
      </w:r>
    </w:p>
    <w:p w14:paraId="253E4EB1">
      <w:pPr>
        <w:spacing w:before="141" w:line="219" w:lineRule="auto"/>
        <w:ind w:left="430"/>
        <w:rPr>
          <w:rFonts w:ascii="宋体" w:hAnsi="宋体" w:eastAsia="宋体" w:cs="宋体"/>
          <w:sz w:val="22"/>
          <w:szCs w:val="22"/>
          <w:highlight w:val="none"/>
        </w:rPr>
      </w:pPr>
      <w:r>
        <w:rPr>
          <w:rFonts w:ascii="宋体" w:hAnsi="宋体" w:eastAsia="宋体" w:cs="宋体"/>
          <w:spacing w:val="-8"/>
          <w:sz w:val="22"/>
          <w:szCs w:val="22"/>
          <w:highlight w:val="none"/>
        </w:rPr>
        <w:t>1.4.3投标人不得存在下列情形之一：</w:t>
      </w:r>
    </w:p>
    <w:p w14:paraId="435F5D35">
      <w:pPr>
        <w:spacing w:before="147" w:line="219" w:lineRule="auto"/>
        <w:ind w:left="840"/>
        <w:rPr>
          <w:rFonts w:ascii="宋体" w:hAnsi="宋体" w:eastAsia="宋体" w:cs="宋体"/>
          <w:sz w:val="22"/>
          <w:szCs w:val="22"/>
          <w:highlight w:val="none"/>
        </w:rPr>
      </w:pPr>
      <w:r>
        <w:rPr>
          <w:rFonts w:ascii="宋体" w:hAnsi="宋体" w:eastAsia="宋体" w:cs="宋体"/>
          <w:spacing w:val="-1"/>
          <w:sz w:val="22"/>
          <w:szCs w:val="22"/>
          <w:highlight w:val="none"/>
        </w:rPr>
        <w:t>(1)为招标人不具有独立法人资格的附属机构(单位);</w:t>
      </w:r>
    </w:p>
    <w:p w14:paraId="04139C59">
      <w:pPr>
        <w:spacing w:before="160" w:line="219" w:lineRule="auto"/>
        <w:ind w:left="840"/>
        <w:rPr>
          <w:rFonts w:ascii="宋体" w:hAnsi="宋体" w:eastAsia="宋体" w:cs="宋体"/>
          <w:sz w:val="20"/>
          <w:szCs w:val="20"/>
          <w:highlight w:val="none"/>
        </w:rPr>
      </w:pPr>
      <w:r>
        <w:rPr>
          <w:rFonts w:ascii="宋体" w:hAnsi="宋体" w:eastAsia="宋体" w:cs="宋体"/>
          <w:spacing w:val="11"/>
          <w:sz w:val="20"/>
          <w:szCs w:val="20"/>
          <w:highlight w:val="none"/>
        </w:rPr>
        <w:t>(2)与招标人存在利害关系且可能影响招标公正性；</w:t>
      </w:r>
    </w:p>
    <w:p w14:paraId="3C691EF3">
      <w:pPr>
        <w:spacing w:before="141" w:line="219" w:lineRule="auto"/>
        <w:ind w:left="840"/>
        <w:rPr>
          <w:rFonts w:ascii="宋体" w:hAnsi="宋体" w:eastAsia="宋体" w:cs="宋体"/>
          <w:sz w:val="20"/>
          <w:szCs w:val="20"/>
          <w:highlight w:val="none"/>
        </w:rPr>
      </w:pPr>
      <w:r>
        <w:rPr>
          <w:rFonts w:ascii="宋体" w:hAnsi="宋体" w:eastAsia="宋体" w:cs="宋体"/>
          <w:spacing w:val="11"/>
          <w:sz w:val="20"/>
          <w:szCs w:val="20"/>
          <w:highlight w:val="none"/>
        </w:rPr>
        <w:t>(3)与本标段的其他投标人为同一个单位负责人；</w:t>
      </w:r>
    </w:p>
    <w:p w14:paraId="2C87109A">
      <w:pPr>
        <w:spacing w:before="183" w:line="219" w:lineRule="auto"/>
        <w:ind w:left="840"/>
        <w:rPr>
          <w:rFonts w:ascii="宋体" w:hAnsi="宋体" w:eastAsia="宋体" w:cs="宋体"/>
          <w:sz w:val="20"/>
          <w:szCs w:val="20"/>
          <w:highlight w:val="none"/>
        </w:rPr>
      </w:pPr>
      <w:r>
        <w:rPr>
          <w:rFonts w:ascii="宋体" w:hAnsi="宋体" w:eastAsia="宋体" w:cs="宋体"/>
          <w:spacing w:val="11"/>
          <w:sz w:val="20"/>
          <w:szCs w:val="20"/>
          <w:highlight w:val="none"/>
        </w:rPr>
        <w:t>(4)与本标段的其他投标人存在控股、管理关系；</w:t>
      </w:r>
    </w:p>
    <w:p w14:paraId="75AEEEA4">
      <w:pPr>
        <w:spacing w:before="133" w:line="289" w:lineRule="auto"/>
        <w:ind w:right="37" w:firstLine="840"/>
        <w:rPr>
          <w:rFonts w:ascii="宋体" w:hAnsi="宋体" w:eastAsia="宋体" w:cs="宋体"/>
          <w:sz w:val="21"/>
          <w:szCs w:val="21"/>
          <w:highlight w:val="none"/>
        </w:rPr>
      </w:pPr>
      <w:r>
        <w:rPr>
          <w:rFonts w:ascii="宋体" w:hAnsi="宋体" w:eastAsia="宋体" w:cs="宋体"/>
          <w:spacing w:val="3"/>
          <w:sz w:val="21"/>
          <w:szCs w:val="21"/>
          <w:highlight w:val="none"/>
        </w:rPr>
        <w:t>(5)为本标段前期工作提供咨询服务的(招标人公开已完成的项目建议书、可行性</w:t>
      </w:r>
      <w:r>
        <w:rPr>
          <w:rFonts w:ascii="宋体" w:hAnsi="宋体" w:eastAsia="宋体" w:cs="宋体"/>
          <w:spacing w:val="16"/>
          <w:sz w:val="21"/>
          <w:szCs w:val="21"/>
          <w:highlight w:val="none"/>
        </w:rPr>
        <w:t xml:space="preserve"> </w:t>
      </w:r>
      <w:r>
        <w:rPr>
          <w:rFonts w:ascii="宋体" w:hAnsi="宋体" w:eastAsia="宋体" w:cs="宋体"/>
          <w:spacing w:val="-1"/>
          <w:sz w:val="21"/>
          <w:szCs w:val="21"/>
          <w:highlight w:val="none"/>
        </w:rPr>
        <w:t>研究报告、勘察设计文件等咨询成果除外的);</w:t>
      </w:r>
    </w:p>
    <w:p w14:paraId="6A0BEA3D">
      <w:pPr>
        <w:spacing w:before="153" w:line="219" w:lineRule="auto"/>
        <w:ind w:left="840"/>
        <w:rPr>
          <w:rFonts w:ascii="宋体" w:hAnsi="宋体" w:eastAsia="宋体" w:cs="宋体"/>
          <w:sz w:val="22"/>
          <w:szCs w:val="22"/>
          <w:highlight w:val="none"/>
        </w:rPr>
      </w:pPr>
      <w:r>
        <w:rPr>
          <w:rFonts w:ascii="宋体" w:hAnsi="宋体" w:eastAsia="宋体" w:cs="宋体"/>
          <w:spacing w:val="2"/>
          <w:sz w:val="22"/>
          <w:szCs w:val="22"/>
          <w:highlight w:val="none"/>
        </w:rPr>
        <w:t>(6)为本标段的监理人(项目管理单位);</w:t>
      </w:r>
    </w:p>
    <w:p w14:paraId="14F4CFBE">
      <w:pPr>
        <w:spacing w:before="148" w:line="219" w:lineRule="auto"/>
        <w:ind w:left="840"/>
        <w:rPr>
          <w:rFonts w:ascii="宋体" w:hAnsi="宋体" w:eastAsia="宋体" w:cs="宋体"/>
          <w:sz w:val="20"/>
          <w:szCs w:val="20"/>
          <w:highlight w:val="none"/>
        </w:rPr>
      </w:pPr>
      <w:r>
        <w:rPr>
          <w:rFonts w:ascii="宋体" w:hAnsi="宋体" w:eastAsia="宋体" w:cs="宋体"/>
          <w:spacing w:val="13"/>
          <w:sz w:val="20"/>
          <w:szCs w:val="20"/>
          <w:highlight w:val="none"/>
        </w:rPr>
        <w:t>(7)为本标段的代建人；</w:t>
      </w:r>
    </w:p>
    <w:p w14:paraId="0213967D">
      <w:pPr>
        <w:spacing w:before="163" w:line="218" w:lineRule="auto"/>
        <w:ind w:left="840"/>
        <w:rPr>
          <w:rFonts w:ascii="宋体" w:hAnsi="宋体" w:eastAsia="宋体" w:cs="宋体"/>
          <w:sz w:val="20"/>
          <w:szCs w:val="20"/>
          <w:highlight w:val="none"/>
        </w:rPr>
      </w:pPr>
      <w:r>
        <w:rPr>
          <w:rFonts w:ascii="宋体" w:hAnsi="宋体" w:eastAsia="宋体" w:cs="宋体"/>
          <w:spacing w:val="20"/>
          <w:sz w:val="20"/>
          <w:szCs w:val="20"/>
          <w:highlight w:val="none"/>
        </w:rPr>
        <w:t>(8)为本标段提供招标代理(造价咨询)服务；</w:t>
      </w:r>
    </w:p>
    <w:p w14:paraId="5D0D515F">
      <w:pPr>
        <w:spacing w:before="155" w:line="290" w:lineRule="auto"/>
        <w:ind w:right="20" w:firstLine="840"/>
        <w:rPr>
          <w:rFonts w:ascii="宋体" w:hAnsi="宋体" w:eastAsia="宋体" w:cs="宋体"/>
          <w:sz w:val="21"/>
          <w:szCs w:val="21"/>
          <w:highlight w:val="none"/>
        </w:rPr>
      </w:pPr>
      <w:r>
        <w:rPr>
          <w:rFonts w:ascii="宋体" w:hAnsi="宋体" w:eastAsia="宋体" w:cs="宋体"/>
          <w:spacing w:val="12"/>
          <w:sz w:val="21"/>
          <w:szCs w:val="21"/>
          <w:highlight w:val="none"/>
        </w:rPr>
        <w:t>(9)与本标段的监理人(项目管理单位)或代建人或招标代理机构(造价咨询人)</w:t>
      </w:r>
      <w:r>
        <w:rPr>
          <w:rFonts w:ascii="宋体" w:hAnsi="宋体" w:eastAsia="宋体" w:cs="宋体"/>
          <w:spacing w:val="16"/>
          <w:sz w:val="21"/>
          <w:szCs w:val="21"/>
          <w:highlight w:val="none"/>
        </w:rPr>
        <w:t xml:space="preserve"> </w:t>
      </w:r>
      <w:r>
        <w:rPr>
          <w:rFonts w:ascii="宋体" w:hAnsi="宋体" w:eastAsia="宋体" w:cs="宋体"/>
          <w:spacing w:val="-6"/>
          <w:sz w:val="21"/>
          <w:szCs w:val="21"/>
          <w:highlight w:val="none"/>
        </w:rPr>
        <w:t>同为一个法定代表人；</w:t>
      </w:r>
    </w:p>
    <w:p w14:paraId="07E6AB31">
      <w:pPr>
        <w:spacing w:before="120" w:line="287" w:lineRule="auto"/>
        <w:ind w:right="17" w:firstLine="840"/>
        <w:rPr>
          <w:rFonts w:ascii="宋体" w:hAnsi="宋体" w:eastAsia="宋体" w:cs="宋体"/>
          <w:sz w:val="22"/>
          <w:szCs w:val="22"/>
          <w:highlight w:val="none"/>
        </w:rPr>
      </w:pPr>
      <w:r>
        <w:rPr>
          <w:rFonts w:ascii="宋体" w:hAnsi="宋体" w:eastAsia="宋体" w:cs="宋体"/>
          <w:sz w:val="22"/>
          <w:szCs w:val="22"/>
          <w:highlight w:val="none"/>
        </w:rPr>
        <w:t>(10)与本标段的监理人(项目管理单位)或代建人或招标代理机构(造价咨询人)</w:t>
      </w:r>
      <w:r>
        <w:rPr>
          <w:rFonts w:ascii="宋体" w:hAnsi="宋体" w:eastAsia="宋体" w:cs="宋体"/>
          <w:spacing w:val="17"/>
          <w:sz w:val="22"/>
          <w:szCs w:val="22"/>
          <w:highlight w:val="none"/>
        </w:rPr>
        <w:t xml:space="preserve"> </w:t>
      </w:r>
      <w:r>
        <w:rPr>
          <w:rFonts w:ascii="宋体" w:hAnsi="宋体" w:eastAsia="宋体" w:cs="宋体"/>
          <w:spacing w:val="-15"/>
          <w:sz w:val="22"/>
          <w:szCs w:val="22"/>
          <w:highlight w:val="none"/>
        </w:rPr>
        <w:t>相互控股或参股；</w:t>
      </w:r>
    </w:p>
    <w:p w14:paraId="4FB006AB">
      <w:pPr>
        <w:spacing w:before="146" w:line="277" w:lineRule="auto"/>
        <w:ind w:right="20" w:firstLine="840"/>
        <w:rPr>
          <w:rFonts w:ascii="宋体" w:hAnsi="宋体" w:eastAsia="宋体" w:cs="宋体"/>
          <w:sz w:val="21"/>
          <w:szCs w:val="21"/>
          <w:highlight w:val="none"/>
        </w:rPr>
      </w:pPr>
      <w:r>
        <w:rPr>
          <w:rFonts w:ascii="宋体" w:hAnsi="宋体" w:eastAsia="宋体" w:cs="宋体"/>
          <w:spacing w:val="9"/>
          <w:sz w:val="21"/>
          <w:szCs w:val="21"/>
          <w:highlight w:val="none"/>
        </w:rPr>
        <w:t>(11)与本标段的监理人(项目管理单位)或代建人或招标代理机构(造价咨询人)</w:t>
      </w:r>
      <w:r>
        <w:rPr>
          <w:rFonts w:ascii="宋体" w:hAnsi="宋体" w:eastAsia="宋体" w:cs="宋体"/>
          <w:spacing w:val="12"/>
          <w:sz w:val="21"/>
          <w:szCs w:val="21"/>
          <w:highlight w:val="none"/>
        </w:rPr>
        <w:t xml:space="preserve"> </w:t>
      </w:r>
      <w:r>
        <w:rPr>
          <w:rFonts w:ascii="宋体" w:hAnsi="宋体" w:eastAsia="宋体" w:cs="宋体"/>
          <w:spacing w:val="-7"/>
          <w:sz w:val="21"/>
          <w:szCs w:val="21"/>
          <w:highlight w:val="none"/>
        </w:rPr>
        <w:t>相互任职或工作；</w:t>
      </w:r>
    </w:p>
    <w:p w14:paraId="6DAC0AF0">
      <w:pPr>
        <w:spacing w:before="159" w:line="308" w:lineRule="auto"/>
        <w:ind w:right="57" w:firstLine="840"/>
        <w:rPr>
          <w:rFonts w:ascii="宋体" w:hAnsi="宋体" w:eastAsia="宋体" w:cs="宋体"/>
          <w:sz w:val="21"/>
          <w:szCs w:val="21"/>
          <w:highlight w:val="none"/>
        </w:rPr>
      </w:pPr>
      <w:r>
        <w:rPr>
          <w:rFonts w:ascii="宋体" w:hAnsi="宋体" w:eastAsia="宋体" w:cs="宋体"/>
          <w:spacing w:val="6"/>
          <w:sz w:val="21"/>
          <w:szCs w:val="21"/>
          <w:highlight w:val="none"/>
        </w:rPr>
        <w:t>(12)被依法暂停或取消投标资格(指被本招标项目所在地县</w:t>
      </w:r>
      <w:r>
        <w:rPr>
          <w:rFonts w:ascii="宋体" w:hAnsi="宋体" w:eastAsia="宋体" w:cs="宋体"/>
          <w:spacing w:val="5"/>
          <w:sz w:val="21"/>
          <w:szCs w:val="21"/>
          <w:highlight w:val="none"/>
        </w:rPr>
        <w:t>级及以上住房城乡建</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设主管部门或其他行政主管部门暂停或取消投标资格或禁止进入该区域建设市场且处于有</w:t>
      </w:r>
      <w:r>
        <w:rPr>
          <w:rFonts w:ascii="宋体" w:hAnsi="宋体" w:eastAsia="宋体" w:cs="宋体"/>
          <w:spacing w:val="12"/>
          <w:sz w:val="21"/>
          <w:szCs w:val="21"/>
          <w:highlight w:val="none"/>
        </w:rPr>
        <w:t xml:space="preserve"> </w:t>
      </w:r>
      <w:r>
        <w:rPr>
          <w:rFonts w:ascii="宋体" w:hAnsi="宋体" w:eastAsia="宋体" w:cs="宋体"/>
          <w:spacing w:val="-3"/>
          <w:sz w:val="21"/>
          <w:szCs w:val="21"/>
          <w:highlight w:val="none"/>
        </w:rPr>
        <w:t>效期内);</w:t>
      </w:r>
    </w:p>
    <w:p w14:paraId="363C650C">
      <w:pPr>
        <w:spacing w:before="150" w:line="219" w:lineRule="auto"/>
        <w:ind w:left="840"/>
        <w:rPr>
          <w:rFonts w:ascii="宋体" w:hAnsi="宋体" w:eastAsia="宋体" w:cs="宋体"/>
          <w:sz w:val="22"/>
          <w:szCs w:val="22"/>
          <w:highlight w:val="none"/>
        </w:rPr>
      </w:pPr>
      <w:r>
        <w:rPr>
          <w:rFonts w:ascii="宋体" w:hAnsi="宋体" w:eastAsia="宋体" w:cs="宋体"/>
          <w:spacing w:val="-7"/>
          <w:sz w:val="22"/>
          <w:szCs w:val="22"/>
          <w:highlight w:val="none"/>
        </w:rPr>
        <w:t>(13)被责令停产停业、暂扣或者吊销许可证、暂扣或者吊销执照；</w:t>
      </w:r>
    </w:p>
    <w:p w14:paraId="09F73A61">
      <w:pPr>
        <w:spacing w:before="148" w:line="218" w:lineRule="auto"/>
        <w:ind w:left="840"/>
        <w:rPr>
          <w:rFonts w:ascii="宋体" w:hAnsi="宋体" w:eastAsia="宋体" w:cs="宋体"/>
          <w:sz w:val="22"/>
          <w:szCs w:val="22"/>
          <w:highlight w:val="none"/>
        </w:rPr>
      </w:pPr>
      <w:r>
        <w:rPr>
          <w:rFonts w:ascii="宋体" w:hAnsi="宋体" w:eastAsia="宋体" w:cs="宋体"/>
          <w:spacing w:val="-7"/>
          <w:sz w:val="22"/>
          <w:szCs w:val="22"/>
          <w:highlight w:val="none"/>
        </w:rPr>
        <w:t>(14)进入清算程序，或被宣告破产，或其他丧失履约能力的情形；</w:t>
      </w:r>
    </w:p>
    <w:p w14:paraId="7FB6671A">
      <w:pPr>
        <w:spacing w:before="143" w:line="280" w:lineRule="auto"/>
        <w:ind w:right="52" w:firstLine="840"/>
        <w:rPr>
          <w:rFonts w:ascii="宋体" w:hAnsi="宋体" w:eastAsia="宋体" w:cs="宋体"/>
          <w:sz w:val="21"/>
          <w:szCs w:val="21"/>
          <w:highlight w:val="none"/>
        </w:rPr>
      </w:pPr>
      <w:r>
        <w:rPr>
          <w:rFonts w:ascii="宋体" w:hAnsi="宋体" w:eastAsia="宋体" w:cs="宋体"/>
          <w:spacing w:val="6"/>
          <w:sz w:val="21"/>
          <w:szCs w:val="21"/>
          <w:highlight w:val="none"/>
        </w:rPr>
        <w:t>(15)在最近三年内发生重大工程质量问题(以相关行业主管部门的行政</w:t>
      </w:r>
      <w:r>
        <w:rPr>
          <w:rFonts w:ascii="宋体" w:hAnsi="宋体" w:eastAsia="宋体" w:cs="宋体"/>
          <w:spacing w:val="5"/>
          <w:sz w:val="21"/>
          <w:szCs w:val="21"/>
          <w:highlight w:val="none"/>
        </w:rPr>
        <w:t>处罚决定</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或司法机关出具的有关法律文书为准);</w:t>
      </w:r>
    </w:p>
    <w:p w14:paraId="2485FECC">
      <w:pPr>
        <w:pStyle w:val="2"/>
        <w:spacing w:before="124" w:line="321" w:lineRule="auto"/>
        <w:ind w:right="36" w:firstLine="840"/>
        <w:rPr>
          <w:rFonts w:ascii="宋体" w:hAnsi="宋体" w:eastAsia="宋体" w:cs="宋体"/>
          <w:sz w:val="20"/>
          <w:szCs w:val="20"/>
          <w:highlight w:val="none"/>
        </w:rPr>
      </w:pPr>
      <w:r>
        <w:rPr>
          <w:rFonts w:ascii="宋体" w:hAnsi="宋体" w:eastAsia="宋体" w:cs="宋体"/>
          <w:spacing w:val="9"/>
          <w:sz w:val="20"/>
          <w:szCs w:val="20"/>
          <w:highlight w:val="none"/>
        </w:rPr>
        <w:t>(16)在“国家企业信用信息公示系统”(</w:t>
      </w:r>
      <w:r>
        <w:rPr>
          <w:rFonts w:ascii="宋体" w:hAnsi="宋体" w:eastAsia="宋体" w:cs="宋体"/>
          <w:spacing w:val="81"/>
          <w:sz w:val="20"/>
          <w:szCs w:val="20"/>
          <w:highlight w:val="none"/>
        </w:rPr>
        <w:t xml:space="preserve"> </w:t>
      </w:r>
      <w:r>
        <w:rPr>
          <w:highlight w:val="none"/>
        </w:rPr>
        <w:fldChar w:fldCharType="begin"/>
      </w:r>
      <w:r>
        <w:rPr>
          <w:highlight w:val="none"/>
        </w:rPr>
        <w:instrText xml:space="preserve"> HYPERLINK "https://www.gsxt.gov.cn" </w:instrText>
      </w:r>
      <w:r>
        <w:rPr>
          <w:highlight w:val="none"/>
        </w:rPr>
        <w:fldChar w:fldCharType="separate"/>
      </w:r>
      <w:r>
        <w:rPr>
          <w:b/>
          <w:bCs/>
          <w:sz w:val="20"/>
          <w:szCs w:val="20"/>
          <w:highlight w:val="none"/>
        </w:rPr>
        <w:t>www</w:t>
      </w:r>
      <w:r>
        <w:rPr>
          <w:b/>
          <w:bCs/>
          <w:spacing w:val="9"/>
          <w:sz w:val="20"/>
          <w:szCs w:val="20"/>
          <w:highlight w:val="none"/>
        </w:rPr>
        <w:t>.</w:t>
      </w:r>
      <w:r>
        <w:rPr>
          <w:sz w:val="20"/>
          <w:szCs w:val="20"/>
          <w:highlight w:val="none"/>
        </w:rPr>
        <w:t>gsxt</w:t>
      </w:r>
      <w:r>
        <w:rPr>
          <w:spacing w:val="9"/>
          <w:sz w:val="20"/>
          <w:szCs w:val="20"/>
          <w:highlight w:val="none"/>
        </w:rPr>
        <w:t>.</w:t>
      </w:r>
      <w:r>
        <w:rPr>
          <w:sz w:val="20"/>
          <w:szCs w:val="20"/>
          <w:highlight w:val="none"/>
        </w:rPr>
        <w:t>gov</w:t>
      </w:r>
      <w:r>
        <w:rPr>
          <w:spacing w:val="9"/>
          <w:sz w:val="20"/>
          <w:szCs w:val="20"/>
          <w:highlight w:val="none"/>
        </w:rPr>
        <w:t>.</w:t>
      </w:r>
      <w:r>
        <w:rPr>
          <w:sz w:val="20"/>
          <w:szCs w:val="20"/>
          <w:highlight w:val="none"/>
        </w:rPr>
        <w:t>cn</w:t>
      </w:r>
      <w:r>
        <w:rPr>
          <w:sz w:val="20"/>
          <w:szCs w:val="20"/>
          <w:highlight w:val="none"/>
        </w:rPr>
        <w:fldChar w:fldCharType="end"/>
      </w:r>
      <w:r>
        <w:rPr>
          <w:spacing w:val="9"/>
          <w:sz w:val="20"/>
          <w:szCs w:val="20"/>
          <w:highlight w:val="none"/>
        </w:rPr>
        <w:t>)</w:t>
      </w:r>
      <w:r>
        <w:rPr>
          <w:spacing w:val="45"/>
          <w:sz w:val="20"/>
          <w:szCs w:val="20"/>
          <w:highlight w:val="none"/>
        </w:rPr>
        <w:t xml:space="preserve"> </w:t>
      </w:r>
      <w:r>
        <w:rPr>
          <w:rFonts w:ascii="宋体" w:hAnsi="宋体" w:eastAsia="宋体" w:cs="宋体"/>
          <w:spacing w:val="9"/>
          <w:sz w:val="20"/>
          <w:szCs w:val="20"/>
          <w:highlight w:val="none"/>
        </w:rPr>
        <w:t>中被列入严重违法失</w:t>
      </w:r>
      <w:r>
        <w:rPr>
          <w:rFonts w:ascii="宋体" w:hAnsi="宋体" w:eastAsia="宋体" w:cs="宋体"/>
          <w:sz w:val="20"/>
          <w:szCs w:val="20"/>
          <w:highlight w:val="none"/>
        </w:rPr>
        <w:t xml:space="preserve"> 信企业名单；</w:t>
      </w:r>
    </w:p>
    <w:p w14:paraId="6D353882">
      <w:pPr>
        <w:spacing w:before="139" w:line="212" w:lineRule="auto"/>
        <w:ind w:left="840"/>
        <w:rPr>
          <w:rFonts w:ascii="宋体" w:hAnsi="宋体" w:eastAsia="宋体" w:cs="宋体"/>
          <w:sz w:val="20"/>
          <w:szCs w:val="20"/>
          <w:highlight w:val="none"/>
        </w:rPr>
      </w:pPr>
      <w:r>
        <w:rPr>
          <w:rFonts w:ascii="宋体" w:hAnsi="宋体" w:eastAsia="宋体" w:cs="宋体"/>
          <w:spacing w:val="24"/>
          <w:sz w:val="20"/>
          <w:szCs w:val="20"/>
          <w:highlight w:val="none"/>
        </w:rPr>
        <w:t>(17)在“信用中国”网站 (</w:t>
      </w:r>
      <w:r>
        <w:rPr>
          <w:rFonts w:ascii="宋体" w:hAnsi="宋体" w:eastAsia="宋体" w:cs="宋体"/>
          <w:spacing w:val="-37"/>
          <w:sz w:val="20"/>
          <w:szCs w:val="20"/>
          <w:highlight w:val="none"/>
        </w:rPr>
        <w:t xml:space="preserve"> </w:t>
      </w:r>
      <w:r>
        <w:rPr>
          <w:highlight w:val="none"/>
        </w:rPr>
        <w:fldChar w:fldCharType="begin"/>
      </w:r>
      <w:r>
        <w:rPr>
          <w:highlight w:val="none"/>
        </w:rPr>
        <w:instrText xml:space="preserve"> HYPERLINK "https://www.creditchina.gov.cn" </w:instrText>
      </w:r>
      <w:r>
        <w:rPr>
          <w:highlight w:val="none"/>
        </w:rPr>
        <w:fldChar w:fldCharType="separate"/>
      </w:r>
      <w:r>
        <w:rPr>
          <w:rFonts w:ascii="Times New Roman" w:hAnsi="Times New Roman" w:eastAsia="Times New Roman" w:cs="Times New Roman"/>
          <w:sz w:val="20"/>
          <w:szCs w:val="20"/>
          <w:highlight w:val="none"/>
        </w:rPr>
        <w:t>www</w:t>
      </w:r>
      <w:r>
        <w:rPr>
          <w:rFonts w:ascii="Times New Roman" w:hAnsi="Times New Roman" w:eastAsia="Times New Roman" w:cs="Times New Roman"/>
          <w:spacing w:val="24"/>
          <w:sz w:val="20"/>
          <w:szCs w:val="20"/>
          <w:highlight w:val="none"/>
        </w:rPr>
        <w:t>.</w:t>
      </w:r>
      <w:r>
        <w:rPr>
          <w:rFonts w:ascii="Times New Roman" w:hAnsi="Times New Roman" w:eastAsia="Times New Roman" w:cs="Times New Roman"/>
          <w:sz w:val="20"/>
          <w:szCs w:val="20"/>
          <w:highlight w:val="none"/>
        </w:rPr>
        <w:t>creditchina</w:t>
      </w:r>
      <w:r>
        <w:rPr>
          <w:rFonts w:ascii="Times New Roman" w:hAnsi="Times New Roman" w:eastAsia="Times New Roman" w:cs="Times New Roman"/>
          <w:spacing w:val="24"/>
          <w:sz w:val="20"/>
          <w:szCs w:val="20"/>
          <w:highlight w:val="none"/>
        </w:rPr>
        <w:t>.</w:t>
      </w:r>
      <w:r>
        <w:rPr>
          <w:rFonts w:ascii="Times New Roman" w:hAnsi="Times New Roman" w:eastAsia="Times New Roman" w:cs="Times New Roman"/>
          <w:sz w:val="20"/>
          <w:szCs w:val="20"/>
          <w:highlight w:val="none"/>
        </w:rPr>
        <w:t>gov</w:t>
      </w:r>
      <w:r>
        <w:rPr>
          <w:rFonts w:ascii="Times New Roman" w:hAnsi="Times New Roman" w:eastAsia="Times New Roman" w:cs="Times New Roman"/>
          <w:spacing w:val="24"/>
          <w:sz w:val="20"/>
          <w:szCs w:val="20"/>
          <w:highlight w:val="none"/>
        </w:rPr>
        <w:t>.</w:t>
      </w:r>
      <w:r>
        <w:rPr>
          <w:rFonts w:ascii="Times New Roman" w:hAnsi="Times New Roman" w:eastAsia="Times New Roman" w:cs="Times New Roman"/>
          <w:sz w:val="20"/>
          <w:szCs w:val="20"/>
          <w:highlight w:val="none"/>
        </w:rPr>
        <w:t>cn</w:t>
      </w:r>
      <w:r>
        <w:rPr>
          <w:rFonts w:ascii="Times New Roman" w:hAnsi="Times New Roman" w:eastAsia="Times New Roman" w:cs="Times New Roman"/>
          <w:sz w:val="20"/>
          <w:szCs w:val="20"/>
          <w:highlight w:val="none"/>
        </w:rPr>
        <w:fldChar w:fldCharType="end"/>
      </w:r>
      <w:r>
        <w:rPr>
          <w:rFonts w:ascii="Times New Roman" w:hAnsi="Times New Roman" w:eastAsia="Times New Roman" w:cs="Times New Roman"/>
          <w:spacing w:val="24"/>
          <w:sz w:val="20"/>
          <w:szCs w:val="20"/>
          <w:highlight w:val="none"/>
        </w:rPr>
        <w:t>)</w:t>
      </w:r>
      <w:r>
        <w:rPr>
          <w:rFonts w:ascii="Times New Roman" w:hAnsi="Times New Roman" w:eastAsia="Times New Roman" w:cs="Times New Roman"/>
          <w:spacing w:val="23"/>
          <w:sz w:val="20"/>
          <w:szCs w:val="20"/>
          <w:highlight w:val="none"/>
        </w:rPr>
        <w:t xml:space="preserve">    </w:t>
      </w:r>
      <w:r>
        <w:rPr>
          <w:rFonts w:ascii="宋体" w:hAnsi="宋体" w:eastAsia="宋体" w:cs="宋体"/>
          <w:spacing w:val="23"/>
          <w:sz w:val="20"/>
          <w:szCs w:val="20"/>
          <w:highlight w:val="none"/>
        </w:rPr>
        <w:t>或中国执行信息公开网</w:t>
      </w:r>
    </w:p>
    <w:p w14:paraId="39A63AAB">
      <w:pPr>
        <w:spacing w:line="212" w:lineRule="auto"/>
        <w:rPr>
          <w:rFonts w:ascii="宋体" w:hAnsi="宋体" w:eastAsia="宋体" w:cs="宋体"/>
          <w:sz w:val="20"/>
          <w:szCs w:val="20"/>
          <w:highlight w:val="none"/>
        </w:rPr>
        <w:sectPr>
          <w:footerReference r:id="rId27" w:type="default"/>
          <w:pgSz w:w="11910" w:h="16840"/>
          <w:pgMar w:top="400" w:right="1773" w:bottom="1154" w:left="1779" w:header="0" w:footer="1032" w:gutter="0"/>
          <w:cols w:space="720" w:num="1"/>
        </w:sectPr>
      </w:pPr>
    </w:p>
    <w:p w14:paraId="19B79B99">
      <w:pPr>
        <w:pStyle w:val="2"/>
        <w:spacing w:line="260" w:lineRule="auto"/>
        <w:rPr>
          <w:highlight w:val="none"/>
        </w:rPr>
      </w:pPr>
    </w:p>
    <w:p w14:paraId="2061A1F8">
      <w:pPr>
        <w:pStyle w:val="2"/>
        <w:spacing w:line="261" w:lineRule="auto"/>
        <w:rPr>
          <w:highlight w:val="none"/>
        </w:rPr>
      </w:pPr>
    </w:p>
    <w:p w14:paraId="5E470E58">
      <w:pPr>
        <w:pStyle w:val="2"/>
        <w:spacing w:line="261" w:lineRule="auto"/>
        <w:rPr>
          <w:highlight w:val="none"/>
        </w:rPr>
      </w:pPr>
    </w:p>
    <w:p w14:paraId="38EF151A">
      <w:pPr>
        <w:pStyle w:val="2"/>
        <w:spacing w:line="261" w:lineRule="auto"/>
        <w:rPr>
          <w:highlight w:val="none"/>
        </w:rPr>
      </w:pPr>
    </w:p>
    <w:p w14:paraId="03A791F3">
      <w:pPr>
        <w:pStyle w:val="2"/>
        <w:spacing w:before="68" w:line="286" w:lineRule="exact"/>
        <w:ind w:left="120"/>
        <w:rPr>
          <w:rFonts w:ascii="宋体" w:hAnsi="宋体" w:eastAsia="宋体" w:cs="宋体"/>
          <w:highlight w:val="none"/>
        </w:rPr>
      </w:pPr>
      <w:bookmarkStart w:id="18" w:name="bookmark195"/>
      <w:bookmarkEnd w:id="18"/>
      <w:r>
        <w:rPr>
          <w:spacing w:val="-3"/>
          <w:position w:val="2"/>
          <w:highlight w:val="none"/>
        </w:rPr>
        <w:t>(</w:t>
      </w:r>
      <w:r>
        <w:rPr>
          <w:highlight w:val="none"/>
        </w:rPr>
        <w:fldChar w:fldCharType="begin"/>
      </w:r>
      <w:r>
        <w:rPr>
          <w:highlight w:val="none"/>
        </w:rPr>
        <w:instrText xml:space="preserve"> HYPERLINK "http://zxgk.court.gov.cn/" </w:instrText>
      </w:r>
      <w:r>
        <w:rPr>
          <w:highlight w:val="none"/>
        </w:rPr>
        <w:fldChar w:fldCharType="separate"/>
      </w:r>
      <w:r>
        <w:rPr>
          <w:spacing w:val="-3"/>
          <w:position w:val="2"/>
          <w:highlight w:val="none"/>
        </w:rPr>
        <w:t>http://zxgk.court.gov</w:t>
      </w:r>
      <w:r>
        <w:rPr>
          <w:rFonts w:ascii="宋体" w:hAnsi="宋体" w:eastAsia="宋体" w:cs="宋体"/>
          <w:spacing w:val="-3"/>
          <w:position w:val="2"/>
          <w:highlight w:val="none"/>
        </w:rPr>
        <w:t>.</w:t>
      </w:r>
      <w:r>
        <w:rPr>
          <w:spacing w:val="-3"/>
          <w:position w:val="2"/>
          <w:highlight w:val="none"/>
        </w:rPr>
        <w:t>cn/</w:t>
      </w:r>
      <w:r>
        <w:rPr>
          <w:spacing w:val="-3"/>
          <w:position w:val="2"/>
          <w:highlight w:val="none"/>
        </w:rPr>
        <w:fldChar w:fldCharType="end"/>
      </w:r>
      <w:r>
        <w:rPr>
          <w:spacing w:val="-3"/>
          <w:position w:val="2"/>
          <w:highlight w:val="none"/>
        </w:rPr>
        <w:t>)</w:t>
      </w:r>
      <w:r>
        <w:rPr>
          <w:spacing w:val="23"/>
          <w:w w:val="101"/>
          <w:position w:val="2"/>
          <w:highlight w:val="none"/>
        </w:rPr>
        <w:t xml:space="preserve">  </w:t>
      </w:r>
      <w:r>
        <w:rPr>
          <w:rFonts w:ascii="宋体" w:hAnsi="宋体" w:eastAsia="宋体" w:cs="宋体"/>
          <w:spacing w:val="-3"/>
          <w:position w:val="2"/>
          <w:highlight w:val="none"/>
        </w:rPr>
        <w:t>或各级信用信息共享平台中被列入失信被执行人名单；</w:t>
      </w:r>
    </w:p>
    <w:p w14:paraId="085AFA83">
      <w:pPr>
        <w:spacing w:before="154" w:line="286" w:lineRule="auto"/>
        <w:ind w:right="89" w:firstLine="850"/>
        <w:rPr>
          <w:rFonts w:ascii="宋体" w:hAnsi="宋体" w:eastAsia="宋体" w:cs="宋体"/>
          <w:sz w:val="21"/>
          <w:szCs w:val="21"/>
          <w:highlight w:val="none"/>
        </w:rPr>
      </w:pPr>
      <w:r>
        <w:rPr>
          <w:rFonts w:ascii="宋体" w:hAnsi="宋体" w:eastAsia="宋体" w:cs="宋体"/>
          <w:spacing w:val="3"/>
          <w:sz w:val="21"/>
          <w:szCs w:val="21"/>
          <w:highlight w:val="none"/>
        </w:rPr>
        <w:t>(18)在近三年内投标人或其法定代表人、拟委任的项目经理被人民法院判决为行</w:t>
      </w:r>
      <w:r>
        <w:rPr>
          <w:rFonts w:ascii="宋体" w:hAnsi="宋体" w:eastAsia="宋体" w:cs="宋体"/>
          <w:sz w:val="21"/>
          <w:szCs w:val="21"/>
          <w:highlight w:val="none"/>
        </w:rPr>
        <w:t xml:space="preserve"> </w:t>
      </w:r>
      <w:r>
        <w:rPr>
          <w:rFonts w:ascii="宋体" w:hAnsi="宋体" w:eastAsia="宋体" w:cs="宋体"/>
          <w:spacing w:val="-11"/>
          <w:sz w:val="21"/>
          <w:szCs w:val="21"/>
          <w:highlight w:val="none"/>
        </w:rPr>
        <w:t>贿罪的；</w:t>
      </w:r>
    </w:p>
    <w:p w14:paraId="54B4341F">
      <w:pPr>
        <w:spacing w:before="147" w:line="219" w:lineRule="auto"/>
        <w:ind w:left="840"/>
        <w:rPr>
          <w:rFonts w:ascii="宋体" w:hAnsi="宋体" w:eastAsia="宋体" w:cs="宋体"/>
          <w:sz w:val="21"/>
          <w:szCs w:val="21"/>
          <w:highlight w:val="none"/>
        </w:rPr>
      </w:pPr>
      <w:r>
        <w:rPr>
          <w:rFonts w:ascii="宋体" w:hAnsi="宋体" w:eastAsia="宋体" w:cs="宋体"/>
          <w:spacing w:val="3"/>
          <w:sz w:val="21"/>
          <w:szCs w:val="21"/>
          <w:highlight w:val="none"/>
        </w:rPr>
        <w:t>(19)法律法规或投标人须知前附表规定的其他情形。</w:t>
      </w:r>
    </w:p>
    <w:p w14:paraId="5074E435">
      <w:pPr>
        <w:pStyle w:val="2"/>
        <w:spacing w:before="182" w:line="300" w:lineRule="exact"/>
        <w:rPr>
          <w:rFonts w:ascii="黑体" w:hAnsi="黑体" w:eastAsia="黑体" w:cs="黑体"/>
          <w:sz w:val="22"/>
          <w:szCs w:val="22"/>
          <w:highlight w:val="none"/>
        </w:rPr>
      </w:pPr>
      <w:r>
        <w:rPr>
          <w:spacing w:val="-8"/>
          <w:position w:val="1"/>
          <w:sz w:val="22"/>
          <w:szCs w:val="22"/>
          <w:highlight w:val="none"/>
        </w:rPr>
        <w:t xml:space="preserve">1.5  </w:t>
      </w:r>
      <w:r>
        <w:rPr>
          <w:rFonts w:ascii="黑体" w:hAnsi="黑体" w:eastAsia="黑体" w:cs="黑体"/>
          <w:spacing w:val="-8"/>
          <w:position w:val="1"/>
          <w:sz w:val="22"/>
          <w:szCs w:val="22"/>
          <w:highlight w:val="none"/>
        </w:rPr>
        <w:t>费用承担和设计成果补偿</w:t>
      </w:r>
    </w:p>
    <w:p w14:paraId="78B6404E">
      <w:pPr>
        <w:spacing w:before="151" w:line="220"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1.5.1投标人准备和参加投标活动发生的费用自理。</w:t>
      </w:r>
    </w:p>
    <w:p w14:paraId="7F81CE3F">
      <w:pPr>
        <w:spacing w:before="137" w:line="289" w:lineRule="auto"/>
        <w:ind w:right="69"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1.5.2  </w:t>
      </w:r>
      <w:r>
        <w:rPr>
          <w:rFonts w:ascii="宋体" w:hAnsi="宋体" w:eastAsia="宋体" w:cs="宋体"/>
          <w:spacing w:val="1"/>
          <w:sz w:val="21"/>
          <w:szCs w:val="21"/>
          <w:highlight w:val="none"/>
        </w:rPr>
        <w:t>招标人对符合招标文件规定的未中标人</w:t>
      </w:r>
      <w:r>
        <w:rPr>
          <w:rFonts w:ascii="宋体" w:hAnsi="宋体" w:eastAsia="宋体" w:cs="宋体"/>
          <w:sz w:val="21"/>
          <w:szCs w:val="21"/>
          <w:highlight w:val="none"/>
        </w:rPr>
        <w:t xml:space="preserve">的设计成果进行补偿的，按投标人须知前 </w:t>
      </w:r>
      <w:r>
        <w:rPr>
          <w:rFonts w:ascii="宋体" w:hAnsi="宋体" w:eastAsia="宋体" w:cs="宋体"/>
          <w:spacing w:val="-2"/>
          <w:sz w:val="21"/>
          <w:szCs w:val="21"/>
          <w:highlight w:val="none"/>
        </w:rPr>
        <w:t>附表规定给予补偿，并有权免费使用未中标人设计成果。</w:t>
      </w:r>
    </w:p>
    <w:p w14:paraId="09D4073E">
      <w:pPr>
        <w:spacing w:before="240" w:line="221" w:lineRule="auto"/>
        <w:rPr>
          <w:rFonts w:ascii="黑体" w:hAnsi="黑体" w:eastAsia="黑体" w:cs="黑体"/>
          <w:sz w:val="19"/>
          <w:szCs w:val="19"/>
          <w:highlight w:val="none"/>
        </w:rPr>
      </w:pPr>
      <w:r>
        <w:rPr>
          <w:rFonts w:ascii="黑体" w:hAnsi="黑体" w:eastAsia="黑体" w:cs="黑体"/>
          <w:spacing w:val="-4"/>
          <w:sz w:val="19"/>
          <w:szCs w:val="19"/>
          <w:highlight w:val="none"/>
        </w:rPr>
        <w:t>1.6 保</w:t>
      </w:r>
      <w:r>
        <w:rPr>
          <w:rFonts w:ascii="黑体" w:hAnsi="黑体" w:eastAsia="黑体" w:cs="黑体"/>
          <w:spacing w:val="4"/>
          <w:sz w:val="19"/>
          <w:szCs w:val="19"/>
          <w:highlight w:val="none"/>
        </w:rPr>
        <w:t xml:space="preserve"> </w:t>
      </w:r>
      <w:r>
        <w:rPr>
          <w:rFonts w:ascii="黑体" w:hAnsi="黑体" w:eastAsia="黑体" w:cs="黑体"/>
          <w:spacing w:val="-4"/>
          <w:sz w:val="19"/>
          <w:szCs w:val="19"/>
          <w:highlight w:val="none"/>
        </w:rPr>
        <w:t>密</w:t>
      </w:r>
    </w:p>
    <w:p w14:paraId="4B150837">
      <w:pPr>
        <w:spacing w:before="154" w:line="345" w:lineRule="auto"/>
        <w:ind w:right="91" w:firstLine="430"/>
        <w:rPr>
          <w:rFonts w:ascii="宋体" w:hAnsi="宋体" w:eastAsia="宋体" w:cs="宋体"/>
          <w:sz w:val="21"/>
          <w:szCs w:val="21"/>
          <w:highlight w:val="none"/>
        </w:rPr>
      </w:pPr>
      <w:r>
        <w:rPr>
          <w:rFonts w:ascii="宋体" w:hAnsi="宋体" w:eastAsia="宋体" w:cs="宋体"/>
          <w:spacing w:val="-3"/>
          <w:sz w:val="21"/>
          <w:szCs w:val="21"/>
          <w:highlight w:val="none"/>
        </w:rPr>
        <w:t>参与招标投标活动的各方应对招标文件和投标文件中的商业和技术等秘密保密，违者应</w:t>
      </w:r>
      <w:r>
        <w:rPr>
          <w:rFonts w:ascii="宋体" w:hAnsi="宋体" w:eastAsia="宋体" w:cs="宋体"/>
          <w:spacing w:val="11"/>
          <w:sz w:val="21"/>
          <w:szCs w:val="21"/>
          <w:highlight w:val="none"/>
        </w:rPr>
        <w:t xml:space="preserve"> </w:t>
      </w:r>
      <w:r>
        <w:rPr>
          <w:rFonts w:ascii="宋体" w:hAnsi="宋体" w:eastAsia="宋体" w:cs="宋体"/>
          <w:spacing w:val="-1"/>
          <w:sz w:val="21"/>
          <w:szCs w:val="21"/>
          <w:highlight w:val="none"/>
        </w:rPr>
        <w:t>对由此造成的后果承担法律责任。</w:t>
      </w:r>
    </w:p>
    <w:p w14:paraId="503394BD">
      <w:pPr>
        <w:pStyle w:val="2"/>
        <w:spacing w:before="114" w:line="222" w:lineRule="auto"/>
        <w:rPr>
          <w:rFonts w:ascii="黑体" w:hAnsi="黑体" w:eastAsia="黑体" w:cs="黑体"/>
          <w:sz w:val="19"/>
          <w:szCs w:val="19"/>
          <w:highlight w:val="none"/>
        </w:rPr>
      </w:pPr>
      <w:r>
        <w:rPr>
          <w:spacing w:val="11"/>
          <w:sz w:val="19"/>
          <w:szCs w:val="19"/>
          <w:highlight w:val="none"/>
        </w:rPr>
        <w:t>1.7</w:t>
      </w:r>
      <w:r>
        <w:rPr>
          <w:spacing w:val="21"/>
          <w:sz w:val="19"/>
          <w:szCs w:val="19"/>
          <w:highlight w:val="none"/>
        </w:rPr>
        <w:t xml:space="preserve">  </w:t>
      </w:r>
      <w:r>
        <w:rPr>
          <w:rFonts w:ascii="黑体" w:hAnsi="黑体" w:eastAsia="黑体" w:cs="黑体"/>
          <w:spacing w:val="11"/>
          <w:sz w:val="19"/>
          <w:szCs w:val="19"/>
          <w:highlight w:val="none"/>
        </w:rPr>
        <w:t>语言文字</w:t>
      </w:r>
    </w:p>
    <w:p w14:paraId="15AD93C9">
      <w:pPr>
        <w:spacing w:before="172" w:line="219" w:lineRule="auto"/>
        <w:jc w:val="right"/>
        <w:rPr>
          <w:rFonts w:ascii="宋体" w:hAnsi="宋体" w:eastAsia="宋体" w:cs="宋体"/>
          <w:sz w:val="20"/>
          <w:szCs w:val="20"/>
          <w:highlight w:val="none"/>
        </w:rPr>
      </w:pPr>
      <w:r>
        <w:rPr>
          <w:rFonts w:ascii="宋体" w:hAnsi="宋体" w:eastAsia="宋体" w:cs="宋体"/>
          <w:spacing w:val="10"/>
          <w:sz w:val="20"/>
          <w:szCs w:val="20"/>
          <w:highlight w:val="none"/>
        </w:rPr>
        <w:t>除专用术语外，与招标投标有关的语言均使用中文。必要时专</w:t>
      </w:r>
      <w:r>
        <w:rPr>
          <w:rFonts w:ascii="宋体" w:hAnsi="宋体" w:eastAsia="宋体" w:cs="宋体"/>
          <w:spacing w:val="9"/>
          <w:sz w:val="20"/>
          <w:szCs w:val="20"/>
          <w:highlight w:val="none"/>
        </w:rPr>
        <w:t>用术语应附有中文注释。</w:t>
      </w:r>
    </w:p>
    <w:p w14:paraId="632FB285">
      <w:pPr>
        <w:spacing w:before="205" w:line="222" w:lineRule="auto"/>
        <w:rPr>
          <w:rFonts w:ascii="黑体" w:hAnsi="黑体" w:eastAsia="黑体" w:cs="黑体"/>
          <w:sz w:val="22"/>
          <w:szCs w:val="22"/>
          <w:highlight w:val="none"/>
        </w:rPr>
      </w:pPr>
      <w:r>
        <w:rPr>
          <w:rFonts w:ascii="黑体" w:hAnsi="黑体" w:eastAsia="黑体" w:cs="黑体"/>
          <w:spacing w:val="5"/>
          <w:sz w:val="22"/>
          <w:szCs w:val="22"/>
          <w:highlight w:val="none"/>
        </w:rPr>
        <w:t>1.8计量单位</w:t>
      </w:r>
    </w:p>
    <w:p w14:paraId="0EDFF486">
      <w:pPr>
        <w:spacing w:before="144" w:line="219"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所有计量均采用中华人民共和国法定计量单位。</w:t>
      </w:r>
    </w:p>
    <w:p w14:paraId="3AC00153">
      <w:pPr>
        <w:spacing w:before="219" w:line="222" w:lineRule="auto"/>
        <w:rPr>
          <w:rFonts w:ascii="黑体" w:hAnsi="黑体" w:eastAsia="黑体" w:cs="黑体"/>
          <w:sz w:val="22"/>
          <w:szCs w:val="22"/>
          <w:highlight w:val="none"/>
        </w:rPr>
      </w:pPr>
      <w:r>
        <w:rPr>
          <w:rFonts w:ascii="黑体" w:hAnsi="黑体" w:eastAsia="黑体" w:cs="黑体"/>
          <w:spacing w:val="6"/>
          <w:sz w:val="22"/>
          <w:szCs w:val="22"/>
          <w:highlight w:val="none"/>
        </w:rPr>
        <w:t>1.9踏勘现场</w:t>
      </w:r>
    </w:p>
    <w:p w14:paraId="7CEB3C25">
      <w:pPr>
        <w:spacing w:before="135" w:line="274" w:lineRule="auto"/>
        <w:ind w:right="107" w:firstLine="43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1.9.1</w:t>
      </w:r>
      <w:r>
        <w:rPr>
          <w:rFonts w:ascii="Times New Roman" w:hAnsi="Times New Roman" w:eastAsia="Times New Roman" w:cs="Times New Roman"/>
          <w:spacing w:val="50"/>
          <w:w w:val="101"/>
          <w:sz w:val="22"/>
          <w:szCs w:val="22"/>
          <w:highlight w:val="none"/>
        </w:rPr>
        <w:t xml:space="preserve"> </w:t>
      </w:r>
      <w:r>
        <w:rPr>
          <w:rFonts w:ascii="宋体" w:hAnsi="宋体" w:eastAsia="宋体" w:cs="宋体"/>
          <w:spacing w:val="-4"/>
          <w:sz w:val="22"/>
          <w:szCs w:val="22"/>
          <w:highlight w:val="none"/>
        </w:rPr>
        <w:t>投标人须知前附表规定组织踏勘现场的，招标人按投标人须</w:t>
      </w:r>
      <w:r>
        <w:rPr>
          <w:rFonts w:ascii="宋体" w:hAnsi="宋体" w:eastAsia="宋体" w:cs="宋体"/>
          <w:spacing w:val="-5"/>
          <w:sz w:val="22"/>
          <w:szCs w:val="22"/>
          <w:highlight w:val="none"/>
        </w:rPr>
        <w:t>知前附表规定的时</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间、地点组织投标人踏勘项目现场。</w:t>
      </w:r>
    </w:p>
    <w:p w14:paraId="5C718893">
      <w:pPr>
        <w:spacing w:before="149"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1.9.2投标人踏勘现场发生的费用自理。</w:t>
      </w:r>
    </w:p>
    <w:p w14:paraId="451ABFEE">
      <w:pPr>
        <w:spacing w:before="147" w:line="271" w:lineRule="auto"/>
        <w:ind w:right="82" w:firstLine="43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 xml:space="preserve">1.9.3  </w:t>
      </w:r>
      <w:r>
        <w:rPr>
          <w:rFonts w:ascii="宋体" w:hAnsi="宋体" w:eastAsia="宋体" w:cs="宋体"/>
          <w:spacing w:val="-3"/>
          <w:sz w:val="22"/>
          <w:szCs w:val="22"/>
          <w:highlight w:val="none"/>
        </w:rPr>
        <w:t>除招标人的原因外，投标人自</w:t>
      </w:r>
      <w:r>
        <w:rPr>
          <w:rFonts w:ascii="宋体" w:hAnsi="宋体" w:eastAsia="宋体" w:cs="宋体"/>
          <w:spacing w:val="-4"/>
          <w:sz w:val="22"/>
          <w:szCs w:val="22"/>
          <w:highlight w:val="none"/>
        </w:rPr>
        <w:t>行负责在踏勘现场中所发生的人员伤亡和财产损</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失。</w:t>
      </w:r>
    </w:p>
    <w:p w14:paraId="635486FC">
      <w:pPr>
        <w:spacing w:before="134" w:line="299" w:lineRule="auto"/>
        <w:ind w:right="71"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1.9.4  </w:t>
      </w:r>
      <w:r>
        <w:rPr>
          <w:rFonts w:ascii="宋体" w:hAnsi="宋体" w:eastAsia="宋体" w:cs="宋体"/>
          <w:spacing w:val="1"/>
          <w:sz w:val="21"/>
          <w:szCs w:val="21"/>
          <w:highlight w:val="none"/>
        </w:rPr>
        <w:t>招标人在踏勘现场中介绍的工程场地</w:t>
      </w:r>
      <w:r>
        <w:rPr>
          <w:rFonts w:ascii="宋体" w:hAnsi="宋体" w:eastAsia="宋体" w:cs="宋体"/>
          <w:sz w:val="21"/>
          <w:szCs w:val="21"/>
          <w:highlight w:val="none"/>
        </w:rPr>
        <w:t xml:space="preserve">和相关的周边环境情况，供投标人在编制投 </w:t>
      </w:r>
      <w:r>
        <w:rPr>
          <w:rFonts w:ascii="宋体" w:hAnsi="宋体" w:eastAsia="宋体" w:cs="宋体"/>
          <w:spacing w:val="-2"/>
          <w:sz w:val="21"/>
          <w:szCs w:val="21"/>
          <w:highlight w:val="none"/>
        </w:rPr>
        <w:t>标文件时参考，招标人不对投标人据此作出的判断和决策负责。</w:t>
      </w:r>
    </w:p>
    <w:p w14:paraId="66E7A7B3">
      <w:pPr>
        <w:pStyle w:val="2"/>
        <w:spacing w:before="151" w:line="300" w:lineRule="exact"/>
        <w:rPr>
          <w:rFonts w:ascii="黑体" w:hAnsi="黑体" w:eastAsia="黑体" w:cs="黑体"/>
          <w:sz w:val="22"/>
          <w:szCs w:val="22"/>
          <w:highlight w:val="none"/>
        </w:rPr>
      </w:pPr>
      <w:r>
        <w:rPr>
          <w:spacing w:val="-9"/>
          <w:position w:val="1"/>
          <w:sz w:val="22"/>
          <w:szCs w:val="22"/>
          <w:highlight w:val="none"/>
        </w:rPr>
        <w:t>1.10</w:t>
      </w:r>
      <w:r>
        <w:rPr>
          <w:spacing w:val="61"/>
          <w:w w:val="101"/>
          <w:position w:val="1"/>
          <w:sz w:val="22"/>
          <w:szCs w:val="22"/>
          <w:highlight w:val="none"/>
        </w:rPr>
        <w:t xml:space="preserve"> </w:t>
      </w:r>
      <w:r>
        <w:rPr>
          <w:rFonts w:ascii="黑体" w:hAnsi="黑体" w:eastAsia="黑体" w:cs="黑体"/>
          <w:spacing w:val="-9"/>
          <w:position w:val="1"/>
          <w:sz w:val="22"/>
          <w:szCs w:val="22"/>
          <w:highlight w:val="none"/>
        </w:rPr>
        <w:t>投标预备会</w:t>
      </w:r>
    </w:p>
    <w:p w14:paraId="3451C8C5">
      <w:pPr>
        <w:spacing w:before="159" w:line="273" w:lineRule="auto"/>
        <w:ind w:right="83" w:firstLine="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1.10.1</w:t>
      </w:r>
      <w:r>
        <w:rPr>
          <w:rFonts w:ascii="Times New Roman" w:hAnsi="Times New Roman" w:eastAsia="Times New Roman" w:cs="Times New Roman"/>
          <w:spacing w:val="40"/>
          <w:w w:val="101"/>
          <w:sz w:val="22"/>
          <w:szCs w:val="22"/>
          <w:highlight w:val="none"/>
        </w:rPr>
        <w:t xml:space="preserve"> </w:t>
      </w:r>
      <w:r>
        <w:rPr>
          <w:rFonts w:ascii="宋体" w:hAnsi="宋体" w:eastAsia="宋体" w:cs="宋体"/>
          <w:spacing w:val="-6"/>
          <w:sz w:val="22"/>
          <w:szCs w:val="22"/>
          <w:highlight w:val="none"/>
        </w:rPr>
        <w:t>投标人须知前附表规定召开投标预备会的，招标人按投标人须知前附表规定的</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时间和地点召开投标预备会，澄清投标人提出的问题。</w:t>
      </w:r>
    </w:p>
    <w:p w14:paraId="5ABDC507">
      <w:pPr>
        <w:spacing w:before="171" w:line="302" w:lineRule="auto"/>
        <w:ind w:right="78" w:firstLine="430"/>
        <w:rPr>
          <w:rFonts w:ascii="宋体" w:hAnsi="宋体" w:eastAsia="宋体" w:cs="宋体"/>
          <w:sz w:val="21"/>
          <w:szCs w:val="21"/>
          <w:highlight w:val="none"/>
        </w:rPr>
      </w:pPr>
      <w:r>
        <w:rPr>
          <w:rFonts w:ascii="宋体" w:hAnsi="宋体" w:eastAsia="宋体" w:cs="宋体"/>
          <w:spacing w:val="-3"/>
          <w:sz w:val="21"/>
          <w:szCs w:val="21"/>
          <w:highlight w:val="none"/>
        </w:rPr>
        <w:t>1.10.2 在投标人须知前附表规定的时间前，投标人应使用</w:t>
      </w:r>
      <w:r>
        <w:rPr>
          <w:rFonts w:ascii="Times New Roman" w:hAnsi="Times New Roman" w:eastAsia="Times New Roman" w:cs="Times New Roman"/>
          <w:spacing w:val="-3"/>
          <w:sz w:val="21"/>
          <w:szCs w:val="21"/>
          <w:highlight w:val="none"/>
        </w:rPr>
        <w:t xml:space="preserve">CA </w:t>
      </w:r>
      <w:r>
        <w:rPr>
          <w:rFonts w:ascii="宋体" w:hAnsi="宋体" w:eastAsia="宋体" w:cs="宋体"/>
          <w:spacing w:val="-3"/>
          <w:sz w:val="21"/>
          <w:szCs w:val="21"/>
          <w:highlight w:val="none"/>
        </w:rPr>
        <w:t>数字证书登录“电子交易</w:t>
      </w:r>
      <w:r>
        <w:rPr>
          <w:rFonts w:ascii="宋体" w:hAnsi="宋体" w:eastAsia="宋体" w:cs="宋体"/>
          <w:spacing w:val="10"/>
          <w:sz w:val="21"/>
          <w:szCs w:val="21"/>
          <w:highlight w:val="none"/>
        </w:rPr>
        <w:t xml:space="preserve"> </w:t>
      </w:r>
      <w:r>
        <w:rPr>
          <w:rFonts w:ascii="宋体" w:hAnsi="宋体" w:eastAsia="宋体" w:cs="宋体"/>
          <w:sz w:val="21"/>
          <w:szCs w:val="21"/>
          <w:highlight w:val="none"/>
        </w:rPr>
        <w:t>平台”,在“投标答疑”菜单以书面形式将提出的问题送达招标人，以</w:t>
      </w:r>
      <w:r>
        <w:rPr>
          <w:rFonts w:ascii="宋体" w:hAnsi="宋体" w:eastAsia="宋体" w:cs="宋体"/>
          <w:spacing w:val="-1"/>
          <w:sz w:val="21"/>
          <w:szCs w:val="21"/>
          <w:highlight w:val="none"/>
        </w:rPr>
        <w:t>便招标人在会议期间</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澄清。</w:t>
      </w:r>
    </w:p>
    <w:p w14:paraId="6BFB6A76">
      <w:pPr>
        <w:spacing w:before="167" w:line="302" w:lineRule="auto"/>
        <w:ind w:right="64"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1.10.3  </w:t>
      </w:r>
      <w:r>
        <w:rPr>
          <w:rFonts w:ascii="宋体" w:hAnsi="宋体" w:eastAsia="宋体" w:cs="宋体"/>
          <w:spacing w:val="1"/>
          <w:sz w:val="21"/>
          <w:szCs w:val="21"/>
          <w:highlight w:val="none"/>
        </w:rPr>
        <w:t>投标预备会后，招标人在本章第2.2.2项规定</w:t>
      </w:r>
      <w:r>
        <w:rPr>
          <w:rFonts w:ascii="宋体" w:hAnsi="宋体" w:eastAsia="宋体" w:cs="宋体"/>
          <w:sz w:val="21"/>
          <w:szCs w:val="21"/>
          <w:highlight w:val="none"/>
        </w:rPr>
        <w:t xml:space="preserve">的时间内，将对投标人所提问题的 </w:t>
      </w:r>
      <w:r>
        <w:rPr>
          <w:rFonts w:ascii="宋体" w:hAnsi="宋体" w:eastAsia="宋体" w:cs="宋体"/>
          <w:spacing w:val="-2"/>
          <w:sz w:val="21"/>
          <w:szCs w:val="21"/>
          <w:highlight w:val="none"/>
        </w:rPr>
        <w:t>澄清，以书面形式通过“电子交易平台”通知所有下载招标文件的投标人。该澄清</w:t>
      </w:r>
      <w:r>
        <w:rPr>
          <w:rFonts w:ascii="宋体" w:hAnsi="宋体" w:eastAsia="宋体" w:cs="宋体"/>
          <w:spacing w:val="-3"/>
          <w:sz w:val="21"/>
          <w:szCs w:val="21"/>
          <w:highlight w:val="none"/>
        </w:rPr>
        <w:t>内容为招</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标文件的组成部分。</w:t>
      </w:r>
    </w:p>
    <w:p w14:paraId="7F43006C">
      <w:pPr>
        <w:spacing w:line="302" w:lineRule="auto"/>
        <w:rPr>
          <w:rFonts w:ascii="宋体" w:hAnsi="宋体" w:eastAsia="宋体" w:cs="宋体"/>
          <w:sz w:val="21"/>
          <w:szCs w:val="21"/>
          <w:highlight w:val="none"/>
        </w:rPr>
        <w:sectPr>
          <w:footerReference r:id="rId28" w:type="default"/>
          <w:pgSz w:w="11910" w:h="16840"/>
          <w:pgMar w:top="400" w:right="1739" w:bottom="1184" w:left="1769" w:header="0" w:footer="1024" w:gutter="0"/>
          <w:cols w:space="720" w:num="1"/>
        </w:sectPr>
      </w:pPr>
    </w:p>
    <w:p w14:paraId="61CDA2F6">
      <w:pPr>
        <w:pStyle w:val="2"/>
        <w:spacing w:line="254" w:lineRule="auto"/>
        <w:rPr>
          <w:highlight w:val="none"/>
        </w:rPr>
      </w:pPr>
    </w:p>
    <w:p w14:paraId="6015E272">
      <w:pPr>
        <w:pStyle w:val="2"/>
        <w:spacing w:line="255" w:lineRule="auto"/>
        <w:rPr>
          <w:highlight w:val="none"/>
        </w:rPr>
      </w:pPr>
    </w:p>
    <w:p w14:paraId="360F7B6C">
      <w:pPr>
        <w:pStyle w:val="2"/>
        <w:spacing w:line="255" w:lineRule="auto"/>
        <w:rPr>
          <w:highlight w:val="none"/>
        </w:rPr>
      </w:pPr>
    </w:p>
    <w:p w14:paraId="0F2F8E74">
      <w:pPr>
        <w:pStyle w:val="2"/>
        <w:spacing w:line="255" w:lineRule="auto"/>
        <w:rPr>
          <w:highlight w:val="none"/>
        </w:rPr>
      </w:pPr>
    </w:p>
    <w:p w14:paraId="0188B261">
      <w:pPr>
        <w:pStyle w:val="2"/>
        <w:spacing w:before="62" w:line="222" w:lineRule="auto"/>
        <w:rPr>
          <w:rFonts w:ascii="黑体" w:hAnsi="黑体" w:eastAsia="黑体" w:cs="黑体"/>
          <w:sz w:val="19"/>
          <w:szCs w:val="19"/>
          <w:highlight w:val="none"/>
        </w:rPr>
      </w:pPr>
      <w:bookmarkStart w:id="19" w:name="bookmark196"/>
      <w:bookmarkEnd w:id="19"/>
      <w:r>
        <w:rPr>
          <w:spacing w:val="-6"/>
          <w:sz w:val="19"/>
          <w:szCs w:val="19"/>
          <w:highlight w:val="none"/>
        </w:rPr>
        <w:t>1.11</w:t>
      </w:r>
      <w:r>
        <w:rPr>
          <w:spacing w:val="4"/>
          <w:sz w:val="19"/>
          <w:szCs w:val="19"/>
          <w:highlight w:val="none"/>
        </w:rPr>
        <w:t xml:space="preserve">   </w:t>
      </w:r>
      <w:r>
        <w:rPr>
          <w:rFonts w:ascii="黑体" w:hAnsi="黑体" w:eastAsia="黑体" w:cs="黑体"/>
          <w:spacing w:val="-6"/>
          <w:sz w:val="19"/>
          <w:szCs w:val="19"/>
          <w:highlight w:val="none"/>
        </w:rPr>
        <w:t>分</w:t>
      </w:r>
      <w:r>
        <w:rPr>
          <w:rFonts w:ascii="黑体" w:hAnsi="黑体" w:eastAsia="黑体" w:cs="黑体"/>
          <w:spacing w:val="-38"/>
          <w:sz w:val="19"/>
          <w:szCs w:val="19"/>
          <w:highlight w:val="none"/>
        </w:rPr>
        <w:t xml:space="preserve"> </w:t>
      </w:r>
      <w:r>
        <w:rPr>
          <w:rFonts w:ascii="黑体" w:hAnsi="黑体" w:eastAsia="黑体" w:cs="黑体"/>
          <w:spacing w:val="-6"/>
          <w:sz w:val="19"/>
          <w:szCs w:val="19"/>
          <w:highlight w:val="none"/>
        </w:rPr>
        <w:t>包</w:t>
      </w:r>
    </w:p>
    <w:p w14:paraId="4FD90954">
      <w:pPr>
        <w:spacing w:before="152" w:line="281" w:lineRule="auto"/>
        <w:ind w:right="40" w:firstLine="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1.11.1  </w:t>
      </w:r>
      <w:r>
        <w:rPr>
          <w:rFonts w:ascii="宋体" w:hAnsi="宋体" w:eastAsia="宋体" w:cs="宋体"/>
          <w:spacing w:val="-6"/>
          <w:sz w:val="22"/>
          <w:szCs w:val="22"/>
          <w:highlight w:val="none"/>
        </w:rPr>
        <w:t>投标人须知前附表规定应当由分包人实施的非主体、非关键性工作，投标人应</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当按照第五章“发包人要求”的规定提供分包人</w:t>
      </w:r>
      <w:r>
        <w:rPr>
          <w:rFonts w:ascii="宋体" w:hAnsi="宋体" w:eastAsia="宋体" w:cs="宋体"/>
          <w:spacing w:val="-11"/>
          <w:sz w:val="22"/>
          <w:szCs w:val="22"/>
          <w:highlight w:val="none"/>
        </w:rPr>
        <w:t>侯选名单及其相应资料。</w:t>
      </w:r>
    </w:p>
    <w:p w14:paraId="6BBA6D65">
      <w:pPr>
        <w:spacing w:before="139" w:line="273" w:lineRule="auto"/>
        <w:ind w:right="40" w:firstLine="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1.11.2  </w:t>
      </w:r>
      <w:r>
        <w:rPr>
          <w:rFonts w:ascii="宋体" w:hAnsi="宋体" w:eastAsia="宋体" w:cs="宋体"/>
          <w:spacing w:val="-6"/>
          <w:sz w:val="22"/>
          <w:szCs w:val="22"/>
          <w:highlight w:val="none"/>
        </w:rPr>
        <w:t>投标人拟在中标后将中标项目的部分非主体、非关键性工作进行分包的，应符</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合投标人须知前附表规定的分包内容、分包金额和资质要求等限制性条件。</w:t>
      </w:r>
    </w:p>
    <w:p w14:paraId="084E1457">
      <w:pPr>
        <w:spacing w:before="239" w:line="222" w:lineRule="auto"/>
        <w:rPr>
          <w:rFonts w:ascii="黑体" w:hAnsi="黑体" w:eastAsia="黑体" w:cs="黑体"/>
          <w:sz w:val="19"/>
          <w:szCs w:val="19"/>
          <w:highlight w:val="none"/>
        </w:rPr>
      </w:pPr>
      <w:r>
        <w:rPr>
          <w:rFonts w:ascii="黑体" w:hAnsi="黑体" w:eastAsia="黑体" w:cs="黑体"/>
          <w:spacing w:val="11"/>
          <w:sz w:val="19"/>
          <w:szCs w:val="19"/>
          <w:highlight w:val="none"/>
        </w:rPr>
        <w:t>1</w:t>
      </w:r>
      <w:r>
        <w:rPr>
          <w:rFonts w:ascii="黑体" w:hAnsi="黑体" w:eastAsia="黑体" w:cs="黑体"/>
          <w:spacing w:val="-36"/>
          <w:sz w:val="19"/>
          <w:szCs w:val="19"/>
          <w:highlight w:val="none"/>
        </w:rPr>
        <w:t xml:space="preserve"> </w:t>
      </w:r>
      <w:r>
        <w:rPr>
          <w:rFonts w:ascii="黑体" w:hAnsi="黑体" w:eastAsia="黑体" w:cs="黑体"/>
          <w:spacing w:val="11"/>
          <w:sz w:val="19"/>
          <w:szCs w:val="19"/>
          <w:highlight w:val="none"/>
        </w:rPr>
        <w:t>.</w:t>
      </w:r>
      <w:r>
        <w:rPr>
          <w:rFonts w:ascii="黑体" w:hAnsi="黑体" w:eastAsia="黑体" w:cs="黑体"/>
          <w:spacing w:val="-38"/>
          <w:sz w:val="19"/>
          <w:szCs w:val="19"/>
          <w:highlight w:val="none"/>
        </w:rPr>
        <w:t xml:space="preserve"> </w:t>
      </w:r>
      <w:r>
        <w:rPr>
          <w:rFonts w:ascii="黑体" w:hAnsi="黑体" w:eastAsia="黑体" w:cs="黑体"/>
          <w:spacing w:val="11"/>
          <w:sz w:val="19"/>
          <w:szCs w:val="19"/>
          <w:highlight w:val="none"/>
        </w:rPr>
        <w:t>12偏离</w:t>
      </w:r>
    </w:p>
    <w:p w14:paraId="3D6BD4CC">
      <w:pPr>
        <w:spacing w:before="151" w:line="328" w:lineRule="auto"/>
        <w:ind w:right="37" w:firstLine="370"/>
        <w:rPr>
          <w:rFonts w:ascii="宋体" w:hAnsi="宋体" w:eastAsia="宋体" w:cs="宋体"/>
          <w:sz w:val="22"/>
          <w:szCs w:val="22"/>
          <w:highlight w:val="none"/>
        </w:rPr>
      </w:pPr>
      <w:r>
        <w:rPr>
          <w:rFonts w:ascii="宋体" w:hAnsi="宋体" w:eastAsia="宋体" w:cs="宋体"/>
          <w:spacing w:val="-11"/>
          <w:sz w:val="22"/>
          <w:szCs w:val="22"/>
          <w:highlight w:val="none"/>
        </w:rPr>
        <w:t>投标文件不允许偏离招标文件的实质性要求和条件。投标人须知前附表允许投标文件偏</w:t>
      </w:r>
      <w:r>
        <w:rPr>
          <w:rFonts w:ascii="宋体" w:hAnsi="宋体" w:eastAsia="宋体" w:cs="宋体"/>
          <w:spacing w:val="8"/>
          <w:sz w:val="22"/>
          <w:szCs w:val="22"/>
          <w:highlight w:val="none"/>
        </w:rPr>
        <w:t xml:space="preserve"> </w:t>
      </w:r>
      <w:r>
        <w:rPr>
          <w:rFonts w:ascii="宋体" w:hAnsi="宋体" w:eastAsia="宋体" w:cs="宋体"/>
          <w:spacing w:val="-10"/>
          <w:sz w:val="22"/>
          <w:szCs w:val="22"/>
          <w:highlight w:val="none"/>
        </w:rPr>
        <w:t>离招标文件某些要求的，偏离应当符合招标文件</w:t>
      </w:r>
      <w:r>
        <w:rPr>
          <w:rFonts w:ascii="宋体" w:hAnsi="宋体" w:eastAsia="宋体" w:cs="宋体"/>
          <w:spacing w:val="-11"/>
          <w:sz w:val="22"/>
          <w:szCs w:val="22"/>
          <w:highlight w:val="none"/>
        </w:rPr>
        <w:t>规定的偏离范围和幅度。</w:t>
      </w:r>
    </w:p>
    <w:p w14:paraId="78C2F306">
      <w:pPr>
        <w:pStyle w:val="2"/>
        <w:spacing w:line="244" w:lineRule="auto"/>
        <w:rPr>
          <w:highlight w:val="none"/>
        </w:rPr>
      </w:pPr>
    </w:p>
    <w:p w14:paraId="0AD98DA8">
      <w:pPr>
        <w:pStyle w:val="2"/>
        <w:spacing w:line="244" w:lineRule="auto"/>
        <w:rPr>
          <w:highlight w:val="none"/>
        </w:rPr>
      </w:pPr>
    </w:p>
    <w:p w14:paraId="36F74C61">
      <w:pPr>
        <w:pStyle w:val="2"/>
        <w:spacing w:line="244" w:lineRule="auto"/>
        <w:rPr>
          <w:highlight w:val="none"/>
        </w:rPr>
      </w:pPr>
    </w:p>
    <w:p w14:paraId="3EF45ECA">
      <w:pPr>
        <w:pStyle w:val="2"/>
        <w:spacing w:line="244" w:lineRule="auto"/>
        <w:rPr>
          <w:highlight w:val="none"/>
        </w:rPr>
      </w:pPr>
    </w:p>
    <w:p w14:paraId="54B1BC3A">
      <w:pPr>
        <w:pStyle w:val="2"/>
        <w:spacing w:line="245" w:lineRule="auto"/>
        <w:rPr>
          <w:highlight w:val="none"/>
        </w:rPr>
      </w:pPr>
    </w:p>
    <w:p w14:paraId="00AAE6FB">
      <w:pPr>
        <w:pStyle w:val="2"/>
        <w:spacing w:before="91" w:line="222" w:lineRule="auto"/>
        <w:outlineLvl w:val="1"/>
        <w:rPr>
          <w:rFonts w:ascii="黑体" w:hAnsi="黑体" w:eastAsia="黑体" w:cs="黑体"/>
          <w:sz w:val="28"/>
          <w:szCs w:val="28"/>
          <w:highlight w:val="none"/>
        </w:rPr>
      </w:pPr>
      <w:bookmarkStart w:id="20" w:name="bookmark6"/>
      <w:bookmarkEnd w:id="20"/>
      <w:r>
        <w:rPr>
          <w:spacing w:val="9"/>
          <w:sz w:val="28"/>
          <w:szCs w:val="28"/>
          <w:highlight w:val="none"/>
        </w:rPr>
        <w:t>2.</w:t>
      </w:r>
      <w:r>
        <w:rPr>
          <w:spacing w:val="57"/>
          <w:sz w:val="28"/>
          <w:szCs w:val="28"/>
          <w:highlight w:val="none"/>
        </w:rPr>
        <w:t xml:space="preserve"> </w:t>
      </w:r>
      <w:r>
        <w:rPr>
          <w:rFonts w:ascii="黑体" w:hAnsi="黑体" w:eastAsia="黑体" w:cs="黑体"/>
          <w:spacing w:val="9"/>
          <w:sz w:val="28"/>
          <w:szCs w:val="28"/>
          <w:highlight w:val="none"/>
        </w:rPr>
        <w:t>招标文件</w:t>
      </w:r>
    </w:p>
    <w:p w14:paraId="7EAB761D">
      <w:pPr>
        <w:pStyle w:val="2"/>
        <w:spacing w:line="267" w:lineRule="auto"/>
        <w:rPr>
          <w:highlight w:val="none"/>
        </w:rPr>
      </w:pPr>
    </w:p>
    <w:p w14:paraId="43ED2CDE">
      <w:pPr>
        <w:pStyle w:val="2"/>
        <w:spacing w:before="73" w:line="222" w:lineRule="auto"/>
        <w:rPr>
          <w:rFonts w:ascii="黑体" w:hAnsi="黑体" w:eastAsia="黑体" w:cs="黑体"/>
          <w:sz w:val="22"/>
          <w:szCs w:val="22"/>
          <w:highlight w:val="none"/>
        </w:rPr>
      </w:pPr>
      <w:r>
        <w:rPr>
          <w:spacing w:val="-6"/>
          <w:sz w:val="22"/>
          <w:szCs w:val="22"/>
          <w:highlight w:val="none"/>
        </w:rPr>
        <w:t xml:space="preserve">2.1  </w:t>
      </w:r>
      <w:r>
        <w:rPr>
          <w:rFonts w:ascii="黑体" w:hAnsi="黑体" w:eastAsia="黑体" w:cs="黑体"/>
          <w:spacing w:val="-6"/>
          <w:sz w:val="22"/>
          <w:szCs w:val="22"/>
          <w:highlight w:val="none"/>
        </w:rPr>
        <w:t>招标文件的组成</w:t>
      </w:r>
    </w:p>
    <w:p w14:paraId="5899EB39">
      <w:pPr>
        <w:spacing w:before="165" w:line="219" w:lineRule="auto"/>
        <w:ind w:left="430"/>
        <w:rPr>
          <w:rFonts w:ascii="宋体" w:hAnsi="宋体" w:eastAsia="宋体" w:cs="宋体"/>
          <w:sz w:val="20"/>
          <w:szCs w:val="20"/>
          <w:highlight w:val="none"/>
        </w:rPr>
      </w:pPr>
      <w:r>
        <w:rPr>
          <w:rFonts w:ascii="宋体" w:hAnsi="宋体" w:eastAsia="宋体" w:cs="宋体"/>
          <w:spacing w:val="1"/>
          <w:sz w:val="20"/>
          <w:szCs w:val="20"/>
          <w:highlight w:val="none"/>
        </w:rPr>
        <w:t>本招标文件包括：</w:t>
      </w:r>
    </w:p>
    <w:p w14:paraId="319BD412">
      <w:pPr>
        <w:spacing w:before="133" w:line="218" w:lineRule="auto"/>
        <w:ind w:left="530"/>
        <w:rPr>
          <w:rFonts w:ascii="宋体" w:hAnsi="宋体" w:eastAsia="宋体" w:cs="宋体"/>
          <w:sz w:val="22"/>
          <w:szCs w:val="22"/>
          <w:highlight w:val="none"/>
        </w:rPr>
      </w:pPr>
      <w:r>
        <w:rPr>
          <w:rFonts w:ascii="宋体" w:hAnsi="宋体" w:eastAsia="宋体" w:cs="宋体"/>
          <w:spacing w:val="4"/>
          <w:sz w:val="22"/>
          <w:szCs w:val="22"/>
          <w:highlight w:val="none"/>
        </w:rPr>
        <w:t>(1)招标公告(或投标邀请书);</w:t>
      </w:r>
    </w:p>
    <w:p w14:paraId="79AB8E35">
      <w:pPr>
        <w:spacing w:before="162" w:line="220" w:lineRule="auto"/>
        <w:ind w:left="530"/>
        <w:rPr>
          <w:rFonts w:ascii="宋体" w:hAnsi="宋体" w:eastAsia="宋体" w:cs="宋体"/>
          <w:sz w:val="20"/>
          <w:szCs w:val="20"/>
          <w:highlight w:val="none"/>
        </w:rPr>
      </w:pPr>
      <w:r>
        <w:rPr>
          <w:rFonts w:ascii="宋体" w:hAnsi="宋体" w:eastAsia="宋体" w:cs="宋体"/>
          <w:spacing w:val="9"/>
          <w:sz w:val="20"/>
          <w:szCs w:val="20"/>
          <w:highlight w:val="none"/>
        </w:rPr>
        <w:t>(2</w:t>
      </w:r>
      <w:r>
        <w:rPr>
          <w:rFonts w:ascii="宋体" w:hAnsi="宋体" w:eastAsia="宋体" w:cs="宋体"/>
          <w:spacing w:val="-53"/>
          <w:sz w:val="20"/>
          <w:szCs w:val="20"/>
          <w:highlight w:val="none"/>
        </w:rPr>
        <w:t xml:space="preserve"> </w:t>
      </w:r>
      <w:r>
        <w:rPr>
          <w:rFonts w:ascii="宋体" w:hAnsi="宋体" w:eastAsia="宋体" w:cs="宋体"/>
          <w:spacing w:val="9"/>
          <w:sz w:val="20"/>
          <w:szCs w:val="20"/>
          <w:highlight w:val="none"/>
        </w:rPr>
        <w:t>)投标人须知；</w:t>
      </w:r>
    </w:p>
    <w:p w14:paraId="31D4A63D">
      <w:pPr>
        <w:spacing w:before="142" w:line="219" w:lineRule="auto"/>
        <w:ind w:left="530"/>
        <w:rPr>
          <w:rFonts w:ascii="宋体" w:hAnsi="宋体" w:eastAsia="宋体" w:cs="宋体"/>
          <w:sz w:val="22"/>
          <w:szCs w:val="22"/>
          <w:highlight w:val="none"/>
        </w:rPr>
      </w:pPr>
      <w:r>
        <w:rPr>
          <w:rFonts w:ascii="宋体" w:hAnsi="宋体" w:eastAsia="宋体" w:cs="宋体"/>
          <w:spacing w:val="-6"/>
          <w:sz w:val="22"/>
          <w:szCs w:val="22"/>
          <w:highlight w:val="none"/>
        </w:rPr>
        <w:t>(3</w:t>
      </w:r>
      <w:r>
        <w:rPr>
          <w:rFonts w:ascii="宋体" w:hAnsi="宋体" w:eastAsia="宋体" w:cs="宋体"/>
          <w:spacing w:val="-63"/>
          <w:sz w:val="22"/>
          <w:szCs w:val="22"/>
          <w:highlight w:val="none"/>
        </w:rPr>
        <w:t xml:space="preserve"> </w:t>
      </w:r>
      <w:r>
        <w:rPr>
          <w:rFonts w:ascii="宋体" w:hAnsi="宋体" w:eastAsia="宋体" w:cs="宋体"/>
          <w:spacing w:val="-6"/>
          <w:sz w:val="22"/>
          <w:szCs w:val="22"/>
          <w:highlight w:val="none"/>
        </w:rPr>
        <w:t>)评标办法；</w:t>
      </w:r>
    </w:p>
    <w:p w14:paraId="5A740A0B">
      <w:pPr>
        <w:spacing w:before="139" w:line="219" w:lineRule="auto"/>
        <w:ind w:left="530"/>
        <w:rPr>
          <w:rFonts w:ascii="宋体" w:hAnsi="宋体" w:eastAsia="宋体" w:cs="宋体"/>
          <w:sz w:val="22"/>
          <w:szCs w:val="22"/>
          <w:highlight w:val="none"/>
        </w:rPr>
      </w:pPr>
      <w:r>
        <w:rPr>
          <w:rFonts w:ascii="宋体" w:hAnsi="宋体" w:eastAsia="宋体" w:cs="宋体"/>
          <w:spacing w:val="-4"/>
          <w:sz w:val="22"/>
          <w:szCs w:val="22"/>
          <w:highlight w:val="none"/>
        </w:rPr>
        <w:t>(4)合同条款及格式；</w:t>
      </w:r>
    </w:p>
    <w:p w14:paraId="62ED1ECD">
      <w:pPr>
        <w:spacing w:before="158" w:line="220" w:lineRule="auto"/>
        <w:ind w:left="530"/>
        <w:rPr>
          <w:rFonts w:ascii="宋体" w:hAnsi="宋体" w:eastAsia="宋体" w:cs="宋体"/>
          <w:sz w:val="20"/>
          <w:szCs w:val="20"/>
          <w:highlight w:val="none"/>
        </w:rPr>
      </w:pPr>
      <w:r>
        <w:rPr>
          <w:rFonts w:ascii="宋体" w:hAnsi="宋体" w:eastAsia="宋体" w:cs="宋体"/>
          <w:spacing w:val="7"/>
          <w:sz w:val="20"/>
          <w:szCs w:val="20"/>
          <w:highlight w:val="none"/>
        </w:rPr>
        <w:t>(5</w:t>
      </w:r>
      <w:r>
        <w:rPr>
          <w:rFonts w:ascii="宋体" w:hAnsi="宋体" w:eastAsia="宋体" w:cs="宋体"/>
          <w:spacing w:val="-35"/>
          <w:sz w:val="20"/>
          <w:szCs w:val="20"/>
          <w:highlight w:val="none"/>
        </w:rPr>
        <w:t xml:space="preserve"> </w:t>
      </w:r>
      <w:r>
        <w:rPr>
          <w:rFonts w:ascii="宋体" w:hAnsi="宋体" w:eastAsia="宋体" w:cs="宋体"/>
          <w:spacing w:val="7"/>
          <w:sz w:val="20"/>
          <w:szCs w:val="20"/>
          <w:highlight w:val="none"/>
        </w:rPr>
        <w:t>)发包人要求；</w:t>
      </w:r>
    </w:p>
    <w:p w14:paraId="51D73A2F">
      <w:pPr>
        <w:spacing w:before="151" w:line="219" w:lineRule="auto"/>
        <w:ind w:left="530"/>
        <w:rPr>
          <w:rFonts w:ascii="宋体" w:hAnsi="宋体" w:eastAsia="宋体" w:cs="宋体"/>
          <w:sz w:val="22"/>
          <w:szCs w:val="22"/>
          <w:highlight w:val="none"/>
        </w:rPr>
      </w:pPr>
      <w:r>
        <w:rPr>
          <w:rFonts w:ascii="宋体" w:hAnsi="宋体" w:eastAsia="宋体" w:cs="宋体"/>
          <w:spacing w:val="-7"/>
          <w:sz w:val="22"/>
          <w:szCs w:val="22"/>
          <w:highlight w:val="none"/>
        </w:rPr>
        <w:t>(6)发包人提供的资料和条件；</w:t>
      </w:r>
    </w:p>
    <w:p w14:paraId="61282771">
      <w:pPr>
        <w:spacing w:before="130" w:line="219" w:lineRule="auto"/>
        <w:ind w:left="530"/>
        <w:rPr>
          <w:rFonts w:ascii="宋体" w:hAnsi="宋体" w:eastAsia="宋体" w:cs="宋体"/>
          <w:sz w:val="22"/>
          <w:szCs w:val="22"/>
          <w:highlight w:val="none"/>
        </w:rPr>
      </w:pPr>
      <w:r>
        <w:rPr>
          <w:rFonts w:ascii="宋体" w:hAnsi="宋体" w:eastAsia="宋体" w:cs="宋体"/>
          <w:spacing w:val="-5"/>
          <w:sz w:val="22"/>
          <w:szCs w:val="22"/>
          <w:highlight w:val="none"/>
        </w:rPr>
        <w:t>(7)投标文件格式；</w:t>
      </w:r>
    </w:p>
    <w:p w14:paraId="686879D7">
      <w:pPr>
        <w:spacing w:before="138" w:line="219" w:lineRule="auto"/>
        <w:ind w:left="530"/>
        <w:rPr>
          <w:rFonts w:ascii="宋体" w:hAnsi="宋体" w:eastAsia="宋体" w:cs="宋体"/>
          <w:sz w:val="22"/>
          <w:szCs w:val="22"/>
          <w:highlight w:val="none"/>
        </w:rPr>
      </w:pPr>
      <w:r>
        <w:rPr>
          <w:rFonts w:ascii="宋体" w:hAnsi="宋体" w:eastAsia="宋体" w:cs="宋体"/>
          <w:spacing w:val="-5"/>
          <w:sz w:val="22"/>
          <w:szCs w:val="22"/>
          <w:highlight w:val="none"/>
        </w:rPr>
        <w:t>(8)投标人须知前附表规定的其他资料。</w:t>
      </w:r>
    </w:p>
    <w:p w14:paraId="4D162B93">
      <w:pPr>
        <w:spacing w:before="149" w:line="330" w:lineRule="auto"/>
        <w:ind w:firstLine="430"/>
        <w:rPr>
          <w:rFonts w:ascii="宋体" w:hAnsi="宋体" w:eastAsia="宋体" w:cs="宋体"/>
          <w:sz w:val="22"/>
          <w:szCs w:val="22"/>
          <w:highlight w:val="none"/>
        </w:rPr>
      </w:pPr>
      <w:r>
        <w:rPr>
          <w:rFonts w:ascii="宋体" w:hAnsi="宋体" w:eastAsia="宋体" w:cs="宋体"/>
          <w:spacing w:val="-5"/>
          <w:sz w:val="22"/>
          <w:szCs w:val="22"/>
          <w:highlight w:val="none"/>
        </w:rPr>
        <w:t>根据本章第1.10款、第2.2款和第2.3款对招标文件所作的澄清、修改，构成招标</w:t>
      </w:r>
      <w:r>
        <w:rPr>
          <w:rFonts w:ascii="宋体" w:hAnsi="宋体" w:eastAsia="宋体" w:cs="宋体"/>
          <w:spacing w:val="-6"/>
          <w:sz w:val="22"/>
          <w:szCs w:val="22"/>
          <w:highlight w:val="none"/>
        </w:rPr>
        <w:t>文件</w:t>
      </w:r>
      <w:r>
        <w:rPr>
          <w:rFonts w:ascii="宋体" w:hAnsi="宋体" w:eastAsia="宋体" w:cs="宋体"/>
          <w:sz w:val="22"/>
          <w:szCs w:val="22"/>
          <w:highlight w:val="none"/>
        </w:rPr>
        <w:t xml:space="preserve"> </w:t>
      </w:r>
      <w:r>
        <w:rPr>
          <w:rFonts w:ascii="宋体" w:hAnsi="宋体" w:eastAsia="宋体" w:cs="宋体"/>
          <w:spacing w:val="-14"/>
          <w:sz w:val="22"/>
          <w:szCs w:val="22"/>
          <w:highlight w:val="none"/>
        </w:rPr>
        <w:t>的组成部分。</w:t>
      </w:r>
    </w:p>
    <w:p w14:paraId="59070C8F">
      <w:pPr>
        <w:pStyle w:val="2"/>
        <w:spacing w:before="83" w:line="222" w:lineRule="auto"/>
        <w:rPr>
          <w:rFonts w:ascii="黑体" w:hAnsi="黑体" w:eastAsia="黑体" w:cs="黑体"/>
          <w:sz w:val="22"/>
          <w:szCs w:val="22"/>
          <w:highlight w:val="none"/>
        </w:rPr>
      </w:pPr>
      <w:r>
        <w:rPr>
          <w:spacing w:val="-6"/>
          <w:sz w:val="22"/>
          <w:szCs w:val="22"/>
          <w:highlight w:val="none"/>
        </w:rPr>
        <w:t xml:space="preserve">2.2  </w:t>
      </w:r>
      <w:r>
        <w:rPr>
          <w:rFonts w:ascii="黑体" w:hAnsi="黑体" w:eastAsia="黑体" w:cs="黑体"/>
          <w:spacing w:val="-6"/>
          <w:sz w:val="22"/>
          <w:szCs w:val="22"/>
          <w:highlight w:val="none"/>
        </w:rPr>
        <w:t>招标文件的澄清</w:t>
      </w:r>
    </w:p>
    <w:p w14:paraId="59CE7CE4">
      <w:pPr>
        <w:spacing w:before="146" w:line="303" w:lineRule="auto"/>
        <w:ind w:right="36" w:firstLine="4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2.2.1</w:t>
      </w:r>
      <w:r>
        <w:rPr>
          <w:rFonts w:ascii="Times New Roman" w:hAnsi="Times New Roman" w:eastAsia="Times New Roman" w:cs="Times New Roman"/>
          <w:spacing w:val="56"/>
          <w:sz w:val="22"/>
          <w:szCs w:val="22"/>
          <w:highlight w:val="none"/>
        </w:rPr>
        <w:t xml:space="preserve"> </w:t>
      </w:r>
      <w:r>
        <w:rPr>
          <w:rFonts w:ascii="宋体" w:hAnsi="宋体" w:eastAsia="宋体" w:cs="宋体"/>
          <w:spacing w:val="-9"/>
          <w:sz w:val="22"/>
          <w:szCs w:val="22"/>
          <w:highlight w:val="none"/>
        </w:rPr>
        <w:t>投标人应仔细阅读和检查招标文件的全部内容。如发现缺页或附件不全，应及时</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向招标人提出，以便补齐。如有疑问，应在投标人须知前附表规定的时间前，使用</w:t>
      </w:r>
      <w:r>
        <w:rPr>
          <w:rFonts w:ascii="Times New Roman" w:hAnsi="Times New Roman" w:eastAsia="Times New Roman" w:cs="Times New Roman"/>
          <w:spacing w:val="-10"/>
          <w:sz w:val="22"/>
          <w:szCs w:val="22"/>
          <w:highlight w:val="none"/>
        </w:rPr>
        <w:t xml:space="preserve">CA </w:t>
      </w:r>
      <w:r>
        <w:rPr>
          <w:rFonts w:ascii="宋体" w:hAnsi="宋体" w:eastAsia="宋体" w:cs="宋体"/>
          <w:spacing w:val="-11"/>
          <w:sz w:val="22"/>
          <w:szCs w:val="22"/>
          <w:highlight w:val="none"/>
        </w:rPr>
        <w:t>数字</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证书登录“电子交易平台”,在“投标答疑”菜单以书面形式要求招标人对招标文件予以澄</w:t>
      </w:r>
      <w:r>
        <w:rPr>
          <w:rFonts w:ascii="宋体" w:hAnsi="宋体" w:eastAsia="宋体" w:cs="宋体"/>
          <w:spacing w:val="7"/>
          <w:sz w:val="22"/>
          <w:szCs w:val="22"/>
          <w:highlight w:val="none"/>
        </w:rPr>
        <w:t xml:space="preserve"> </w:t>
      </w:r>
      <w:r>
        <w:rPr>
          <w:rFonts w:ascii="宋体" w:hAnsi="宋体" w:eastAsia="宋体" w:cs="宋体"/>
          <w:spacing w:val="-11"/>
          <w:sz w:val="22"/>
          <w:szCs w:val="22"/>
          <w:highlight w:val="none"/>
        </w:rPr>
        <w:t>清。</w:t>
      </w:r>
    </w:p>
    <w:p w14:paraId="75694351">
      <w:pPr>
        <w:spacing w:before="166" w:line="276" w:lineRule="auto"/>
        <w:ind w:right="17"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2.2.2</w:t>
      </w:r>
      <w:r>
        <w:rPr>
          <w:rFonts w:ascii="Times New Roman" w:hAnsi="Times New Roman" w:eastAsia="Times New Roman" w:cs="Times New Roman"/>
          <w:spacing w:val="52"/>
          <w:w w:val="101"/>
          <w:sz w:val="21"/>
          <w:szCs w:val="21"/>
          <w:highlight w:val="none"/>
        </w:rPr>
        <w:t xml:space="preserve"> </w:t>
      </w:r>
      <w:r>
        <w:rPr>
          <w:rFonts w:ascii="宋体" w:hAnsi="宋体" w:eastAsia="宋体" w:cs="宋体"/>
          <w:spacing w:val="1"/>
          <w:sz w:val="21"/>
          <w:szCs w:val="21"/>
          <w:highlight w:val="none"/>
        </w:rPr>
        <w:t>招标人对招标文件的澄清通过“电子交易平台”以书面形式发给所有</w:t>
      </w:r>
      <w:r>
        <w:rPr>
          <w:rFonts w:ascii="宋体" w:hAnsi="宋体" w:eastAsia="宋体" w:cs="宋体"/>
          <w:sz w:val="21"/>
          <w:szCs w:val="21"/>
          <w:highlight w:val="none"/>
        </w:rPr>
        <w:t xml:space="preserve">下载招标文 </w:t>
      </w:r>
      <w:r>
        <w:rPr>
          <w:rFonts w:ascii="宋体" w:hAnsi="宋体" w:eastAsia="宋体" w:cs="宋体"/>
          <w:spacing w:val="3"/>
          <w:sz w:val="21"/>
          <w:szCs w:val="21"/>
          <w:highlight w:val="none"/>
        </w:rPr>
        <w:t>件的投标人，但不指明澄清问题的来源。如果澄清通知发出的时间距投标人须知前附表第</w:t>
      </w:r>
    </w:p>
    <w:p w14:paraId="1776F425">
      <w:pPr>
        <w:spacing w:before="167" w:line="302" w:lineRule="auto"/>
        <w:ind w:right="40"/>
        <w:rPr>
          <w:rFonts w:ascii="宋体" w:hAnsi="宋体" w:eastAsia="宋体" w:cs="宋体"/>
          <w:sz w:val="20"/>
          <w:szCs w:val="20"/>
          <w:highlight w:val="none"/>
        </w:rPr>
      </w:pPr>
      <w:r>
        <w:rPr>
          <w:rFonts w:ascii="宋体" w:hAnsi="宋体" w:eastAsia="宋体" w:cs="宋体"/>
          <w:spacing w:val="4"/>
          <w:sz w:val="20"/>
          <w:szCs w:val="20"/>
          <w:highlight w:val="none"/>
        </w:rPr>
        <w:t>4.2.1项规定的投标截止时间不足</w:t>
      </w:r>
      <w:r>
        <w:rPr>
          <w:rFonts w:ascii="LiSu" w:hAnsi="LiSu" w:eastAsia="LiSu" w:cs="LiSu"/>
          <w:spacing w:val="4"/>
          <w:sz w:val="20"/>
          <w:szCs w:val="20"/>
          <w:highlight w:val="none"/>
        </w:rPr>
        <w:t>1</w:t>
      </w:r>
      <w:r>
        <w:rPr>
          <w:rFonts w:ascii="LiSu" w:hAnsi="LiSu" w:eastAsia="LiSu" w:cs="LiSu"/>
          <w:spacing w:val="-15"/>
          <w:sz w:val="20"/>
          <w:szCs w:val="20"/>
          <w:highlight w:val="none"/>
        </w:rPr>
        <w:t xml:space="preserve"> </w:t>
      </w:r>
      <w:r>
        <w:rPr>
          <w:rFonts w:ascii="LiSu" w:hAnsi="LiSu" w:eastAsia="LiSu" w:cs="LiSu"/>
          <w:spacing w:val="4"/>
          <w:sz w:val="20"/>
          <w:szCs w:val="20"/>
          <w:highlight w:val="none"/>
        </w:rPr>
        <w:t>5 日</w:t>
      </w:r>
      <w:r>
        <w:rPr>
          <w:rFonts w:ascii="LiSu" w:hAnsi="LiSu" w:eastAsia="LiSu" w:cs="LiSu"/>
          <w:spacing w:val="-44"/>
          <w:sz w:val="20"/>
          <w:szCs w:val="20"/>
          <w:highlight w:val="none"/>
        </w:rPr>
        <w:t xml:space="preserve"> </w:t>
      </w:r>
      <w:r>
        <w:rPr>
          <w:rFonts w:ascii="LiSu" w:hAnsi="LiSu" w:eastAsia="LiSu" w:cs="LiSu"/>
          <w:spacing w:val="4"/>
          <w:sz w:val="20"/>
          <w:szCs w:val="20"/>
          <w:highlight w:val="none"/>
        </w:rPr>
        <w:t>，</w:t>
      </w:r>
      <w:r>
        <w:rPr>
          <w:rFonts w:ascii="宋体" w:hAnsi="宋体" w:eastAsia="宋体" w:cs="宋体"/>
          <w:spacing w:val="4"/>
          <w:sz w:val="20"/>
          <w:szCs w:val="20"/>
          <w:highlight w:val="none"/>
        </w:rPr>
        <w:t>并且澄清的内容影响投标文件编制的，相应延长投</w:t>
      </w:r>
      <w:r>
        <w:rPr>
          <w:rFonts w:ascii="宋体" w:hAnsi="宋体" w:eastAsia="宋体" w:cs="宋体"/>
          <w:sz w:val="20"/>
          <w:szCs w:val="20"/>
          <w:highlight w:val="none"/>
        </w:rPr>
        <w:t xml:space="preserve"> </w:t>
      </w:r>
      <w:r>
        <w:rPr>
          <w:rFonts w:ascii="宋体" w:hAnsi="宋体" w:eastAsia="宋体" w:cs="宋体"/>
          <w:spacing w:val="1"/>
          <w:sz w:val="20"/>
          <w:szCs w:val="20"/>
          <w:highlight w:val="none"/>
        </w:rPr>
        <w:t>标截止时间。</w:t>
      </w:r>
    </w:p>
    <w:p w14:paraId="13641DB4">
      <w:pPr>
        <w:spacing w:line="302" w:lineRule="auto"/>
        <w:rPr>
          <w:rFonts w:ascii="宋体" w:hAnsi="宋体" w:eastAsia="宋体" w:cs="宋体"/>
          <w:sz w:val="20"/>
          <w:szCs w:val="20"/>
          <w:highlight w:val="none"/>
        </w:rPr>
        <w:sectPr>
          <w:footerReference r:id="rId29" w:type="default"/>
          <w:pgSz w:w="11910" w:h="16840"/>
          <w:pgMar w:top="400" w:right="1780" w:bottom="1238" w:left="1769" w:header="0" w:footer="1007" w:gutter="0"/>
          <w:cols w:space="720" w:num="1"/>
        </w:sectPr>
      </w:pPr>
    </w:p>
    <w:p w14:paraId="5977B440">
      <w:pPr>
        <w:pStyle w:val="2"/>
        <w:spacing w:line="276" w:lineRule="auto"/>
        <w:rPr>
          <w:highlight w:val="none"/>
        </w:rPr>
      </w:pPr>
    </w:p>
    <w:p w14:paraId="648EDC3D">
      <w:pPr>
        <w:pStyle w:val="2"/>
        <w:spacing w:line="276" w:lineRule="auto"/>
        <w:rPr>
          <w:highlight w:val="none"/>
        </w:rPr>
      </w:pPr>
    </w:p>
    <w:p w14:paraId="12B438DC">
      <w:pPr>
        <w:pStyle w:val="2"/>
        <w:spacing w:line="277" w:lineRule="auto"/>
        <w:rPr>
          <w:highlight w:val="none"/>
        </w:rPr>
      </w:pPr>
    </w:p>
    <w:p w14:paraId="25CF6772">
      <w:pPr>
        <w:pStyle w:val="2"/>
        <w:spacing w:line="277" w:lineRule="auto"/>
        <w:rPr>
          <w:highlight w:val="none"/>
        </w:rPr>
      </w:pPr>
    </w:p>
    <w:p w14:paraId="5297E23E">
      <w:pPr>
        <w:spacing w:before="65" w:line="362" w:lineRule="auto"/>
        <w:ind w:right="22" w:firstLine="430"/>
        <w:rPr>
          <w:rFonts w:ascii="宋体" w:hAnsi="宋体" w:eastAsia="宋体" w:cs="宋体"/>
          <w:sz w:val="20"/>
          <w:szCs w:val="20"/>
          <w:highlight w:val="none"/>
        </w:rPr>
      </w:pPr>
      <w:bookmarkStart w:id="21" w:name="bookmark197"/>
      <w:bookmarkEnd w:id="21"/>
      <w:r>
        <w:rPr>
          <w:rFonts w:ascii="Times New Roman" w:hAnsi="Times New Roman" w:eastAsia="Times New Roman" w:cs="Times New Roman"/>
          <w:spacing w:val="10"/>
          <w:sz w:val="20"/>
          <w:szCs w:val="20"/>
          <w:highlight w:val="none"/>
        </w:rPr>
        <w:t xml:space="preserve">2.2.3  </w:t>
      </w:r>
      <w:r>
        <w:rPr>
          <w:rFonts w:ascii="宋体" w:hAnsi="宋体" w:eastAsia="宋体" w:cs="宋体"/>
          <w:spacing w:val="10"/>
          <w:sz w:val="20"/>
          <w:szCs w:val="20"/>
          <w:highlight w:val="none"/>
        </w:rPr>
        <w:t>投标人应实时关注“电子交易平</w:t>
      </w:r>
      <w:r>
        <w:rPr>
          <w:rFonts w:ascii="宋体" w:hAnsi="宋体" w:eastAsia="宋体" w:cs="宋体"/>
          <w:spacing w:val="9"/>
          <w:sz w:val="20"/>
          <w:szCs w:val="20"/>
          <w:highlight w:val="none"/>
        </w:rPr>
        <w:t>台”上发出的澄清通知，因投标人自身原因未及</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时获知澄清内容而导致的任何后果将由投标人自行承担。</w:t>
      </w:r>
    </w:p>
    <w:p w14:paraId="46C5D210">
      <w:pPr>
        <w:pStyle w:val="2"/>
        <w:spacing w:before="25" w:line="300" w:lineRule="exact"/>
        <w:rPr>
          <w:rFonts w:ascii="黑体" w:hAnsi="黑体" w:eastAsia="黑体" w:cs="黑体"/>
          <w:sz w:val="22"/>
          <w:szCs w:val="22"/>
          <w:highlight w:val="none"/>
        </w:rPr>
      </w:pPr>
      <w:r>
        <w:rPr>
          <w:spacing w:val="-6"/>
          <w:position w:val="1"/>
          <w:sz w:val="22"/>
          <w:szCs w:val="22"/>
          <w:highlight w:val="none"/>
        </w:rPr>
        <w:t xml:space="preserve">2.3  </w:t>
      </w:r>
      <w:r>
        <w:rPr>
          <w:rFonts w:ascii="黑体" w:hAnsi="黑体" w:eastAsia="黑体" w:cs="黑体"/>
          <w:spacing w:val="-6"/>
          <w:position w:val="1"/>
          <w:sz w:val="22"/>
          <w:szCs w:val="22"/>
          <w:highlight w:val="none"/>
        </w:rPr>
        <w:t>招标文件的修改</w:t>
      </w:r>
    </w:p>
    <w:p w14:paraId="37355736">
      <w:pPr>
        <w:spacing w:before="128" w:line="303" w:lineRule="auto"/>
        <w:ind w:right="16" w:firstLine="4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2.3.1</w:t>
      </w:r>
      <w:r>
        <w:rPr>
          <w:rFonts w:ascii="Times New Roman" w:hAnsi="Times New Roman" w:eastAsia="Times New Roman" w:cs="Times New Roman"/>
          <w:spacing w:val="31"/>
          <w:sz w:val="22"/>
          <w:szCs w:val="22"/>
          <w:highlight w:val="none"/>
        </w:rPr>
        <w:t xml:space="preserve"> </w:t>
      </w:r>
      <w:r>
        <w:rPr>
          <w:rFonts w:ascii="宋体" w:hAnsi="宋体" w:eastAsia="宋体" w:cs="宋体"/>
          <w:spacing w:val="-8"/>
          <w:sz w:val="22"/>
          <w:szCs w:val="22"/>
          <w:highlight w:val="none"/>
        </w:rPr>
        <w:t>招标人可以书面形式修改招标文件，并通过“电子交易平台”通知所有已下载招</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标文件的投标人。如果修改通知发出的时间距投标人须知前附表第4.2.1项规定的投标截止</w:t>
      </w:r>
      <w:r>
        <w:rPr>
          <w:rFonts w:ascii="宋体" w:hAnsi="宋体" w:eastAsia="宋体" w:cs="宋体"/>
          <w:spacing w:val="17"/>
          <w:sz w:val="22"/>
          <w:szCs w:val="22"/>
          <w:highlight w:val="none"/>
        </w:rPr>
        <w:t xml:space="preserve"> </w:t>
      </w:r>
      <w:r>
        <w:rPr>
          <w:rFonts w:ascii="宋体" w:hAnsi="宋体" w:eastAsia="宋体" w:cs="宋体"/>
          <w:spacing w:val="-7"/>
          <w:sz w:val="22"/>
          <w:szCs w:val="22"/>
          <w:highlight w:val="none"/>
        </w:rPr>
        <w:t>时间不足15日，并且修改的内容影响投标文件编制的，相应延长投标截止时间。</w:t>
      </w:r>
    </w:p>
    <w:p w14:paraId="411D6DEF">
      <w:pPr>
        <w:spacing w:before="127" w:line="282" w:lineRule="auto"/>
        <w:ind w:right="21" w:firstLine="4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2.3.2</w:t>
      </w:r>
      <w:r>
        <w:rPr>
          <w:rFonts w:ascii="Times New Roman" w:hAnsi="Times New Roman" w:eastAsia="Times New Roman" w:cs="Times New Roman"/>
          <w:spacing w:val="30"/>
          <w:w w:val="101"/>
          <w:sz w:val="22"/>
          <w:szCs w:val="22"/>
          <w:highlight w:val="none"/>
        </w:rPr>
        <w:t xml:space="preserve"> </w:t>
      </w:r>
      <w:r>
        <w:rPr>
          <w:rFonts w:ascii="宋体" w:hAnsi="宋体" w:eastAsia="宋体" w:cs="宋体"/>
          <w:spacing w:val="-8"/>
          <w:sz w:val="22"/>
          <w:szCs w:val="22"/>
          <w:highlight w:val="none"/>
        </w:rPr>
        <w:t>投标人应实时关注“电子交易平台”上发出的修改通知，因投标人自</w:t>
      </w:r>
      <w:r>
        <w:rPr>
          <w:rFonts w:ascii="宋体" w:hAnsi="宋体" w:eastAsia="宋体" w:cs="宋体"/>
          <w:spacing w:val="-9"/>
          <w:sz w:val="22"/>
          <w:szCs w:val="22"/>
          <w:highlight w:val="none"/>
        </w:rPr>
        <w:t>身原因未及</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时获知修改内容而导致的任何后果将由投标人自行承担。</w:t>
      </w:r>
    </w:p>
    <w:p w14:paraId="664DB18E">
      <w:pPr>
        <w:spacing w:before="208" w:line="222" w:lineRule="auto"/>
        <w:rPr>
          <w:rFonts w:ascii="黑体" w:hAnsi="黑体" w:eastAsia="黑体" w:cs="黑体"/>
          <w:sz w:val="22"/>
          <w:szCs w:val="22"/>
          <w:highlight w:val="none"/>
        </w:rPr>
      </w:pPr>
      <w:r>
        <w:rPr>
          <w:rFonts w:ascii="黑体" w:hAnsi="黑体" w:eastAsia="黑体" w:cs="黑体"/>
          <w:spacing w:val="2"/>
          <w:sz w:val="22"/>
          <w:szCs w:val="22"/>
          <w:highlight w:val="none"/>
        </w:rPr>
        <w:t>2.4招标文件的异议</w:t>
      </w:r>
    </w:p>
    <w:p w14:paraId="4472C33F">
      <w:pPr>
        <w:spacing w:before="144" w:line="344" w:lineRule="auto"/>
        <w:ind w:right="18" w:firstLine="430"/>
        <w:jc w:val="both"/>
        <w:rPr>
          <w:rFonts w:ascii="宋体" w:hAnsi="宋体" w:eastAsia="宋体" w:cs="宋体"/>
          <w:sz w:val="21"/>
          <w:szCs w:val="21"/>
          <w:highlight w:val="none"/>
        </w:rPr>
      </w:pPr>
      <w:r>
        <w:rPr>
          <w:rFonts w:ascii="宋体" w:hAnsi="宋体" w:eastAsia="宋体" w:cs="宋体"/>
          <w:spacing w:val="6"/>
          <w:sz w:val="21"/>
          <w:szCs w:val="21"/>
          <w:highlight w:val="none"/>
        </w:rPr>
        <w:t>2.4.1投标人或者其他利害关系人对招标文件(包括对招标文件澄清和修</w:t>
      </w:r>
      <w:r>
        <w:rPr>
          <w:rFonts w:ascii="宋体" w:hAnsi="宋体" w:eastAsia="宋体" w:cs="宋体"/>
          <w:spacing w:val="5"/>
          <w:sz w:val="21"/>
          <w:szCs w:val="21"/>
          <w:highlight w:val="none"/>
        </w:rPr>
        <w:t>改的内容)有</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异议的，应当在投标人须知前附表4.2.1项规定的投标截止时间10日前提出。招标人自收</w:t>
      </w:r>
      <w:r>
        <w:rPr>
          <w:rFonts w:ascii="宋体" w:hAnsi="宋体" w:eastAsia="宋体" w:cs="宋体"/>
          <w:spacing w:val="2"/>
          <w:sz w:val="21"/>
          <w:szCs w:val="21"/>
          <w:highlight w:val="none"/>
        </w:rPr>
        <w:t xml:space="preserve"> </w:t>
      </w:r>
      <w:r>
        <w:rPr>
          <w:rFonts w:ascii="宋体" w:hAnsi="宋体" w:eastAsia="宋体" w:cs="宋体"/>
          <w:sz w:val="21"/>
          <w:szCs w:val="21"/>
          <w:highlight w:val="none"/>
        </w:rPr>
        <w:t>到异议之日起3日内作出答复；作出答复前，招标人将暂停招标投标活动。逾期提出的，招</w:t>
      </w:r>
      <w:r>
        <w:rPr>
          <w:rFonts w:ascii="宋体" w:hAnsi="宋体" w:eastAsia="宋体" w:cs="宋体"/>
          <w:spacing w:val="11"/>
          <w:sz w:val="21"/>
          <w:szCs w:val="21"/>
          <w:highlight w:val="none"/>
        </w:rPr>
        <w:t xml:space="preserve"> </w:t>
      </w:r>
      <w:r>
        <w:rPr>
          <w:rFonts w:ascii="宋体" w:hAnsi="宋体" w:eastAsia="宋体" w:cs="宋体"/>
          <w:spacing w:val="-12"/>
          <w:sz w:val="21"/>
          <w:szCs w:val="21"/>
          <w:highlight w:val="none"/>
        </w:rPr>
        <w:t>标人可不予受理。异议与答复应通过“电子交易平台”在“异议与答复”菜单以书面形式进行。</w:t>
      </w:r>
    </w:p>
    <w:p w14:paraId="4121420B">
      <w:pPr>
        <w:spacing w:before="36" w:line="345" w:lineRule="auto"/>
        <w:ind w:right="24"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本处所称异议是指投标人或者其他利害关系人认为招标文件的内容违反</w:t>
      </w:r>
      <w:r>
        <w:rPr>
          <w:rFonts w:ascii="宋体" w:hAnsi="宋体" w:eastAsia="宋体" w:cs="宋体"/>
          <w:spacing w:val="-3"/>
          <w:sz w:val="21"/>
          <w:szCs w:val="21"/>
          <w:highlight w:val="none"/>
        </w:rPr>
        <w:t>法律、法规、规</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章的强制性规定，违反公开、公平、公正和诚实信用原则，影响投标人投标而向招标人提出</w:t>
      </w:r>
      <w:r>
        <w:rPr>
          <w:rFonts w:ascii="宋体" w:hAnsi="宋体" w:eastAsia="宋体" w:cs="宋体"/>
          <w:spacing w:val="4"/>
          <w:sz w:val="21"/>
          <w:szCs w:val="21"/>
          <w:highlight w:val="none"/>
        </w:rPr>
        <w:t xml:space="preserve"> </w:t>
      </w:r>
      <w:r>
        <w:rPr>
          <w:rFonts w:ascii="宋体" w:hAnsi="宋体" w:eastAsia="宋体" w:cs="宋体"/>
          <w:spacing w:val="-11"/>
          <w:sz w:val="21"/>
          <w:szCs w:val="21"/>
          <w:highlight w:val="none"/>
        </w:rPr>
        <w:t>的质疑。</w:t>
      </w:r>
    </w:p>
    <w:p w14:paraId="72567603">
      <w:pPr>
        <w:spacing w:before="23" w:line="336" w:lineRule="auto"/>
        <w:ind w:right="20" w:firstLine="430"/>
        <w:rPr>
          <w:rFonts w:ascii="宋体" w:hAnsi="宋体" w:eastAsia="宋体" w:cs="宋体"/>
          <w:sz w:val="20"/>
          <w:szCs w:val="20"/>
          <w:highlight w:val="none"/>
        </w:rPr>
      </w:pPr>
      <w:r>
        <w:rPr>
          <w:rFonts w:ascii="宋体" w:hAnsi="宋体" w:eastAsia="宋体" w:cs="宋体"/>
          <w:spacing w:val="12"/>
          <w:sz w:val="20"/>
          <w:szCs w:val="20"/>
          <w:highlight w:val="none"/>
        </w:rPr>
        <w:t>2.4.2招标人对异议的答复构成对招标文件澄清或者修改的，招标人将按照本章第2.2</w:t>
      </w:r>
      <w:r>
        <w:rPr>
          <w:rFonts w:ascii="宋体" w:hAnsi="宋体" w:eastAsia="宋体" w:cs="宋体"/>
          <w:spacing w:val="9"/>
          <w:sz w:val="20"/>
          <w:szCs w:val="20"/>
          <w:highlight w:val="none"/>
        </w:rPr>
        <w:t xml:space="preserve"> </w:t>
      </w:r>
      <w:r>
        <w:rPr>
          <w:rFonts w:ascii="宋体" w:hAnsi="宋体" w:eastAsia="宋体" w:cs="宋体"/>
          <w:spacing w:val="10"/>
          <w:sz w:val="20"/>
          <w:szCs w:val="20"/>
          <w:highlight w:val="none"/>
        </w:rPr>
        <w:t>款、第2.3款规定办理。</w:t>
      </w:r>
    </w:p>
    <w:p w14:paraId="72D0493B">
      <w:pPr>
        <w:pStyle w:val="2"/>
        <w:spacing w:line="327" w:lineRule="exact"/>
        <w:outlineLvl w:val="1"/>
        <w:rPr>
          <w:rFonts w:ascii="黑体" w:hAnsi="黑体" w:eastAsia="黑体" w:cs="黑体"/>
          <w:sz w:val="24"/>
          <w:szCs w:val="24"/>
          <w:highlight w:val="none"/>
        </w:rPr>
      </w:pPr>
      <w:bookmarkStart w:id="22" w:name="bookmark7"/>
      <w:bookmarkEnd w:id="22"/>
      <w:r>
        <w:rPr>
          <w:spacing w:val="1"/>
          <w:position w:val="1"/>
          <w:sz w:val="24"/>
          <w:szCs w:val="24"/>
          <w:highlight w:val="none"/>
        </w:rPr>
        <w:t>3.</w:t>
      </w:r>
      <w:r>
        <w:rPr>
          <w:spacing w:val="37"/>
          <w:position w:val="1"/>
          <w:sz w:val="24"/>
          <w:szCs w:val="24"/>
          <w:highlight w:val="none"/>
        </w:rPr>
        <w:t xml:space="preserve"> </w:t>
      </w:r>
      <w:r>
        <w:rPr>
          <w:rFonts w:ascii="黑体" w:hAnsi="黑体" w:eastAsia="黑体" w:cs="黑体"/>
          <w:spacing w:val="1"/>
          <w:position w:val="1"/>
          <w:sz w:val="24"/>
          <w:szCs w:val="24"/>
          <w:highlight w:val="none"/>
        </w:rPr>
        <w:t>投标文件</w:t>
      </w:r>
    </w:p>
    <w:p w14:paraId="563639E1">
      <w:pPr>
        <w:pStyle w:val="2"/>
        <w:spacing w:before="146" w:line="299" w:lineRule="exact"/>
        <w:rPr>
          <w:rFonts w:ascii="黑体" w:hAnsi="黑体" w:eastAsia="黑体" w:cs="黑体"/>
          <w:sz w:val="22"/>
          <w:szCs w:val="22"/>
          <w:highlight w:val="none"/>
        </w:rPr>
      </w:pPr>
      <w:r>
        <w:rPr>
          <w:spacing w:val="-6"/>
          <w:position w:val="1"/>
          <w:sz w:val="22"/>
          <w:szCs w:val="22"/>
          <w:highlight w:val="none"/>
        </w:rPr>
        <w:t>3.1</w:t>
      </w:r>
      <w:r>
        <w:rPr>
          <w:spacing w:val="57"/>
          <w:w w:val="101"/>
          <w:position w:val="1"/>
          <w:sz w:val="22"/>
          <w:szCs w:val="22"/>
          <w:highlight w:val="none"/>
        </w:rPr>
        <w:t xml:space="preserve"> </w:t>
      </w:r>
      <w:r>
        <w:rPr>
          <w:rFonts w:ascii="黑体" w:hAnsi="黑体" w:eastAsia="黑体" w:cs="黑体"/>
          <w:spacing w:val="-6"/>
          <w:position w:val="1"/>
          <w:sz w:val="22"/>
          <w:szCs w:val="22"/>
          <w:highlight w:val="none"/>
        </w:rPr>
        <w:t>投标文件的组成</w:t>
      </w:r>
    </w:p>
    <w:p w14:paraId="680F79F9">
      <w:pPr>
        <w:spacing w:before="151"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3.1.1投标文件应包括下列内容：</w:t>
      </w:r>
    </w:p>
    <w:p w14:paraId="5A3EE438">
      <w:pPr>
        <w:spacing w:before="157" w:line="219" w:lineRule="auto"/>
        <w:ind w:left="539"/>
        <w:rPr>
          <w:rFonts w:ascii="宋体" w:hAnsi="宋体" w:eastAsia="宋体" w:cs="宋体"/>
          <w:sz w:val="20"/>
          <w:szCs w:val="20"/>
          <w:highlight w:val="none"/>
        </w:rPr>
      </w:pPr>
      <w:r>
        <w:rPr>
          <w:rFonts w:ascii="宋体" w:hAnsi="宋体" w:eastAsia="宋体" w:cs="宋体"/>
          <w:spacing w:val="13"/>
          <w:sz w:val="20"/>
          <w:szCs w:val="20"/>
          <w:highlight w:val="none"/>
        </w:rPr>
        <w:t>(1)投标函及投标函附录；</w:t>
      </w:r>
    </w:p>
    <w:p w14:paraId="5D67B511">
      <w:pPr>
        <w:spacing w:before="174" w:line="219" w:lineRule="auto"/>
        <w:ind w:left="539"/>
        <w:rPr>
          <w:rFonts w:ascii="宋体" w:hAnsi="宋体" w:eastAsia="宋体" w:cs="宋体"/>
          <w:sz w:val="20"/>
          <w:szCs w:val="20"/>
          <w:highlight w:val="none"/>
        </w:rPr>
      </w:pPr>
      <w:r>
        <w:rPr>
          <w:rFonts w:ascii="宋体" w:hAnsi="宋体" w:eastAsia="宋体" w:cs="宋体"/>
          <w:spacing w:val="9"/>
          <w:sz w:val="20"/>
          <w:szCs w:val="20"/>
          <w:highlight w:val="none"/>
        </w:rPr>
        <w:t>(2</w:t>
      </w:r>
      <w:r>
        <w:rPr>
          <w:rFonts w:ascii="宋体" w:hAnsi="宋体" w:eastAsia="宋体" w:cs="宋体"/>
          <w:spacing w:val="-47"/>
          <w:sz w:val="20"/>
          <w:szCs w:val="20"/>
          <w:highlight w:val="none"/>
        </w:rPr>
        <w:t xml:space="preserve"> </w:t>
      </w:r>
      <w:r>
        <w:rPr>
          <w:rFonts w:ascii="宋体" w:hAnsi="宋体" w:eastAsia="宋体" w:cs="宋体"/>
          <w:spacing w:val="9"/>
          <w:sz w:val="20"/>
          <w:szCs w:val="20"/>
          <w:highlight w:val="none"/>
        </w:rPr>
        <w:t>)法定代表人身份证明；</w:t>
      </w:r>
    </w:p>
    <w:p w14:paraId="082542B9">
      <w:pPr>
        <w:spacing w:before="144" w:line="220" w:lineRule="auto"/>
        <w:ind w:left="539"/>
        <w:rPr>
          <w:rFonts w:ascii="宋体" w:hAnsi="宋体" w:eastAsia="宋体" w:cs="宋体"/>
          <w:sz w:val="22"/>
          <w:szCs w:val="22"/>
          <w:highlight w:val="none"/>
        </w:rPr>
      </w:pPr>
      <w:r>
        <w:rPr>
          <w:rFonts w:ascii="宋体" w:hAnsi="宋体" w:eastAsia="宋体" w:cs="宋体"/>
          <w:spacing w:val="-3"/>
          <w:sz w:val="22"/>
          <w:szCs w:val="22"/>
          <w:highlight w:val="none"/>
        </w:rPr>
        <w:t>(3)投标保证金；</w:t>
      </w:r>
    </w:p>
    <w:p w14:paraId="71B8F1A8">
      <w:pPr>
        <w:spacing w:before="116" w:line="219" w:lineRule="auto"/>
        <w:ind w:left="539"/>
        <w:rPr>
          <w:rFonts w:ascii="宋体" w:hAnsi="宋体" w:eastAsia="宋体" w:cs="宋体"/>
          <w:sz w:val="22"/>
          <w:szCs w:val="22"/>
          <w:highlight w:val="none"/>
        </w:rPr>
      </w:pPr>
      <w:r>
        <w:rPr>
          <w:rFonts w:ascii="宋体" w:hAnsi="宋体" w:eastAsia="宋体" w:cs="宋体"/>
          <w:spacing w:val="-8"/>
          <w:sz w:val="22"/>
          <w:szCs w:val="22"/>
          <w:highlight w:val="none"/>
        </w:rPr>
        <w:t>(4</w:t>
      </w:r>
      <w:r>
        <w:rPr>
          <w:rFonts w:ascii="宋体" w:hAnsi="宋体" w:eastAsia="宋体" w:cs="宋体"/>
          <w:spacing w:val="-57"/>
          <w:sz w:val="22"/>
          <w:szCs w:val="22"/>
          <w:highlight w:val="none"/>
        </w:rPr>
        <w:t xml:space="preserve"> </w:t>
      </w:r>
      <w:r>
        <w:rPr>
          <w:rFonts w:ascii="宋体" w:hAnsi="宋体" w:eastAsia="宋体" w:cs="宋体"/>
          <w:spacing w:val="-8"/>
          <w:sz w:val="22"/>
          <w:szCs w:val="22"/>
          <w:highlight w:val="none"/>
        </w:rPr>
        <w:t>)联合体协议书；</w:t>
      </w:r>
    </w:p>
    <w:p w14:paraId="0AF91AA8">
      <w:pPr>
        <w:spacing w:before="159" w:line="219" w:lineRule="auto"/>
        <w:ind w:left="539"/>
        <w:rPr>
          <w:rFonts w:ascii="宋体" w:hAnsi="宋体" w:eastAsia="宋体" w:cs="宋体"/>
          <w:sz w:val="22"/>
          <w:szCs w:val="22"/>
          <w:highlight w:val="none"/>
        </w:rPr>
      </w:pPr>
      <w:r>
        <w:rPr>
          <w:rFonts w:ascii="宋体" w:hAnsi="宋体" w:eastAsia="宋体" w:cs="宋体"/>
          <w:sz w:val="22"/>
          <w:szCs w:val="22"/>
          <w:highlight w:val="none"/>
        </w:rPr>
        <w:t>(5)拟分包项目情况表(适用于非政府采</w:t>
      </w:r>
      <w:r>
        <w:rPr>
          <w:rFonts w:ascii="宋体" w:hAnsi="宋体" w:eastAsia="宋体" w:cs="宋体"/>
          <w:spacing w:val="-1"/>
          <w:sz w:val="22"/>
          <w:szCs w:val="22"/>
          <w:highlight w:val="none"/>
        </w:rPr>
        <w:t>购工程);</w:t>
      </w:r>
    </w:p>
    <w:p w14:paraId="491EA427">
      <w:pPr>
        <w:spacing w:before="129" w:line="219" w:lineRule="auto"/>
        <w:ind w:left="539"/>
        <w:rPr>
          <w:rFonts w:ascii="宋体" w:hAnsi="宋体" w:eastAsia="宋体" w:cs="宋体"/>
          <w:sz w:val="22"/>
          <w:szCs w:val="22"/>
          <w:highlight w:val="none"/>
        </w:rPr>
      </w:pPr>
      <w:r>
        <w:rPr>
          <w:rFonts w:ascii="宋体" w:hAnsi="宋体" w:eastAsia="宋体" w:cs="宋体"/>
          <w:spacing w:val="1"/>
          <w:sz w:val="22"/>
          <w:szCs w:val="22"/>
          <w:highlight w:val="none"/>
        </w:rPr>
        <w:t>(5)分包意向协议书(适用于政府采购工程);</w:t>
      </w:r>
    </w:p>
    <w:p w14:paraId="5D4E8EFD">
      <w:pPr>
        <w:spacing w:before="129" w:line="219" w:lineRule="auto"/>
        <w:ind w:left="539"/>
        <w:rPr>
          <w:rFonts w:ascii="宋体" w:hAnsi="宋体" w:eastAsia="宋体" w:cs="宋体"/>
          <w:sz w:val="22"/>
          <w:szCs w:val="22"/>
          <w:highlight w:val="none"/>
        </w:rPr>
      </w:pPr>
      <w:r>
        <w:rPr>
          <w:rFonts w:ascii="宋体" w:hAnsi="宋体" w:eastAsia="宋体" w:cs="宋体"/>
          <w:spacing w:val="1"/>
          <w:sz w:val="22"/>
          <w:szCs w:val="22"/>
          <w:highlight w:val="none"/>
        </w:rPr>
        <w:t>(6)中小企业声明函(适用于政府采购工程);</w:t>
      </w:r>
    </w:p>
    <w:p w14:paraId="4E76F069">
      <w:pPr>
        <w:spacing w:before="159" w:line="219" w:lineRule="auto"/>
        <w:ind w:left="539"/>
        <w:rPr>
          <w:rFonts w:ascii="宋体" w:hAnsi="宋体" w:eastAsia="宋体" w:cs="宋体"/>
          <w:sz w:val="22"/>
          <w:szCs w:val="22"/>
          <w:highlight w:val="none"/>
        </w:rPr>
      </w:pPr>
      <w:r>
        <w:rPr>
          <w:rFonts w:ascii="宋体" w:hAnsi="宋体" w:eastAsia="宋体" w:cs="宋体"/>
          <w:spacing w:val="-3"/>
          <w:sz w:val="22"/>
          <w:szCs w:val="22"/>
          <w:highlight w:val="none"/>
        </w:rPr>
        <w:t>(7)项目管理机构；</w:t>
      </w:r>
    </w:p>
    <w:p w14:paraId="3F5BCE84">
      <w:pPr>
        <w:spacing w:before="141" w:line="219" w:lineRule="auto"/>
        <w:ind w:left="539"/>
        <w:rPr>
          <w:rFonts w:ascii="宋体" w:hAnsi="宋体" w:eastAsia="宋体" w:cs="宋体"/>
          <w:sz w:val="22"/>
          <w:szCs w:val="22"/>
          <w:highlight w:val="none"/>
        </w:rPr>
      </w:pPr>
      <w:r>
        <w:rPr>
          <w:rFonts w:ascii="宋体" w:hAnsi="宋体" w:eastAsia="宋体" w:cs="宋体"/>
          <w:spacing w:val="-3"/>
          <w:sz w:val="22"/>
          <w:szCs w:val="22"/>
          <w:highlight w:val="none"/>
        </w:rPr>
        <w:t>(8)资格审查资料；</w:t>
      </w:r>
    </w:p>
    <w:p w14:paraId="06280660">
      <w:pPr>
        <w:spacing w:before="116" w:line="218" w:lineRule="auto"/>
        <w:ind w:left="539"/>
        <w:rPr>
          <w:rFonts w:ascii="宋体" w:hAnsi="宋体" w:eastAsia="宋体" w:cs="宋体"/>
          <w:sz w:val="21"/>
          <w:szCs w:val="21"/>
          <w:highlight w:val="none"/>
        </w:rPr>
      </w:pPr>
      <w:r>
        <w:rPr>
          <w:rFonts w:ascii="宋体" w:hAnsi="宋体" w:eastAsia="宋体" w:cs="宋体"/>
          <w:sz w:val="21"/>
          <w:szCs w:val="21"/>
          <w:highlight w:val="none"/>
        </w:rPr>
        <w:t>(9</w:t>
      </w:r>
      <w:r>
        <w:rPr>
          <w:rFonts w:ascii="宋体" w:hAnsi="宋体" w:eastAsia="宋体" w:cs="宋体"/>
          <w:spacing w:val="-56"/>
          <w:sz w:val="21"/>
          <w:szCs w:val="21"/>
          <w:highlight w:val="none"/>
        </w:rPr>
        <w:t xml:space="preserve"> </w:t>
      </w:r>
      <w:r>
        <w:rPr>
          <w:rFonts w:ascii="宋体" w:hAnsi="宋体" w:eastAsia="宋体" w:cs="宋体"/>
          <w:sz w:val="21"/>
          <w:szCs w:val="21"/>
          <w:highlight w:val="none"/>
        </w:rPr>
        <w:t>)价格清单；</w:t>
      </w:r>
    </w:p>
    <w:p w14:paraId="6E0213E0">
      <w:pPr>
        <w:spacing w:before="153" w:line="219" w:lineRule="auto"/>
        <w:ind w:left="539"/>
        <w:rPr>
          <w:rFonts w:ascii="宋体" w:hAnsi="宋体" w:eastAsia="宋体" w:cs="宋体"/>
          <w:sz w:val="21"/>
          <w:szCs w:val="21"/>
          <w:highlight w:val="none"/>
        </w:rPr>
      </w:pPr>
      <w:r>
        <w:rPr>
          <w:rFonts w:ascii="宋体" w:hAnsi="宋体" w:eastAsia="宋体" w:cs="宋体"/>
          <w:spacing w:val="4"/>
          <w:sz w:val="21"/>
          <w:szCs w:val="21"/>
          <w:highlight w:val="none"/>
        </w:rPr>
        <w:t>(10)承包人建议书；</w:t>
      </w:r>
    </w:p>
    <w:p w14:paraId="338A76BD">
      <w:pPr>
        <w:spacing w:before="152" w:line="219" w:lineRule="auto"/>
        <w:ind w:left="539"/>
        <w:rPr>
          <w:rFonts w:ascii="宋体" w:hAnsi="宋体" w:eastAsia="宋体" w:cs="宋体"/>
          <w:sz w:val="21"/>
          <w:szCs w:val="21"/>
          <w:highlight w:val="none"/>
        </w:rPr>
      </w:pPr>
      <w:r>
        <w:rPr>
          <w:rFonts w:ascii="宋体" w:hAnsi="宋体" w:eastAsia="宋体" w:cs="宋体"/>
          <w:spacing w:val="5"/>
          <w:sz w:val="21"/>
          <w:szCs w:val="21"/>
          <w:highlight w:val="none"/>
        </w:rPr>
        <w:t>(11)承包人实施计划；</w:t>
      </w:r>
    </w:p>
    <w:p w14:paraId="4587B91C">
      <w:pPr>
        <w:spacing w:before="150" w:line="219" w:lineRule="auto"/>
        <w:ind w:left="539"/>
        <w:rPr>
          <w:rFonts w:ascii="宋体" w:hAnsi="宋体" w:eastAsia="宋体" w:cs="宋体"/>
          <w:sz w:val="21"/>
          <w:szCs w:val="21"/>
          <w:highlight w:val="none"/>
        </w:rPr>
      </w:pPr>
      <w:r>
        <w:rPr>
          <w:rFonts w:ascii="宋体" w:hAnsi="宋体" w:eastAsia="宋体" w:cs="宋体"/>
          <w:spacing w:val="4"/>
          <w:sz w:val="21"/>
          <w:szCs w:val="21"/>
          <w:highlight w:val="none"/>
        </w:rPr>
        <w:t>(12)投标人须知前附表规定的其他资料。</w:t>
      </w:r>
    </w:p>
    <w:p w14:paraId="47DCF9B8">
      <w:pPr>
        <w:spacing w:line="219" w:lineRule="auto"/>
        <w:rPr>
          <w:rFonts w:ascii="宋体" w:hAnsi="宋体" w:eastAsia="宋体" w:cs="宋体"/>
          <w:sz w:val="21"/>
          <w:szCs w:val="21"/>
          <w:highlight w:val="none"/>
        </w:rPr>
        <w:sectPr>
          <w:footerReference r:id="rId30" w:type="default"/>
          <w:pgSz w:w="11910" w:h="16840"/>
          <w:pgMar w:top="400" w:right="1786" w:bottom="1169" w:left="1769" w:header="0" w:footer="1028" w:gutter="0"/>
          <w:cols w:space="720" w:num="1"/>
        </w:sectPr>
      </w:pPr>
    </w:p>
    <w:p w14:paraId="56B7F248">
      <w:pPr>
        <w:pStyle w:val="2"/>
        <w:spacing w:line="272" w:lineRule="auto"/>
        <w:rPr>
          <w:highlight w:val="none"/>
        </w:rPr>
      </w:pPr>
    </w:p>
    <w:p w14:paraId="4B63D1BC">
      <w:pPr>
        <w:pStyle w:val="2"/>
        <w:spacing w:line="273" w:lineRule="auto"/>
        <w:rPr>
          <w:highlight w:val="none"/>
        </w:rPr>
      </w:pPr>
    </w:p>
    <w:p w14:paraId="5D118296">
      <w:pPr>
        <w:pStyle w:val="2"/>
        <w:spacing w:line="273" w:lineRule="auto"/>
        <w:rPr>
          <w:highlight w:val="none"/>
        </w:rPr>
      </w:pPr>
    </w:p>
    <w:p w14:paraId="6B94C5C8">
      <w:pPr>
        <w:pStyle w:val="2"/>
        <w:spacing w:line="273" w:lineRule="auto"/>
        <w:rPr>
          <w:highlight w:val="none"/>
        </w:rPr>
      </w:pPr>
    </w:p>
    <w:p w14:paraId="66B522E3">
      <w:pPr>
        <w:spacing w:before="69" w:line="345" w:lineRule="auto"/>
        <w:ind w:right="76" w:firstLine="430"/>
        <w:rPr>
          <w:rFonts w:ascii="宋体" w:hAnsi="宋体" w:eastAsia="宋体" w:cs="宋体"/>
          <w:sz w:val="21"/>
          <w:szCs w:val="21"/>
          <w:highlight w:val="none"/>
        </w:rPr>
      </w:pPr>
      <w:bookmarkStart w:id="23" w:name="bookmark198"/>
      <w:bookmarkEnd w:id="23"/>
      <w:r>
        <w:rPr>
          <w:rFonts w:ascii="Times New Roman" w:hAnsi="Times New Roman" w:eastAsia="Times New Roman" w:cs="Times New Roman"/>
          <w:spacing w:val="1"/>
          <w:sz w:val="21"/>
          <w:szCs w:val="21"/>
          <w:highlight w:val="none"/>
        </w:rPr>
        <w:t xml:space="preserve">3.1.2  </w:t>
      </w:r>
      <w:r>
        <w:rPr>
          <w:rFonts w:ascii="宋体" w:hAnsi="宋体" w:eastAsia="宋体" w:cs="宋体"/>
          <w:spacing w:val="1"/>
          <w:sz w:val="21"/>
          <w:szCs w:val="21"/>
          <w:highlight w:val="none"/>
        </w:rPr>
        <w:t>投标人须知前附表规定不接受联合</w:t>
      </w:r>
      <w:r>
        <w:rPr>
          <w:rFonts w:ascii="宋体" w:hAnsi="宋体" w:eastAsia="宋体" w:cs="宋体"/>
          <w:sz w:val="21"/>
          <w:szCs w:val="21"/>
          <w:highlight w:val="none"/>
        </w:rPr>
        <w:t xml:space="preserve">体投标的，或投标人没有组成联合体的，投标 </w:t>
      </w:r>
      <w:r>
        <w:rPr>
          <w:rFonts w:ascii="宋体" w:hAnsi="宋体" w:eastAsia="宋体" w:cs="宋体"/>
          <w:spacing w:val="5"/>
          <w:sz w:val="21"/>
          <w:szCs w:val="21"/>
          <w:highlight w:val="none"/>
        </w:rPr>
        <w:t>文件不包括本章第3.1.1(3)目所指的联合体协议书。</w:t>
      </w:r>
    </w:p>
    <w:p w14:paraId="5F5B6359">
      <w:pPr>
        <w:pStyle w:val="2"/>
        <w:spacing w:before="36" w:line="300" w:lineRule="exact"/>
        <w:rPr>
          <w:rFonts w:ascii="黑体" w:hAnsi="黑体" w:eastAsia="黑体" w:cs="黑体"/>
          <w:sz w:val="22"/>
          <w:szCs w:val="22"/>
          <w:highlight w:val="none"/>
        </w:rPr>
      </w:pPr>
      <w:r>
        <w:rPr>
          <w:spacing w:val="-5"/>
          <w:position w:val="1"/>
          <w:sz w:val="22"/>
          <w:szCs w:val="22"/>
          <w:highlight w:val="none"/>
        </w:rPr>
        <w:t xml:space="preserve">3.2  </w:t>
      </w:r>
      <w:r>
        <w:rPr>
          <w:rFonts w:ascii="黑体" w:hAnsi="黑体" w:eastAsia="黑体" w:cs="黑体"/>
          <w:spacing w:val="-5"/>
          <w:position w:val="1"/>
          <w:sz w:val="22"/>
          <w:szCs w:val="22"/>
          <w:highlight w:val="none"/>
        </w:rPr>
        <w:t>投标报价</w:t>
      </w:r>
    </w:p>
    <w:p w14:paraId="26092468">
      <w:pPr>
        <w:spacing w:before="128" w:line="218" w:lineRule="auto"/>
        <w:ind w:left="430"/>
        <w:rPr>
          <w:rFonts w:ascii="宋体" w:hAnsi="宋体" w:eastAsia="宋体" w:cs="宋体"/>
          <w:sz w:val="22"/>
          <w:szCs w:val="22"/>
          <w:highlight w:val="none"/>
        </w:rPr>
      </w:pPr>
      <w:r>
        <w:rPr>
          <w:rFonts w:ascii="宋体" w:hAnsi="宋体" w:eastAsia="宋体" w:cs="宋体"/>
          <w:spacing w:val="-17"/>
          <w:sz w:val="22"/>
          <w:szCs w:val="22"/>
          <w:highlight w:val="none"/>
        </w:rPr>
        <w:t>3.2.1投标人应按第七章“投标文件格式”的要求填写价格清单。</w:t>
      </w:r>
    </w:p>
    <w:p w14:paraId="4D2238E2">
      <w:pPr>
        <w:spacing w:before="151" w:line="293" w:lineRule="auto"/>
        <w:ind w:right="65"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3.2.2  </w:t>
      </w:r>
      <w:r>
        <w:rPr>
          <w:rFonts w:ascii="宋体" w:hAnsi="宋体" w:eastAsia="宋体" w:cs="宋体"/>
          <w:spacing w:val="1"/>
          <w:sz w:val="21"/>
          <w:szCs w:val="21"/>
          <w:highlight w:val="none"/>
        </w:rPr>
        <w:t>投标人应充分了解施工场地的位置、周边环境、道路、装</w:t>
      </w:r>
      <w:r>
        <w:rPr>
          <w:rFonts w:ascii="宋体" w:hAnsi="宋体" w:eastAsia="宋体" w:cs="宋体"/>
          <w:sz w:val="21"/>
          <w:szCs w:val="21"/>
          <w:highlight w:val="none"/>
        </w:rPr>
        <w:t>卸、保管、安装限制以 及影响投标报价的其他要素。投标人根据投标</w:t>
      </w:r>
      <w:r>
        <w:rPr>
          <w:rFonts w:ascii="宋体" w:hAnsi="宋体" w:eastAsia="宋体" w:cs="宋体"/>
          <w:spacing w:val="-1"/>
          <w:sz w:val="21"/>
          <w:szCs w:val="21"/>
          <w:highlight w:val="none"/>
        </w:rPr>
        <w:t>设计，结合市场情况进行投标报价。</w:t>
      </w:r>
    </w:p>
    <w:p w14:paraId="51BBF05E">
      <w:pPr>
        <w:spacing w:before="143" w:line="308" w:lineRule="auto"/>
        <w:ind w:right="75" w:firstLine="430"/>
        <w:rPr>
          <w:rFonts w:ascii="宋体" w:hAnsi="宋体" w:eastAsia="宋体" w:cs="宋体"/>
          <w:sz w:val="21"/>
          <w:szCs w:val="21"/>
          <w:highlight w:val="none"/>
        </w:rPr>
      </w:pPr>
      <w:r>
        <w:rPr>
          <w:rFonts w:ascii="宋体" w:hAnsi="宋体" w:eastAsia="宋体" w:cs="宋体"/>
          <w:spacing w:val="-5"/>
          <w:sz w:val="21"/>
          <w:szCs w:val="21"/>
          <w:highlight w:val="none"/>
        </w:rPr>
        <w:t>3.2.3投标人在投标截止时间前修改投标函中的投标报价总额，应同时修改投标文件“价</w:t>
      </w:r>
      <w:r>
        <w:rPr>
          <w:rFonts w:ascii="宋体" w:hAnsi="宋体" w:eastAsia="宋体" w:cs="宋体"/>
          <w:spacing w:val="17"/>
          <w:sz w:val="21"/>
          <w:szCs w:val="21"/>
          <w:highlight w:val="none"/>
        </w:rPr>
        <w:t xml:space="preserve"> </w:t>
      </w:r>
      <w:r>
        <w:rPr>
          <w:rFonts w:ascii="宋体" w:hAnsi="宋体" w:eastAsia="宋体" w:cs="宋体"/>
          <w:sz w:val="21"/>
          <w:szCs w:val="21"/>
          <w:highlight w:val="none"/>
        </w:rPr>
        <w:t>格清单”中的相应报价，投标报价总额为各分项金额之和。此修改须符合本章第4.3款的有</w:t>
      </w:r>
      <w:r>
        <w:rPr>
          <w:rFonts w:ascii="宋体" w:hAnsi="宋体" w:eastAsia="宋体" w:cs="宋体"/>
          <w:spacing w:val="14"/>
          <w:sz w:val="21"/>
          <w:szCs w:val="21"/>
          <w:highlight w:val="none"/>
        </w:rPr>
        <w:t xml:space="preserve"> </w:t>
      </w:r>
      <w:r>
        <w:rPr>
          <w:rFonts w:ascii="宋体" w:hAnsi="宋体" w:eastAsia="宋体" w:cs="宋体"/>
          <w:spacing w:val="-8"/>
          <w:sz w:val="21"/>
          <w:szCs w:val="21"/>
          <w:highlight w:val="none"/>
        </w:rPr>
        <w:t>关要求。</w:t>
      </w:r>
    </w:p>
    <w:p w14:paraId="421027CB">
      <w:pPr>
        <w:spacing w:before="138" w:line="289" w:lineRule="auto"/>
        <w:ind w:right="75"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3.2.4  </w:t>
      </w:r>
      <w:r>
        <w:rPr>
          <w:rFonts w:ascii="宋体" w:hAnsi="宋体" w:eastAsia="宋体" w:cs="宋体"/>
          <w:spacing w:val="1"/>
          <w:sz w:val="21"/>
          <w:szCs w:val="21"/>
          <w:highlight w:val="none"/>
        </w:rPr>
        <w:t>招标人设有最高投标限价的，投标人</w:t>
      </w:r>
      <w:r>
        <w:rPr>
          <w:rFonts w:ascii="宋体" w:hAnsi="宋体" w:eastAsia="宋体" w:cs="宋体"/>
          <w:sz w:val="21"/>
          <w:szCs w:val="21"/>
          <w:highlight w:val="none"/>
        </w:rPr>
        <w:t xml:space="preserve">的投标报价不得超过最高投标限价，最高投 </w:t>
      </w:r>
      <w:r>
        <w:rPr>
          <w:rFonts w:ascii="宋体" w:hAnsi="宋体" w:eastAsia="宋体" w:cs="宋体"/>
          <w:spacing w:val="-2"/>
          <w:sz w:val="21"/>
          <w:szCs w:val="21"/>
          <w:highlight w:val="none"/>
        </w:rPr>
        <w:t>标限价或其计算方法在投标人须知前附表中载明。</w:t>
      </w:r>
    </w:p>
    <w:p w14:paraId="7F726051">
      <w:pPr>
        <w:spacing w:before="152" w:line="218" w:lineRule="auto"/>
        <w:ind w:left="430"/>
        <w:rPr>
          <w:rFonts w:ascii="宋体" w:hAnsi="宋体" w:eastAsia="宋体" w:cs="宋体"/>
          <w:sz w:val="22"/>
          <w:szCs w:val="22"/>
          <w:highlight w:val="none"/>
        </w:rPr>
      </w:pPr>
      <w:r>
        <w:rPr>
          <w:rFonts w:ascii="宋体" w:hAnsi="宋体" w:eastAsia="宋体" w:cs="宋体"/>
          <w:spacing w:val="-9"/>
          <w:sz w:val="22"/>
          <w:szCs w:val="22"/>
          <w:highlight w:val="none"/>
        </w:rPr>
        <w:t>3.2.5投标报价的其他要求见投标人须</w:t>
      </w:r>
      <w:r>
        <w:rPr>
          <w:rFonts w:ascii="宋体" w:hAnsi="宋体" w:eastAsia="宋体" w:cs="宋体"/>
          <w:spacing w:val="-10"/>
          <w:sz w:val="22"/>
          <w:szCs w:val="22"/>
          <w:highlight w:val="none"/>
        </w:rPr>
        <w:t>知前附表。</w:t>
      </w:r>
    </w:p>
    <w:p w14:paraId="66F707AC">
      <w:pPr>
        <w:spacing w:before="200" w:line="221" w:lineRule="auto"/>
        <w:rPr>
          <w:rFonts w:ascii="黑体" w:hAnsi="黑体" w:eastAsia="黑体" w:cs="黑体"/>
          <w:sz w:val="22"/>
          <w:szCs w:val="22"/>
          <w:highlight w:val="none"/>
        </w:rPr>
      </w:pPr>
      <w:r>
        <w:rPr>
          <w:rFonts w:ascii="黑体" w:hAnsi="黑体" w:eastAsia="黑体" w:cs="黑体"/>
          <w:spacing w:val="4"/>
          <w:sz w:val="22"/>
          <w:szCs w:val="22"/>
          <w:highlight w:val="none"/>
        </w:rPr>
        <w:t>3.3投标有效期</w:t>
      </w:r>
    </w:p>
    <w:p w14:paraId="4663B941">
      <w:pPr>
        <w:spacing w:before="148" w:line="219" w:lineRule="auto"/>
        <w:ind w:left="430"/>
        <w:rPr>
          <w:rFonts w:ascii="宋体" w:hAnsi="宋体" w:eastAsia="宋体" w:cs="宋体"/>
          <w:sz w:val="22"/>
          <w:szCs w:val="22"/>
          <w:highlight w:val="none"/>
        </w:rPr>
      </w:pPr>
      <w:r>
        <w:rPr>
          <w:rFonts w:ascii="宋体" w:hAnsi="宋体" w:eastAsia="宋体" w:cs="宋体"/>
          <w:spacing w:val="-6"/>
          <w:sz w:val="22"/>
          <w:szCs w:val="22"/>
          <w:highlight w:val="none"/>
        </w:rPr>
        <w:t>3.3.1除投标人须知前附表另有规定外，投标有效期为120天。</w:t>
      </w:r>
    </w:p>
    <w:p w14:paraId="51F078EE">
      <w:pPr>
        <w:spacing w:before="169" w:line="263" w:lineRule="auto"/>
        <w:ind w:right="53" w:firstLine="430"/>
        <w:rPr>
          <w:rFonts w:ascii="宋体" w:hAnsi="宋体" w:eastAsia="宋体" w:cs="宋体"/>
          <w:sz w:val="24"/>
          <w:szCs w:val="24"/>
          <w:highlight w:val="none"/>
        </w:rPr>
      </w:pPr>
      <w:r>
        <w:rPr>
          <w:rFonts w:ascii="Times New Roman" w:hAnsi="Times New Roman" w:eastAsia="Times New Roman" w:cs="Times New Roman"/>
          <w:spacing w:val="10"/>
          <w:sz w:val="20"/>
          <w:szCs w:val="20"/>
          <w:highlight w:val="none"/>
        </w:rPr>
        <w:t xml:space="preserve">3.3.2  </w:t>
      </w:r>
      <w:r>
        <w:rPr>
          <w:rFonts w:ascii="宋体" w:hAnsi="宋体" w:eastAsia="宋体" w:cs="宋体"/>
          <w:spacing w:val="10"/>
          <w:sz w:val="20"/>
          <w:szCs w:val="20"/>
          <w:highlight w:val="none"/>
        </w:rPr>
        <w:t>在投标人须知前附表规定的投标有效期内，投标人不得要求撤销或修改其投标文</w:t>
      </w:r>
      <w:r>
        <w:rPr>
          <w:rFonts w:ascii="宋体" w:hAnsi="宋体" w:eastAsia="宋体" w:cs="宋体"/>
          <w:sz w:val="20"/>
          <w:szCs w:val="20"/>
          <w:highlight w:val="none"/>
        </w:rPr>
        <w:t xml:space="preserve"> </w:t>
      </w:r>
      <w:r>
        <w:rPr>
          <w:rFonts w:ascii="宋体" w:hAnsi="宋体" w:eastAsia="宋体" w:cs="宋体"/>
          <w:spacing w:val="-5"/>
          <w:sz w:val="24"/>
          <w:szCs w:val="24"/>
          <w:highlight w:val="none"/>
        </w:rPr>
        <w:t>件。</w:t>
      </w:r>
    </w:p>
    <w:p w14:paraId="5C751BAC">
      <w:pPr>
        <w:spacing w:before="142" w:line="305" w:lineRule="auto"/>
        <w:ind w:firstLine="430"/>
        <w:rPr>
          <w:rFonts w:ascii="宋体" w:hAnsi="宋体" w:eastAsia="宋体" w:cs="宋体"/>
          <w:sz w:val="21"/>
          <w:szCs w:val="21"/>
          <w:highlight w:val="none"/>
        </w:rPr>
      </w:pPr>
      <w:r>
        <w:rPr>
          <w:rFonts w:ascii="宋体" w:hAnsi="宋体" w:eastAsia="宋体" w:cs="宋体"/>
          <w:spacing w:val="1"/>
          <w:sz w:val="21"/>
          <w:szCs w:val="21"/>
          <w:highlight w:val="none"/>
        </w:rPr>
        <w:t>3.3.3出现特殊情况需要延长投标有效期的，招</w:t>
      </w:r>
      <w:r>
        <w:rPr>
          <w:rFonts w:ascii="宋体" w:hAnsi="宋体" w:eastAsia="宋体" w:cs="宋体"/>
          <w:sz w:val="21"/>
          <w:szCs w:val="21"/>
          <w:highlight w:val="none"/>
        </w:rPr>
        <w:t xml:space="preserve">标人以书面形式通知所有投标人延长投 </w:t>
      </w:r>
      <w:r>
        <w:rPr>
          <w:rFonts w:ascii="宋体" w:hAnsi="宋体" w:eastAsia="宋体" w:cs="宋体"/>
          <w:spacing w:val="-2"/>
          <w:sz w:val="21"/>
          <w:szCs w:val="21"/>
          <w:highlight w:val="none"/>
        </w:rPr>
        <w:t>标有效期。投标人同意延长的，应相应延长其投标保证金的有效期，但不得要求或被允许修</w:t>
      </w:r>
      <w:r>
        <w:rPr>
          <w:rFonts w:ascii="宋体" w:hAnsi="宋体" w:eastAsia="宋体" w:cs="宋体"/>
          <w:spacing w:val="7"/>
          <w:sz w:val="21"/>
          <w:szCs w:val="21"/>
          <w:highlight w:val="none"/>
        </w:rPr>
        <w:t xml:space="preserve"> </w:t>
      </w:r>
      <w:r>
        <w:rPr>
          <w:rFonts w:ascii="宋体" w:hAnsi="宋体" w:eastAsia="宋体" w:cs="宋体"/>
          <w:sz w:val="21"/>
          <w:szCs w:val="21"/>
          <w:highlight w:val="none"/>
        </w:rPr>
        <w:t>改或撤销其投标文件；投标人拒绝延长的，其投标失效，但投标人有权收回其投标保证金。</w:t>
      </w:r>
    </w:p>
    <w:p w14:paraId="6BF57730">
      <w:pPr>
        <w:spacing w:before="241" w:line="222" w:lineRule="auto"/>
        <w:rPr>
          <w:rFonts w:ascii="黑体" w:hAnsi="黑体" w:eastAsia="黑体" w:cs="黑体"/>
          <w:sz w:val="22"/>
          <w:szCs w:val="22"/>
          <w:highlight w:val="none"/>
        </w:rPr>
      </w:pPr>
      <w:r>
        <w:rPr>
          <w:rFonts w:ascii="黑体" w:hAnsi="黑体" w:eastAsia="黑体" w:cs="黑体"/>
          <w:spacing w:val="3"/>
          <w:sz w:val="22"/>
          <w:szCs w:val="22"/>
          <w:highlight w:val="none"/>
        </w:rPr>
        <w:t>3.4投标保证金</w:t>
      </w:r>
    </w:p>
    <w:p w14:paraId="4FC96543">
      <w:pPr>
        <w:spacing w:before="146" w:line="318" w:lineRule="auto"/>
        <w:ind w:right="52" w:firstLine="430"/>
        <w:rPr>
          <w:rFonts w:ascii="宋体" w:hAnsi="宋体" w:eastAsia="宋体" w:cs="宋体"/>
          <w:sz w:val="21"/>
          <w:szCs w:val="21"/>
          <w:highlight w:val="none"/>
        </w:rPr>
      </w:pPr>
      <w:r>
        <w:rPr>
          <w:rFonts w:ascii="宋体" w:hAnsi="宋体" w:eastAsia="宋体" w:cs="宋体"/>
          <w:spacing w:val="1"/>
          <w:sz w:val="21"/>
          <w:szCs w:val="21"/>
          <w:highlight w:val="none"/>
        </w:rPr>
        <w:t>3.4.1投标人须知前附表规定提交投标保证金的，投标人在递交投标文件的同时，应按</w:t>
      </w:r>
      <w:r>
        <w:rPr>
          <w:rFonts w:ascii="宋体" w:hAnsi="宋体" w:eastAsia="宋体" w:cs="宋体"/>
          <w:spacing w:val="5"/>
          <w:sz w:val="21"/>
          <w:szCs w:val="21"/>
          <w:highlight w:val="none"/>
        </w:rPr>
        <w:t xml:space="preserve"> </w:t>
      </w:r>
      <w:r>
        <w:rPr>
          <w:rFonts w:ascii="宋体" w:hAnsi="宋体" w:eastAsia="宋体" w:cs="宋体"/>
          <w:spacing w:val="-2"/>
          <w:sz w:val="21"/>
          <w:szCs w:val="21"/>
          <w:highlight w:val="none"/>
        </w:rPr>
        <w:t>投标人须知前附表规定的形式、金额、递交截止时间、递交方式</w:t>
      </w:r>
      <w:r>
        <w:rPr>
          <w:rFonts w:ascii="宋体" w:hAnsi="宋体" w:eastAsia="宋体" w:cs="宋体"/>
          <w:spacing w:val="-3"/>
          <w:sz w:val="21"/>
          <w:szCs w:val="21"/>
          <w:highlight w:val="none"/>
        </w:rPr>
        <w:t>提交投标保证金，并作为其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投标文件的组成部分。联合体投标的，其投标保证金由牵头人递交，并应符合投标人须知前</w:t>
      </w:r>
      <w:r>
        <w:rPr>
          <w:rFonts w:ascii="宋体" w:hAnsi="宋体" w:eastAsia="宋体" w:cs="宋体"/>
          <w:spacing w:val="9"/>
          <w:sz w:val="21"/>
          <w:szCs w:val="21"/>
          <w:highlight w:val="none"/>
        </w:rPr>
        <w:t xml:space="preserve"> </w:t>
      </w:r>
      <w:r>
        <w:rPr>
          <w:rFonts w:ascii="宋体" w:hAnsi="宋体" w:eastAsia="宋体" w:cs="宋体"/>
          <w:spacing w:val="-5"/>
          <w:sz w:val="21"/>
          <w:szCs w:val="21"/>
          <w:highlight w:val="none"/>
        </w:rPr>
        <w:t>附表的规定。</w:t>
      </w:r>
    </w:p>
    <w:p w14:paraId="095C9655">
      <w:pPr>
        <w:spacing w:before="151" w:line="219" w:lineRule="auto"/>
        <w:ind w:left="430"/>
        <w:rPr>
          <w:rFonts w:ascii="宋体" w:hAnsi="宋体" w:eastAsia="宋体" w:cs="宋体"/>
          <w:sz w:val="22"/>
          <w:szCs w:val="22"/>
          <w:highlight w:val="none"/>
        </w:rPr>
      </w:pPr>
      <w:r>
        <w:rPr>
          <w:rFonts w:ascii="宋体" w:hAnsi="宋体" w:eastAsia="宋体" w:cs="宋体"/>
          <w:spacing w:val="-8"/>
          <w:sz w:val="22"/>
          <w:szCs w:val="22"/>
          <w:highlight w:val="none"/>
        </w:rPr>
        <w:t>3.4.2投标人不按本章第3.4.1项要求提交投标保证金的，其投标将被否决。</w:t>
      </w:r>
    </w:p>
    <w:p w14:paraId="7F098220">
      <w:pPr>
        <w:spacing w:before="140" w:line="310" w:lineRule="auto"/>
        <w:ind w:right="76" w:firstLine="430"/>
        <w:rPr>
          <w:rFonts w:ascii="宋体" w:hAnsi="宋体" w:eastAsia="宋体" w:cs="宋体"/>
          <w:sz w:val="21"/>
          <w:szCs w:val="21"/>
          <w:highlight w:val="none"/>
        </w:rPr>
      </w:pPr>
      <w:r>
        <w:rPr>
          <w:rFonts w:ascii="宋体" w:hAnsi="宋体" w:eastAsia="宋体" w:cs="宋体"/>
          <w:spacing w:val="3"/>
          <w:sz w:val="21"/>
          <w:szCs w:val="21"/>
          <w:highlight w:val="none"/>
        </w:rPr>
        <w:t>3.4.3招标人最迟在与中标人签订合同后5日内，向未中标的投标人和中标人退还投标</w:t>
      </w:r>
      <w:r>
        <w:rPr>
          <w:rFonts w:ascii="宋体" w:hAnsi="宋体" w:eastAsia="宋体" w:cs="宋体"/>
          <w:spacing w:val="7"/>
          <w:sz w:val="21"/>
          <w:szCs w:val="21"/>
          <w:highlight w:val="none"/>
        </w:rPr>
        <w:t xml:space="preserve"> </w:t>
      </w:r>
      <w:r>
        <w:rPr>
          <w:rFonts w:ascii="宋体" w:hAnsi="宋体" w:eastAsia="宋体" w:cs="宋体"/>
          <w:spacing w:val="-2"/>
          <w:sz w:val="21"/>
          <w:szCs w:val="21"/>
          <w:highlight w:val="none"/>
        </w:rPr>
        <w:t>保证金。招标人同时退还投标保证金的银行同期存款利息。投标保证金及利息的计</w:t>
      </w:r>
      <w:r>
        <w:rPr>
          <w:rFonts w:ascii="宋体" w:hAnsi="宋体" w:eastAsia="宋体" w:cs="宋体"/>
          <w:spacing w:val="-3"/>
          <w:sz w:val="21"/>
          <w:szCs w:val="21"/>
          <w:highlight w:val="none"/>
        </w:rPr>
        <w:t>息标准和</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退还方式见投标人须知前附表。</w:t>
      </w:r>
    </w:p>
    <w:p w14:paraId="11D6DC1F">
      <w:pPr>
        <w:spacing w:before="133"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3.4.4有下列情形之一的，投标保证金将不予退还：</w:t>
      </w:r>
    </w:p>
    <w:p w14:paraId="1BFD2F58">
      <w:pPr>
        <w:spacing w:before="149" w:line="219" w:lineRule="auto"/>
        <w:ind w:left="550"/>
        <w:rPr>
          <w:rFonts w:ascii="宋体" w:hAnsi="宋体" w:eastAsia="宋体" w:cs="宋体"/>
          <w:sz w:val="22"/>
          <w:szCs w:val="22"/>
          <w:highlight w:val="none"/>
        </w:rPr>
      </w:pPr>
      <w:r>
        <w:rPr>
          <w:rFonts w:ascii="宋体" w:hAnsi="宋体" w:eastAsia="宋体" w:cs="宋体"/>
          <w:spacing w:val="-7"/>
          <w:sz w:val="22"/>
          <w:szCs w:val="22"/>
          <w:highlight w:val="none"/>
        </w:rPr>
        <w:t>(1)投标人在规定的投标有效期内撤销或修改其投标文件；</w:t>
      </w:r>
    </w:p>
    <w:p w14:paraId="3A711629">
      <w:pPr>
        <w:spacing w:before="138" w:line="273" w:lineRule="auto"/>
        <w:ind w:right="78" w:firstLine="539"/>
        <w:rPr>
          <w:rFonts w:ascii="宋体" w:hAnsi="宋体" w:eastAsia="宋体" w:cs="宋体"/>
          <w:sz w:val="22"/>
          <w:szCs w:val="22"/>
          <w:highlight w:val="none"/>
        </w:rPr>
      </w:pPr>
      <w:r>
        <w:rPr>
          <w:rFonts w:ascii="宋体" w:hAnsi="宋体" w:eastAsia="宋体" w:cs="宋体"/>
          <w:spacing w:val="-6"/>
          <w:sz w:val="22"/>
          <w:szCs w:val="22"/>
          <w:highlight w:val="none"/>
        </w:rPr>
        <w:t>(2)中标人在收到中标通知书后，无正当理由</w:t>
      </w:r>
      <w:r>
        <w:rPr>
          <w:rFonts w:ascii="宋体" w:hAnsi="宋体" w:eastAsia="宋体" w:cs="宋体"/>
          <w:spacing w:val="-7"/>
          <w:sz w:val="22"/>
          <w:szCs w:val="22"/>
          <w:highlight w:val="none"/>
        </w:rPr>
        <w:t>拒签合同、在签订合同时向招标人提出</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附加条件或未按招标文件规定提交履约保证金。</w:t>
      </w:r>
    </w:p>
    <w:p w14:paraId="0C76443D">
      <w:pPr>
        <w:pStyle w:val="2"/>
        <w:spacing w:before="180" w:line="300" w:lineRule="exact"/>
        <w:rPr>
          <w:rFonts w:ascii="黑体" w:hAnsi="黑体" w:eastAsia="黑体" w:cs="黑体"/>
          <w:sz w:val="22"/>
          <w:szCs w:val="22"/>
          <w:highlight w:val="none"/>
        </w:rPr>
      </w:pPr>
      <w:r>
        <w:rPr>
          <w:spacing w:val="-2"/>
          <w:position w:val="1"/>
          <w:sz w:val="22"/>
          <w:szCs w:val="22"/>
          <w:highlight w:val="none"/>
        </w:rPr>
        <w:t>3.5</w:t>
      </w:r>
      <w:r>
        <w:rPr>
          <w:spacing w:val="70"/>
          <w:position w:val="1"/>
          <w:sz w:val="22"/>
          <w:szCs w:val="22"/>
          <w:highlight w:val="none"/>
        </w:rPr>
        <w:t xml:space="preserve"> </w:t>
      </w:r>
      <w:r>
        <w:rPr>
          <w:rFonts w:ascii="黑体" w:hAnsi="黑体" w:eastAsia="黑体" w:cs="黑体"/>
          <w:spacing w:val="-2"/>
          <w:position w:val="1"/>
          <w:sz w:val="22"/>
          <w:szCs w:val="22"/>
          <w:highlight w:val="none"/>
        </w:rPr>
        <w:t>资格审查资料(适用于已进行资格预审的)</w:t>
      </w:r>
    </w:p>
    <w:p w14:paraId="6A1B1755">
      <w:pPr>
        <w:spacing w:before="170" w:line="219" w:lineRule="auto"/>
        <w:ind w:left="430"/>
        <w:rPr>
          <w:rFonts w:ascii="宋体" w:hAnsi="宋体" w:eastAsia="宋体" w:cs="宋体"/>
          <w:sz w:val="20"/>
          <w:szCs w:val="20"/>
          <w:highlight w:val="none"/>
        </w:rPr>
      </w:pPr>
      <w:r>
        <w:rPr>
          <w:rFonts w:ascii="宋体" w:hAnsi="宋体" w:eastAsia="宋体" w:cs="宋体"/>
          <w:spacing w:val="10"/>
          <w:sz w:val="20"/>
          <w:szCs w:val="20"/>
          <w:highlight w:val="none"/>
        </w:rPr>
        <w:t>3.5.1投标人在递交投标文件前，发生可能影响其投标资格的新情况的，应更新或补充</w:t>
      </w:r>
    </w:p>
    <w:p w14:paraId="537BC483">
      <w:pPr>
        <w:spacing w:line="219" w:lineRule="auto"/>
        <w:rPr>
          <w:rFonts w:ascii="宋体" w:hAnsi="宋体" w:eastAsia="宋体" w:cs="宋体"/>
          <w:sz w:val="20"/>
          <w:szCs w:val="20"/>
          <w:highlight w:val="none"/>
        </w:rPr>
        <w:sectPr>
          <w:footerReference r:id="rId31" w:type="default"/>
          <w:pgSz w:w="11910" w:h="16840"/>
          <w:pgMar w:top="400" w:right="1735" w:bottom="1238" w:left="1769" w:header="0" w:footer="1006" w:gutter="0"/>
          <w:cols w:space="720" w:num="1"/>
        </w:sectPr>
      </w:pPr>
    </w:p>
    <w:p w14:paraId="174232A0">
      <w:pPr>
        <w:pStyle w:val="2"/>
        <w:spacing w:line="273" w:lineRule="auto"/>
        <w:rPr>
          <w:highlight w:val="none"/>
        </w:rPr>
      </w:pPr>
    </w:p>
    <w:p w14:paraId="575B6BB6">
      <w:pPr>
        <w:pStyle w:val="2"/>
        <w:spacing w:line="273" w:lineRule="auto"/>
        <w:rPr>
          <w:highlight w:val="none"/>
        </w:rPr>
      </w:pPr>
    </w:p>
    <w:p w14:paraId="23E39160">
      <w:pPr>
        <w:pStyle w:val="2"/>
        <w:spacing w:line="273" w:lineRule="auto"/>
        <w:rPr>
          <w:highlight w:val="none"/>
        </w:rPr>
      </w:pPr>
    </w:p>
    <w:p w14:paraId="0BAE0402">
      <w:pPr>
        <w:pStyle w:val="2"/>
        <w:spacing w:line="273" w:lineRule="auto"/>
        <w:rPr>
          <w:highlight w:val="none"/>
        </w:rPr>
      </w:pPr>
    </w:p>
    <w:p w14:paraId="404D7A0A">
      <w:pPr>
        <w:spacing w:before="69" w:line="343" w:lineRule="auto"/>
        <w:ind w:right="94"/>
        <w:rPr>
          <w:rFonts w:ascii="宋体" w:hAnsi="宋体" w:eastAsia="宋体" w:cs="宋体"/>
          <w:sz w:val="21"/>
          <w:szCs w:val="21"/>
          <w:highlight w:val="none"/>
        </w:rPr>
      </w:pPr>
      <w:r>
        <w:rPr>
          <w:rFonts w:ascii="宋体" w:hAnsi="宋体" w:eastAsia="宋体" w:cs="宋体"/>
          <w:spacing w:val="3"/>
          <w:sz w:val="21"/>
          <w:szCs w:val="21"/>
          <w:highlight w:val="none"/>
        </w:rPr>
        <w:t>其在申请资格预审时提供的资料，以证实其各项资格条件仍能继续满足资格预审文件的要</w:t>
      </w:r>
      <w:r>
        <w:rPr>
          <w:rFonts w:ascii="宋体" w:hAnsi="宋体" w:eastAsia="宋体" w:cs="宋体"/>
          <w:spacing w:val="2"/>
          <w:sz w:val="21"/>
          <w:szCs w:val="21"/>
          <w:highlight w:val="none"/>
        </w:rPr>
        <w:t xml:space="preserve"> </w:t>
      </w:r>
      <w:r>
        <w:rPr>
          <w:rFonts w:ascii="宋体" w:hAnsi="宋体" w:eastAsia="宋体" w:cs="宋体"/>
          <w:spacing w:val="-1"/>
          <w:sz w:val="21"/>
          <w:szCs w:val="21"/>
          <w:highlight w:val="none"/>
        </w:rPr>
        <w:t>求，且不影响本次招标的公正性。</w:t>
      </w:r>
    </w:p>
    <w:p w14:paraId="38900CE6">
      <w:pPr>
        <w:spacing w:before="1" w:line="337" w:lineRule="auto"/>
        <w:ind w:right="74" w:firstLine="430"/>
        <w:jc w:val="both"/>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3.5.2</w:t>
      </w:r>
      <w:r>
        <w:rPr>
          <w:rFonts w:ascii="Times New Roman" w:hAnsi="Times New Roman" w:eastAsia="Times New Roman" w:cs="Times New Roman"/>
          <w:spacing w:val="34"/>
          <w:w w:val="101"/>
          <w:sz w:val="22"/>
          <w:szCs w:val="22"/>
          <w:highlight w:val="none"/>
        </w:rPr>
        <w:t xml:space="preserve"> </w:t>
      </w:r>
      <w:r>
        <w:rPr>
          <w:rFonts w:ascii="宋体" w:hAnsi="宋体" w:eastAsia="宋体" w:cs="宋体"/>
          <w:spacing w:val="-8"/>
          <w:sz w:val="22"/>
          <w:szCs w:val="22"/>
          <w:highlight w:val="none"/>
        </w:rPr>
        <w:t>如本招标文件第三章“评标办法”中涉及到对某些属于“</w:t>
      </w:r>
      <w:r>
        <w:rPr>
          <w:rFonts w:ascii="宋体" w:hAnsi="宋体" w:eastAsia="宋体" w:cs="宋体"/>
          <w:spacing w:val="-9"/>
          <w:sz w:val="22"/>
          <w:szCs w:val="22"/>
          <w:highlight w:val="none"/>
        </w:rPr>
        <w:t>资格审查资料”的内容</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进行评审，投标人应在投标文件相应的“资格审查资料”中</w:t>
      </w:r>
      <w:r>
        <w:rPr>
          <w:rFonts w:ascii="宋体" w:hAnsi="宋体" w:eastAsia="宋体" w:cs="宋体"/>
          <w:spacing w:val="-7"/>
          <w:sz w:val="22"/>
          <w:szCs w:val="22"/>
          <w:highlight w:val="none"/>
        </w:rPr>
        <w:t>提供证明文件和(或)证明材料</w:t>
      </w:r>
      <w:r>
        <w:rPr>
          <w:rFonts w:ascii="宋体" w:hAnsi="宋体" w:eastAsia="宋体" w:cs="宋体"/>
          <w:sz w:val="22"/>
          <w:szCs w:val="22"/>
          <w:highlight w:val="none"/>
        </w:rPr>
        <w:t xml:space="preserve"> </w:t>
      </w:r>
      <w:r>
        <w:rPr>
          <w:rFonts w:ascii="宋体" w:hAnsi="宋体" w:eastAsia="宋体" w:cs="宋体"/>
          <w:spacing w:val="-15"/>
          <w:sz w:val="22"/>
          <w:szCs w:val="22"/>
          <w:highlight w:val="none"/>
        </w:rPr>
        <w:t>的扫描件。</w:t>
      </w:r>
    </w:p>
    <w:p w14:paraId="5A6556AE">
      <w:pPr>
        <w:pStyle w:val="2"/>
        <w:spacing w:before="34" w:line="300" w:lineRule="exact"/>
        <w:rPr>
          <w:rFonts w:ascii="黑体" w:hAnsi="黑体" w:eastAsia="黑体" w:cs="黑体"/>
          <w:sz w:val="22"/>
          <w:szCs w:val="22"/>
          <w:highlight w:val="none"/>
        </w:rPr>
      </w:pPr>
      <w:r>
        <w:rPr>
          <w:spacing w:val="-2"/>
          <w:position w:val="1"/>
          <w:sz w:val="22"/>
          <w:szCs w:val="22"/>
          <w:highlight w:val="none"/>
        </w:rPr>
        <w:t xml:space="preserve">3.5  </w:t>
      </w:r>
      <w:r>
        <w:rPr>
          <w:rFonts w:ascii="黑体" w:hAnsi="黑体" w:eastAsia="黑体" w:cs="黑体"/>
          <w:spacing w:val="-2"/>
          <w:position w:val="1"/>
          <w:sz w:val="22"/>
          <w:szCs w:val="22"/>
          <w:highlight w:val="none"/>
        </w:rPr>
        <w:t>资格审查资料(适用于未进行资格预审的)</w:t>
      </w:r>
    </w:p>
    <w:p w14:paraId="1B83424F">
      <w:pPr>
        <w:spacing w:before="138" w:line="297" w:lineRule="auto"/>
        <w:ind w:right="55" w:firstLine="430"/>
        <w:rPr>
          <w:rFonts w:ascii="宋体" w:hAnsi="宋体" w:eastAsia="宋体" w:cs="宋体"/>
          <w:sz w:val="22"/>
          <w:szCs w:val="22"/>
          <w:highlight w:val="none"/>
        </w:rPr>
      </w:pPr>
      <w:r>
        <w:rPr>
          <w:rFonts w:ascii="宋体" w:hAnsi="宋体" w:eastAsia="宋体" w:cs="宋体"/>
          <w:spacing w:val="-8"/>
          <w:sz w:val="22"/>
          <w:szCs w:val="22"/>
          <w:highlight w:val="none"/>
        </w:rPr>
        <w:t>3.5.1投标文件的资格审查资料应按第七章“投标文件格式</w:t>
      </w:r>
      <w:r>
        <w:rPr>
          <w:rFonts w:ascii="宋体" w:hAnsi="宋体" w:eastAsia="宋体" w:cs="宋体"/>
          <w:spacing w:val="-9"/>
          <w:sz w:val="22"/>
          <w:szCs w:val="22"/>
          <w:highlight w:val="none"/>
        </w:rPr>
        <w:t>”的相关要求进行编写，并</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按各资格审查表格的具体要求提供相关证件及证明材料。如有必要</w:t>
      </w:r>
      <w:r>
        <w:rPr>
          <w:rFonts w:ascii="宋体" w:hAnsi="宋体" w:eastAsia="宋体" w:cs="宋体"/>
          <w:spacing w:val="-13"/>
          <w:sz w:val="22"/>
          <w:szCs w:val="22"/>
          <w:highlight w:val="none"/>
        </w:rPr>
        <w:t>，可以增加附页，并作为</w:t>
      </w:r>
      <w:r>
        <w:rPr>
          <w:rFonts w:ascii="宋体" w:hAnsi="宋体" w:eastAsia="宋体" w:cs="宋体"/>
          <w:sz w:val="22"/>
          <w:szCs w:val="22"/>
          <w:highlight w:val="none"/>
        </w:rPr>
        <w:t xml:space="preserve"> </w:t>
      </w:r>
      <w:r>
        <w:rPr>
          <w:rFonts w:ascii="宋体" w:hAnsi="宋体" w:eastAsia="宋体" w:cs="宋体"/>
          <w:spacing w:val="-8"/>
          <w:sz w:val="22"/>
          <w:szCs w:val="22"/>
          <w:highlight w:val="none"/>
        </w:rPr>
        <w:t>资格审查资料的组成部分。投标人须知前附表规定接受联合体投标</w:t>
      </w:r>
      <w:r>
        <w:rPr>
          <w:rFonts w:ascii="宋体" w:hAnsi="宋体" w:eastAsia="宋体" w:cs="宋体"/>
          <w:spacing w:val="-9"/>
          <w:sz w:val="22"/>
          <w:szCs w:val="22"/>
          <w:highlight w:val="none"/>
        </w:rPr>
        <w:t>的，本章第3.5.2项至第</w:t>
      </w:r>
    </w:p>
    <w:p w14:paraId="441E642A">
      <w:pPr>
        <w:spacing w:before="130" w:line="219" w:lineRule="auto"/>
        <w:rPr>
          <w:rFonts w:ascii="宋体" w:hAnsi="宋体" w:eastAsia="宋体" w:cs="宋体"/>
          <w:sz w:val="22"/>
          <w:szCs w:val="22"/>
          <w:highlight w:val="none"/>
        </w:rPr>
      </w:pPr>
      <w:r>
        <w:rPr>
          <w:rFonts w:ascii="宋体" w:hAnsi="宋体" w:eastAsia="宋体" w:cs="宋体"/>
          <w:spacing w:val="-11"/>
          <w:sz w:val="22"/>
          <w:szCs w:val="22"/>
          <w:highlight w:val="none"/>
        </w:rPr>
        <w:t>3.5.6项规定的表格和资料应包括联合体各方相关情况。</w:t>
      </w:r>
    </w:p>
    <w:p w14:paraId="1D33962C">
      <w:pPr>
        <w:spacing w:before="147" w:line="219" w:lineRule="auto"/>
        <w:ind w:left="430"/>
        <w:rPr>
          <w:rFonts w:ascii="宋体" w:hAnsi="宋体" w:eastAsia="宋体" w:cs="宋体"/>
          <w:sz w:val="22"/>
          <w:szCs w:val="22"/>
          <w:highlight w:val="none"/>
        </w:rPr>
      </w:pPr>
      <w:r>
        <w:rPr>
          <w:rFonts w:ascii="宋体" w:hAnsi="宋体" w:eastAsia="宋体" w:cs="宋体"/>
          <w:spacing w:val="-9"/>
          <w:sz w:val="22"/>
          <w:szCs w:val="22"/>
          <w:highlight w:val="none"/>
        </w:rPr>
        <w:t>3.5.2“近年财务状况表”具体年份要</w:t>
      </w:r>
      <w:r>
        <w:rPr>
          <w:rFonts w:ascii="宋体" w:hAnsi="宋体" w:eastAsia="宋体" w:cs="宋体"/>
          <w:spacing w:val="-10"/>
          <w:sz w:val="22"/>
          <w:szCs w:val="22"/>
          <w:highlight w:val="none"/>
        </w:rPr>
        <w:t>求见投标人须知前附表。</w:t>
      </w:r>
    </w:p>
    <w:p w14:paraId="4CAB08D1">
      <w:pPr>
        <w:spacing w:before="160" w:line="280" w:lineRule="auto"/>
        <w:ind w:right="93" w:firstLine="430"/>
        <w:rPr>
          <w:rFonts w:ascii="宋体" w:hAnsi="宋体" w:eastAsia="宋体" w:cs="宋体"/>
          <w:sz w:val="21"/>
          <w:szCs w:val="21"/>
          <w:highlight w:val="none"/>
        </w:rPr>
      </w:pPr>
      <w:r>
        <w:rPr>
          <w:rFonts w:ascii="宋体" w:hAnsi="宋体" w:eastAsia="宋体" w:cs="宋体"/>
          <w:spacing w:val="1"/>
          <w:sz w:val="21"/>
          <w:szCs w:val="21"/>
          <w:highlight w:val="none"/>
        </w:rPr>
        <w:t>3.5.3“近年完成的类似项目情况表” “近年完成的类似工程设计项目情况表”</w:t>
      </w:r>
      <w:r>
        <w:rPr>
          <w:rFonts w:ascii="宋体" w:hAnsi="宋体" w:eastAsia="宋体" w:cs="宋体"/>
          <w:spacing w:val="-35"/>
          <w:sz w:val="21"/>
          <w:szCs w:val="21"/>
          <w:highlight w:val="none"/>
        </w:rPr>
        <w:t xml:space="preserve"> </w:t>
      </w:r>
      <w:r>
        <w:rPr>
          <w:rFonts w:ascii="宋体" w:hAnsi="宋体" w:eastAsia="宋体" w:cs="宋体"/>
          <w:spacing w:val="1"/>
          <w:sz w:val="21"/>
          <w:szCs w:val="21"/>
          <w:highlight w:val="none"/>
        </w:rPr>
        <w:t>“近</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年完成的类似施工项目情况表”具体年份要求</w:t>
      </w:r>
      <w:r>
        <w:rPr>
          <w:rFonts w:ascii="宋体" w:hAnsi="宋体" w:eastAsia="宋体" w:cs="宋体"/>
          <w:spacing w:val="-2"/>
          <w:sz w:val="21"/>
          <w:szCs w:val="21"/>
          <w:highlight w:val="none"/>
        </w:rPr>
        <w:t>见投标人须知前附表。</w:t>
      </w:r>
    </w:p>
    <w:p w14:paraId="1298A43D">
      <w:pPr>
        <w:spacing w:before="152" w:line="219" w:lineRule="auto"/>
        <w:ind w:left="430"/>
        <w:rPr>
          <w:rFonts w:ascii="宋体" w:hAnsi="宋体" w:eastAsia="宋体" w:cs="宋体"/>
          <w:sz w:val="22"/>
          <w:szCs w:val="22"/>
          <w:highlight w:val="none"/>
        </w:rPr>
      </w:pPr>
      <w:r>
        <w:rPr>
          <w:rFonts w:ascii="宋体" w:hAnsi="宋体" w:eastAsia="宋体" w:cs="宋体"/>
          <w:spacing w:val="-9"/>
          <w:sz w:val="22"/>
          <w:szCs w:val="22"/>
          <w:highlight w:val="none"/>
        </w:rPr>
        <w:t>3.5.4“近年发生的诉讼及仲裁情况”具体年份要求见投标</w:t>
      </w:r>
      <w:r>
        <w:rPr>
          <w:rFonts w:ascii="宋体" w:hAnsi="宋体" w:eastAsia="宋体" w:cs="宋体"/>
          <w:spacing w:val="-10"/>
          <w:sz w:val="22"/>
          <w:szCs w:val="22"/>
          <w:highlight w:val="none"/>
        </w:rPr>
        <w:t>人须知前附表。</w:t>
      </w:r>
    </w:p>
    <w:p w14:paraId="3078D38E">
      <w:pPr>
        <w:spacing w:before="138" w:line="281" w:lineRule="auto"/>
        <w:ind w:right="76" w:firstLine="430"/>
        <w:rPr>
          <w:rFonts w:ascii="宋体" w:hAnsi="宋体" w:eastAsia="宋体" w:cs="宋体"/>
          <w:sz w:val="21"/>
          <w:szCs w:val="21"/>
          <w:highlight w:val="none"/>
        </w:rPr>
      </w:pPr>
      <w:r>
        <w:rPr>
          <w:rFonts w:ascii="Times New Roman" w:hAnsi="Times New Roman" w:eastAsia="Times New Roman" w:cs="Times New Roman"/>
          <w:spacing w:val="6"/>
          <w:sz w:val="21"/>
          <w:szCs w:val="21"/>
          <w:highlight w:val="none"/>
        </w:rPr>
        <w:t xml:space="preserve">3.5.5  </w:t>
      </w:r>
      <w:r>
        <w:rPr>
          <w:rFonts w:ascii="宋体" w:hAnsi="宋体" w:eastAsia="宋体" w:cs="宋体"/>
          <w:spacing w:val="6"/>
          <w:sz w:val="21"/>
          <w:szCs w:val="21"/>
          <w:highlight w:val="none"/>
        </w:rPr>
        <w:t>近年投标人或项目管理机构相关主</w:t>
      </w:r>
      <w:r>
        <w:rPr>
          <w:rFonts w:ascii="宋体" w:hAnsi="宋体" w:eastAsia="宋体" w:cs="宋体"/>
          <w:spacing w:val="5"/>
          <w:sz w:val="21"/>
          <w:szCs w:val="21"/>
          <w:highlight w:val="none"/>
        </w:rPr>
        <w:t>要人员获工程(设计)质量奖项、获表彰情况</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具体年份要求见投标人须知前附表。</w:t>
      </w:r>
    </w:p>
    <w:p w14:paraId="26B25ACD">
      <w:pPr>
        <w:spacing w:before="151" w:line="219"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3.5.6其他材料具体年份要求见投标人须知前附表。</w:t>
      </w:r>
    </w:p>
    <w:p w14:paraId="2F091960">
      <w:pPr>
        <w:spacing w:before="229" w:line="221" w:lineRule="auto"/>
        <w:rPr>
          <w:rFonts w:ascii="黑体" w:hAnsi="黑体" w:eastAsia="黑体" w:cs="黑体"/>
          <w:sz w:val="22"/>
          <w:szCs w:val="22"/>
          <w:highlight w:val="none"/>
        </w:rPr>
      </w:pPr>
      <w:r>
        <w:rPr>
          <w:rFonts w:ascii="黑体" w:hAnsi="黑体" w:eastAsia="黑体" w:cs="黑体"/>
          <w:spacing w:val="2"/>
          <w:sz w:val="22"/>
          <w:szCs w:val="22"/>
          <w:highlight w:val="none"/>
        </w:rPr>
        <w:t>3.6备选投标方案</w:t>
      </w:r>
    </w:p>
    <w:p w14:paraId="1A8594FF">
      <w:pPr>
        <w:spacing w:before="128" w:line="360" w:lineRule="auto"/>
        <w:ind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除投标人须知前附表另有规定外，投标人不得递交备选投标方案。允许</w:t>
      </w:r>
      <w:r>
        <w:rPr>
          <w:rFonts w:ascii="宋体" w:hAnsi="宋体" w:eastAsia="宋体" w:cs="宋体"/>
          <w:spacing w:val="-3"/>
          <w:sz w:val="21"/>
          <w:szCs w:val="21"/>
          <w:highlight w:val="none"/>
        </w:rPr>
        <w:t>投标人递交备选</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投标方案的，只有中标人所递交的备选投标方案方可予以考虑。</w:t>
      </w:r>
      <w:r>
        <w:rPr>
          <w:rFonts w:ascii="宋体" w:hAnsi="宋体" w:eastAsia="宋体" w:cs="宋体"/>
          <w:spacing w:val="-3"/>
          <w:sz w:val="21"/>
          <w:szCs w:val="21"/>
          <w:highlight w:val="none"/>
        </w:rPr>
        <w:t>评标委员会认为中标人的备</w:t>
      </w:r>
      <w:r>
        <w:rPr>
          <w:rFonts w:ascii="宋体" w:hAnsi="宋体" w:eastAsia="宋体" w:cs="宋体"/>
          <w:sz w:val="21"/>
          <w:szCs w:val="21"/>
          <w:highlight w:val="none"/>
        </w:rPr>
        <w:t xml:space="preserve">  选投标方案优于其按照招标文件要求编制的投标方案的，招标人可以接受该备选投标方案。</w:t>
      </w:r>
    </w:p>
    <w:p w14:paraId="07C9B45C">
      <w:pPr>
        <w:pStyle w:val="2"/>
        <w:spacing w:line="300" w:lineRule="exact"/>
        <w:rPr>
          <w:rFonts w:ascii="黑体" w:hAnsi="黑体" w:eastAsia="黑体" w:cs="黑体"/>
          <w:sz w:val="22"/>
          <w:szCs w:val="22"/>
          <w:highlight w:val="none"/>
        </w:rPr>
      </w:pPr>
      <w:r>
        <w:rPr>
          <w:spacing w:val="-6"/>
          <w:position w:val="1"/>
          <w:sz w:val="22"/>
          <w:szCs w:val="22"/>
          <w:highlight w:val="none"/>
        </w:rPr>
        <w:t>3.7</w:t>
      </w:r>
      <w:r>
        <w:rPr>
          <w:spacing w:val="47"/>
          <w:position w:val="1"/>
          <w:sz w:val="22"/>
          <w:szCs w:val="22"/>
          <w:highlight w:val="none"/>
        </w:rPr>
        <w:t xml:space="preserve"> </w:t>
      </w:r>
      <w:r>
        <w:rPr>
          <w:rFonts w:ascii="黑体" w:hAnsi="黑体" w:eastAsia="黑体" w:cs="黑体"/>
          <w:spacing w:val="-6"/>
          <w:position w:val="1"/>
          <w:sz w:val="22"/>
          <w:szCs w:val="22"/>
          <w:highlight w:val="none"/>
        </w:rPr>
        <w:t>投标文件的编制</w:t>
      </w:r>
    </w:p>
    <w:p w14:paraId="704372E4">
      <w:pPr>
        <w:spacing w:before="160" w:line="308" w:lineRule="auto"/>
        <w:ind w:right="71" w:firstLine="430"/>
        <w:rPr>
          <w:rFonts w:ascii="宋体" w:hAnsi="宋体" w:eastAsia="宋体" w:cs="宋体"/>
          <w:sz w:val="21"/>
          <w:szCs w:val="21"/>
          <w:highlight w:val="none"/>
        </w:rPr>
      </w:pPr>
      <w:r>
        <w:rPr>
          <w:rFonts w:ascii="宋体" w:hAnsi="宋体" w:eastAsia="宋体" w:cs="宋体"/>
          <w:spacing w:val="1"/>
          <w:sz w:val="21"/>
          <w:szCs w:val="21"/>
          <w:highlight w:val="none"/>
        </w:rPr>
        <w:t>3.7.1投标文件应按第七章“投标文件格式”进行编写，</w:t>
      </w:r>
      <w:r>
        <w:rPr>
          <w:rFonts w:ascii="宋体" w:hAnsi="宋体" w:eastAsia="宋体" w:cs="宋体"/>
          <w:sz w:val="21"/>
          <w:szCs w:val="21"/>
          <w:highlight w:val="none"/>
        </w:rPr>
        <w:t xml:space="preserve">如有必要，可以增加附页，作 </w:t>
      </w:r>
      <w:r>
        <w:rPr>
          <w:rFonts w:ascii="宋体" w:hAnsi="宋体" w:eastAsia="宋体" w:cs="宋体"/>
          <w:spacing w:val="-2"/>
          <w:sz w:val="21"/>
          <w:szCs w:val="21"/>
          <w:highlight w:val="none"/>
        </w:rPr>
        <w:t>为投标文件的组成部分。其中，投标函附录在满足招标文件实质性要求的基础上，可以提出</w:t>
      </w:r>
      <w:r>
        <w:rPr>
          <w:rFonts w:ascii="宋体" w:hAnsi="宋体" w:eastAsia="宋体" w:cs="宋体"/>
          <w:spacing w:val="4"/>
          <w:sz w:val="21"/>
          <w:szCs w:val="21"/>
          <w:highlight w:val="none"/>
        </w:rPr>
        <w:t xml:space="preserve"> </w:t>
      </w:r>
      <w:r>
        <w:rPr>
          <w:rFonts w:ascii="宋体" w:hAnsi="宋体" w:eastAsia="宋体" w:cs="宋体"/>
          <w:spacing w:val="-1"/>
          <w:sz w:val="21"/>
          <w:szCs w:val="21"/>
          <w:highlight w:val="none"/>
        </w:rPr>
        <w:t>比招标文件要求更有利于招标人的承诺。</w:t>
      </w:r>
    </w:p>
    <w:p w14:paraId="4AF281C5">
      <w:pPr>
        <w:spacing w:before="140" w:line="282" w:lineRule="auto"/>
        <w:ind w:right="75" w:firstLine="4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3.7.2</w:t>
      </w:r>
      <w:r>
        <w:rPr>
          <w:rFonts w:ascii="Times New Roman" w:hAnsi="Times New Roman" w:eastAsia="Times New Roman" w:cs="Times New Roman"/>
          <w:spacing w:val="34"/>
          <w:sz w:val="22"/>
          <w:szCs w:val="22"/>
          <w:highlight w:val="none"/>
        </w:rPr>
        <w:t xml:space="preserve"> </w:t>
      </w:r>
      <w:r>
        <w:rPr>
          <w:rFonts w:ascii="宋体" w:hAnsi="宋体" w:eastAsia="宋体" w:cs="宋体"/>
          <w:spacing w:val="-8"/>
          <w:sz w:val="22"/>
          <w:szCs w:val="22"/>
          <w:highlight w:val="none"/>
        </w:rPr>
        <w:t>投标文件应当对招标文件有关招标范围、投标有效期、</w:t>
      </w:r>
      <w:r>
        <w:rPr>
          <w:rFonts w:ascii="宋体" w:hAnsi="宋体" w:eastAsia="宋体" w:cs="宋体"/>
          <w:spacing w:val="-9"/>
          <w:sz w:val="22"/>
          <w:szCs w:val="22"/>
          <w:highlight w:val="none"/>
        </w:rPr>
        <w:t>工期、质量标准、发包人</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要求等实质性内容作出响应。</w:t>
      </w:r>
    </w:p>
    <w:p w14:paraId="326C1D29">
      <w:pPr>
        <w:spacing w:before="158" w:line="219" w:lineRule="auto"/>
        <w:ind w:left="430"/>
        <w:rPr>
          <w:rFonts w:ascii="宋体" w:hAnsi="宋体" w:eastAsia="宋体" w:cs="宋体"/>
          <w:sz w:val="20"/>
          <w:szCs w:val="20"/>
          <w:highlight w:val="none"/>
        </w:rPr>
      </w:pPr>
      <w:r>
        <w:rPr>
          <w:rFonts w:ascii="宋体" w:hAnsi="宋体" w:eastAsia="宋体" w:cs="宋体"/>
          <w:spacing w:val="7"/>
          <w:sz w:val="20"/>
          <w:szCs w:val="20"/>
          <w:highlight w:val="none"/>
        </w:rPr>
        <w:t>3.7.3投标文件制作</w:t>
      </w:r>
    </w:p>
    <w:p w14:paraId="2D82A71B">
      <w:pPr>
        <w:spacing w:before="143" w:line="287" w:lineRule="auto"/>
        <w:ind w:right="75" w:firstLine="539"/>
        <w:rPr>
          <w:rFonts w:ascii="宋体" w:hAnsi="宋体" w:eastAsia="宋体" w:cs="宋体"/>
          <w:sz w:val="21"/>
          <w:szCs w:val="21"/>
          <w:highlight w:val="none"/>
        </w:rPr>
      </w:pPr>
      <w:r>
        <w:rPr>
          <w:rFonts w:ascii="宋体" w:hAnsi="宋体" w:eastAsia="宋体" w:cs="宋体"/>
          <w:spacing w:val="-2"/>
          <w:sz w:val="21"/>
          <w:szCs w:val="21"/>
          <w:highlight w:val="none"/>
        </w:rPr>
        <w:t>(1)投标文件由投标人使用“电子交易平台”提供的“电子投标文</w:t>
      </w:r>
      <w:r>
        <w:rPr>
          <w:rFonts w:ascii="宋体" w:hAnsi="宋体" w:eastAsia="宋体" w:cs="宋体"/>
          <w:spacing w:val="-3"/>
          <w:sz w:val="21"/>
          <w:szCs w:val="21"/>
          <w:highlight w:val="none"/>
        </w:rPr>
        <w:t>件制作软件”制作生</w:t>
      </w:r>
      <w:r>
        <w:rPr>
          <w:rFonts w:ascii="宋体" w:hAnsi="宋体" w:eastAsia="宋体" w:cs="宋体"/>
          <w:sz w:val="21"/>
          <w:szCs w:val="21"/>
          <w:highlight w:val="none"/>
        </w:rPr>
        <w:t xml:space="preserve"> </w:t>
      </w:r>
      <w:r>
        <w:rPr>
          <w:rFonts w:ascii="宋体" w:hAnsi="宋体" w:eastAsia="宋体" w:cs="宋体"/>
          <w:spacing w:val="-11"/>
          <w:sz w:val="21"/>
          <w:szCs w:val="21"/>
          <w:highlight w:val="none"/>
        </w:rPr>
        <w:t>成。</w:t>
      </w:r>
    </w:p>
    <w:p w14:paraId="21F7362A">
      <w:pPr>
        <w:spacing w:before="148" w:line="219"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(2)投标人在编制投标文件时应当建立分级目录，并按照标签提示导入相关内容。</w:t>
      </w:r>
    </w:p>
    <w:p w14:paraId="5A747A2B">
      <w:pPr>
        <w:spacing w:before="114" w:line="314" w:lineRule="auto"/>
        <w:ind w:right="88" w:firstLine="539"/>
        <w:rPr>
          <w:rFonts w:ascii="宋体" w:hAnsi="宋体" w:eastAsia="宋体" w:cs="宋体"/>
          <w:sz w:val="21"/>
          <w:szCs w:val="21"/>
          <w:highlight w:val="none"/>
        </w:rPr>
      </w:pPr>
      <w:r>
        <w:rPr>
          <w:rFonts w:ascii="宋体" w:hAnsi="宋体" w:eastAsia="宋体" w:cs="宋体"/>
          <w:sz w:val="21"/>
          <w:szCs w:val="21"/>
          <w:highlight w:val="none"/>
        </w:rPr>
        <w:t xml:space="preserve">(3)投标文件中的证明材料均为相关原件的“扫描件”,应从“电子交易平台”交易主 </w:t>
      </w:r>
      <w:r>
        <w:rPr>
          <w:rFonts w:ascii="宋体" w:hAnsi="宋体" w:eastAsia="宋体" w:cs="宋体"/>
          <w:spacing w:val="-5"/>
          <w:sz w:val="21"/>
          <w:szCs w:val="21"/>
          <w:highlight w:val="none"/>
        </w:rPr>
        <w:t>体诚信库中选择，交易主体诚信库中没有的“扫描件”,应以附件形式直接导入，未标示“扫</w:t>
      </w:r>
      <w:r>
        <w:rPr>
          <w:rFonts w:ascii="宋体" w:hAnsi="宋体" w:eastAsia="宋体" w:cs="宋体"/>
          <w:spacing w:val="15"/>
          <w:sz w:val="21"/>
          <w:szCs w:val="21"/>
          <w:highlight w:val="none"/>
        </w:rPr>
        <w:t xml:space="preserve"> </w:t>
      </w:r>
      <w:r>
        <w:rPr>
          <w:rFonts w:ascii="宋体" w:hAnsi="宋体" w:eastAsia="宋体" w:cs="宋体"/>
          <w:spacing w:val="-3"/>
          <w:sz w:val="21"/>
          <w:szCs w:val="21"/>
          <w:highlight w:val="none"/>
        </w:rPr>
        <w:t>描件”的证明材料均应直接制作生成。</w:t>
      </w:r>
    </w:p>
    <w:p w14:paraId="50D73825">
      <w:pPr>
        <w:spacing w:line="314" w:lineRule="auto"/>
        <w:rPr>
          <w:rFonts w:ascii="宋体" w:hAnsi="宋体" w:eastAsia="宋体" w:cs="宋体"/>
          <w:sz w:val="21"/>
          <w:szCs w:val="21"/>
          <w:highlight w:val="none"/>
        </w:rPr>
        <w:sectPr>
          <w:footerReference r:id="rId32" w:type="default"/>
          <w:pgSz w:w="11910" w:h="16840"/>
          <w:pgMar w:top="400" w:right="1734" w:bottom="1217" w:left="1769" w:header="0" w:footer="1013" w:gutter="0"/>
          <w:cols w:space="720" w:num="1"/>
        </w:sectPr>
      </w:pPr>
    </w:p>
    <w:p w14:paraId="503CBE65">
      <w:pPr>
        <w:pStyle w:val="2"/>
        <w:spacing w:line="273" w:lineRule="auto"/>
        <w:rPr>
          <w:highlight w:val="none"/>
        </w:rPr>
      </w:pPr>
    </w:p>
    <w:p w14:paraId="48B1A04C">
      <w:pPr>
        <w:pStyle w:val="2"/>
        <w:spacing w:line="273" w:lineRule="auto"/>
        <w:rPr>
          <w:highlight w:val="none"/>
        </w:rPr>
      </w:pPr>
    </w:p>
    <w:p w14:paraId="5C17DB74">
      <w:pPr>
        <w:pStyle w:val="2"/>
        <w:spacing w:line="273" w:lineRule="auto"/>
        <w:rPr>
          <w:highlight w:val="none"/>
        </w:rPr>
      </w:pPr>
    </w:p>
    <w:p w14:paraId="4181E174">
      <w:pPr>
        <w:pStyle w:val="2"/>
        <w:spacing w:line="274" w:lineRule="auto"/>
        <w:rPr>
          <w:highlight w:val="none"/>
        </w:rPr>
      </w:pPr>
    </w:p>
    <w:p w14:paraId="2C012934">
      <w:pPr>
        <w:pStyle w:val="2"/>
        <w:spacing w:before="68" w:line="325" w:lineRule="auto"/>
        <w:ind w:left="4" w:right="120" w:firstLine="539"/>
        <w:rPr>
          <w:rFonts w:ascii="宋体" w:hAnsi="宋体" w:eastAsia="宋体" w:cs="宋体"/>
          <w:highlight w:val="none"/>
        </w:rPr>
      </w:pPr>
      <w:bookmarkStart w:id="24" w:name="bookmark199"/>
      <w:bookmarkEnd w:id="24"/>
      <w:r>
        <w:rPr>
          <w:rFonts w:ascii="宋体" w:hAnsi="宋体" w:eastAsia="宋体" w:cs="宋体"/>
          <w:spacing w:val="2"/>
          <w:highlight w:val="none"/>
        </w:rPr>
        <w:t>(4)第七章投标文件格式文件投标函要求“盖单位</w:t>
      </w:r>
      <w:r>
        <w:rPr>
          <w:rFonts w:ascii="宋体" w:hAnsi="宋体" w:eastAsia="宋体" w:cs="宋体"/>
          <w:spacing w:val="1"/>
          <w:highlight w:val="none"/>
        </w:rPr>
        <w:t>章”的地方，投标人应使用</w:t>
      </w:r>
      <w:r>
        <w:rPr>
          <w:rFonts w:ascii="宋体" w:hAnsi="宋体" w:eastAsia="宋体" w:cs="宋体"/>
          <w:spacing w:val="-40"/>
          <w:highlight w:val="none"/>
        </w:rPr>
        <w:t xml:space="preserve"> </w:t>
      </w:r>
      <w:r>
        <w:rPr>
          <w:rFonts w:ascii="Times New Roman" w:hAnsi="Times New Roman" w:eastAsia="Times New Roman" w:cs="Times New Roman"/>
          <w:highlight w:val="none"/>
        </w:rPr>
        <w:t>CA</w:t>
      </w:r>
      <w:r>
        <w:rPr>
          <w:rFonts w:ascii="Times New Roman" w:hAnsi="Times New Roman" w:eastAsia="Times New Roman" w:cs="Times New Roman"/>
          <w:spacing w:val="46"/>
          <w:highlight w:val="none"/>
        </w:rPr>
        <w:t xml:space="preserve"> </w:t>
      </w:r>
      <w:r>
        <w:rPr>
          <w:rFonts w:ascii="宋体" w:hAnsi="宋体" w:eastAsia="宋体" w:cs="宋体"/>
          <w:spacing w:val="1"/>
          <w:highlight w:val="none"/>
        </w:rPr>
        <w:t>数</w:t>
      </w:r>
      <w:r>
        <w:rPr>
          <w:rFonts w:ascii="宋体" w:hAnsi="宋体" w:eastAsia="宋体" w:cs="宋体"/>
          <w:highlight w:val="none"/>
        </w:rPr>
        <w:t xml:space="preserve"> </w:t>
      </w:r>
      <w:r>
        <w:rPr>
          <w:rFonts w:ascii="宋体" w:hAnsi="宋体" w:eastAsia="宋体" w:cs="宋体"/>
          <w:spacing w:val="-1"/>
          <w:highlight w:val="none"/>
        </w:rPr>
        <w:t>字证书加盖投标人的单位电子印章；要求“签字”的地方，投标人应使用</w:t>
      </w:r>
      <w:r>
        <w:rPr>
          <w:spacing w:val="-1"/>
          <w:highlight w:val="none"/>
        </w:rPr>
        <w:t>CA</w:t>
      </w:r>
      <w:r>
        <w:rPr>
          <w:spacing w:val="31"/>
          <w:w w:val="101"/>
          <w:highlight w:val="none"/>
        </w:rPr>
        <w:t xml:space="preserve"> </w:t>
      </w:r>
      <w:r>
        <w:rPr>
          <w:rFonts w:ascii="宋体" w:hAnsi="宋体" w:eastAsia="宋体" w:cs="宋体"/>
          <w:spacing w:val="-1"/>
          <w:highlight w:val="none"/>
        </w:rPr>
        <w:t>数字证</w:t>
      </w:r>
      <w:r>
        <w:rPr>
          <w:rFonts w:ascii="宋体" w:hAnsi="宋体" w:eastAsia="宋体" w:cs="宋体"/>
          <w:spacing w:val="-2"/>
          <w:highlight w:val="none"/>
        </w:rPr>
        <w:t>书加盖</w:t>
      </w:r>
      <w:r>
        <w:rPr>
          <w:rFonts w:ascii="宋体" w:hAnsi="宋体" w:eastAsia="宋体" w:cs="宋体"/>
          <w:highlight w:val="none"/>
        </w:rPr>
        <w:t xml:space="preserve"> </w:t>
      </w:r>
      <w:r>
        <w:rPr>
          <w:rFonts w:ascii="宋体" w:hAnsi="宋体" w:eastAsia="宋体" w:cs="宋体"/>
          <w:spacing w:val="-2"/>
          <w:highlight w:val="none"/>
        </w:rPr>
        <w:t>法定代表人的个人电子印章或电子签名章。联合体投标的，投标文件由联合体牵头人</w:t>
      </w:r>
      <w:r>
        <w:rPr>
          <w:rFonts w:ascii="宋体" w:hAnsi="宋体" w:eastAsia="宋体" w:cs="宋体"/>
          <w:spacing w:val="-3"/>
          <w:highlight w:val="none"/>
        </w:rPr>
        <w:t>按上述</w:t>
      </w:r>
      <w:r>
        <w:rPr>
          <w:rFonts w:ascii="宋体" w:hAnsi="宋体" w:eastAsia="宋体" w:cs="宋体"/>
          <w:highlight w:val="none"/>
        </w:rPr>
        <w:t xml:space="preserve"> </w:t>
      </w:r>
      <w:r>
        <w:rPr>
          <w:rFonts w:ascii="宋体" w:hAnsi="宋体" w:eastAsia="宋体" w:cs="宋体"/>
          <w:spacing w:val="-2"/>
          <w:highlight w:val="none"/>
        </w:rPr>
        <w:t>规定在要求“盖单位章”的地方加盖联合体牵头人单位电子印章；在要求“签字”的地方加</w:t>
      </w:r>
      <w:r>
        <w:rPr>
          <w:rFonts w:ascii="宋体" w:hAnsi="宋体" w:eastAsia="宋体" w:cs="宋体"/>
          <w:spacing w:val="5"/>
          <w:highlight w:val="none"/>
        </w:rPr>
        <w:t xml:space="preserve"> </w:t>
      </w:r>
      <w:r>
        <w:rPr>
          <w:rFonts w:ascii="宋体" w:hAnsi="宋体" w:eastAsia="宋体" w:cs="宋体"/>
          <w:spacing w:val="-1"/>
          <w:highlight w:val="none"/>
        </w:rPr>
        <w:t>盖联合体牵头人法定代表人的个人电子印章或电子签名章。招标文件有特别说明的除外。</w:t>
      </w:r>
    </w:p>
    <w:p w14:paraId="338DC3A3">
      <w:pPr>
        <w:pStyle w:val="2"/>
        <w:spacing w:before="130" w:line="295" w:lineRule="auto"/>
        <w:ind w:left="4" w:right="125" w:firstLine="539"/>
        <w:rPr>
          <w:rFonts w:ascii="宋体" w:hAnsi="宋体" w:eastAsia="宋体" w:cs="宋体"/>
          <w:sz w:val="20"/>
          <w:szCs w:val="20"/>
          <w:highlight w:val="none"/>
        </w:rPr>
      </w:pPr>
      <w:r>
        <w:rPr>
          <w:rFonts w:ascii="宋体" w:hAnsi="宋体" w:eastAsia="宋体" w:cs="宋体"/>
          <w:spacing w:val="12"/>
          <w:sz w:val="20"/>
          <w:szCs w:val="20"/>
          <w:highlight w:val="none"/>
        </w:rPr>
        <w:t>(5)投标文件制作完成后，将生成一份加密的电子投标文件(后缀名为.</w:t>
      </w:r>
      <w:r>
        <w:rPr>
          <w:sz w:val="20"/>
          <w:szCs w:val="20"/>
          <w:highlight w:val="none"/>
        </w:rPr>
        <w:t>HBSTF</w:t>
      </w:r>
      <w:r>
        <w:rPr>
          <w:spacing w:val="12"/>
          <w:sz w:val="20"/>
          <w:szCs w:val="20"/>
          <w:highlight w:val="none"/>
        </w:rPr>
        <w:t>)</w:t>
      </w:r>
      <w:r>
        <w:rPr>
          <w:spacing w:val="11"/>
          <w:sz w:val="20"/>
          <w:szCs w:val="20"/>
          <w:highlight w:val="none"/>
        </w:rPr>
        <w:t xml:space="preserve"> </w:t>
      </w:r>
      <w:r>
        <w:rPr>
          <w:rFonts w:ascii="宋体" w:hAnsi="宋体" w:eastAsia="宋体" w:cs="宋体"/>
          <w:spacing w:val="11"/>
          <w:sz w:val="20"/>
          <w:szCs w:val="20"/>
          <w:highlight w:val="none"/>
        </w:rPr>
        <w:t>和</w:t>
      </w:r>
      <w:r>
        <w:rPr>
          <w:rFonts w:ascii="宋体" w:hAnsi="宋体" w:eastAsia="宋体" w:cs="宋体"/>
          <w:spacing w:val="-39"/>
          <w:sz w:val="20"/>
          <w:szCs w:val="20"/>
          <w:highlight w:val="none"/>
        </w:rPr>
        <w:t xml:space="preserve"> </w:t>
      </w:r>
      <w:r>
        <w:rPr>
          <w:rFonts w:ascii="宋体" w:hAnsi="宋体" w:eastAsia="宋体" w:cs="宋体"/>
          <w:spacing w:val="11"/>
          <w:sz w:val="20"/>
          <w:szCs w:val="20"/>
          <w:highlight w:val="none"/>
        </w:rPr>
        <w:t>一</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份不加密的电子投标文件(后缀名为.</w:t>
      </w:r>
      <w:r>
        <w:rPr>
          <w:sz w:val="20"/>
          <w:szCs w:val="20"/>
          <w:highlight w:val="none"/>
        </w:rPr>
        <w:t>NHBSTF</w:t>
      </w:r>
      <w:r>
        <w:rPr>
          <w:spacing w:val="6"/>
          <w:sz w:val="20"/>
          <w:szCs w:val="20"/>
          <w:highlight w:val="none"/>
        </w:rPr>
        <w:t>)</w:t>
      </w:r>
      <w:r>
        <w:rPr>
          <w:rFonts w:ascii="宋体" w:hAnsi="宋体" w:eastAsia="宋体" w:cs="宋体"/>
          <w:spacing w:val="6"/>
          <w:sz w:val="20"/>
          <w:szCs w:val="20"/>
          <w:highlight w:val="none"/>
        </w:rPr>
        <w:t>。</w:t>
      </w:r>
    </w:p>
    <w:p w14:paraId="6089DC21">
      <w:pPr>
        <w:spacing w:before="172" w:line="219" w:lineRule="auto"/>
        <w:ind w:left="544"/>
        <w:rPr>
          <w:rFonts w:ascii="宋体" w:hAnsi="宋体" w:eastAsia="宋体" w:cs="宋体"/>
          <w:sz w:val="21"/>
          <w:szCs w:val="21"/>
          <w:highlight w:val="none"/>
        </w:rPr>
      </w:pPr>
      <w:r>
        <w:rPr>
          <w:rFonts w:ascii="宋体" w:hAnsi="宋体" w:eastAsia="宋体" w:cs="宋体"/>
          <w:spacing w:val="3"/>
          <w:sz w:val="21"/>
          <w:szCs w:val="21"/>
          <w:highlight w:val="none"/>
        </w:rPr>
        <w:t>(6)投标文件制作的具体方法详见“电子</w:t>
      </w:r>
      <w:r>
        <w:rPr>
          <w:rFonts w:ascii="宋体" w:hAnsi="宋体" w:eastAsia="宋体" w:cs="宋体"/>
          <w:spacing w:val="2"/>
          <w:sz w:val="21"/>
          <w:szCs w:val="21"/>
          <w:highlight w:val="none"/>
        </w:rPr>
        <w:t>投标文件制作软件”中的帮助文档。</w:t>
      </w:r>
    </w:p>
    <w:p w14:paraId="5DCDA515">
      <w:pPr>
        <w:pStyle w:val="2"/>
        <w:spacing w:line="249" w:lineRule="auto"/>
        <w:rPr>
          <w:highlight w:val="none"/>
        </w:rPr>
      </w:pPr>
    </w:p>
    <w:p w14:paraId="218D92CE">
      <w:pPr>
        <w:pStyle w:val="2"/>
        <w:spacing w:line="249" w:lineRule="auto"/>
        <w:rPr>
          <w:highlight w:val="none"/>
        </w:rPr>
      </w:pPr>
    </w:p>
    <w:p w14:paraId="6E2FF22D">
      <w:pPr>
        <w:pStyle w:val="2"/>
        <w:spacing w:line="249" w:lineRule="auto"/>
        <w:rPr>
          <w:highlight w:val="none"/>
        </w:rPr>
      </w:pPr>
    </w:p>
    <w:p w14:paraId="7FB78890">
      <w:pPr>
        <w:pStyle w:val="2"/>
        <w:spacing w:line="249" w:lineRule="auto"/>
        <w:rPr>
          <w:highlight w:val="none"/>
        </w:rPr>
      </w:pPr>
    </w:p>
    <w:p w14:paraId="27015CAE">
      <w:pPr>
        <w:pStyle w:val="2"/>
        <w:spacing w:line="250" w:lineRule="auto"/>
        <w:rPr>
          <w:highlight w:val="none"/>
        </w:rPr>
      </w:pPr>
    </w:p>
    <w:p w14:paraId="31783329">
      <w:pPr>
        <w:pStyle w:val="2"/>
        <w:spacing w:before="78" w:line="222" w:lineRule="auto"/>
        <w:ind w:left="4"/>
        <w:outlineLvl w:val="1"/>
        <w:rPr>
          <w:rFonts w:ascii="黑体" w:hAnsi="黑体" w:eastAsia="黑体" w:cs="黑体"/>
          <w:sz w:val="24"/>
          <w:szCs w:val="24"/>
          <w:highlight w:val="none"/>
        </w:rPr>
      </w:pPr>
      <w:bookmarkStart w:id="25" w:name="bookmark8"/>
      <w:bookmarkEnd w:id="25"/>
      <w:r>
        <w:rPr>
          <w:spacing w:val="-2"/>
          <w:sz w:val="24"/>
          <w:szCs w:val="24"/>
          <w:highlight w:val="none"/>
        </w:rPr>
        <w:t>4.</w:t>
      </w:r>
      <w:r>
        <w:rPr>
          <w:spacing w:val="56"/>
          <w:sz w:val="24"/>
          <w:szCs w:val="24"/>
          <w:highlight w:val="none"/>
        </w:rPr>
        <w:t xml:space="preserve"> </w:t>
      </w:r>
      <w:r>
        <w:rPr>
          <w:rFonts w:ascii="黑体" w:hAnsi="黑体" w:eastAsia="黑体" w:cs="黑体"/>
          <w:spacing w:val="-2"/>
          <w:sz w:val="24"/>
          <w:szCs w:val="24"/>
          <w:highlight w:val="none"/>
        </w:rPr>
        <w:t>投标</w:t>
      </w:r>
    </w:p>
    <w:p w14:paraId="6209AE72">
      <w:pPr>
        <w:pStyle w:val="2"/>
        <w:spacing w:before="188" w:line="221" w:lineRule="auto"/>
        <w:ind w:left="4"/>
        <w:rPr>
          <w:rFonts w:ascii="黑体" w:hAnsi="黑体" w:eastAsia="黑体" w:cs="黑体"/>
          <w:sz w:val="22"/>
          <w:szCs w:val="22"/>
          <w:highlight w:val="none"/>
        </w:rPr>
      </w:pPr>
      <w:r>
        <w:rPr>
          <w:spacing w:val="-7"/>
          <w:sz w:val="22"/>
          <w:szCs w:val="22"/>
          <w:highlight w:val="none"/>
        </w:rPr>
        <w:t>4.1</w:t>
      </w:r>
      <w:r>
        <w:rPr>
          <w:spacing w:val="62"/>
          <w:sz w:val="22"/>
          <w:szCs w:val="22"/>
          <w:highlight w:val="none"/>
        </w:rPr>
        <w:t xml:space="preserve"> </w:t>
      </w:r>
      <w:r>
        <w:rPr>
          <w:rFonts w:ascii="黑体" w:hAnsi="黑体" w:eastAsia="黑体" w:cs="黑体"/>
          <w:spacing w:val="-7"/>
          <w:sz w:val="22"/>
          <w:szCs w:val="22"/>
          <w:highlight w:val="none"/>
        </w:rPr>
        <w:t>投标文件的加密</w:t>
      </w:r>
    </w:p>
    <w:p w14:paraId="329A5D2D">
      <w:pPr>
        <w:spacing w:before="135" w:line="329" w:lineRule="auto"/>
        <w:ind w:left="8" w:right="128" w:firstLine="416"/>
        <w:rPr>
          <w:rFonts w:ascii="宋体" w:hAnsi="宋体" w:eastAsia="宋体" w:cs="宋体"/>
          <w:sz w:val="22"/>
          <w:szCs w:val="22"/>
          <w:highlight w:val="none"/>
        </w:rPr>
      </w:pPr>
      <w:r>
        <w:rPr>
          <w:rFonts w:ascii="宋体" w:hAnsi="宋体" w:eastAsia="宋体" w:cs="宋体"/>
          <w:spacing w:val="-9"/>
          <w:sz w:val="22"/>
          <w:szCs w:val="22"/>
          <w:highlight w:val="none"/>
        </w:rPr>
        <w:t>投标人应当按照本章第3.7.3项要求制作投标文件，并在投标</w:t>
      </w:r>
      <w:r>
        <w:rPr>
          <w:rFonts w:ascii="宋体" w:hAnsi="宋体" w:eastAsia="宋体" w:cs="宋体"/>
          <w:spacing w:val="-10"/>
          <w:sz w:val="22"/>
          <w:szCs w:val="22"/>
          <w:highlight w:val="none"/>
        </w:rPr>
        <w:t>时上传</w:t>
      </w:r>
      <w:r>
        <w:rPr>
          <w:rFonts w:ascii="宋体" w:hAnsi="宋体" w:eastAsia="宋体" w:cs="宋体"/>
          <w:b/>
          <w:bCs/>
          <w:spacing w:val="-10"/>
          <w:sz w:val="22"/>
          <w:szCs w:val="22"/>
          <w:highlight w:val="none"/>
        </w:rPr>
        <w:t>加密的电子投标文</w:t>
      </w:r>
      <w:r>
        <w:rPr>
          <w:rFonts w:ascii="宋体" w:hAnsi="宋体" w:eastAsia="宋体" w:cs="宋体"/>
          <w:sz w:val="22"/>
          <w:szCs w:val="22"/>
          <w:highlight w:val="none"/>
        </w:rPr>
        <w:t xml:space="preserve"> </w:t>
      </w:r>
      <w:r>
        <w:rPr>
          <w:rFonts w:ascii="宋体" w:hAnsi="宋体" w:eastAsia="宋体" w:cs="宋体"/>
          <w:b/>
          <w:bCs/>
          <w:spacing w:val="-13"/>
          <w:sz w:val="22"/>
          <w:szCs w:val="22"/>
          <w:highlight w:val="none"/>
        </w:rPr>
        <w:t>件</w:t>
      </w:r>
      <w:r>
        <w:rPr>
          <w:rFonts w:ascii="宋体" w:hAnsi="宋体" w:eastAsia="宋体" w:cs="宋体"/>
          <w:spacing w:val="-13"/>
          <w:sz w:val="22"/>
          <w:szCs w:val="22"/>
          <w:highlight w:val="none"/>
        </w:rPr>
        <w:t xml:space="preserve"> </w:t>
      </w:r>
      <w:r>
        <w:rPr>
          <w:rFonts w:ascii="宋体" w:hAnsi="宋体" w:eastAsia="宋体" w:cs="宋体"/>
          <w:b/>
          <w:bCs/>
          <w:spacing w:val="-13"/>
          <w:sz w:val="22"/>
          <w:szCs w:val="22"/>
          <w:highlight w:val="none"/>
        </w:rPr>
        <w:t>，</w:t>
      </w:r>
      <w:r>
        <w:rPr>
          <w:rFonts w:ascii="宋体" w:hAnsi="宋体" w:eastAsia="宋体" w:cs="宋体"/>
          <w:spacing w:val="-13"/>
          <w:sz w:val="22"/>
          <w:szCs w:val="22"/>
          <w:highlight w:val="none"/>
        </w:rPr>
        <w:t>未加密的电子投标文件，招标人(“电子交易平台”)将拒收并提示。</w:t>
      </w:r>
    </w:p>
    <w:p w14:paraId="35818983">
      <w:pPr>
        <w:spacing w:before="78" w:line="222" w:lineRule="auto"/>
        <w:ind w:left="4"/>
        <w:rPr>
          <w:rFonts w:ascii="黑体" w:hAnsi="黑体" w:eastAsia="黑体" w:cs="黑体"/>
          <w:sz w:val="22"/>
          <w:szCs w:val="22"/>
          <w:highlight w:val="none"/>
        </w:rPr>
      </w:pPr>
      <w:r>
        <w:rPr>
          <w:rFonts w:ascii="黑体" w:hAnsi="黑体" w:eastAsia="黑体" w:cs="黑体"/>
          <w:spacing w:val="2"/>
          <w:sz w:val="22"/>
          <w:szCs w:val="22"/>
          <w:highlight w:val="none"/>
        </w:rPr>
        <w:t>4.2投标文件的递交</w:t>
      </w:r>
    </w:p>
    <w:p w14:paraId="20A6B8C4">
      <w:pPr>
        <w:spacing w:before="145" w:line="219" w:lineRule="auto"/>
        <w:ind w:left="425"/>
        <w:rPr>
          <w:rFonts w:ascii="宋体" w:hAnsi="宋体" w:eastAsia="宋体" w:cs="宋体"/>
          <w:sz w:val="22"/>
          <w:szCs w:val="22"/>
          <w:highlight w:val="none"/>
        </w:rPr>
      </w:pPr>
      <w:r>
        <w:rPr>
          <w:rFonts w:ascii="宋体" w:hAnsi="宋体" w:eastAsia="宋体" w:cs="宋体"/>
          <w:spacing w:val="-3"/>
          <w:sz w:val="22"/>
          <w:szCs w:val="22"/>
          <w:highlight w:val="none"/>
        </w:rPr>
        <w:t>4.2.1投标人递交投标文件的截止时间(投标截止时</w:t>
      </w:r>
      <w:r>
        <w:rPr>
          <w:rFonts w:ascii="宋体" w:hAnsi="宋体" w:eastAsia="宋体" w:cs="宋体"/>
          <w:spacing w:val="-4"/>
          <w:sz w:val="22"/>
          <w:szCs w:val="22"/>
          <w:highlight w:val="none"/>
        </w:rPr>
        <w:t>间):见投标人须知前附表。</w:t>
      </w:r>
    </w:p>
    <w:p w14:paraId="6EF76828">
      <w:pPr>
        <w:pStyle w:val="2"/>
        <w:spacing w:before="159" w:line="306" w:lineRule="auto"/>
        <w:ind w:left="4" w:right="66" w:firstLine="420"/>
        <w:rPr>
          <w:rFonts w:ascii="宋体" w:hAnsi="宋体" w:eastAsia="宋体" w:cs="宋体"/>
          <w:sz w:val="22"/>
          <w:szCs w:val="22"/>
          <w:highlight w:val="none"/>
        </w:rPr>
      </w:pPr>
      <w:r>
        <w:rPr>
          <w:rFonts w:ascii="宋体" w:hAnsi="宋体" w:eastAsia="宋体" w:cs="宋体"/>
          <w:spacing w:val="-12"/>
          <w:sz w:val="22"/>
          <w:szCs w:val="22"/>
          <w:highlight w:val="none"/>
        </w:rPr>
        <w:t>4.2.2 投标人应当在投标截止时间前，通过互联网使用</w:t>
      </w:r>
      <w:r>
        <w:rPr>
          <w:rFonts w:ascii="宋体" w:hAnsi="宋体" w:eastAsia="宋体" w:cs="宋体"/>
          <w:spacing w:val="-35"/>
          <w:sz w:val="22"/>
          <w:szCs w:val="22"/>
          <w:highlight w:val="none"/>
        </w:rPr>
        <w:t xml:space="preserve"> </w:t>
      </w:r>
      <w:r>
        <w:rPr>
          <w:spacing w:val="-12"/>
          <w:sz w:val="22"/>
          <w:szCs w:val="22"/>
          <w:highlight w:val="none"/>
        </w:rPr>
        <w:t>CA</w:t>
      </w:r>
      <w:r>
        <w:rPr>
          <w:spacing w:val="29"/>
          <w:sz w:val="22"/>
          <w:szCs w:val="22"/>
          <w:highlight w:val="none"/>
        </w:rPr>
        <w:t xml:space="preserve"> </w:t>
      </w:r>
      <w:r>
        <w:rPr>
          <w:rFonts w:ascii="宋体" w:hAnsi="宋体" w:eastAsia="宋体" w:cs="宋体"/>
          <w:spacing w:val="-12"/>
          <w:sz w:val="22"/>
          <w:szCs w:val="22"/>
          <w:highlight w:val="none"/>
        </w:rPr>
        <w:t>数字证书登录“电子交易平</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台”,选择所投标段将</w:t>
      </w:r>
      <w:r>
        <w:rPr>
          <w:rFonts w:ascii="宋体" w:hAnsi="宋体" w:eastAsia="宋体" w:cs="宋体"/>
          <w:b/>
          <w:bCs/>
          <w:spacing w:val="-10"/>
          <w:sz w:val="22"/>
          <w:szCs w:val="22"/>
          <w:highlight w:val="none"/>
        </w:rPr>
        <w:t>加密的电子投标文件</w:t>
      </w:r>
      <w:r>
        <w:rPr>
          <w:rFonts w:ascii="宋体" w:hAnsi="宋体" w:eastAsia="宋体" w:cs="宋体"/>
          <w:spacing w:val="-10"/>
          <w:sz w:val="22"/>
          <w:szCs w:val="22"/>
          <w:highlight w:val="none"/>
        </w:rPr>
        <w:t>上</w:t>
      </w:r>
      <w:r>
        <w:rPr>
          <w:rFonts w:ascii="宋体" w:hAnsi="宋体" w:eastAsia="宋体" w:cs="宋体"/>
          <w:spacing w:val="-11"/>
          <w:sz w:val="22"/>
          <w:szCs w:val="22"/>
          <w:highlight w:val="none"/>
        </w:rPr>
        <w:t>传。投标人完成投标文件上传后，“电子交易</w:t>
      </w:r>
      <w:r>
        <w:rPr>
          <w:rFonts w:ascii="宋体" w:hAnsi="宋体" w:eastAsia="宋体" w:cs="宋体"/>
          <w:sz w:val="22"/>
          <w:szCs w:val="22"/>
          <w:highlight w:val="none"/>
        </w:rPr>
        <w:t xml:space="preserve"> </w:t>
      </w:r>
      <w:r>
        <w:rPr>
          <w:rFonts w:ascii="宋体" w:hAnsi="宋体" w:eastAsia="宋体" w:cs="宋体"/>
          <w:spacing w:val="-16"/>
          <w:sz w:val="22"/>
          <w:szCs w:val="22"/>
          <w:highlight w:val="none"/>
        </w:rPr>
        <w:t>平台”即时向投标人发出电子签收凭证，递交时间以电子签收凭证载明的传输完成时间为准。</w:t>
      </w:r>
      <w:r>
        <w:rPr>
          <w:rFonts w:ascii="宋体" w:hAnsi="宋体" w:eastAsia="宋体" w:cs="宋体"/>
          <w:spacing w:val="15"/>
          <w:sz w:val="22"/>
          <w:szCs w:val="22"/>
          <w:highlight w:val="none"/>
        </w:rPr>
        <w:t xml:space="preserve"> </w:t>
      </w:r>
      <w:r>
        <w:rPr>
          <w:rFonts w:ascii="宋体" w:hAnsi="宋体" w:eastAsia="宋体" w:cs="宋体"/>
          <w:spacing w:val="-10"/>
          <w:sz w:val="22"/>
          <w:szCs w:val="22"/>
          <w:highlight w:val="none"/>
        </w:rPr>
        <w:t>投标人应充分考虑上传文件时的不可预见因</w:t>
      </w:r>
      <w:r>
        <w:rPr>
          <w:rFonts w:ascii="宋体" w:hAnsi="宋体" w:eastAsia="宋体" w:cs="宋体"/>
          <w:spacing w:val="-11"/>
          <w:sz w:val="22"/>
          <w:szCs w:val="22"/>
          <w:highlight w:val="none"/>
        </w:rPr>
        <w:t>素，投标文件未在投标截止时间前完成上传的，</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视为逾期送达，招标人(“电子交易平台”)将拒收。</w:t>
      </w:r>
    </w:p>
    <w:p w14:paraId="5D5A1D1A">
      <w:pPr>
        <w:spacing w:before="167" w:line="219" w:lineRule="auto"/>
        <w:ind w:left="425"/>
        <w:rPr>
          <w:rFonts w:ascii="宋体" w:hAnsi="宋体" w:eastAsia="宋体" w:cs="宋体"/>
          <w:sz w:val="21"/>
          <w:szCs w:val="21"/>
          <w:highlight w:val="none"/>
        </w:rPr>
      </w:pPr>
      <w:r>
        <w:rPr>
          <w:rFonts w:ascii="Times New Roman" w:hAnsi="Times New Roman" w:eastAsia="Times New Roman" w:cs="Times New Roman"/>
          <w:sz w:val="21"/>
          <w:szCs w:val="21"/>
          <w:highlight w:val="none"/>
        </w:rPr>
        <w:t>4.2.3</w:t>
      </w:r>
      <w:r>
        <w:rPr>
          <w:rFonts w:ascii="Times New Roman" w:hAnsi="Times New Roman" w:eastAsia="Times New Roman" w:cs="Times New Roman"/>
          <w:spacing w:val="51"/>
          <w:sz w:val="21"/>
          <w:szCs w:val="21"/>
          <w:highlight w:val="none"/>
        </w:rPr>
        <w:t xml:space="preserve"> </w:t>
      </w:r>
      <w:r>
        <w:rPr>
          <w:rFonts w:ascii="宋体" w:hAnsi="宋体" w:eastAsia="宋体" w:cs="宋体"/>
          <w:sz w:val="21"/>
          <w:szCs w:val="21"/>
          <w:highlight w:val="none"/>
        </w:rPr>
        <w:t>除投标人须知前附表另有规定外，投标人所递交的投标文件不予退还。</w:t>
      </w:r>
    </w:p>
    <w:p w14:paraId="3780C956">
      <w:pPr>
        <w:pStyle w:val="2"/>
        <w:spacing w:before="192" w:line="300" w:lineRule="exact"/>
        <w:ind w:left="4"/>
        <w:rPr>
          <w:rFonts w:ascii="黑体" w:hAnsi="黑体" w:eastAsia="黑体" w:cs="黑体"/>
          <w:sz w:val="22"/>
          <w:szCs w:val="22"/>
          <w:highlight w:val="none"/>
        </w:rPr>
      </w:pPr>
      <w:r>
        <w:rPr>
          <w:spacing w:val="-7"/>
          <w:position w:val="1"/>
          <w:sz w:val="22"/>
          <w:szCs w:val="22"/>
          <w:highlight w:val="none"/>
        </w:rPr>
        <w:t>4.3</w:t>
      </w:r>
      <w:r>
        <w:rPr>
          <w:spacing w:val="66"/>
          <w:position w:val="1"/>
          <w:sz w:val="22"/>
          <w:szCs w:val="22"/>
          <w:highlight w:val="none"/>
        </w:rPr>
        <w:t xml:space="preserve"> </w:t>
      </w:r>
      <w:r>
        <w:rPr>
          <w:rFonts w:ascii="黑体" w:hAnsi="黑体" w:eastAsia="黑体" w:cs="黑体"/>
          <w:spacing w:val="-7"/>
          <w:position w:val="1"/>
          <w:sz w:val="22"/>
          <w:szCs w:val="22"/>
          <w:highlight w:val="none"/>
        </w:rPr>
        <w:t>投标文件的修改与撤回</w:t>
      </w:r>
    </w:p>
    <w:p w14:paraId="1FC69FB1">
      <w:pPr>
        <w:spacing w:before="130" w:line="290" w:lineRule="auto"/>
        <w:ind w:left="4" w:right="128" w:firstLine="42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4.3.1</w:t>
      </w:r>
      <w:r>
        <w:rPr>
          <w:rFonts w:ascii="Times New Roman" w:hAnsi="Times New Roman" w:eastAsia="Times New Roman" w:cs="Times New Roman"/>
          <w:spacing w:val="51"/>
          <w:w w:val="101"/>
          <w:sz w:val="21"/>
          <w:szCs w:val="21"/>
          <w:highlight w:val="none"/>
        </w:rPr>
        <w:t xml:space="preserve"> </w:t>
      </w:r>
      <w:r>
        <w:rPr>
          <w:rFonts w:ascii="宋体" w:hAnsi="宋体" w:eastAsia="宋体" w:cs="宋体"/>
          <w:spacing w:val="1"/>
          <w:sz w:val="21"/>
          <w:szCs w:val="21"/>
          <w:highlight w:val="none"/>
        </w:rPr>
        <w:t>在本章第4.2.1 项规定的投标截止</w:t>
      </w:r>
      <w:r>
        <w:rPr>
          <w:rFonts w:ascii="宋体" w:hAnsi="宋体" w:eastAsia="宋体" w:cs="宋体"/>
          <w:sz w:val="21"/>
          <w:szCs w:val="21"/>
          <w:highlight w:val="none"/>
        </w:rPr>
        <w:t xml:space="preserve">时间前，投标人可以修改或撤回已递交的投标 </w:t>
      </w:r>
      <w:r>
        <w:rPr>
          <w:rFonts w:ascii="宋体" w:hAnsi="宋体" w:eastAsia="宋体" w:cs="宋体"/>
          <w:spacing w:val="-9"/>
          <w:sz w:val="21"/>
          <w:szCs w:val="21"/>
          <w:highlight w:val="none"/>
        </w:rPr>
        <w:t>文件。</w:t>
      </w:r>
    </w:p>
    <w:p w14:paraId="1B24B05E">
      <w:pPr>
        <w:spacing w:before="141" w:line="219" w:lineRule="auto"/>
        <w:ind w:left="425"/>
        <w:rPr>
          <w:rFonts w:ascii="宋体" w:hAnsi="宋体" w:eastAsia="宋体" w:cs="宋体"/>
          <w:sz w:val="22"/>
          <w:szCs w:val="22"/>
          <w:highlight w:val="none"/>
        </w:rPr>
      </w:pPr>
      <w:r>
        <w:rPr>
          <w:rFonts w:ascii="宋体" w:hAnsi="宋体" w:eastAsia="宋体" w:cs="宋体"/>
          <w:spacing w:val="-9"/>
          <w:sz w:val="22"/>
          <w:szCs w:val="22"/>
          <w:highlight w:val="none"/>
        </w:rPr>
        <w:t>4.3.2投标人撤回投标文件的，在“电</w:t>
      </w:r>
      <w:r>
        <w:rPr>
          <w:rFonts w:ascii="宋体" w:hAnsi="宋体" w:eastAsia="宋体" w:cs="宋体"/>
          <w:spacing w:val="-10"/>
          <w:sz w:val="22"/>
          <w:szCs w:val="22"/>
          <w:highlight w:val="none"/>
        </w:rPr>
        <w:t>子交易平台”直接进行撤回操作。</w:t>
      </w:r>
    </w:p>
    <w:p w14:paraId="7E32DA70">
      <w:pPr>
        <w:spacing w:before="148" w:line="308" w:lineRule="auto"/>
        <w:ind w:right="111" w:firstLine="425"/>
        <w:rPr>
          <w:rFonts w:ascii="宋体" w:hAnsi="宋体" w:eastAsia="宋体" w:cs="宋体"/>
          <w:sz w:val="21"/>
          <w:szCs w:val="21"/>
          <w:highlight w:val="none"/>
        </w:rPr>
      </w:pPr>
      <w:r>
        <w:rPr>
          <w:rFonts w:ascii="宋体" w:hAnsi="宋体" w:eastAsia="宋体" w:cs="宋体"/>
          <w:spacing w:val="1"/>
          <w:sz w:val="21"/>
          <w:szCs w:val="21"/>
          <w:highlight w:val="none"/>
        </w:rPr>
        <w:t>4.3.3投标人修改投标文件的，应当先按本章第4.3.2 项的规定撤回投标文件</w:t>
      </w:r>
      <w:r>
        <w:rPr>
          <w:rFonts w:ascii="宋体" w:hAnsi="宋体" w:eastAsia="宋体" w:cs="宋体"/>
          <w:sz w:val="21"/>
          <w:szCs w:val="21"/>
          <w:highlight w:val="none"/>
        </w:rPr>
        <w:t xml:space="preserve">，再使用 </w:t>
      </w:r>
      <w:r>
        <w:rPr>
          <w:rFonts w:ascii="宋体" w:hAnsi="宋体" w:eastAsia="宋体" w:cs="宋体"/>
          <w:spacing w:val="4"/>
          <w:sz w:val="21"/>
          <w:szCs w:val="21"/>
          <w:highlight w:val="none"/>
        </w:rPr>
        <w:t>“电子投标文件制作软件”制作成完整的投</w:t>
      </w:r>
      <w:r>
        <w:rPr>
          <w:rFonts w:ascii="宋体" w:hAnsi="宋体" w:eastAsia="宋体" w:cs="宋体"/>
          <w:spacing w:val="3"/>
          <w:sz w:val="21"/>
          <w:szCs w:val="21"/>
          <w:highlight w:val="none"/>
        </w:rPr>
        <w:t>标文件，并按照本章第3条、第4条规定进行编</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制和递交。</w:t>
      </w:r>
    </w:p>
    <w:p w14:paraId="2E0DBBD5">
      <w:pPr>
        <w:pStyle w:val="2"/>
        <w:spacing w:before="70" w:line="327" w:lineRule="exact"/>
        <w:ind w:left="4"/>
        <w:outlineLvl w:val="1"/>
        <w:rPr>
          <w:rFonts w:ascii="黑体" w:hAnsi="黑体" w:eastAsia="黑体" w:cs="黑体"/>
          <w:sz w:val="24"/>
          <w:szCs w:val="24"/>
          <w:highlight w:val="none"/>
        </w:rPr>
      </w:pPr>
      <w:bookmarkStart w:id="26" w:name="bookmark9"/>
      <w:bookmarkEnd w:id="26"/>
      <w:r>
        <w:rPr>
          <w:spacing w:val="-1"/>
          <w:position w:val="1"/>
          <w:sz w:val="24"/>
          <w:szCs w:val="24"/>
          <w:highlight w:val="none"/>
        </w:rPr>
        <w:t>5.</w:t>
      </w:r>
      <w:r>
        <w:rPr>
          <w:spacing w:val="53"/>
          <w:w w:val="101"/>
          <w:position w:val="1"/>
          <w:sz w:val="24"/>
          <w:szCs w:val="24"/>
          <w:highlight w:val="none"/>
        </w:rPr>
        <w:t xml:space="preserve"> </w:t>
      </w:r>
      <w:r>
        <w:rPr>
          <w:rFonts w:ascii="黑体" w:hAnsi="黑体" w:eastAsia="黑体" w:cs="黑体"/>
          <w:spacing w:val="-1"/>
          <w:position w:val="1"/>
          <w:sz w:val="24"/>
          <w:szCs w:val="24"/>
          <w:highlight w:val="none"/>
        </w:rPr>
        <w:t>开标</w:t>
      </w:r>
    </w:p>
    <w:p w14:paraId="6FC57668">
      <w:pPr>
        <w:pStyle w:val="2"/>
        <w:spacing w:before="174" w:line="300" w:lineRule="exact"/>
        <w:ind w:left="4"/>
        <w:rPr>
          <w:rFonts w:ascii="黑体" w:hAnsi="黑体" w:eastAsia="黑体" w:cs="黑体"/>
          <w:sz w:val="22"/>
          <w:szCs w:val="22"/>
          <w:highlight w:val="none"/>
        </w:rPr>
      </w:pPr>
      <w:r>
        <w:rPr>
          <w:spacing w:val="-7"/>
          <w:position w:val="1"/>
          <w:sz w:val="22"/>
          <w:szCs w:val="22"/>
          <w:highlight w:val="none"/>
        </w:rPr>
        <w:t>5.1</w:t>
      </w:r>
      <w:r>
        <w:rPr>
          <w:spacing w:val="61"/>
          <w:position w:val="1"/>
          <w:sz w:val="22"/>
          <w:szCs w:val="22"/>
          <w:highlight w:val="none"/>
        </w:rPr>
        <w:t xml:space="preserve"> </w:t>
      </w:r>
      <w:r>
        <w:rPr>
          <w:rFonts w:ascii="黑体" w:hAnsi="黑体" w:eastAsia="黑体" w:cs="黑体"/>
          <w:spacing w:val="-7"/>
          <w:position w:val="1"/>
          <w:sz w:val="22"/>
          <w:szCs w:val="22"/>
          <w:highlight w:val="none"/>
        </w:rPr>
        <w:t>开标时间和地点</w:t>
      </w:r>
    </w:p>
    <w:p w14:paraId="462B6609">
      <w:pPr>
        <w:spacing w:before="137" w:line="353" w:lineRule="auto"/>
        <w:ind w:left="4" w:firstLine="420"/>
        <w:rPr>
          <w:rFonts w:ascii="宋体" w:hAnsi="宋体" w:eastAsia="宋体" w:cs="宋体"/>
          <w:sz w:val="21"/>
          <w:szCs w:val="21"/>
          <w:highlight w:val="none"/>
        </w:rPr>
      </w:pPr>
      <w:r>
        <w:rPr>
          <w:rFonts w:ascii="宋体" w:hAnsi="宋体" w:eastAsia="宋体" w:cs="宋体"/>
          <w:spacing w:val="9"/>
          <w:sz w:val="21"/>
          <w:szCs w:val="21"/>
          <w:highlight w:val="none"/>
        </w:rPr>
        <w:t>5.1.1招标人在本章第4.2.1</w:t>
      </w:r>
      <w:r>
        <w:rPr>
          <w:rFonts w:ascii="宋体" w:hAnsi="宋体" w:eastAsia="宋体" w:cs="宋体"/>
          <w:spacing w:val="-18"/>
          <w:sz w:val="21"/>
          <w:szCs w:val="21"/>
          <w:highlight w:val="none"/>
        </w:rPr>
        <w:t xml:space="preserve"> </w:t>
      </w:r>
      <w:r>
        <w:rPr>
          <w:rFonts w:ascii="宋体" w:hAnsi="宋体" w:eastAsia="宋体" w:cs="宋体"/>
          <w:spacing w:val="9"/>
          <w:sz w:val="21"/>
          <w:szCs w:val="21"/>
          <w:highlight w:val="none"/>
        </w:rPr>
        <w:t>项规定的投标截止时间(开标时间)在“电子交易平台”</w:t>
      </w:r>
      <w:r>
        <w:rPr>
          <w:rFonts w:ascii="宋体" w:hAnsi="宋体" w:eastAsia="宋体" w:cs="宋体"/>
          <w:sz w:val="21"/>
          <w:szCs w:val="21"/>
          <w:highlight w:val="none"/>
        </w:rPr>
        <w:t xml:space="preserve"> 上公开进行开标，所有投标人均</w:t>
      </w:r>
      <w:r>
        <w:rPr>
          <w:rFonts w:ascii="宋体" w:hAnsi="宋体" w:eastAsia="宋体" w:cs="宋体"/>
          <w:b/>
          <w:bCs/>
          <w:sz w:val="21"/>
          <w:szCs w:val="21"/>
          <w:highlight w:val="none"/>
        </w:rPr>
        <w:t>应当准时在线参</w:t>
      </w:r>
      <w:r>
        <w:rPr>
          <w:rFonts w:ascii="宋体" w:hAnsi="宋体" w:eastAsia="宋体" w:cs="宋体"/>
          <w:b/>
          <w:bCs/>
          <w:spacing w:val="-1"/>
          <w:sz w:val="21"/>
          <w:szCs w:val="21"/>
          <w:highlight w:val="none"/>
        </w:rPr>
        <w:t>加开标。</w:t>
      </w:r>
    </w:p>
    <w:p w14:paraId="4DC8B9F8">
      <w:pPr>
        <w:spacing w:line="353" w:lineRule="auto"/>
        <w:rPr>
          <w:rFonts w:ascii="宋体" w:hAnsi="宋体" w:eastAsia="宋体" w:cs="宋体"/>
          <w:sz w:val="21"/>
          <w:szCs w:val="21"/>
          <w:highlight w:val="none"/>
        </w:rPr>
        <w:sectPr>
          <w:footerReference r:id="rId33" w:type="default"/>
          <w:pgSz w:w="11910" w:h="16840"/>
          <w:pgMar w:top="400" w:right="1693" w:bottom="1184" w:left="1764" w:header="0" w:footer="1024" w:gutter="0"/>
          <w:cols w:space="720" w:num="1"/>
        </w:sectPr>
      </w:pPr>
    </w:p>
    <w:p w14:paraId="42690027">
      <w:pPr>
        <w:pStyle w:val="2"/>
        <w:spacing w:line="269" w:lineRule="auto"/>
        <w:rPr>
          <w:highlight w:val="none"/>
        </w:rPr>
      </w:pPr>
    </w:p>
    <w:p w14:paraId="2D8155D0">
      <w:pPr>
        <w:pStyle w:val="2"/>
        <w:spacing w:line="270" w:lineRule="auto"/>
        <w:rPr>
          <w:highlight w:val="none"/>
        </w:rPr>
      </w:pPr>
    </w:p>
    <w:p w14:paraId="4FB24DEE">
      <w:pPr>
        <w:pStyle w:val="2"/>
        <w:spacing w:line="270" w:lineRule="auto"/>
        <w:rPr>
          <w:highlight w:val="none"/>
        </w:rPr>
      </w:pPr>
    </w:p>
    <w:p w14:paraId="021D50BE">
      <w:pPr>
        <w:pStyle w:val="2"/>
        <w:spacing w:line="270" w:lineRule="auto"/>
        <w:rPr>
          <w:highlight w:val="none"/>
        </w:rPr>
      </w:pPr>
    </w:p>
    <w:p w14:paraId="64A6B469">
      <w:pPr>
        <w:pStyle w:val="2"/>
        <w:spacing w:before="72" w:line="292" w:lineRule="auto"/>
        <w:ind w:right="84" w:firstLine="42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5.1.2</w:t>
      </w:r>
      <w:r>
        <w:rPr>
          <w:rFonts w:ascii="Times New Roman" w:hAnsi="Times New Roman" w:eastAsia="Times New Roman" w:cs="Times New Roman"/>
          <w:spacing w:val="45"/>
          <w:w w:val="101"/>
          <w:sz w:val="22"/>
          <w:szCs w:val="22"/>
          <w:highlight w:val="none"/>
        </w:rPr>
        <w:t xml:space="preserve"> </w:t>
      </w:r>
      <w:r>
        <w:rPr>
          <w:rFonts w:ascii="宋体" w:hAnsi="宋体" w:eastAsia="宋体" w:cs="宋体"/>
          <w:spacing w:val="-8"/>
          <w:sz w:val="22"/>
          <w:szCs w:val="22"/>
          <w:highlight w:val="none"/>
        </w:rPr>
        <w:t>招标人通过互联网在投标人须知前附表规定的地点组织</w:t>
      </w:r>
      <w:r>
        <w:rPr>
          <w:rFonts w:ascii="宋体" w:hAnsi="宋体" w:eastAsia="宋体" w:cs="宋体"/>
          <w:spacing w:val="-9"/>
          <w:sz w:val="22"/>
          <w:szCs w:val="22"/>
          <w:highlight w:val="none"/>
        </w:rPr>
        <w:t>开标，并在投标截止时间</w:t>
      </w:r>
      <w:r>
        <w:rPr>
          <w:rFonts w:ascii="宋体" w:hAnsi="宋体" w:eastAsia="宋体" w:cs="宋体"/>
          <w:sz w:val="22"/>
          <w:szCs w:val="22"/>
          <w:highlight w:val="none"/>
        </w:rPr>
        <w:t xml:space="preserve"> </w:t>
      </w:r>
      <w:r>
        <w:rPr>
          <w:rFonts w:ascii="宋体" w:hAnsi="宋体" w:eastAsia="宋体" w:cs="宋体"/>
          <w:spacing w:val="-8"/>
          <w:sz w:val="22"/>
          <w:szCs w:val="22"/>
          <w:highlight w:val="none"/>
        </w:rPr>
        <w:t>30分钟前，使用</w:t>
      </w:r>
      <w:r>
        <w:rPr>
          <w:spacing w:val="-8"/>
          <w:sz w:val="22"/>
          <w:szCs w:val="22"/>
          <w:highlight w:val="none"/>
        </w:rPr>
        <w:t xml:space="preserve">CA </w:t>
      </w:r>
      <w:r>
        <w:rPr>
          <w:rFonts w:ascii="宋体" w:hAnsi="宋体" w:eastAsia="宋体" w:cs="宋体"/>
          <w:spacing w:val="-8"/>
          <w:sz w:val="22"/>
          <w:szCs w:val="22"/>
          <w:highlight w:val="none"/>
        </w:rPr>
        <w:t>数字证书登录“电子交易平台”,进入“开标大厅”选择相应标段作在</w:t>
      </w:r>
      <w:r>
        <w:rPr>
          <w:rFonts w:ascii="宋体" w:hAnsi="宋体" w:eastAsia="宋体" w:cs="宋体"/>
          <w:spacing w:val="9"/>
          <w:sz w:val="22"/>
          <w:szCs w:val="22"/>
          <w:highlight w:val="none"/>
        </w:rPr>
        <w:t xml:space="preserve"> </w:t>
      </w:r>
      <w:r>
        <w:rPr>
          <w:rFonts w:ascii="宋体" w:hAnsi="宋体" w:eastAsia="宋体" w:cs="宋体"/>
          <w:spacing w:val="-12"/>
          <w:sz w:val="22"/>
          <w:szCs w:val="22"/>
          <w:highlight w:val="none"/>
        </w:rPr>
        <w:t>线开标的准备工作。</w:t>
      </w:r>
    </w:p>
    <w:p w14:paraId="554A227C">
      <w:pPr>
        <w:spacing w:before="151" w:line="303" w:lineRule="auto"/>
        <w:ind w:right="70" w:firstLine="42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5.1.3  </w:t>
      </w:r>
      <w:r>
        <w:rPr>
          <w:rFonts w:ascii="宋体" w:hAnsi="宋体" w:eastAsia="宋体" w:cs="宋体"/>
          <w:spacing w:val="1"/>
          <w:sz w:val="21"/>
          <w:szCs w:val="21"/>
          <w:highlight w:val="none"/>
        </w:rPr>
        <w:t>投标人应当在能够保证设施设备可靠、互联网畅通的</w:t>
      </w:r>
      <w:r>
        <w:rPr>
          <w:rFonts w:ascii="宋体" w:hAnsi="宋体" w:eastAsia="宋体" w:cs="宋体"/>
          <w:b/>
          <w:bCs/>
          <w:spacing w:val="1"/>
          <w:sz w:val="21"/>
          <w:szCs w:val="21"/>
          <w:highlight w:val="none"/>
        </w:rPr>
        <w:t>任意地点，</w:t>
      </w:r>
      <w:r>
        <w:rPr>
          <w:rFonts w:ascii="宋体" w:hAnsi="宋体" w:eastAsia="宋体" w:cs="宋体"/>
          <w:spacing w:val="1"/>
          <w:sz w:val="21"/>
          <w:szCs w:val="21"/>
          <w:highlight w:val="none"/>
        </w:rPr>
        <w:t>通过</w:t>
      </w:r>
      <w:r>
        <w:rPr>
          <w:rFonts w:ascii="宋体" w:hAnsi="宋体" w:eastAsia="宋体" w:cs="宋体"/>
          <w:sz w:val="21"/>
          <w:szCs w:val="21"/>
          <w:highlight w:val="none"/>
        </w:rPr>
        <w:t xml:space="preserve">互联网在线 </w:t>
      </w:r>
      <w:r>
        <w:rPr>
          <w:rFonts w:ascii="宋体" w:hAnsi="宋体" w:eastAsia="宋体" w:cs="宋体"/>
          <w:spacing w:val="-3"/>
          <w:sz w:val="21"/>
          <w:szCs w:val="21"/>
          <w:highlight w:val="none"/>
        </w:rPr>
        <w:t>参加开标。在投标截止时间前，</w:t>
      </w:r>
      <w:r>
        <w:rPr>
          <w:rFonts w:ascii="宋体" w:hAnsi="宋体" w:eastAsia="宋体" w:cs="宋体"/>
          <w:b/>
          <w:bCs/>
          <w:spacing w:val="-3"/>
          <w:sz w:val="21"/>
          <w:szCs w:val="21"/>
          <w:highlight w:val="none"/>
        </w:rPr>
        <w:t>使用加密其投标文件的</w:t>
      </w:r>
      <w:r>
        <w:rPr>
          <w:rFonts w:ascii="宋体" w:hAnsi="宋体" w:eastAsia="宋体" w:cs="宋体"/>
          <w:spacing w:val="-59"/>
          <w:sz w:val="21"/>
          <w:szCs w:val="21"/>
          <w:highlight w:val="none"/>
        </w:rPr>
        <w:t xml:space="preserve"> </w:t>
      </w:r>
      <w:r>
        <w:rPr>
          <w:rFonts w:ascii="Times New Roman" w:hAnsi="Times New Roman" w:eastAsia="Times New Roman" w:cs="Times New Roman"/>
          <w:b/>
          <w:bCs/>
          <w:spacing w:val="-3"/>
          <w:sz w:val="21"/>
          <w:szCs w:val="21"/>
          <w:highlight w:val="none"/>
        </w:rPr>
        <w:t>CA</w:t>
      </w:r>
      <w:r>
        <w:rPr>
          <w:rFonts w:ascii="宋体" w:hAnsi="宋体" w:eastAsia="宋体" w:cs="宋体"/>
          <w:b/>
          <w:bCs/>
          <w:spacing w:val="-3"/>
          <w:sz w:val="21"/>
          <w:szCs w:val="21"/>
          <w:highlight w:val="none"/>
        </w:rPr>
        <w:t>数字证书</w:t>
      </w:r>
      <w:r>
        <w:rPr>
          <w:rFonts w:ascii="宋体" w:hAnsi="宋体" w:eastAsia="宋体" w:cs="宋体"/>
          <w:spacing w:val="-3"/>
          <w:sz w:val="21"/>
          <w:szCs w:val="21"/>
          <w:highlight w:val="none"/>
        </w:rPr>
        <w:t>登录“电子交易平台”,</w:t>
      </w:r>
      <w:r>
        <w:rPr>
          <w:rFonts w:ascii="宋体" w:hAnsi="宋体" w:eastAsia="宋体" w:cs="宋体"/>
          <w:sz w:val="21"/>
          <w:szCs w:val="21"/>
          <w:highlight w:val="none"/>
        </w:rPr>
        <w:t xml:space="preserve"> 进入“开标大厅”选择所投标段进行签到，并实时在线关注招标人</w:t>
      </w:r>
      <w:r>
        <w:rPr>
          <w:rFonts w:ascii="宋体" w:hAnsi="宋体" w:eastAsia="宋体" w:cs="宋体"/>
          <w:spacing w:val="-1"/>
          <w:sz w:val="21"/>
          <w:szCs w:val="21"/>
          <w:highlight w:val="none"/>
        </w:rPr>
        <w:t>的操作情况。</w:t>
      </w:r>
    </w:p>
    <w:p w14:paraId="1E4F7024">
      <w:pPr>
        <w:spacing w:before="229" w:line="222" w:lineRule="auto"/>
        <w:rPr>
          <w:rFonts w:ascii="黑体" w:hAnsi="黑体" w:eastAsia="黑体" w:cs="黑体"/>
          <w:sz w:val="22"/>
          <w:szCs w:val="22"/>
          <w:highlight w:val="none"/>
        </w:rPr>
      </w:pPr>
      <w:r>
        <w:rPr>
          <w:rFonts w:ascii="黑体" w:hAnsi="黑体" w:eastAsia="黑体" w:cs="黑体"/>
          <w:spacing w:val="7"/>
          <w:sz w:val="22"/>
          <w:szCs w:val="22"/>
          <w:highlight w:val="none"/>
        </w:rPr>
        <w:t>5.2开标程序</w:t>
      </w:r>
    </w:p>
    <w:p w14:paraId="7D6FB2EB">
      <w:pPr>
        <w:spacing w:before="157" w:line="219" w:lineRule="auto"/>
        <w:ind w:left="42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5.2.1</w:t>
      </w:r>
      <w:r>
        <w:rPr>
          <w:rFonts w:ascii="Times New Roman" w:hAnsi="Times New Roman" w:eastAsia="Times New Roman" w:cs="Times New Roman"/>
          <w:spacing w:val="38"/>
          <w:sz w:val="22"/>
          <w:szCs w:val="22"/>
          <w:highlight w:val="none"/>
        </w:rPr>
        <w:t xml:space="preserve"> </w:t>
      </w:r>
      <w:r>
        <w:rPr>
          <w:rFonts w:ascii="宋体" w:hAnsi="宋体" w:eastAsia="宋体" w:cs="宋体"/>
          <w:spacing w:val="-9"/>
          <w:sz w:val="22"/>
          <w:szCs w:val="22"/>
          <w:highlight w:val="none"/>
        </w:rPr>
        <w:t>主持人按下列程序在“电子交易平台”的“开标大厅”进行在线开标：</w:t>
      </w:r>
    </w:p>
    <w:p w14:paraId="6AA5CE03">
      <w:pPr>
        <w:spacing w:before="146" w:line="219" w:lineRule="auto"/>
        <w:ind w:left="539"/>
        <w:rPr>
          <w:rFonts w:ascii="宋体" w:hAnsi="宋体" w:eastAsia="宋体" w:cs="宋体"/>
          <w:sz w:val="20"/>
          <w:szCs w:val="20"/>
          <w:highlight w:val="none"/>
        </w:rPr>
      </w:pPr>
      <w:r>
        <w:rPr>
          <w:rFonts w:ascii="宋体" w:hAnsi="宋体" w:eastAsia="宋体" w:cs="宋体"/>
          <w:spacing w:val="12"/>
          <w:sz w:val="20"/>
          <w:szCs w:val="20"/>
          <w:highlight w:val="none"/>
        </w:rPr>
        <w:t>(1)宣布开标纪律；</w:t>
      </w:r>
    </w:p>
    <w:p w14:paraId="68A0CC5F">
      <w:pPr>
        <w:spacing w:before="134" w:line="219"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(2)公布主持人、招标人代表、监标人等有关人员姓名；</w:t>
      </w:r>
    </w:p>
    <w:p w14:paraId="10636E22">
      <w:pPr>
        <w:spacing w:before="168" w:line="219" w:lineRule="auto"/>
        <w:ind w:left="539"/>
        <w:rPr>
          <w:rFonts w:ascii="宋体" w:hAnsi="宋体" w:eastAsia="宋体" w:cs="宋体"/>
          <w:sz w:val="20"/>
          <w:szCs w:val="20"/>
          <w:highlight w:val="none"/>
        </w:rPr>
      </w:pPr>
      <w:r>
        <w:rPr>
          <w:rFonts w:ascii="宋体" w:hAnsi="宋体" w:eastAsia="宋体" w:cs="宋体"/>
          <w:spacing w:val="11"/>
          <w:sz w:val="20"/>
          <w:szCs w:val="20"/>
          <w:highlight w:val="none"/>
        </w:rPr>
        <w:t>(3)公布在投标截止时间前投标文件的递交情况；</w:t>
      </w:r>
    </w:p>
    <w:p w14:paraId="2CD244F2">
      <w:pPr>
        <w:spacing w:before="156" w:line="220" w:lineRule="auto"/>
        <w:ind w:left="539"/>
        <w:rPr>
          <w:rFonts w:ascii="宋体" w:hAnsi="宋体" w:eastAsia="宋体" w:cs="宋体"/>
          <w:sz w:val="22"/>
          <w:szCs w:val="22"/>
          <w:highlight w:val="none"/>
        </w:rPr>
      </w:pPr>
      <w:r>
        <w:rPr>
          <w:rFonts w:ascii="宋体" w:hAnsi="宋体" w:eastAsia="宋体" w:cs="宋体"/>
          <w:spacing w:val="-6"/>
          <w:sz w:val="22"/>
          <w:szCs w:val="22"/>
          <w:highlight w:val="none"/>
        </w:rPr>
        <w:t>(4)开标后招标人核查投标保证金递交情况；</w:t>
      </w:r>
    </w:p>
    <w:p w14:paraId="255A7C4F">
      <w:pPr>
        <w:spacing w:before="134" w:line="288" w:lineRule="auto"/>
        <w:ind w:right="95" w:firstLine="539"/>
        <w:rPr>
          <w:rFonts w:ascii="宋体" w:hAnsi="宋体" w:eastAsia="宋体" w:cs="宋体"/>
          <w:sz w:val="21"/>
          <w:szCs w:val="21"/>
          <w:highlight w:val="none"/>
        </w:rPr>
      </w:pPr>
      <w:r>
        <w:rPr>
          <w:rFonts w:ascii="宋体" w:hAnsi="宋体" w:eastAsia="宋体" w:cs="宋体"/>
          <w:spacing w:val="6"/>
          <w:sz w:val="21"/>
          <w:szCs w:val="21"/>
          <w:highlight w:val="none"/>
        </w:rPr>
        <w:t>(5)按照投标人须知前附表规定抽取评标基准价下</w:t>
      </w:r>
      <w:r>
        <w:rPr>
          <w:rFonts w:ascii="宋体" w:hAnsi="宋体" w:eastAsia="宋体" w:cs="宋体"/>
          <w:spacing w:val="5"/>
          <w:sz w:val="21"/>
          <w:szCs w:val="21"/>
          <w:highlight w:val="none"/>
        </w:rPr>
        <w:t>浮值(如有);规定最高投标限价计</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算方法的，计算并公布最高投标限价(如适用),当众公布后记录在案；</w:t>
      </w:r>
    </w:p>
    <w:p w14:paraId="5E6E9E5C">
      <w:pPr>
        <w:spacing w:before="136" w:line="219"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(6)投标人根据提示在投标人须知前附表规定的</w:t>
      </w:r>
      <w:r>
        <w:rPr>
          <w:rFonts w:ascii="宋体" w:hAnsi="宋体" w:eastAsia="宋体" w:cs="宋体"/>
          <w:spacing w:val="-8"/>
          <w:sz w:val="22"/>
          <w:szCs w:val="22"/>
          <w:highlight w:val="none"/>
        </w:rPr>
        <w:t>时间内解密投标文件；</w:t>
      </w:r>
    </w:p>
    <w:p w14:paraId="2F9A4B35">
      <w:pPr>
        <w:spacing w:before="150" w:line="219" w:lineRule="auto"/>
        <w:ind w:left="539"/>
        <w:rPr>
          <w:rFonts w:ascii="宋体" w:hAnsi="宋体" w:eastAsia="宋体" w:cs="宋体"/>
          <w:sz w:val="20"/>
          <w:szCs w:val="20"/>
          <w:highlight w:val="none"/>
        </w:rPr>
      </w:pPr>
      <w:r>
        <w:rPr>
          <w:rFonts w:ascii="宋体" w:hAnsi="宋体" w:eastAsia="宋体" w:cs="宋体"/>
          <w:spacing w:val="12"/>
          <w:sz w:val="20"/>
          <w:szCs w:val="20"/>
          <w:highlight w:val="none"/>
        </w:rPr>
        <w:t>(7)读取已解密的投标文件的内容；</w:t>
      </w:r>
    </w:p>
    <w:p w14:paraId="3185DAC2">
      <w:pPr>
        <w:spacing w:before="160" w:line="291" w:lineRule="auto"/>
        <w:ind w:right="77" w:firstLine="539"/>
        <w:rPr>
          <w:rFonts w:ascii="宋体" w:hAnsi="宋体" w:eastAsia="宋体" w:cs="宋体"/>
          <w:sz w:val="21"/>
          <w:szCs w:val="21"/>
          <w:highlight w:val="none"/>
        </w:rPr>
      </w:pPr>
      <w:r>
        <w:rPr>
          <w:rFonts w:ascii="宋体" w:hAnsi="宋体" w:eastAsia="宋体" w:cs="宋体"/>
          <w:spacing w:val="3"/>
          <w:sz w:val="21"/>
          <w:szCs w:val="21"/>
          <w:highlight w:val="none"/>
        </w:rPr>
        <w:t>(8)公布投标人名称、标段名称、投标保证金的递交情况、投标报价、项目经理姓名</w:t>
      </w:r>
      <w:r>
        <w:rPr>
          <w:rFonts w:ascii="宋体" w:hAnsi="宋体" w:eastAsia="宋体" w:cs="宋体"/>
          <w:spacing w:val="17"/>
          <w:sz w:val="21"/>
          <w:szCs w:val="21"/>
          <w:highlight w:val="none"/>
        </w:rPr>
        <w:t xml:space="preserve"> </w:t>
      </w:r>
      <w:r>
        <w:rPr>
          <w:rFonts w:ascii="宋体" w:hAnsi="宋体" w:eastAsia="宋体" w:cs="宋体"/>
          <w:spacing w:val="-4"/>
          <w:sz w:val="21"/>
          <w:szCs w:val="21"/>
          <w:highlight w:val="none"/>
        </w:rPr>
        <w:t>及其他内容，并生成开标记录；</w:t>
      </w:r>
    </w:p>
    <w:p w14:paraId="5CF6D1E9">
      <w:pPr>
        <w:spacing w:before="121" w:line="219" w:lineRule="auto"/>
        <w:ind w:left="539"/>
        <w:rPr>
          <w:rFonts w:ascii="宋体" w:hAnsi="宋体" w:eastAsia="宋体" w:cs="宋体"/>
          <w:sz w:val="22"/>
          <w:szCs w:val="22"/>
          <w:highlight w:val="none"/>
        </w:rPr>
      </w:pPr>
      <w:r>
        <w:rPr>
          <w:rFonts w:ascii="宋体" w:hAnsi="宋体" w:eastAsia="宋体" w:cs="宋体"/>
          <w:spacing w:val="1"/>
          <w:sz w:val="22"/>
          <w:szCs w:val="22"/>
          <w:highlight w:val="none"/>
        </w:rPr>
        <w:t>(9)开标结束。</w:t>
      </w:r>
    </w:p>
    <w:p w14:paraId="158028B3">
      <w:pPr>
        <w:spacing w:before="166" w:line="345" w:lineRule="auto"/>
        <w:ind w:right="95" w:firstLine="420"/>
        <w:jc w:val="both"/>
        <w:rPr>
          <w:rFonts w:ascii="宋体" w:hAnsi="宋体" w:eastAsia="宋体" w:cs="宋体"/>
          <w:sz w:val="21"/>
          <w:szCs w:val="21"/>
          <w:highlight w:val="none"/>
        </w:rPr>
      </w:pPr>
      <w:r>
        <w:rPr>
          <w:rFonts w:ascii="Times New Roman" w:hAnsi="Times New Roman" w:eastAsia="Times New Roman" w:cs="Times New Roman"/>
          <w:spacing w:val="5"/>
          <w:sz w:val="21"/>
          <w:szCs w:val="21"/>
          <w:highlight w:val="none"/>
        </w:rPr>
        <w:t xml:space="preserve">5.2.2  </w:t>
      </w:r>
      <w:r>
        <w:rPr>
          <w:rFonts w:ascii="宋体" w:hAnsi="宋体" w:eastAsia="宋体" w:cs="宋体"/>
          <w:spacing w:val="5"/>
          <w:sz w:val="21"/>
          <w:szCs w:val="21"/>
          <w:highlight w:val="none"/>
        </w:rPr>
        <w:t>在本章第5.2.1(6)目规定的时间内，非因“电子交易平台”原因造成投标文件</w:t>
      </w:r>
      <w:r>
        <w:rPr>
          <w:rFonts w:ascii="宋体" w:hAnsi="宋体" w:eastAsia="宋体" w:cs="宋体"/>
          <w:spacing w:val="8"/>
          <w:sz w:val="21"/>
          <w:szCs w:val="21"/>
          <w:highlight w:val="none"/>
        </w:rPr>
        <w:t xml:space="preserve"> </w:t>
      </w:r>
      <w:r>
        <w:rPr>
          <w:rFonts w:ascii="宋体" w:hAnsi="宋体" w:eastAsia="宋体" w:cs="宋体"/>
          <w:spacing w:val="-3"/>
          <w:sz w:val="21"/>
          <w:szCs w:val="21"/>
          <w:highlight w:val="none"/>
        </w:rPr>
        <w:t>未解密的，视为投标人撤回投标文件。已解密的投标文件少于三个的，招标失败；已解密的</w:t>
      </w:r>
      <w:r>
        <w:rPr>
          <w:rFonts w:ascii="宋体" w:hAnsi="宋体" w:eastAsia="宋体" w:cs="宋体"/>
          <w:spacing w:val="15"/>
          <w:sz w:val="21"/>
          <w:szCs w:val="21"/>
          <w:highlight w:val="none"/>
        </w:rPr>
        <w:t xml:space="preserve"> </w:t>
      </w:r>
      <w:r>
        <w:rPr>
          <w:rFonts w:ascii="宋体" w:hAnsi="宋体" w:eastAsia="宋体" w:cs="宋体"/>
          <w:spacing w:val="-3"/>
          <w:sz w:val="21"/>
          <w:szCs w:val="21"/>
          <w:highlight w:val="none"/>
        </w:rPr>
        <w:t>投标文件不少于三个，开标继续进行。</w:t>
      </w:r>
    </w:p>
    <w:p w14:paraId="2F504D74">
      <w:pPr>
        <w:spacing w:before="95" w:line="222" w:lineRule="auto"/>
        <w:rPr>
          <w:rFonts w:ascii="黑体" w:hAnsi="黑体" w:eastAsia="黑体" w:cs="黑体"/>
          <w:sz w:val="22"/>
          <w:szCs w:val="22"/>
          <w:highlight w:val="none"/>
        </w:rPr>
      </w:pPr>
      <w:r>
        <w:rPr>
          <w:rFonts w:ascii="黑体" w:hAnsi="黑体" w:eastAsia="黑体" w:cs="黑体"/>
          <w:spacing w:val="7"/>
          <w:sz w:val="22"/>
          <w:szCs w:val="22"/>
          <w:highlight w:val="none"/>
        </w:rPr>
        <w:t>5.3开标异议</w:t>
      </w:r>
    </w:p>
    <w:p w14:paraId="2D9E8946">
      <w:pPr>
        <w:spacing w:before="157" w:line="326" w:lineRule="auto"/>
        <w:ind w:firstLine="42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5.3.1  </w:t>
      </w:r>
      <w:r>
        <w:rPr>
          <w:rFonts w:ascii="宋体" w:hAnsi="宋体" w:eastAsia="宋体" w:cs="宋体"/>
          <w:sz w:val="21"/>
          <w:szCs w:val="21"/>
          <w:highlight w:val="none"/>
        </w:rPr>
        <w:t>投标人对开标有异议的，应当在开标过程中提出；招标人当场对异议作出答复，  并记入开标记录。异议与答复应通过“开标大厅”在“异议与答复”菜单以书面形式进行。</w:t>
      </w:r>
    </w:p>
    <w:p w14:paraId="51FECE54">
      <w:pPr>
        <w:spacing w:before="26" w:line="336" w:lineRule="auto"/>
        <w:ind w:right="95" w:firstLine="420"/>
        <w:rPr>
          <w:rFonts w:ascii="宋体" w:hAnsi="宋体" w:eastAsia="宋体" w:cs="宋体"/>
          <w:sz w:val="22"/>
          <w:szCs w:val="22"/>
          <w:highlight w:val="none"/>
        </w:rPr>
      </w:pPr>
      <w:r>
        <w:rPr>
          <w:rFonts w:ascii="宋体" w:hAnsi="宋体" w:eastAsia="宋体" w:cs="宋体"/>
          <w:spacing w:val="-12"/>
          <w:sz w:val="22"/>
          <w:szCs w:val="22"/>
          <w:highlight w:val="none"/>
        </w:rPr>
        <w:t>本处所称异议是指投标人在开标过程中对投标文件提交、投标截止时间</w:t>
      </w:r>
      <w:r>
        <w:rPr>
          <w:rFonts w:ascii="宋体" w:hAnsi="宋体" w:eastAsia="宋体" w:cs="宋体"/>
          <w:spacing w:val="-13"/>
          <w:sz w:val="22"/>
          <w:szCs w:val="22"/>
          <w:highlight w:val="none"/>
        </w:rPr>
        <w:t>、开标程序、开</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标记录以及投标人和招标人或者投标人相互之间存在利益冲</w:t>
      </w:r>
      <w:r>
        <w:rPr>
          <w:rFonts w:ascii="宋体" w:hAnsi="宋体" w:eastAsia="宋体" w:cs="宋体"/>
          <w:spacing w:val="-11"/>
          <w:sz w:val="22"/>
          <w:szCs w:val="22"/>
          <w:highlight w:val="none"/>
        </w:rPr>
        <w:t>突的情形等提出的质疑。</w:t>
      </w:r>
    </w:p>
    <w:p w14:paraId="13D1A586">
      <w:pPr>
        <w:spacing w:before="2" w:line="346" w:lineRule="auto"/>
        <w:ind w:right="24" w:firstLine="420"/>
        <w:rPr>
          <w:rFonts w:ascii="宋体" w:hAnsi="宋体" w:eastAsia="宋体" w:cs="宋体"/>
          <w:sz w:val="22"/>
          <w:szCs w:val="22"/>
          <w:highlight w:val="none"/>
        </w:rPr>
      </w:pPr>
      <w:r>
        <w:rPr>
          <w:rFonts w:ascii="Times New Roman" w:hAnsi="Times New Roman" w:eastAsia="Times New Roman" w:cs="Times New Roman"/>
          <w:spacing w:val="-12"/>
          <w:sz w:val="22"/>
          <w:szCs w:val="22"/>
          <w:highlight w:val="none"/>
        </w:rPr>
        <w:t>5.3.2</w:t>
      </w:r>
      <w:r>
        <w:rPr>
          <w:rFonts w:ascii="Times New Roman" w:hAnsi="Times New Roman" w:eastAsia="Times New Roman" w:cs="Times New Roman"/>
          <w:spacing w:val="46"/>
          <w:sz w:val="22"/>
          <w:szCs w:val="22"/>
          <w:highlight w:val="none"/>
        </w:rPr>
        <w:t xml:space="preserve"> </w:t>
      </w:r>
      <w:r>
        <w:rPr>
          <w:rFonts w:ascii="宋体" w:hAnsi="宋体" w:eastAsia="宋体" w:cs="宋体"/>
          <w:spacing w:val="-12"/>
          <w:sz w:val="22"/>
          <w:szCs w:val="22"/>
          <w:highlight w:val="none"/>
        </w:rPr>
        <w:t>投标人异议成立的，招标人将及时采取纠正措施，或者提交评标委员会评审确认；</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投标人异议不成立的，招标人将当场给予解释说明。</w:t>
      </w:r>
    </w:p>
    <w:p w14:paraId="3F60128D">
      <w:pPr>
        <w:pStyle w:val="2"/>
        <w:spacing w:before="24" w:line="300" w:lineRule="exact"/>
        <w:rPr>
          <w:rFonts w:ascii="黑体" w:hAnsi="黑体" w:eastAsia="黑体" w:cs="黑体"/>
          <w:sz w:val="22"/>
          <w:szCs w:val="22"/>
          <w:highlight w:val="none"/>
        </w:rPr>
      </w:pPr>
      <w:r>
        <w:rPr>
          <w:spacing w:val="-7"/>
          <w:position w:val="1"/>
          <w:sz w:val="22"/>
          <w:szCs w:val="22"/>
          <w:highlight w:val="none"/>
        </w:rPr>
        <w:t xml:space="preserve">5.4  </w:t>
      </w:r>
      <w:r>
        <w:rPr>
          <w:rFonts w:ascii="黑体" w:hAnsi="黑体" w:eastAsia="黑体" w:cs="黑体"/>
          <w:spacing w:val="-7"/>
          <w:position w:val="1"/>
          <w:sz w:val="22"/>
          <w:szCs w:val="22"/>
          <w:highlight w:val="none"/>
        </w:rPr>
        <w:t>特殊情况的处置</w:t>
      </w:r>
    </w:p>
    <w:p w14:paraId="65EB797E">
      <w:pPr>
        <w:spacing w:before="148" w:line="308" w:lineRule="auto"/>
        <w:ind w:right="96" w:firstLine="420"/>
        <w:rPr>
          <w:rFonts w:ascii="宋体" w:hAnsi="宋体" w:eastAsia="宋体" w:cs="宋体"/>
          <w:sz w:val="21"/>
          <w:szCs w:val="21"/>
          <w:highlight w:val="none"/>
        </w:rPr>
      </w:pPr>
      <w:r>
        <w:rPr>
          <w:rFonts w:ascii="宋体" w:hAnsi="宋体" w:eastAsia="宋体" w:cs="宋体"/>
          <w:spacing w:val="1"/>
          <w:sz w:val="21"/>
          <w:szCs w:val="21"/>
          <w:highlight w:val="none"/>
        </w:rPr>
        <w:t>5.4.1因“电子交易平台”系统故障导致无法</w:t>
      </w:r>
      <w:r>
        <w:rPr>
          <w:rFonts w:ascii="宋体" w:hAnsi="宋体" w:eastAsia="宋体" w:cs="宋体"/>
          <w:sz w:val="21"/>
          <w:szCs w:val="21"/>
          <w:highlight w:val="none"/>
        </w:rPr>
        <w:t xml:space="preserve">投标的，交易中心及时通知招标人，招标 </w:t>
      </w:r>
      <w:r>
        <w:rPr>
          <w:rFonts w:ascii="宋体" w:hAnsi="宋体" w:eastAsia="宋体" w:cs="宋体"/>
          <w:spacing w:val="-2"/>
          <w:sz w:val="21"/>
          <w:szCs w:val="21"/>
          <w:highlight w:val="none"/>
        </w:rPr>
        <w:t>人视情况决定是否顺延投标截止时间。因投标人自身原因导致无法完成投标的</w:t>
      </w:r>
      <w:r>
        <w:rPr>
          <w:rFonts w:ascii="宋体" w:hAnsi="宋体" w:eastAsia="宋体" w:cs="宋体"/>
          <w:spacing w:val="-3"/>
          <w:sz w:val="21"/>
          <w:szCs w:val="21"/>
          <w:highlight w:val="none"/>
        </w:rPr>
        <w:t>，由投标人自</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行承担后果。</w:t>
      </w:r>
    </w:p>
    <w:p w14:paraId="2CC9D764">
      <w:pPr>
        <w:spacing w:before="141" w:line="219" w:lineRule="auto"/>
        <w:ind w:left="420"/>
        <w:rPr>
          <w:rFonts w:ascii="宋体" w:hAnsi="宋体" w:eastAsia="宋体" w:cs="宋体"/>
          <w:sz w:val="21"/>
          <w:szCs w:val="21"/>
          <w:highlight w:val="none"/>
        </w:rPr>
      </w:pPr>
      <w:r>
        <w:rPr>
          <w:rFonts w:ascii="宋体" w:hAnsi="宋体" w:eastAsia="宋体" w:cs="宋体"/>
          <w:spacing w:val="1"/>
          <w:sz w:val="21"/>
          <w:szCs w:val="21"/>
          <w:highlight w:val="none"/>
        </w:rPr>
        <w:t>5.4.2因“电子交易平台”系统故障导致无法正常</w:t>
      </w:r>
      <w:r>
        <w:rPr>
          <w:rFonts w:ascii="宋体" w:hAnsi="宋体" w:eastAsia="宋体" w:cs="宋体"/>
          <w:sz w:val="21"/>
          <w:szCs w:val="21"/>
          <w:highlight w:val="none"/>
        </w:rPr>
        <w:t>开标的，招标人将暂停开标，待系统</w:t>
      </w:r>
    </w:p>
    <w:p w14:paraId="56F0A0A5">
      <w:pPr>
        <w:spacing w:line="219" w:lineRule="auto"/>
        <w:rPr>
          <w:rFonts w:ascii="宋体" w:hAnsi="宋体" w:eastAsia="宋体" w:cs="宋体"/>
          <w:sz w:val="21"/>
          <w:szCs w:val="21"/>
          <w:highlight w:val="none"/>
        </w:rPr>
        <w:sectPr>
          <w:footerReference r:id="rId34" w:type="default"/>
          <w:pgSz w:w="11910" w:h="16840"/>
          <w:pgMar w:top="400" w:right="1725" w:bottom="1217" w:left="1769" w:header="0" w:footer="1013" w:gutter="0"/>
          <w:cols w:space="720" w:num="1"/>
        </w:sectPr>
      </w:pPr>
    </w:p>
    <w:p w14:paraId="4EB8E440">
      <w:pPr>
        <w:pStyle w:val="2"/>
        <w:spacing w:line="270" w:lineRule="auto"/>
        <w:rPr>
          <w:highlight w:val="none"/>
        </w:rPr>
      </w:pPr>
    </w:p>
    <w:p w14:paraId="6680E146">
      <w:pPr>
        <w:pStyle w:val="2"/>
        <w:spacing w:line="270" w:lineRule="auto"/>
        <w:rPr>
          <w:highlight w:val="none"/>
        </w:rPr>
      </w:pPr>
    </w:p>
    <w:p w14:paraId="56443134">
      <w:pPr>
        <w:pStyle w:val="2"/>
        <w:spacing w:line="270" w:lineRule="auto"/>
        <w:rPr>
          <w:highlight w:val="none"/>
        </w:rPr>
      </w:pPr>
    </w:p>
    <w:p w14:paraId="4952B040">
      <w:pPr>
        <w:pStyle w:val="2"/>
        <w:spacing w:line="271" w:lineRule="auto"/>
        <w:rPr>
          <w:highlight w:val="none"/>
        </w:rPr>
      </w:pPr>
    </w:p>
    <w:p w14:paraId="55A9BA61">
      <w:pPr>
        <w:spacing w:before="72" w:line="220" w:lineRule="auto"/>
        <w:rPr>
          <w:rFonts w:ascii="宋体" w:hAnsi="宋体" w:eastAsia="宋体" w:cs="宋体"/>
          <w:sz w:val="22"/>
          <w:szCs w:val="22"/>
          <w:highlight w:val="none"/>
        </w:rPr>
      </w:pPr>
      <w:r>
        <w:rPr>
          <w:rFonts w:ascii="宋体" w:hAnsi="宋体" w:eastAsia="宋体" w:cs="宋体"/>
          <w:spacing w:val="-11"/>
          <w:sz w:val="22"/>
          <w:szCs w:val="22"/>
          <w:highlight w:val="none"/>
        </w:rPr>
        <w:t>恢复正常后继续开标。</w:t>
      </w:r>
    </w:p>
    <w:p w14:paraId="3A137234">
      <w:pPr>
        <w:spacing w:before="127" w:line="219" w:lineRule="auto"/>
        <w:ind w:left="410"/>
        <w:rPr>
          <w:rFonts w:ascii="宋体" w:hAnsi="宋体" w:eastAsia="宋体" w:cs="宋体"/>
          <w:sz w:val="22"/>
          <w:szCs w:val="22"/>
          <w:highlight w:val="none"/>
        </w:rPr>
      </w:pPr>
      <w:r>
        <w:rPr>
          <w:rFonts w:ascii="宋体" w:hAnsi="宋体" w:eastAsia="宋体" w:cs="宋体"/>
          <w:spacing w:val="-10"/>
          <w:sz w:val="22"/>
          <w:szCs w:val="22"/>
          <w:highlight w:val="none"/>
        </w:rPr>
        <w:t>5.4.3“电子交易平台”系统故障是指下列情形：</w:t>
      </w:r>
    </w:p>
    <w:p w14:paraId="32C8E172">
      <w:pPr>
        <w:spacing w:before="138"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(1)系统服务器发生故障，无法访问或无法使用系统；</w:t>
      </w:r>
    </w:p>
    <w:p w14:paraId="23B74CB6">
      <w:pPr>
        <w:spacing w:before="158" w:line="219" w:lineRule="auto"/>
        <w:ind w:left="529"/>
        <w:rPr>
          <w:rFonts w:ascii="宋体" w:hAnsi="宋体" w:eastAsia="宋体" w:cs="宋体"/>
          <w:sz w:val="21"/>
          <w:szCs w:val="21"/>
          <w:highlight w:val="none"/>
        </w:rPr>
      </w:pPr>
      <w:r>
        <w:rPr>
          <w:rFonts w:ascii="宋体" w:hAnsi="宋体" w:eastAsia="宋体" w:cs="宋体"/>
          <w:spacing w:val="2"/>
          <w:sz w:val="21"/>
          <w:szCs w:val="21"/>
          <w:highlight w:val="none"/>
        </w:rPr>
        <w:t>(2)系统的软件或数据库出现错误，不能进行正常操作；</w:t>
      </w:r>
    </w:p>
    <w:p w14:paraId="325E4FC0">
      <w:pPr>
        <w:spacing w:before="160" w:line="220"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(3)系统发现有安全漏洞，有潜在的泄密危险；</w:t>
      </w:r>
    </w:p>
    <w:p w14:paraId="7538FDFB">
      <w:pPr>
        <w:spacing w:before="142" w:line="219" w:lineRule="auto"/>
        <w:ind w:left="529"/>
        <w:rPr>
          <w:rFonts w:ascii="宋体" w:hAnsi="宋体" w:eastAsia="宋体" w:cs="宋体"/>
          <w:sz w:val="20"/>
          <w:szCs w:val="20"/>
          <w:highlight w:val="none"/>
        </w:rPr>
      </w:pPr>
      <w:r>
        <w:rPr>
          <w:rFonts w:ascii="宋体" w:hAnsi="宋体" w:eastAsia="宋体" w:cs="宋体"/>
          <w:spacing w:val="13"/>
          <w:sz w:val="20"/>
          <w:szCs w:val="20"/>
          <w:highlight w:val="none"/>
        </w:rPr>
        <w:t>(4)出现断电、断网事故；</w:t>
      </w:r>
    </w:p>
    <w:p w14:paraId="56FFDCF3">
      <w:pPr>
        <w:spacing w:before="183" w:line="220"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(5)其他无法保证招投标过程正常进行的情形。</w:t>
      </w:r>
    </w:p>
    <w:p w14:paraId="1E504647">
      <w:pPr>
        <w:pStyle w:val="2"/>
        <w:spacing w:before="78" w:line="328" w:lineRule="exact"/>
        <w:outlineLvl w:val="1"/>
        <w:rPr>
          <w:rFonts w:ascii="黑体" w:hAnsi="黑体" w:eastAsia="黑体" w:cs="黑体"/>
          <w:sz w:val="24"/>
          <w:szCs w:val="24"/>
          <w:highlight w:val="none"/>
        </w:rPr>
      </w:pPr>
      <w:bookmarkStart w:id="27" w:name="bookmark10"/>
      <w:bookmarkEnd w:id="27"/>
      <w:r>
        <w:rPr>
          <w:spacing w:val="4"/>
          <w:position w:val="1"/>
          <w:sz w:val="24"/>
          <w:szCs w:val="24"/>
          <w:highlight w:val="none"/>
        </w:rPr>
        <w:t>6.</w:t>
      </w:r>
      <w:r>
        <w:rPr>
          <w:spacing w:val="23"/>
          <w:w w:val="101"/>
          <w:position w:val="1"/>
          <w:sz w:val="24"/>
          <w:szCs w:val="24"/>
          <w:highlight w:val="none"/>
        </w:rPr>
        <w:t xml:space="preserve"> </w:t>
      </w:r>
      <w:r>
        <w:rPr>
          <w:rFonts w:ascii="黑体" w:hAnsi="黑体" w:eastAsia="黑体" w:cs="黑体"/>
          <w:spacing w:val="4"/>
          <w:position w:val="1"/>
          <w:sz w:val="24"/>
          <w:szCs w:val="24"/>
          <w:highlight w:val="none"/>
        </w:rPr>
        <w:t>评标</w:t>
      </w:r>
    </w:p>
    <w:p w14:paraId="17D8196F">
      <w:pPr>
        <w:pStyle w:val="2"/>
        <w:spacing w:before="144" w:line="300" w:lineRule="exact"/>
        <w:rPr>
          <w:rFonts w:ascii="黑体" w:hAnsi="黑体" w:eastAsia="黑体" w:cs="黑体"/>
          <w:sz w:val="22"/>
          <w:szCs w:val="22"/>
          <w:highlight w:val="none"/>
        </w:rPr>
      </w:pPr>
      <w:r>
        <w:rPr>
          <w:spacing w:val="-5"/>
          <w:position w:val="1"/>
          <w:sz w:val="22"/>
          <w:szCs w:val="22"/>
          <w:highlight w:val="none"/>
        </w:rPr>
        <w:t>6.1</w:t>
      </w:r>
      <w:r>
        <w:rPr>
          <w:spacing w:val="37"/>
          <w:position w:val="1"/>
          <w:sz w:val="22"/>
          <w:szCs w:val="22"/>
          <w:highlight w:val="none"/>
        </w:rPr>
        <w:t xml:space="preserve"> </w:t>
      </w:r>
      <w:r>
        <w:rPr>
          <w:rFonts w:ascii="黑体" w:hAnsi="黑体" w:eastAsia="黑体" w:cs="黑体"/>
          <w:spacing w:val="-5"/>
          <w:position w:val="1"/>
          <w:sz w:val="22"/>
          <w:szCs w:val="22"/>
          <w:highlight w:val="none"/>
        </w:rPr>
        <w:t>评标委员会</w:t>
      </w:r>
    </w:p>
    <w:p w14:paraId="4FBF4AA7">
      <w:pPr>
        <w:spacing w:before="141" w:line="307" w:lineRule="auto"/>
        <w:ind w:right="14" w:firstLine="410"/>
        <w:rPr>
          <w:rFonts w:ascii="宋体" w:hAnsi="宋体" w:eastAsia="宋体" w:cs="宋体"/>
          <w:sz w:val="21"/>
          <w:szCs w:val="21"/>
          <w:highlight w:val="none"/>
        </w:rPr>
      </w:pPr>
      <w:r>
        <w:rPr>
          <w:rFonts w:ascii="宋体" w:hAnsi="宋体" w:eastAsia="宋体" w:cs="宋体"/>
          <w:spacing w:val="1"/>
          <w:sz w:val="21"/>
          <w:szCs w:val="21"/>
          <w:highlight w:val="none"/>
        </w:rPr>
        <w:t>6.1.1评标由招标人依法组建的评标委员会负责。评标委员会由招标人代表以及有关技</w:t>
      </w:r>
      <w:r>
        <w:rPr>
          <w:rFonts w:ascii="宋体" w:hAnsi="宋体" w:eastAsia="宋体" w:cs="宋体"/>
          <w:spacing w:val="2"/>
          <w:sz w:val="21"/>
          <w:szCs w:val="21"/>
          <w:highlight w:val="none"/>
        </w:rPr>
        <w:t xml:space="preserve"> </w:t>
      </w:r>
      <w:r>
        <w:rPr>
          <w:rFonts w:ascii="宋体" w:hAnsi="宋体" w:eastAsia="宋体" w:cs="宋体"/>
          <w:spacing w:val="-2"/>
          <w:sz w:val="21"/>
          <w:szCs w:val="21"/>
          <w:highlight w:val="none"/>
        </w:rPr>
        <w:t>术、经济等方面的专家组成。评标委员会成员人数以及技术、经济</w:t>
      </w:r>
      <w:r>
        <w:rPr>
          <w:rFonts w:ascii="宋体" w:hAnsi="宋体" w:eastAsia="宋体" w:cs="宋体"/>
          <w:spacing w:val="-3"/>
          <w:sz w:val="21"/>
          <w:szCs w:val="21"/>
          <w:highlight w:val="none"/>
        </w:rPr>
        <w:t>等方面专家的确定方式见</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投标人须知前附表。</w:t>
      </w:r>
    </w:p>
    <w:p w14:paraId="6385F960">
      <w:pPr>
        <w:spacing w:before="162" w:line="219" w:lineRule="auto"/>
        <w:ind w:left="410"/>
        <w:rPr>
          <w:rFonts w:ascii="宋体" w:hAnsi="宋体" w:eastAsia="宋体" w:cs="宋体"/>
          <w:sz w:val="22"/>
          <w:szCs w:val="22"/>
          <w:highlight w:val="none"/>
        </w:rPr>
      </w:pPr>
      <w:r>
        <w:rPr>
          <w:rFonts w:ascii="宋体" w:hAnsi="宋体" w:eastAsia="宋体" w:cs="宋体"/>
          <w:spacing w:val="-10"/>
          <w:sz w:val="22"/>
          <w:szCs w:val="22"/>
          <w:highlight w:val="none"/>
        </w:rPr>
        <w:t>6.1.2评标委员会成员有下列情形之一的，应当回避：</w:t>
      </w:r>
    </w:p>
    <w:p w14:paraId="0CAF80CC">
      <w:pPr>
        <w:spacing w:before="149" w:line="219"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(1)投标人或投标人主要负责人的近亲属；</w:t>
      </w:r>
    </w:p>
    <w:p w14:paraId="3CC15078">
      <w:pPr>
        <w:spacing w:before="144"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(2)项目主管部门或者行政监督部门的招标投标</w:t>
      </w:r>
      <w:r>
        <w:rPr>
          <w:rFonts w:ascii="宋体" w:hAnsi="宋体" w:eastAsia="宋体" w:cs="宋体"/>
          <w:spacing w:val="-8"/>
          <w:sz w:val="22"/>
          <w:szCs w:val="22"/>
          <w:highlight w:val="none"/>
        </w:rPr>
        <w:t>工作人员；</w:t>
      </w:r>
    </w:p>
    <w:p w14:paraId="28E6C665">
      <w:pPr>
        <w:spacing w:before="169" w:line="220"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(3)与投标人有经济利益关系，可能影响对投标公正评审的；</w:t>
      </w:r>
    </w:p>
    <w:p w14:paraId="18E477BB">
      <w:pPr>
        <w:spacing w:before="141" w:line="274" w:lineRule="auto"/>
        <w:ind w:right="17" w:firstLine="529"/>
        <w:rPr>
          <w:rFonts w:ascii="宋体" w:hAnsi="宋体" w:eastAsia="宋体" w:cs="宋体"/>
          <w:sz w:val="22"/>
          <w:szCs w:val="22"/>
          <w:highlight w:val="none"/>
        </w:rPr>
      </w:pPr>
      <w:r>
        <w:rPr>
          <w:rFonts w:ascii="宋体" w:hAnsi="宋体" w:eastAsia="宋体" w:cs="宋体"/>
          <w:spacing w:val="-6"/>
          <w:sz w:val="22"/>
          <w:szCs w:val="22"/>
          <w:highlight w:val="none"/>
        </w:rPr>
        <w:t>(4)曾因在招标、评标以及其他与招标投标有关活动中从事违法行为</w:t>
      </w:r>
      <w:r>
        <w:rPr>
          <w:rFonts w:ascii="宋体" w:hAnsi="宋体" w:eastAsia="宋体" w:cs="宋体"/>
          <w:spacing w:val="-7"/>
          <w:sz w:val="22"/>
          <w:szCs w:val="22"/>
          <w:highlight w:val="none"/>
        </w:rPr>
        <w:t>而受过行政处罚</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或刑事处罚的。</w:t>
      </w:r>
    </w:p>
    <w:p w14:paraId="1EA03BB0">
      <w:pPr>
        <w:spacing w:before="216" w:line="222" w:lineRule="auto"/>
        <w:rPr>
          <w:rFonts w:ascii="黑体" w:hAnsi="黑体" w:eastAsia="黑体" w:cs="黑体"/>
          <w:sz w:val="22"/>
          <w:szCs w:val="22"/>
          <w:highlight w:val="none"/>
        </w:rPr>
      </w:pPr>
      <w:r>
        <w:rPr>
          <w:rFonts w:ascii="黑体" w:hAnsi="黑体" w:eastAsia="黑体" w:cs="黑体"/>
          <w:spacing w:val="7"/>
          <w:sz w:val="22"/>
          <w:szCs w:val="22"/>
          <w:highlight w:val="none"/>
        </w:rPr>
        <w:t>6.2评标原则</w:t>
      </w:r>
    </w:p>
    <w:p w14:paraId="68CB9030">
      <w:pPr>
        <w:spacing w:before="146" w:line="219" w:lineRule="auto"/>
        <w:ind w:left="410"/>
        <w:rPr>
          <w:rFonts w:ascii="宋体" w:hAnsi="宋体" w:eastAsia="宋体" w:cs="宋体"/>
          <w:sz w:val="22"/>
          <w:szCs w:val="22"/>
          <w:highlight w:val="none"/>
        </w:rPr>
      </w:pPr>
      <w:r>
        <w:rPr>
          <w:rFonts w:ascii="宋体" w:hAnsi="宋体" w:eastAsia="宋体" w:cs="宋体"/>
          <w:spacing w:val="-11"/>
          <w:sz w:val="22"/>
          <w:szCs w:val="22"/>
          <w:highlight w:val="none"/>
        </w:rPr>
        <w:t>评标活动遵循公平、公正、科学和择优的原则。</w:t>
      </w:r>
    </w:p>
    <w:p w14:paraId="25ED1927">
      <w:pPr>
        <w:spacing w:before="209" w:line="222" w:lineRule="auto"/>
        <w:rPr>
          <w:rFonts w:ascii="黑体" w:hAnsi="黑体" w:eastAsia="黑体" w:cs="黑体"/>
          <w:sz w:val="22"/>
          <w:szCs w:val="22"/>
          <w:highlight w:val="none"/>
        </w:rPr>
      </w:pPr>
      <w:r>
        <w:rPr>
          <w:rFonts w:ascii="黑体" w:hAnsi="黑体" w:eastAsia="黑体" w:cs="黑体"/>
          <w:spacing w:val="15"/>
          <w:sz w:val="22"/>
          <w:szCs w:val="22"/>
          <w:highlight w:val="none"/>
        </w:rPr>
        <w:t>6.3评标</w:t>
      </w:r>
    </w:p>
    <w:p w14:paraId="7C793EC3">
      <w:pPr>
        <w:spacing w:before="146" w:line="362" w:lineRule="auto"/>
        <w:ind w:right="33" w:firstLine="410"/>
        <w:rPr>
          <w:rFonts w:ascii="宋体" w:hAnsi="宋体" w:eastAsia="宋体" w:cs="宋体"/>
          <w:sz w:val="21"/>
          <w:szCs w:val="21"/>
          <w:highlight w:val="none"/>
        </w:rPr>
      </w:pPr>
      <w:r>
        <w:rPr>
          <w:rFonts w:ascii="宋体" w:hAnsi="宋体" w:eastAsia="宋体" w:cs="宋体"/>
          <w:spacing w:val="-7"/>
          <w:sz w:val="21"/>
          <w:szCs w:val="21"/>
          <w:highlight w:val="none"/>
        </w:rPr>
        <w:t>评标委员会按照第三章“评标办法”规定的方法</w:t>
      </w:r>
      <w:r>
        <w:rPr>
          <w:rFonts w:ascii="宋体" w:hAnsi="宋体" w:eastAsia="宋体" w:cs="宋体"/>
          <w:spacing w:val="-8"/>
          <w:sz w:val="21"/>
          <w:szCs w:val="21"/>
          <w:highlight w:val="none"/>
        </w:rPr>
        <w:t>、评审因素、标准和程序对投标文件进行</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评审。第三章“评标办法”没有规定的方法、评审因素和标准，不作为评标依据。</w:t>
      </w:r>
    </w:p>
    <w:p w14:paraId="181E12D7">
      <w:pPr>
        <w:spacing w:before="46" w:line="222" w:lineRule="auto"/>
        <w:rPr>
          <w:rFonts w:ascii="黑体" w:hAnsi="黑体" w:eastAsia="黑体" w:cs="黑体"/>
          <w:sz w:val="22"/>
          <w:szCs w:val="22"/>
          <w:highlight w:val="none"/>
        </w:rPr>
      </w:pPr>
      <w:r>
        <w:rPr>
          <w:rFonts w:ascii="黑体" w:hAnsi="黑体" w:eastAsia="黑体" w:cs="黑体"/>
          <w:spacing w:val="2"/>
          <w:sz w:val="22"/>
          <w:szCs w:val="22"/>
          <w:highlight w:val="none"/>
        </w:rPr>
        <w:t>6.4评标结果公示</w:t>
      </w:r>
    </w:p>
    <w:p w14:paraId="14BC657D">
      <w:pPr>
        <w:spacing w:before="144" w:line="332" w:lineRule="auto"/>
        <w:ind w:right="35" w:firstLine="410"/>
        <w:rPr>
          <w:rFonts w:ascii="宋体" w:hAnsi="宋体" w:eastAsia="宋体" w:cs="宋体"/>
          <w:sz w:val="22"/>
          <w:szCs w:val="22"/>
          <w:highlight w:val="none"/>
        </w:rPr>
      </w:pPr>
      <w:r>
        <w:rPr>
          <w:rFonts w:ascii="宋体" w:hAnsi="宋体" w:eastAsia="宋体" w:cs="宋体"/>
          <w:spacing w:val="-9"/>
          <w:sz w:val="22"/>
          <w:szCs w:val="22"/>
          <w:highlight w:val="none"/>
        </w:rPr>
        <w:t>招标人将自收到评标报告之日起3日内，在投标人须知前附表</w:t>
      </w:r>
      <w:r>
        <w:rPr>
          <w:rFonts w:ascii="宋体" w:hAnsi="宋体" w:eastAsia="宋体" w:cs="宋体"/>
          <w:spacing w:val="-10"/>
          <w:sz w:val="22"/>
          <w:szCs w:val="22"/>
          <w:highlight w:val="none"/>
        </w:rPr>
        <w:t>规定的媒介公示中标候选</w:t>
      </w:r>
      <w:r>
        <w:rPr>
          <w:rFonts w:ascii="宋体" w:hAnsi="宋体" w:eastAsia="宋体" w:cs="宋体"/>
          <w:sz w:val="22"/>
          <w:szCs w:val="22"/>
          <w:highlight w:val="none"/>
        </w:rPr>
        <w:t xml:space="preserve"> </w:t>
      </w:r>
      <w:r>
        <w:rPr>
          <w:rFonts w:ascii="宋体" w:hAnsi="宋体" w:eastAsia="宋体" w:cs="宋体"/>
          <w:spacing w:val="-2"/>
          <w:sz w:val="22"/>
          <w:szCs w:val="22"/>
          <w:highlight w:val="none"/>
        </w:rPr>
        <w:t>人。公示期不少于3日。</w:t>
      </w:r>
    </w:p>
    <w:p w14:paraId="3B5DE65D">
      <w:pPr>
        <w:spacing w:before="11" w:line="324" w:lineRule="auto"/>
        <w:ind w:right="35" w:firstLine="410"/>
        <w:jc w:val="both"/>
        <w:rPr>
          <w:rFonts w:ascii="宋体" w:hAnsi="宋体" w:eastAsia="宋体" w:cs="宋体"/>
          <w:sz w:val="22"/>
          <w:szCs w:val="22"/>
          <w:highlight w:val="none"/>
        </w:rPr>
      </w:pPr>
      <w:r>
        <w:rPr>
          <w:rFonts w:ascii="宋体" w:hAnsi="宋体" w:eastAsia="宋体" w:cs="宋体"/>
          <w:spacing w:val="-12"/>
          <w:sz w:val="22"/>
          <w:szCs w:val="22"/>
          <w:highlight w:val="none"/>
        </w:rPr>
        <w:t>投标人或者其他利害关系人对评标结果有异议的，应当在评标结果公示</w:t>
      </w:r>
      <w:r>
        <w:rPr>
          <w:rFonts w:ascii="宋体" w:hAnsi="宋体" w:eastAsia="宋体" w:cs="宋体"/>
          <w:spacing w:val="-13"/>
          <w:sz w:val="22"/>
          <w:szCs w:val="22"/>
          <w:highlight w:val="none"/>
        </w:rPr>
        <w:t>期间提出。招标</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人自收到异议之日起3日内作出答复；作出答复前，暂停招标投标活动。异议与答复应当通</w:t>
      </w:r>
      <w:r>
        <w:rPr>
          <w:rFonts w:ascii="宋体" w:hAnsi="宋体" w:eastAsia="宋体" w:cs="宋体"/>
          <w:spacing w:val="17"/>
          <w:sz w:val="22"/>
          <w:szCs w:val="22"/>
          <w:highlight w:val="none"/>
        </w:rPr>
        <w:t xml:space="preserve"> </w:t>
      </w:r>
      <w:r>
        <w:rPr>
          <w:rFonts w:ascii="宋体" w:hAnsi="宋体" w:eastAsia="宋体" w:cs="宋体"/>
          <w:spacing w:val="-11"/>
          <w:sz w:val="22"/>
          <w:szCs w:val="22"/>
          <w:highlight w:val="none"/>
        </w:rPr>
        <w:t>过“电子交易平台”在“异议与答复”菜单以书面形式进行。</w:t>
      </w:r>
    </w:p>
    <w:p w14:paraId="7E345FF6">
      <w:pPr>
        <w:pStyle w:val="2"/>
        <w:spacing w:before="71" w:line="300" w:lineRule="exact"/>
        <w:rPr>
          <w:rFonts w:ascii="黑体" w:hAnsi="黑体" w:eastAsia="黑体" w:cs="黑体"/>
          <w:sz w:val="22"/>
          <w:szCs w:val="22"/>
          <w:highlight w:val="none"/>
        </w:rPr>
      </w:pPr>
      <w:r>
        <w:rPr>
          <w:spacing w:val="2"/>
          <w:position w:val="1"/>
          <w:sz w:val="22"/>
          <w:szCs w:val="22"/>
          <w:highlight w:val="none"/>
        </w:rPr>
        <w:t xml:space="preserve">6.5  </w:t>
      </w:r>
      <w:r>
        <w:rPr>
          <w:rFonts w:ascii="黑体" w:hAnsi="黑体" w:eastAsia="黑体" w:cs="黑体"/>
          <w:spacing w:val="2"/>
          <w:position w:val="1"/>
          <w:sz w:val="22"/>
          <w:szCs w:val="22"/>
          <w:highlight w:val="none"/>
        </w:rPr>
        <w:t>履约能力的审查(如有)</w:t>
      </w:r>
    </w:p>
    <w:p w14:paraId="1188BD7C">
      <w:pPr>
        <w:spacing w:before="161" w:line="344" w:lineRule="auto"/>
        <w:ind w:right="32"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如果中标候选人的经营、财务状况发生较大变化或者存在违法行为，招</w:t>
      </w:r>
      <w:r>
        <w:rPr>
          <w:rFonts w:ascii="宋体" w:hAnsi="宋体" w:eastAsia="宋体" w:cs="宋体"/>
          <w:spacing w:val="-3"/>
          <w:sz w:val="21"/>
          <w:szCs w:val="21"/>
          <w:highlight w:val="none"/>
        </w:rPr>
        <w:t>标人认为可能影</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响其履约能力的，将在发出中标通知书前报行政监督部门后，召集原</w:t>
      </w:r>
      <w:r>
        <w:rPr>
          <w:rFonts w:ascii="宋体" w:hAnsi="宋体" w:eastAsia="宋体" w:cs="宋体"/>
          <w:spacing w:val="-3"/>
          <w:sz w:val="21"/>
          <w:szCs w:val="21"/>
          <w:highlight w:val="none"/>
        </w:rPr>
        <w:t>评标委员会按照招标文</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件规定的标准和方法审查确认。</w:t>
      </w:r>
    </w:p>
    <w:p w14:paraId="27F3DBBA">
      <w:pPr>
        <w:spacing w:line="344" w:lineRule="auto"/>
        <w:rPr>
          <w:rFonts w:ascii="宋体" w:hAnsi="宋体" w:eastAsia="宋体" w:cs="宋体"/>
          <w:sz w:val="21"/>
          <w:szCs w:val="21"/>
          <w:highlight w:val="none"/>
        </w:rPr>
        <w:sectPr>
          <w:footerReference r:id="rId35" w:type="default"/>
          <w:pgSz w:w="11910" w:h="16840"/>
          <w:pgMar w:top="400" w:right="1786" w:bottom="1238" w:left="1779" w:header="0" w:footer="1006" w:gutter="0"/>
          <w:cols w:space="720" w:num="1"/>
        </w:sectPr>
      </w:pPr>
    </w:p>
    <w:p w14:paraId="767A0912">
      <w:pPr>
        <w:pStyle w:val="2"/>
        <w:spacing w:line="248" w:lineRule="auto"/>
        <w:rPr>
          <w:highlight w:val="none"/>
        </w:rPr>
      </w:pPr>
    </w:p>
    <w:p w14:paraId="20967D92">
      <w:pPr>
        <w:pStyle w:val="2"/>
        <w:spacing w:line="248" w:lineRule="auto"/>
        <w:rPr>
          <w:highlight w:val="none"/>
        </w:rPr>
      </w:pPr>
    </w:p>
    <w:p w14:paraId="5115FD83">
      <w:pPr>
        <w:pStyle w:val="2"/>
        <w:spacing w:line="248" w:lineRule="auto"/>
        <w:rPr>
          <w:highlight w:val="none"/>
        </w:rPr>
      </w:pPr>
    </w:p>
    <w:p w14:paraId="7BEEC5BC">
      <w:pPr>
        <w:pStyle w:val="2"/>
        <w:spacing w:line="249" w:lineRule="auto"/>
        <w:rPr>
          <w:highlight w:val="none"/>
        </w:rPr>
      </w:pPr>
    </w:p>
    <w:p w14:paraId="75AE30CC">
      <w:pPr>
        <w:pStyle w:val="2"/>
        <w:spacing w:line="249" w:lineRule="auto"/>
        <w:rPr>
          <w:highlight w:val="none"/>
        </w:rPr>
      </w:pPr>
    </w:p>
    <w:p w14:paraId="2ACD6C08">
      <w:pPr>
        <w:pStyle w:val="2"/>
        <w:spacing w:line="249" w:lineRule="auto"/>
        <w:rPr>
          <w:highlight w:val="none"/>
        </w:rPr>
      </w:pPr>
    </w:p>
    <w:p w14:paraId="07CEE2C6">
      <w:pPr>
        <w:pStyle w:val="2"/>
        <w:spacing w:line="249" w:lineRule="auto"/>
        <w:rPr>
          <w:highlight w:val="none"/>
        </w:rPr>
      </w:pPr>
    </w:p>
    <w:p w14:paraId="52458E50">
      <w:pPr>
        <w:pStyle w:val="2"/>
        <w:spacing w:line="249" w:lineRule="auto"/>
        <w:rPr>
          <w:highlight w:val="none"/>
        </w:rPr>
      </w:pPr>
    </w:p>
    <w:p w14:paraId="302F2EAC">
      <w:pPr>
        <w:pStyle w:val="2"/>
        <w:spacing w:line="249" w:lineRule="auto"/>
        <w:rPr>
          <w:highlight w:val="none"/>
        </w:rPr>
      </w:pPr>
    </w:p>
    <w:p w14:paraId="642178E5">
      <w:pPr>
        <w:pStyle w:val="2"/>
        <w:spacing w:before="78" w:line="222" w:lineRule="auto"/>
        <w:outlineLvl w:val="1"/>
        <w:rPr>
          <w:rFonts w:ascii="黑体" w:hAnsi="黑体" w:eastAsia="黑体" w:cs="黑体"/>
          <w:sz w:val="24"/>
          <w:szCs w:val="24"/>
          <w:highlight w:val="none"/>
        </w:rPr>
      </w:pPr>
      <w:bookmarkStart w:id="28" w:name="bookmark11"/>
      <w:bookmarkEnd w:id="28"/>
      <w:r>
        <w:rPr>
          <w:spacing w:val="-4"/>
          <w:sz w:val="24"/>
          <w:szCs w:val="24"/>
          <w:highlight w:val="none"/>
        </w:rPr>
        <w:t>7.</w:t>
      </w:r>
      <w:r>
        <w:rPr>
          <w:spacing w:val="58"/>
          <w:sz w:val="24"/>
          <w:szCs w:val="24"/>
          <w:highlight w:val="none"/>
        </w:rPr>
        <w:t xml:space="preserve"> </w:t>
      </w:r>
      <w:r>
        <w:rPr>
          <w:rFonts w:ascii="黑体" w:hAnsi="黑体" w:eastAsia="黑体" w:cs="黑体"/>
          <w:spacing w:val="-4"/>
          <w:sz w:val="24"/>
          <w:szCs w:val="24"/>
          <w:highlight w:val="none"/>
        </w:rPr>
        <w:t>合同授予</w:t>
      </w:r>
    </w:p>
    <w:p w14:paraId="08F015B5">
      <w:pPr>
        <w:pStyle w:val="2"/>
        <w:spacing w:before="188" w:line="221" w:lineRule="auto"/>
        <w:rPr>
          <w:rFonts w:ascii="黑体" w:hAnsi="黑体" w:eastAsia="黑体" w:cs="黑体"/>
          <w:sz w:val="22"/>
          <w:szCs w:val="22"/>
          <w:highlight w:val="none"/>
        </w:rPr>
      </w:pPr>
      <w:r>
        <w:rPr>
          <w:spacing w:val="-3"/>
          <w:sz w:val="22"/>
          <w:szCs w:val="22"/>
          <w:highlight w:val="none"/>
        </w:rPr>
        <w:t>7.1</w:t>
      </w:r>
      <w:r>
        <w:rPr>
          <w:spacing w:val="58"/>
          <w:w w:val="101"/>
          <w:sz w:val="22"/>
          <w:szCs w:val="22"/>
          <w:highlight w:val="none"/>
        </w:rPr>
        <w:t xml:space="preserve"> </w:t>
      </w:r>
      <w:r>
        <w:rPr>
          <w:rFonts w:ascii="黑体" w:hAnsi="黑体" w:eastAsia="黑体" w:cs="黑体"/>
          <w:spacing w:val="-3"/>
          <w:sz w:val="22"/>
          <w:szCs w:val="22"/>
          <w:highlight w:val="none"/>
        </w:rPr>
        <w:t>定标方式</w:t>
      </w:r>
    </w:p>
    <w:p w14:paraId="5FCDB256">
      <w:pPr>
        <w:spacing w:before="137" w:line="346" w:lineRule="auto"/>
        <w:ind w:right="88" w:firstLine="420"/>
        <w:rPr>
          <w:rFonts w:ascii="宋体" w:hAnsi="宋体" w:eastAsia="宋体" w:cs="宋体"/>
          <w:sz w:val="22"/>
          <w:szCs w:val="22"/>
          <w:highlight w:val="none"/>
        </w:rPr>
      </w:pPr>
      <w:r>
        <w:rPr>
          <w:rFonts w:ascii="宋体" w:hAnsi="宋体" w:eastAsia="宋体" w:cs="宋体"/>
          <w:spacing w:val="-12"/>
          <w:sz w:val="22"/>
          <w:szCs w:val="22"/>
          <w:highlight w:val="none"/>
        </w:rPr>
        <w:t>除投标人须知前附表规定评标委员会直接确定中标人外，招标人依据评标委员会推荐的</w:t>
      </w:r>
      <w:r>
        <w:rPr>
          <w:rFonts w:ascii="宋体" w:hAnsi="宋体" w:eastAsia="宋体" w:cs="宋体"/>
          <w:spacing w:val="1"/>
          <w:sz w:val="22"/>
          <w:szCs w:val="22"/>
          <w:highlight w:val="none"/>
        </w:rPr>
        <w:t xml:space="preserve"> </w:t>
      </w:r>
      <w:r>
        <w:rPr>
          <w:rFonts w:ascii="宋体" w:hAnsi="宋体" w:eastAsia="宋体" w:cs="宋体"/>
          <w:spacing w:val="-10"/>
          <w:sz w:val="22"/>
          <w:szCs w:val="22"/>
          <w:highlight w:val="none"/>
        </w:rPr>
        <w:t>中标候选人确定中标人，评标委员会推荐中标候选人的人数见投标人须知前附表。</w:t>
      </w:r>
    </w:p>
    <w:p w14:paraId="204051E0">
      <w:pPr>
        <w:pStyle w:val="2"/>
        <w:spacing w:before="66" w:line="222" w:lineRule="auto"/>
        <w:rPr>
          <w:rFonts w:ascii="黑体" w:hAnsi="黑体" w:eastAsia="黑体" w:cs="黑体"/>
          <w:sz w:val="22"/>
          <w:szCs w:val="22"/>
          <w:highlight w:val="none"/>
        </w:rPr>
      </w:pPr>
      <w:r>
        <w:rPr>
          <w:spacing w:val="-5"/>
          <w:sz w:val="22"/>
          <w:szCs w:val="22"/>
          <w:highlight w:val="none"/>
        </w:rPr>
        <w:t>7.2</w:t>
      </w:r>
      <w:r>
        <w:rPr>
          <w:spacing w:val="8"/>
          <w:sz w:val="22"/>
          <w:szCs w:val="22"/>
          <w:highlight w:val="none"/>
        </w:rPr>
        <w:t xml:space="preserve">  </w:t>
      </w:r>
      <w:r>
        <w:rPr>
          <w:rFonts w:ascii="黑体" w:hAnsi="黑体" w:eastAsia="黑体" w:cs="黑体"/>
          <w:spacing w:val="-5"/>
          <w:sz w:val="22"/>
          <w:szCs w:val="22"/>
          <w:highlight w:val="none"/>
        </w:rPr>
        <w:t>中标通知</w:t>
      </w:r>
    </w:p>
    <w:p w14:paraId="373275FB">
      <w:pPr>
        <w:spacing w:before="133" w:line="345" w:lineRule="auto"/>
        <w:ind w:right="95" w:firstLine="420"/>
        <w:rPr>
          <w:rFonts w:ascii="宋体" w:hAnsi="宋体" w:eastAsia="宋体" w:cs="宋体"/>
          <w:sz w:val="21"/>
          <w:szCs w:val="21"/>
          <w:highlight w:val="none"/>
        </w:rPr>
      </w:pPr>
      <w:r>
        <w:rPr>
          <w:rFonts w:ascii="宋体" w:hAnsi="宋体" w:eastAsia="宋体" w:cs="宋体"/>
          <w:spacing w:val="1"/>
          <w:sz w:val="21"/>
          <w:szCs w:val="21"/>
          <w:highlight w:val="none"/>
        </w:rPr>
        <w:t>评标结果公示期满后，在本章第3.3款规定的投标</w:t>
      </w:r>
      <w:r>
        <w:rPr>
          <w:rFonts w:ascii="宋体" w:hAnsi="宋体" w:eastAsia="宋体" w:cs="宋体"/>
          <w:sz w:val="21"/>
          <w:szCs w:val="21"/>
          <w:highlight w:val="none"/>
        </w:rPr>
        <w:t xml:space="preserve">有效期内，招标人通过“电子交易平 </w:t>
      </w:r>
      <w:r>
        <w:rPr>
          <w:rFonts w:ascii="宋体" w:hAnsi="宋体" w:eastAsia="宋体" w:cs="宋体"/>
          <w:spacing w:val="-1"/>
          <w:sz w:val="21"/>
          <w:szCs w:val="21"/>
          <w:highlight w:val="none"/>
        </w:rPr>
        <w:t>台”以书面形式向中标人发出中标通知书，同时将中标结果通知未中标的投标人。</w:t>
      </w:r>
    </w:p>
    <w:p w14:paraId="2C695F01">
      <w:pPr>
        <w:spacing w:before="16" w:line="361" w:lineRule="auto"/>
        <w:ind w:right="92" w:firstLine="420"/>
        <w:rPr>
          <w:rFonts w:ascii="宋体" w:hAnsi="宋体" w:eastAsia="宋体" w:cs="宋体"/>
          <w:sz w:val="21"/>
          <w:szCs w:val="21"/>
          <w:highlight w:val="none"/>
        </w:rPr>
      </w:pPr>
      <w:r>
        <w:rPr>
          <w:rFonts w:ascii="宋体" w:hAnsi="宋体" w:eastAsia="宋体" w:cs="宋体"/>
          <w:spacing w:val="1"/>
          <w:sz w:val="21"/>
          <w:szCs w:val="21"/>
          <w:highlight w:val="none"/>
        </w:rPr>
        <w:t>中标通知书发出的同时，招标人将在投标人须知前附表第6</w:t>
      </w:r>
      <w:r>
        <w:rPr>
          <w:rFonts w:ascii="宋体" w:hAnsi="宋体" w:eastAsia="宋体" w:cs="宋体"/>
          <w:sz w:val="21"/>
          <w:szCs w:val="21"/>
          <w:highlight w:val="none"/>
        </w:rPr>
        <w:t xml:space="preserve">.4款规定的媒介发布中标结 </w:t>
      </w:r>
      <w:r>
        <w:rPr>
          <w:rFonts w:ascii="宋体" w:hAnsi="宋体" w:eastAsia="宋体" w:cs="宋体"/>
          <w:spacing w:val="-9"/>
          <w:sz w:val="21"/>
          <w:szCs w:val="21"/>
          <w:highlight w:val="none"/>
        </w:rPr>
        <w:t>果公告。</w:t>
      </w:r>
    </w:p>
    <w:p w14:paraId="493C0285">
      <w:pPr>
        <w:spacing w:before="48" w:line="222" w:lineRule="auto"/>
        <w:rPr>
          <w:rFonts w:ascii="黑体" w:hAnsi="黑体" w:eastAsia="黑体" w:cs="黑体"/>
          <w:sz w:val="22"/>
          <w:szCs w:val="22"/>
          <w:highlight w:val="none"/>
        </w:rPr>
      </w:pPr>
      <w:r>
        <w:rPr>
          <w:rFonts w:ascii="黑体" w:hAnsi="黑体" w:eastAsia="黑体" w:cs="黑体"/>
          <w:spacing w:val="4"/>
          <w:sz w:val="22"/>
          <w:szCs w:val="22"/>
          <w:highlight w:val="none"/>
        </w:rPr>
        <w:t>7.3履约保证金</w:t>
      </w:r>
    </w:p>
    <w:p w14:paraId="04D878F3">
      <w:pPr>
        <w:spacing w:before="135" w:line="350" w:lineRule="auto"/>
        <w:ind w:right="95" w:firstLine="420"/>
        <w:jc w:val="both"/>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7.3.1  </w:t>
      </w:r>
      <w:r>
        <w:rPr>
          <w:rFonts w:ascii="宋体" w:hAnsi="宋体" w:eastAsia="宋体" w:cs="宋体"/>
          <w:spacing w:val="1"/>
          <w:sz w:val="21"/>
          <w:szCs w:val="21"/>
          <w:highlight w:val="none"/>
        </w:rPr>
        <w:t>在签订合同前，中标人应按投标人须</w:t>
      </w:r>
      <w:r>
        <w:rPr>
          <w:rFonts w:ascii="宋体" w:hAnsi="宋体" w:eastAsia="宋体" w:cs="宋体"/>
          <w:sz w:val="21"/>
          <w:szCs w:val="21"/>
          <w:highlight w:val="none"/>
        </w:rPr>
        <w:t xml:space="preserve">知前附表规定的金额、担保形式和招标文件 </w:t>
      </w:r>
      <w:r>
        <w:rPr>
          <w:rFonts w:ascii="宋体" w:hAnsi="宋体" w:eastAsia="宋体" w:cs="宋体"/>
          <w:spacing w:val="-2"/>
          <w:sz w:val="21"/>
          <w:szCs w:val="21"/>
          <w:highlight w:val="none"/>
        </w:rPr>
        <w:t>第四章“合同条款及格式”规定的履约保证金格式或者事先经过招标人书面认可的履约</w:t>
      </w:r>
      <w:r>
        <w:rPr>
          <w:rFonts w:ascii="宋体" w:hAnsi="宋体" w:eastAsia="宋体" w:cs="宋体"/>
          <w:spacing w:val="-3"/>
          <w:sz w:val="21"/>
          <w:szCs w:val="21"/>
          <w:highlight w:val="none"/>
        </w:rPr>
        <w:t>保证</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金格式向招标人提交履约担保。除投标人须知前附表另有规定</w:t>
      </w:r>
      <w:r>
        <w:rPr>
          <w:rFonts w:ascii="宋体" w:hAnsi="宋体" w:eastAsia="宋体" w:cs="宋体"/>
          <w:spacing w:val="-3"/>
          <w:sz w:val="21"/>
          <w:szCs w:val="21"/>
          <w:highlight w:val="none"/>
        </w:rPr>
        <w:t>外，履约担保金额为中标合同</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金额的10%。联合体中标的，其履约保证金由牵</w:t>
      </w:r>
      <w:r>
        <w:rPr>
          <w:rFonts w:ascii="宋体" w:hAnsi="宋体" w:eastAsia="宋体" w:cs="宋体"/>
          <w:sz w:val="21"/>
          <w:szCs w:val="21"/>
          <w:highlight w:val="none"/>
        </w:rPr>
        <w:t xml:space="preserve">头人递交，并应符合投标人须知前附表的规 </w:t>
      </w:r>
      <w:r>
        <w:rPr>
          <w:rFonts w:ascii="宋体" w:hAnsi="宋体" w:eastAsia="宋体" w:cs="宋体"/>
          <w:spacing w:val="-4"/>
          <w:sz w:val="21"/>
          <w:szCs w:val="21"/>
          <w:highlight w:val="none"/>
        </w:rPr>
        <w:t>定。</w:t>
      </w:r>
    </w:p>
    <w:p w14:paraId="3C04FDB2">
      <w:pPr>
        <w:spacing w:before="1" w:line="337" w:lineRule="auto"/>
        <w:ind w:right="77" w:firstLine="420"/>
        <w:jc w:val="both"/>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7.3.2  </w:t>
      </w:r>
      <w:r>
        <w:rPr>
          <w:rFonts w:ascii="宋体" w:hAnsi="宋体" w:eastAsia="宋体" w:cs="宋体"/>
          <w:spacing w:val="-7"/>
          <w:sz w:val="22"/>
          <w:szCs w:val="22"/>
          <w:highlight w:val="none"/>
        </w:rPr>
        <w:t>中标人不能按本章第7.3.1</w:t>
      </w:r>
      <w:r>
        <w:rPr>
          <w:rFonts w:ascii="宋体" w:hAnsi="宋体" w:eastAsia="宋体" w:cs="宋体"/>
          <w:spacing w:val="-26"/>
          <w:sz w:val="22"/>
          <w:szCs w:val="22"/>
          <w:highlight w:val="none"/>
        </w:rPr>
        <w:t xml:space="preserve"> </w:t>
      </w:r>
      <w:r>
        <w:rPr>
          <w:rFonts w:ascii="宋体" w:hAnsi="宋体" w:eastAsia="宋体" w:cs="宋体"/>
          <w:spacing w:val="-7"/>
          <w:sz w:val="22"/>
          <w:szCs w:val="22"/>
          <w:highlight w:val="none"/>
        </w:rPr>
        <w:t>项要求提交履约保证金的，视为放弃中标，其投标保</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证金不予退还，给招标人造成的损失超过投标保证金数额的，中标人还应当对超过部分予以</w:t>
      </w:r>
      <w:r>
        <w:rPr>
          <w:rFonts w:ascii="宋体" w:hAnsi="宋体" w:eastAsia="宋体" w:cs="宋体"/>
          <w:spacing w:val="7"/>
          <w:sz w:val="22"/>
          <w:szCs w:val="22"/>
          <w:highlight w:val="none"/>
        </w:rPr>
        <w:t xml:space="preserve"> </w:t>
      </w:r>
      <w:r>
        <w:rPr>
          <w:rFonts w:ascii="宋体" w:hAnsi="宋体" w:eastAsia="宋体" w:cs="宋体"/>
          <w:spacing w:val="-9"/>
          <w:sz w:val="22"/>
          <w:szCs w:val="22"/>
          <w:highlight w:val="none"/>
        </w:rPr>
        <w:t>赔偿。</w:t>
      </w:r>
    </w:p>
    <w:p w14:paraId="4AE3ED13">
      <w:pPr>
        <w:pStyle w:val="2"/>
        <w:spacing w:before="76" w:line="223" w:lineRule="auto"/>
        <w:rPr>
          <w:rFonts w:ascii="黑体" w:hAnsi="黑体" w:eastAsia="黑体" w:cs="黑体"/>
          <w:sz w:val="22"/>
          <w:szCs w:val="22"/>
          <w:highlight w:val="none"/>
        </w:rPr>
      </w:pPr>
      <w:r>
        <w:rPr>
          <w:spacing w:val="-2"/>
          <w:sz w:val="22"/>
          <w:szCs w:val="22"/>
          <w:highlight w:val="none"/>
        </w:rPr>
        <w:t xml:space="preserve">7.4  </w:t>
      </w:r>
      <w:r>
        <w:rPr>
          <w:rFonts w:ascii="黑体" w:hAnsi="黑体" w:eastAsia="黑体" w:cs="黑体"/>
          <w:spacing w:val="-2"/>
          <w:sz w:val="22"/>
          <w:szCs w:val="22"/>
          <w:highlight w:val="none"/>
        </w:rPr>
        <w:t>签订合同</w:t>
      </w:r>
    </w:p>
    <w:p w14:paraId="6DC5E975">
      <w:pPr>
        <w:spacing w:before="144" w:line="325" w:lineRule="auto"/>
        <w:ind w:right="87" w:firstLine="420"/>
        <w:rPr>
          <w:rFonts w:ascii="宋体" w:hAnsi="宋体" w:eastAsia="宋体" w:cs="宋体"/>
          <w:sz w:val="21"/>
          <w:szCs w:val="21"/>
          <w:highlight w:val="none"/>
        </w:rPr>
      </w:pPr>
      <w:r>
        <w:rPr>
          <w:rFonts w:ascii="宋体" w:hAnsi="宋体" w:eastAsia="宋体" w:cs="宋体"/>
          <w:spacing w:val="1"/>
          <w:sz w:val="21"/>
          <w:szCs w:val="21"/>
          <w:highlight w:val="none"/>
        </w:rPr>
        <w:t>7.4.1招标人和中标人应当在投标有效期内并自中标通知书发出之</w:t>
      </w:r>
      <w:r>
        <w:rPr>
          <w:rFonts w:ascii="宋体" w:hAnsi="宋体" w:eastAsia="宋体" w:cs="宋体"/>
          <w:sz w:val="21"/>
          <w:szCs w:val="21"/>
          <w:highlight w:val="none"/>
        </w:rPr>
        <w:t xml:space="preserve">日起30日内，根据招 </w:t>
      </w:r>
      <w:r>
        <w:rPr>
          <w:rFonts w:ascii="宋体" w:hAnsi="宋体" w:eastAsia="宋体" w:cs="宋体"/>
          <w:spacing w:val="3"/>
          <w:sz w:val="21"/>
          <w:szCs w:val="21"/>
          <w:highlight w:val="none"/>
        </w:rPr>
        <w:t>标文件和中标人的投标文件(以经评标委员会评审的文件版本为准)订立书面合同。中标人</w:t>
      </w:r>
      <w:r>
        <w:rPr>
          <w:rFonts w:ascii="宋体" w:hAnsi="宋体" w:eastAsia="宋体" w:cs="宋体"/>
          <w:spacing w:val="8"/>
          <w:sz w:val="21"/>
          <w:szCs w:val="21"/>
          <w:highlight w:val="none"/>
        </w:rPr>
        <w:t xml:space="preserve"> </w:t>
      </w:r>
      <w:r>
        <w:rPr>
          <w:rFonts w:ascii="宋体" w:hAnsi="宋体" w:eastAsia="宋体" w:cs="宋体"/>
          <w:spacing w:val="-2"/>
          <w:sz w:val="21"/>
          <w:szCs w:val="21"/>
          <w:highlight w:val="none"/>
        </w:rPr>
        <w:t>无正当理由拒签合同或在签订合同时向招标人提出附加条件的，招标人取消其中标资格</w:t>
      </w:r>
      <w:r>
        <w:rPr>
          <w:rFonts w:ascii="宋体" w:hAnsi="宋体" w:eastAsia="宋体" w:cs="宋体"/>
          <w:spacing w:val="-3"/>
          <w:sz w:val="21"/>
          <w:szCs w:val="21"/>
          <w:highlight w:val="none"/>
        </w:rPr>
        <w:t>，其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投标保证金不予退还；给招标人造成的损失超过投标保证金数额的，中标人还应当对超过部</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分予以赔偿。</w:t>
      </w:r>
    </w:p>
    <w:p w14:paraId="76D796B0">
      <w:pPr>
        <w:spacing w:before="171" w:line="265" w:lineRule="auto"/>
        <w:ind w:right="77" w:firstLine="42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7.4.2</w:t>
      </w:r>
      <w:r>
        <w:rPr>
          <w:rFonts w:ascii="Times New Roman" w:hAnsi="Times New Roman" w:eastAsia="Times New Roman" w:cs="Times New Roman"/>
          <w:spacing w:val="43"/>
          <w:sz w:val="22"/>
          <w:szCs w:val="22"/>
          <w:highlight w:val="none"/>
        </w:rPr>
        <w:t xml:space="preserve"> </w:t>
      </w:r>
      <w:r>
        <w:rPr>
          <w:rFonts w:ascii="宋体" w:hAnsi="宋体" w:eastAsia="宋体" w:cs="宋体"/>
          <w:spacing w:val="-8"/>
          <w:sz w:val="22"/>
          <w:szCs w:val="22"/>
          <w:highlight w:val="none"/>
        </w:rPr>
        <w:t>发出中标通知书后，招标人无正当理由拒签合同的，招标人向中标人退还投</w:t>
      </w:r>
      <w:r>
        <w:rPr>
          <w:rFonts w:ascii="宋体" w:hAnsi="宋体" w:eastAsia="宋体" w:cs="宋体"/>
          <w:spacing w:val="-9"/>
          <w:sz w:val="22"/>
          <w:szCs w:val="22"/>
          <w:highlight w:val="none"/>
        </w:rPr>
        <w:t>标保</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证金；给中标人造成损失的，还应当赔偿损失。</w:t>
      </w:r>
    </w:p>
    <w:p w14:paraId="46D09A29">
      <w:pPr>
        <w:spacing w:before="147" w:line="218"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7.4.3签约合同价的确定原则如下：</w:t>
      </w:r>
    </w:p>
    <w:p w14:paraId="145B6608">
      <w:pPr>
        <w:spacing w:before="169" w:line="327" w:lineRule="auto"/>
        <w:ind w:firstLine="420"/>
        <w:rPr>
          <w:rFonts w:ascii="宋体" w:hAnsi="宋体" w:eastAsia="宋体" w:cs="宋体"/>
          <w:sz w:val="21"/>
          <w:szCs w:val="21"/>
          <w:highlight w:val="none"/>
        </w:rPr>
      </w:pPr>
      <w:r>
        <w:rPr>
          <w:rFonts w:ascii="宋体" w:hAnsi="宋体" w:eastAsia="宋体" w:cs="宋体"/>
          <w:spacing w:val="-2"/>
          <w:sz w:val="21"/>
          <w:szCs w:val="21"/>
          <w:highlight w:val="none"/>
        </w:rPr>
        <w:t>开标时投标函中大写投标总价应为签约合同价。按照第三章“评标办法</w:t>
      </w:r>
      <w:r>
        <w:rPr>
          <w:rFonts w:ascii="宋体" w:hAnsi="宋体" w:eastAsia="宋体" w:cs="宋体"/>
          <w:spacing w:val="-3"/>
          <w:sz w:val="21"/>
          <w:szCs w:val="21"/>
          <w:highlight w:val="none"/>
        </w:rPr>
        <w:t>”的规定，如投</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标报价有算术错误的，修正的价格经投标人书面确认后，以修正后的投标总价为签约合同价。</w:t>
      </w:r>
    </w:p>
    <w:p w14:paraId="5C3BB940">
      <w:pPr>
        <w:spacing w:before="49" w:line="371" w:lineRule="auto"/>
        <w:ind w:right="87" w:firstLine="420"/>
        <w:rPr>
          <w:rFonts w:ascii="宋体" w:hAnsi="宋体" w:eastAsia="宋体" w:cs="宋体"/>
          <w:sz w:val="20"/>
          <w:szCs w:val="20"/>
          <w:highlight w:val="none"/>
        </w:rPr>
      </w:pPr>
      <w:r>
        <w:rPr>
          <w:rFonts w:ascii="宋体" w:hAnsi="宋体" w:eastAsia="宋体" w:cs="宋体"/>
          <w:spacing w:val="12"/>
          <w:sz w:val="20"/>
          <w:szCs w:val="20"/>
          <w:highlight w:val="none"/>
        </w:rPr>
        <w:t>7.4.4中标人应当在合同签订后15 日内，登录“电子交易平台”提交电子合同文件归</w:t>
      </w:r>
      <w:r>
        <w:rPr>
          <w:rFonts w:ascii="宋体" w:hAnsi="宋体" w:eastAsia="宋体" w:cs="宋体"/>
          <w:spacing w:val="14"/>
          <w:sz w:val="20"/>
          <w:szCs w:val="20"/>
          <w:highlight w:val="none"/>
        </w:rPr>
        <w:t xml:space="preserve"> </w:t>
      </w:r>
      <w:r>
        <w:rPr>
          <w:rFonts w:ascii="宋体" w:hAnsi="宋体" w:eastAsia="宋体" w:cs="宋体"/>
          <w:sz w:val="20"/>
          <w:szCs w:val="20"/>
          <w:highlight w:val="none"/>
        </w:rPr>
        <w:t>档。</w:t>
      </w:r>
    </w:p>
    <w:p w14:paraId="2184B014">
      <w:pPr>
        <w:spacing w:line="371" w:lineRule="auto"/>
        <w:rPr>
          <w:rFonts w:ascii="宋体" w:hAnsi="宋体" w:eastAsia="宋体" w:cs="宋体"/>
          <w:sz w:val="20"/>
          <w:szCs w:val="20"/>
          <w:highlight w:val="none"/>
        </w:rPr>
        <w:sectPr>
          <w:footerReference r:id="rId36" w:type="default"/>
          <w:pgSz w:w="11910" w:h="16840"/>
          <w:pgMar w:top="400" w:right="1724" w:bottom="1238" w:left="1769" w:header="0" w:footer="1007" w:gutter="0"/>
          <w:cols w:space="720" w:num="1"/>
        </w:sectPr>
      </w:pPr>
    </w:p>
    <w:p w14:paraId="516C29A9">
      <w:pPr>
        <w:pStyle w:val="2"/>
        <w:spacing w:line="316" w:lineRule="auto"/>
        <w:rPr>
          <w:highlight w:val="none"/>
        </w:rPr>
      </w:pPr>
    </w:p>
    <w:p w14:paraId="37392D86">
      <w:pPr>
        <w:pStyle w:val="2"/>
        <w:spacing w:line="317" w:lineRule="auto"/>
        <w:rPr>
          <w:highlight w:val="none"/>
        </w:rPr>
      </w:pPr>
    </w:p>
    <w:p w14:paraId="313FD497">
      <w:pPr>
        <w:pStyle w:val="2"/>
        <w:spacing w:line="317" w:lineRule="auto"/>
        <w:rPr>
          <w:highlight w:val="none"/>
        </w:rPr>
      </w:pPr>
    </w:p>
    <w:p w14:paraId="380AB41C">
      <w:pPr>
        <w:pStyle w:val="2"/>
        <w:spacing w:before="78" w:line="327" w:lineRule="exact"/>
        <w:outlineLvl w:val="1"/>
        <w:rPr>
          <w:rFonts w:ascii="黑体" w:hAnsi="黑体" w:eastAsia="黑体" w:cs="黑体"/>
          <w:sz w:val="24"/>
          <w:szCs w:val="24"/>
          <w:highlight w:val="none"/>
        </w:rPr>
      </w:pPr>
      <w:bookmarkStart w:id="29" w:name="bookmark12"/>
      <w:bookmarkEnd w:id="29"/>
      <w:bookmarkStart w:id="30" w:name="bookmark200"/>
      <w:bookmarkEnd w:id="30"/>
      <w:r>
        <w:rPr>
          <w:position w:val="1"/>
          <w:sz w:val="24"/>
          <w:szCs w:val="24"/>
          <w:highlight w:val="none"/>
        </w:rPr>
        <w:t>8.</w:t>
      </w:r>
      <w:r>
        <w:rPr>
          <w:spacing w:val="49"/>
          <w:position w:val="1"/>
          <w:sz w:val="24"/>
          <w:szCs w:val="24"/>
          <w:highlight w:val="none"/>
        </w:rPr>
        <w:t xml:space="preserve"> </w:t>
      </w:r>
      <w:r>
        <w:rPr>
          <w:rFonts w:ascii="黑体" w:hAnsi="黑体" w:eastAsia="黑体" w:cs="黑体"/>
          <w:position w:val="1"/>
          <w:sz w:val="24"/>
          <w:szCs w:val="24"/>
          <w:highlight w:val="none"/>
        </w:rPr>
        <w:t>重新招标、不再招标和终止招标</w:t>
      </w:r>
    </w:p>
    <w:p w14:paraId="613CF97A">
      <w:pPr>
        <w:pStyle w:val="2"/>
        <w:spacing w:before="135" w:line="300" w:lineRule="exact"/>
        <w:rPr>
          <w:rFonts w:ascii="黑体" w:hAnsi="黑体" w:eastAsia="黑体" w:cs="黑体"/>
          <w:sz w:val="22"/>
          <w:szCs w:val="22"/>
          <w:highlight w:val="none"/>
        </w:rPr>
      </w:pPr>
      <w:r>
        <w:rPr>
          <w:spacing w:val="-3"/>
          <w:position w:val="1"/>
          <w:sz w:val="22"/>
          <w:szCs w:val="22"/>
          <w:highlight w:val="none"/>
        </w:rPr>
        <w:t>8.1</w:t>
      </w:r>
      <w:r>
        <w:rPr>
          <w:spacing w:val="52"/>
          <w:w w:val="101"/>
          <w:position w:val="1"/>
          <w:sz w:val="22"/>
          <w:szCs w:val="22"/>
          <w:highlight w:val="none"/>
        </w:rPr>
        <w:t xml:space="preserve"> </w:t>
      </w:r>
      <w:r>
        <w:rPr>
          <w:rFonts w:ascii="黑体" w:hAnsi="黑体" w:eastAsia="黑体" w:cs="黑体"/>
          <w:spacing w:val="-3"/>
          <w:position w:val="1"/>
          <w:sz w:val="22"/>
          <w:szCs w:val="22"/>
          <w:highlight w:val="none"/>
        </w:rPr>
        <w:t>重新招标</w:t>
      </w:r>
    </w:p>
    <w:p w14:paraId="5247654C">
      <w:pPr>
        <w:spacing w:before="151" w:line="219"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有下列情形之一的，招标人将重新招标：</w:t>
      </w:r>
    </w:p>
    <w:p w14:paraId="078C7E94">
      <w:pPr>
        <w:spacing w:before="148" w:line="219" w:lineRule="auto"/>
        <w:ind w:left="530"/>
        <w:rPr>
          <w:rFonts w:ascii="宋体" w:hAnsi="宋体" w:eastAsia="宋体" w:cs="宋体"/>
          <w:sz w:val="21"/>
          <w:szCs w:val="21"/>
          <w:highlight w:val="none"/>
        </w:rPr>
      </w:pPr>
      <w:r>
        <w:rPr>
          <w:rFonts w:ascii="宋体" w:hAnsi="宋体" w:eastAsia="宋体" w:cs="宋体"/>
          <w:spacing w:val="9"/>
          <w:sz w:val="21"/>
          <w:szCs w:val="21"/>
          <w:highlight w:val="none"/>
        </w:rPr>
        <w:t>(1)投标截止时间止，投标人少于3个的；</w:t>
      </w:r>
    </w:p>
    <w:p w14:paraId="5F94E8D9">
      <w:pPr>
        <w:spacing w:before="130" w:line="219" w:lineRule="auto"/>
        <w:ind w:left="530"/>
        <w:rPr>
          <w:rFonts w:ascii="宋体" w:hAnsi="宋体" w:eastAsia="宋体" w:cs="宋体"/>
          <w:sz w:val="22"/>
          <w:szCs w:val="22"/>
          <w:highlight w:val="none"/>
        </w:rPr>
      </w:pPr>
      <w:r>
        <w:rPr>
          <w:rFonts w:ascii="宋体" w:hAnsi="宋体" w:eastAsia="宋体" w:cs="宋体"/>
          <w:spacing w:val="-5"/>
          <w:sz w:val="22"/>
          <w:szCs w:val="22"/>
          <w:highlight w:val="none"/>
        </w:rPr>
        <w:t>(2)经评标委员会评审后否决所有投标的；</w:t>
      </w:r>
    </w:p>
    <w:p w14:paraId="39C8C9D9">
      <w:pPr>
        <w:spacing w:before="151" w:line="219" w:lineRule="auto"/>
        <w:ind w:left="530"/>
        <w:rPr>
          <w:rFonts w:ascii="宋体" w:hAnsi="宋体" w:eastAsia="宋体" w:cs="宋体"/>
          <w:sz w:val="22"/>
          <w:szCs w:val="22"/>
          <w:highlight w:val="none"/>
        </w:rPr>
      </w:pPr>
      <w:r>
        <w:rPr>
          <w:rFonts w:ascii="宋体" w:hAnsi="宋体" w:eastAsia="宋体" w:cs="宋体"/>
          <w:spacing w:val="-7"/>
          <w:sz w:val="22"/>
          <w:szCs w:val="22"/>
          <w:highlight w:val="none"/>
        </w:rPr>
        <w:t>(3)第一中标候选人或所有中标候选人均未与招标人签订合同的；</w:t>
      </w:r>
    </w:p>
    <w:p w14:paraId="6D5C86F1">
      <w:pPr>
        <w:spacing w:before="139" w:line="219" w:lineRule="auto"/>
        <w:ind w:left="530"/>
        <w:rPr>
          <w:rFonts w:ascii="宋体" w:hAnsi="宋体" w:eastAsia="宋体" w:cs="宋体"/>
          <w:sz w:val="22"/>
          <w:szCs w:val="22"/>
          <w:highlight w:val="none"/>
        </w:rPr>
      </w:pPr>
      <w:r>
        <w:rPr>
          <w:rFonts w:ascii="宋体" w:hAnsi="宋体" w:eastAsia="宋体" w:cs="宋体"/>
          <w:spacing w:val="-3"/>
          <w:sz w:val="22"/>
          <w:szCs w:val="22"/>
          <w:highlight w:val="none"/>
        </w:rPr>
        <w:t>(4)法律、法规规定的其他情形。</w:t>
      </w:r>
    </w:p>
    <w:p w14:paraId="2CD06009">
      <w:pPr>
        <w:pStyle w:val="2"/>
        <w:spacing w:before="158" w:line="300" w:lineRule="exact"/>
        <w:rPr>
          <w:rFonts w:ascii="黑体" w:hAnsi="黑体" w:eastAsia="黑体" w:cs="黑体"/>
          <w:sz w:val="22"/>
          <w:szCs w:val="22"/>
          <w:highlight w:val="none"/>
        </w:rPr>
      </w:pPr>
      <w:r>
        <w:rPr>
          <w:spacing w:val="-5"/>
          <w:position w:val="1"/>
          <w:sz w:val="22"/>
          <w:szCs w:val="22"/>
          <w:highlight w:val="none"/>
        </w:rPr>
        <w:t xml:space="preserve">8.2  </w:t>
      </w:r>
      <w:r>
        <w:rPr>
          <w:rFonts w:ascii="黑体" w:hAnsi="黑体" w:eastAsia="黑体" w:cs="黑体"/>
          <w:spacing w:val="-5"/>
          <w:position w:val="1"/>
          <w:sz w:val="22"/>
          <w:szCs w:val="22"/>
          <w:highlight w:val="none"/>
        </w:rPr>
        <w:t>不再招标</w:t>
      </w:r>
    </w:p>
    <w:p w14:paraId="3BE31B70">
      <w:pPr>
        <w:spacing w:before="170" w:line="345" w:lineRule="auto"/>
        <w:ind w:right="74" w:firstLine="430"/>
        <w:rPr>
          <w:rFonts w:ascii="宋体" w:hAnsi="宋体" w:eastAsia="宋体" w:cs="宋体"/>
          <w:sz w:val="21"/>
          <w:szCs w:val="21"/>
          <w:highlight w:val="none"/>
        </w:rPr>
      </w:pPr>
      <w:r>
        <w:rPr>
          <w:rFonts w:ascii="宋体" w:hAnsi="宋体" w:eastAsia="宋体" w:cs="宋体"/>
          <w:spacing w:val="1"/>
          <w:sz w:val="21"/>
          <w:szCs w:val="21"/>
          <w:highlight w:val="none"/>
        </w:rPr>
        <w:t>重新招标后投标人仍少于3个或者所有投标被否决的，</w:t>
      </w:r>
      <w:r>
        <w:rPr>
          <w:rFonts w:ascii="宋体" w:hAnsi="宋体" w:eastAsia="宋体" w:cs="宋体"/>
          <w:sz w:val="21"/>
          <w:szCs w:val="21"/>
          <w:highlight w:val="none"/>
        </w:rPr>
        <w:t xml:space="preserve">属于必须审批或核准的工程建设 </w:t>
      </w:r>
      <w:r>
        <w:rPr>
          <w:rFonts w:ascii="宋体" w:hAnsi="宋体" w:eastAsia="宋体" w:cs="宋体"/>
          <w:spacing w:val="-2"/>
          <w:sz w:val="21"/>
          <w:szCs w:val="21"/>
          <w:highlight w:val="none"/>
        </w:rPr>
        <w:t>项目，经原审批或核准部门批准后不再进行招标。</w:t>
      </w:r>
    </w:p>
    <w:p w14:paraId="0F2857CC">
      <w:pPr>
        <w:spacing w:before="76" w:line="223" w:lineRule="auto"/>
        <w:rPr>
          <w:rFonts w:ascii="黑体" w:hAnsi="黑体" w:eastAsia="黑体" w:cs="黑体"/>
          <w:sz w:val="22"/>
          <w:szCs w:val="22"/>
          <w:highlight w:val="none"/>
        </w:rPr>
      </w:pPr>
      <w:r>
        <w:rPr>
          <w:rFonts w:ascii="黑体" w:hAnsi="黑体" w:eastAsia="黑体" w:cs="黑体"/>
          <w:spacing w:val="6"/>
          <w:sz w:val="22"/>
          <w:szCs w:val="22"/>
          <w:highlight w:val="none"/>
        </w:rPr>
        <w:t>8.3终止招标</w:t>
      </w:r>
    </w:p>
    <w:p w14:paraId="175DDB0C">
      <w:pPr>
        <w:spacing w:before="170" w:line="346" w:lineRule="auto"/>
        <w:ind w:right="75" w:firstLine="430"/>
        <w:jc w:val="both"/>
        <w:rPr>
          <w:rFonts w:ascii="宋体" w:hAnsi="宋体" w:eastAsia="宋体" w:cs="宋体"/>
          <w:sz w:val="20"/>
          <w:szCs w:val="20"/>
          <w:highlight w:val="none"/>
        </w:rPr>
      </w:pPr>
      <w:r>
        <w:rPr>
          <w:rFonts w:ascii="宋体" w:hAnsi="宋体" w:eastAsia="宋体" w:cs="宋体"/>
          <w:spacing w:val="8"/>
          <w:sz w:val="20"/>
          <w:szCs w:val="20"/>
          <w:highlight w:val="none"/>
        </w:rPr>
        <w:t>因不可抗力等原因，招标人终止招标的，将通过“电子交易平台”及时发</w:t>
      </w:r>
      <w:r>
        <w:rPr>
          <w:rFonts w:ascii="宋体" w:hAnsi="宋体" w:eastAsia="宋体" w:cs="宋体"/>
          <w:spacing w:val="7"/>
          <w:sz w:val="20"/>
          <w:szCs w:val="20"/>
          <w:highlight w:val="none"/>
        </w:rPr>
        <w:t>布公告，或者</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以书面形式通知被邀请的或者已经获取招标文件的潜在投标人</w:t>
      </w:r>
      <w:r>
        <w:rPr>
          <w:rFonts w:ascii="宋体" w:hAnsi="宋体" w:eastAsia="宋体" w:cs="宋体"/>
          <w:spacing w:val="7"/>
          <w:sz w:val="20"/>
          <w:szCs w:val="20"/>
          <w:highlight w:val="none"/>
        </w:rPr>
        <w:t>。已经发售招标文件或者已经</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收取投标保证金的，招标人将及时退还所收取的招标文件的费</w:t>
      </w:r>
      <w:r>
        <w:rPr>
          <w:rFonts w:ascii="宋体" w:hAnsi="宋体" w:eastAsia="宋体" w:cs="宋体"/>
          <w:spacing w:val="7"/>
          <w:sz w:val="20"/>
          <w:szCs w:val="20"/>
          <w:highlight w:val="none"/>
        </w:rPr>
        <w:t>用，以及所收取的投标保证金</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及银行同期存款利息。</w:t>
      </w:r>
    </w:p>
    <w:p w14:paraId="041472AC">
      <w:pPr>
        <w:pStyle w:val="2"/>
        <w:spacing w:line="327" w:lineRule="exact"/>
        <w:outlineLvl w:val="1"/>
        <w:rPr>
          <w:rFonts w:ascii="黑体" w:hAnsi="黑体" w:eastAsia="黑体" w:cs="黑体"/>
          <w:sz w:val="24"/>
          <w:szCs w:val="24"/>
          <w:highlight w:val="none"/>
        </w:rPr>
      </w:pPr>
      <w:bookmarkStart w:id="31" w:name="bookmark13"/>
      <w:bookmarkEnd w:id="31"/>
      <w:r>
        <w:rPr>
          <w:spacing w:val="-4"/>
          <w:position w:val="1"/>
          <w:sz w:val="24"/>
          <w:szCs w:val="24"/>
          <w:highlight w:val="none"/>
        </w:rPr>
        <w:t>9.</w:t>
      </w:r>
      <w:r>
        <w:rPr>
          <w:spacing w:val="58"/>
          <w:w w:val="101"/>
          <w:position w:val="1"/>
          <w:sz w:val="24"/>
          <w:szCs w:val="24"/>
          <w:highlight w:val="none"/>
        </w:rPr>
        <w:t xml:space="preserve"> </w:t>
      </w:r>
      <w:r>
        <w:rPr>
          <w:rFonts w:ascii="黑体" w:hAnsi="黑体" w:eastAsia="黑体" w:cs="黑体"/>
          <w:spacing w:val="-4"/>
          <w:position w:val="1"/>
          <w:sz w:val="24"/>
          <w:szCs w:val="24"/>
          <w:highlight w:val="none"/>
        </w:rPr>
        <w:t>纪律和监督</w:t>
      </w:r>
    </w:p>
    <w:p w14:paraId="2428D0C0">
      <w:pPr>
        <w:pStyle w:val="2"/>
        <w:spacing w:before="158" w:line="300" w:lineRule="exact"/>
        <w:rPr>
          <w:rFonts w:ascii="黑体" w:hAnsi="黑体" w:eastAsia="黑体" w:cs="黑体"/>
          <w:sz w:val="22"/>
          <w:szCs w:val="22"/>
          <w:highlight w:val="none"/>
        </w:rPr>
      </w:pPr>
      <w:r>
        <w:rPr>
          <w:spacing w:val="-7"/>
          <w:position w:val="1"/>
          <w:sz w:val="22"/>
          <w:szCs w:val="22"/>
          <w:highlight w:val="none"/>
        </w:rPr>
        <w:t xml:space="preserve">9.1  </w:t>
      </w:r>
      <w:r>
        <w:rPr>
          <w:rFonts w:ascii="黑体" w:hAnsi="黑体" w:eastAsia="黑体" w:cs="黑体"/>
          <w:spacing w:val="-7"/>
          <w:position w:val="1"/>
          <w:sz w:val="22"/>
          <w:szCs w:val="22"/>
          <w:highlight w:val="none"/>
        </w:rPr>
        <w:t>对招标人的纪律要求</w:t>
      </w:r>
    </w:p>
    <w:p w14:paraId="23113697">
      <w:pPr>
        <w:spacing w:before="170" w:line="335" w:lineRule="auto"/>
        <w:ind w:right="69" w:firstLine="430"/>
        <w:rPr>
          <w:rFonts w:ascii="宋体" w:hAnsi="宋体" w:eastAsia="宋体" w:cs="宋体"/>
          <w:sz w:val="21"/>
          <w:szCs w:val="21"/>
          <w:highlight w:val="none"/>
        </w:rPr>
      </w:pPr>
      <w:r>
        <w:rPr>
          <w:rFonts w:ascii="宋体" w:hAnsi="宋体" w:eastAsia="宋体" w:cs="宋体"/>
          <w:spacing w:val="-2"/>
          <w:sz w:val="21"/>
          <w:szCs w:val="21"/>
          <w:highlight w:val="none"/>
        </w:rPr>
        <w:t>招标人不得泄漏招标投标活动中应当保密的情况和资料，不得与投标人串通损害国家利</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益、社会公共利益或者他人合法权益。</w:t>
      </w:r>
    </w:p>
    <w:p w14:paraId="180A3058">
      <w:pPr>
        <w:pStyle w:val="2"/>
        <w:spacing w:before="58" w:line="300" w:lineRule="exact"/>
        <w:rPr>
          <w:rFonts w:ascii="黑体" w:hAnsi="黑体" w:eastAsia="黑体" w:cs="黑体"/>
          <w:sz w:val="22"/>
          <w:szCs w:val="22"/>
          <w:highlight w:val="none"/>
        </w:rPr>
      </w:pPr>
      <w:r>
        <w:rPr>
          <w:spacing w:val="-7"/>
          <w:position w:val="1"/>
          <w:sz w:val="22"/>
          <w:szCs w:val="22"/>
          <w:highlight w:val="none"/>
        </w:rPr>
        <w:t xml:space="preserve">9.2  </w:t>
      </w:r>
      <w:r>
        <w:rPr>
          <w:rFonts w:ascii="黑体" w:hAnsi="黑体" w:eastAsia="黑体" w:cs="黑体"/>
          <w:spacing w:val="-7"/>
          <w:position w:val="1"/>
          <w:sz w:val="22"/>
          <w:szCs w:val="22"/>
          <w:highlight w:val="none"/>
        </w:rPr>
        <w:t>对投标人的纪律要求</w:t>
      </w:r>
    </w:p>
    <w:p w14:paraId="614DA3A9">
      <w:pPr>
        <w:spacing w:before="128" w:line="337" w:lineRule="auto"/>
        <w:ind w:right="94" w:firstLine="430"/>
        <w:jc w:val="both"/>
        <w:rPr>
          <w:rFonts w:ascii="宋体" w:hAnsi="宋体" w:eastAsia="宋体" w:cs="宋体"/>
          <w:sz w:val="22"/>
          <w:szCs w:val="22"/>
          <w:highlight w:val="none"/>
        </w:rPr>
      </w:pPr>
      <w:r>
        <w:rPr>
          <w:rFonts w:ascii="宋体" w:hAnsi="宋体" w:eastAsia="宋体" w:cs="宋体"/>
          <w:spacing w:val="-13"/>
          <w:sz w:val="22"/>
          <w:szCs w:val="22"/>
          <w:highlight w:val="none"/>
        </w:rPr>
        <w:t>投标人不得相互串通投标或者与招标人串通投标，不得向招标人或者评标委员会成员行</w:t>
      </w:r>
      <w:r>
        <w:rPr>
          <w:rFonts w:ascii="宋体" w:hAnsi="宋体" w:eastAsia="宋体" w:cs="宋体"/>
          <w:spacing w:val="13"/>
          <w:sz w:val="22"/>
          <w:szCs w:val="22"/>
          <w:highlight w:val="none"/>
        </w:rPr>
        <w:t xml:space="preserve"> </w:t>
      </w:r>
      <w:r>
        <w:rPr>
          <w:rFonts w:ascii="宋体" w:hAnsi="宋体" w:eastAsia="宋体" w:cs="宋体"/>
          <w:spacing w:val="-12"/>
          <w:sz w:val="22"/>
          <w:szCs w:val="22"/>
          <w:highlight w:val="none"/>
        </w:rPr>
        <w:t>贿谋取中标，不得以他人名义投标或者以其他方式弄虚作假骗</w:t>
      </w:r>
      <w:r>
        <w:rPr>
          <w:rFonts w:ascii="宋体" w:hAnsi="宋体" w:eastAsia="宋体" w:cs="宋体"/>
          <w:spacing w:val="-13"/>
          <w:sz w:val="22"/>
          <w:szCs w:val="22"/>
          <w:highlight w:val="none"/>
        </w:rPr>
        <w:t>取中标；投标人不得以任何方</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式干扰、影响评标工作。</w:t>
      </w:r>
    </w:p>
    <w:p w14:paraId="6BCC432C">
      <w:pPr>
        <w:pStyle w:val="2"/>
        <w:spacing w:before="45" w:line="300" w:lineRule="exact"/>
        <w:rPr>
          <w:rFonts w:ascii="黑体" w:hAnsi="黑体" w:eastAsia="黑体" w:cs="黑体"/>
          <w:sz w:val="22"/>
          <w:szCs w:val="22"/>
          <w:highlight w:val="none"/>
        </w:rPr>
      </w:pPr>
      <w:r>
        <w:rPr>
          <w:spacing w:val="-6"/>
          <w:position w:val="1"/>
          <w:sz w:val="22"/>
          <w:szCs w:val="22"/>
          <w:highlight w:val="none"/>
        </w:rPr>
        <w:t xml:space="preserve">9.3  </w:t>
      </w:r>
      <w:r>
        <w:rPr>
          <w:rFonts w:ascii="黑体" w:hAnsi="黑体" w:eastAsia="黑体" w:cs="黑体"/>
          <w:spacing w:val="-6"/>
          <w:position w:val="1"/>
          <w:sz w:val="22"/>
          <w:szCs w:val="22"/>
          <w:highlight w:val="none"/>
        </w:rPr>
        <w:t>对评标委员会成员的纪律要求</w:t>
      </w:r>
    </w:p>
    <w:p w14:paraId="411ED597">
      <w:pPr>
        <w:spacing w:before="158" w:line="345" w:lineRule="auto"/>
        <w:ind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评标委员会成员不得与任何投标人或者与招标结果有利害关系的人进行私下接触，不得</w:t>
      </w:r>
      <w:r>
        <w:rPr>
          <w:rFonts w:ascii="宋体" w:hAnsi="宋体" w:eastAsia="宋体" w:cs="宋体"/>
          <w:spacing w:val="5"/>
          <w:sz w:val="21"/>
          <w:szCs w:val="21"/>
          <w:highlight w:val="none"/>
        </w:rPr>
        <w:t xml:space="preserve">  </w:t>
      </w:r>
      <w:r>
        <w:rPr>
          <w:rFonts w:ascii="宋体" w:hAnsi="宋体" w:eastAsia="宋体" w:cs="宋体"/>
          <w:spacing w:val="-2"/>
          <w:sz w:val="21"/>
          <w:szCs w:val="21"/>
          <w:highlight w:val="none"/>
        </w:rPr>
        <w:t>收受投标人、中介人、其他利害关系人的财物或者其他好处，不得向他人透漏对</w:t>
      </w:r>
      <w:r>
        <w:rPr>
          <w:rFonts w:ascii="宋体" w:hAnsi="宋体" w:eastAsia="宋体" w:cs="宋体"/>
          <w:spacing w:val="-3"/>
          <w:sz w:val="21"/>
          <w:szCs w:val="21"/>
          <w:highlight w:val="none"/>
        </w:rPr>
        <w:t>投标文件的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评审和比较、中标候选人的推荐情况以及评标有关的其他情况。</w:t>
      </w:r>
      <w:r>
        <w:rPr>
          <w:rFonts w:ascii="宋体" w:hAnsi="宋体" w:eastAsia="宋体" w:cs="宋体"/>
          <w:spacing w:val="-3"/>
          <w:sz w:val="21"/>
          <w:szCs w:val="21"/>
          <w:highlight w:val="none"/>
        </w:rPr>
        <w:t>在评标活动中，评标委员会</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成员不得应当回避而不回避，不得擅离职守，影响评标程序正常</w:t>
      </w:r>
      <w:r>
        <w:rPr>
          <w:rFonts w:ascii="宋体" w:hAnsi="宋体" w:eastAsia="宋体" w:cs="宋体"/>
          <w:spacing w:val="-3"/>
          <w:sz w:val="21"/>
          <w:szCs w:val="21"/>
          <w:highlight w:val="none"/>
        </w:rPr>
        <w:t>进行，不得向招标人征询其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确定中标人的意向，不得接受任何单位或者个人明示或者暗示</w:t>
      </w:r>
      <w:r>
        <w:rPr>
          <w:rFonts w:ascii="宋体" w:hAnsi="宋体" w:eastAsia="宋体" w:cs="宋体"/>
          <w:spacing w:val="-3"/>
          <w:sz w:val="21"/>
          <w:szCs w:val="21"/>
          <w:highlight w:val="none"/>
        </w:rPr>
        <w:t>提出的倾向或者排斥特定投标</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人的要求，不得对依法应当否决的投标不提出否决意见，不得暗示或者诱导投标人作出澄清、</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说明或者接受投标人主动提出的澄清、说明；不得使用第三章“评标办法”没有规定的评审因</w:t>
      </w:r>
      <w:r>
        <w:rPr>
          <w:rFonts w:ascii="宋体" w:hAnsi="宋体" w:eastAsia="宋体" w:cs="宋体"/>
          <w:spacing w:val="8"/>
          <w:sz w:val="21"/>
          <w:szCs w:val="21"/>
          <w:highlight w:val="none"/>
        </w:rPr>
        <w:t xml:space="preserve">  </w:t>
      </w:r>
      <w:r>
        <w:rPr>
          <w:rFonts w:ascii="宋体" w:hAnsi="宋体" w:eastAsia="宋体" w:cs="宋体"/>
          <w:spacing w:val="-5"/>
          <w:sz w:val="21"/>
          <w:szCs w:val="21"/>
          <w:highlight w:val="none"/>
        </w:rPr>
        <w:t>素和标准进行评标。</w:t>
      </w:r>
    </w:p>
    <w:p w14:paraId="4296B3C8">
      <w:pPr>
        <w:spacing w:line="345" w:lineRule="auto"/>
        <w:rPr>
          <w:rFonts w:ascii="宋体" w:hAnsi="宋体" w:eastAsia="宋体" w:cs="宋体"/>
          <w:sz w:val="21"/>
          <w:szCs w:val="21"/>
          <w:highlight w:val="none"/>
        </w:rPr>
        <w:sectPr>
          <w:footerReference r:id="rId37" w:type="default"/>
          <w:pgSz w:w="11910" w:h="16840"/>
          <w:pgMar w:top="400" w:right="1735" w:bottom="1197" w:left="1769" w:header="0" w:footer="993" w:gutter="0"/>
          <w:cols w:space="720" w:num="1"/>
        </w:sectPr>
      </w:pPr>
    </w:p>
    <w:p w14:paraId="3C8D4FEF">
      <w:pPr>
        <w:pStyle w:val="2"/>
        <w:spacing w:line="247" w:lineRule="auto"/>
        <w:rPr>
          <w:highlight w:val="none"/>
        </w:rPr>
      </w:pPr>
    </w:p>
    <w:p w14:paraId="4567CF19">
      <w:pPr>
        <w:pStyle w:val="2"/>
        <w:spacing w:line="247" w:lineRule="auto"/>
        <w:rPr>
          <w:highlight w:val="none"/>
        </w:rPr>
      </w:pPr>
    </w:p>
    <w:p w14:paraId="7E77F87B">
      <w:pPr>
        <w:pStyle w:val="2"/>
        <w:spacing w:line="247" w:lineRule="auto"/>
        <w:rPr>
          <w:highlight w:val="none"/>
        </w:rPr>
      </w:pPr>
    </w:p>
    <w:p w14:paraId="67409FC0">
      <w:pPr>
        <w:pStyle w:val="2"/>
        <w:spacing w:line="248" w:lineRule="auto"/>
        <w:rPr>
          <w:highlight w:val="none"/>
        </w:rPr>
      </w:pPr>
    </w:p>
    <w:p w14:paraId="793AD827">
      <w:pPr>
        <w:spacing w:before="71" w:line="221" w:lineRule="auto"/>
        <w:rPr>
          <w:rFonts w:ascii="黑体" w:hAnsi="黑体" w:eastAsia="黑体" w:cs="黑体"/>
          <w:sz w:val="22"/>
          <w:szCs w:val="22"/>
          <w:highlight w:val="none"/>
        </w:rPr>
      </w:pPr>
      <w:bookmarkStart w:id="32" w:name="bookmark201"/>
      <w:bookmarkEnd w:id="32"/>
      <w:r>
        <w:rPr>
          <w:rFonts w:ascii="黑体" w:hAnsi="黑体" w:eastAsia="黑体" w:cs="黑体"/>
          <w:spacing w:val="-4"/>
          <w:sz w:val="22"/>
          <w:szCs w:val="22"/>
          <w:highlight w:val="none"/>
        </w:rPr>
        <w:t>9.4对与评标活动有关的工作人员的纪律要求</w:t>
      </w:r>
    </w:p>
    <w:p w14:paraId="3D6550B8">
      <w:pPr>
        <w:spacing w:before="148" w:line="353" w:lineRule="auto"/>
        <w:ind w:right="25"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与评标活动有关的工作人员不得收受他人的财物或者其他好处，不得向他人透漏对投标</w:t>
      </w:r>
      <w:r>
        <w:rPr>
          <w:rFonts w:ascii="宋体" w:hAnsi="宋体" w:eastAsia="宋体" w:cs="宋体"/>
          <w:spacing w:val="11"/>
          <w:sz w:val="21"/>
          <w:szCs w:val="21"/>
          <w:highlight w:val="none"/>
        </w:rPr>
        <w:t xml:space="preserve"> </w:t>
      </w:r>
      <w:r>
        <w:rPr>
          <w:rFonts w:ascii="宋体" w:hAnsi="宋体" w:eastAsia="宋体" w:cs="宋体"/>
          <w:spacing w:val="-2"/>
          <w:sz w:val="21"/>
          <w:szCs w:val="21"/>
          <w:highlight w:val="none"/>
        </w:rPr>
        <w:t>文件的评审和比较、中标候选人的推荐情况以及评标有关的其他情况。在评标活动中，与评</w:t>
      </w:r>
      <w:r>
        <w:rPr>
          <w:rFonts w:ascii="宋体" w:hAnsi="宋体" w:eastAsia="宋体" w:cs="宋体"/>
          <w:spacing w:val="7"/>
          <w:sz w:val="21"/>
          <w:szCs w:val="21"/>
          <w:highlight w:val="none"/>
        </w:rPr>
        <w:t xml:space="preserve"> </w:t>
      </w:r>
      <w:r>
        <w:rPr>
          <w:rFonts w:ascii="宋体" w:hAnsi="宋体" w:eastAsia="宋体" w:cs="宋体"/>
          <w:spacing w:val="-2"/>
          <w:sz w:val="21"/>
          <w:szCs w:val="21"/>
          <w:highlight w:val="none"/>
        </w:rPr>
        <w:t>标活动有关的工作人员不得擅离职守，影响评标程序正常进行。</w:t>
      </w:r>
    </w:p>
    <w:p w14:paraId="669B3F31">
      <w:pPr>
        <w:spacing w:before="53" w:line="220" w:lineRule="auto"/>
        <w:rPr>
          <w:rFonts w:ascii="黑体" w:hAnsi="黑体" w:eastAsia="黑体" w:cs="黑体"/>
          <w:sz w:val="22"/>
          <w:szCs w:val="22"/>
          <w:highlight w:val="none"/>
        </w:rPr>
      </w:pPr>
      <w:r>
        <w:rPr>
          <w:rFonts w:ascii="黑体" w:hAnsi="黑体" w:eastAsia="黑体" w:cs="黑体"/>
          <w:spacing w:val="16"/>
          <w:sz w:val="22"/>
          <w:szCs w:val="22"/>
          <w:highlight w:val="none"/>
        </w:rPr>
        <w:t>9.5投诉</w:t>
      </w:r>
    </w:p>
    <w:p w14:paraId="38466684">
      <w:pPr>
        <w:spacing w:before="149"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本次招标投标活动及其相关当事人应当接受有关行政监督部门依法实施的监督。</w:t>
      </w:r>
    </w:p>
    <w:p w14:paraId="195C69B2">
      <w:pPr>
        <w:spacing w:before="148" w:line="345" w:lineRule="auto"/>
        <w:ind w:right="22" w:firstLine="430"/>
        <w:rPr>
          <w:rFonts w:ascii="宋体" w:hAnsi="宋体" w:eastAsia="宋体" w:cs="宋体"/>
          <w:sz w:val="21"/>
          <w:szCs w:val="21"/>
          <w:highlight w:val="none"/>
        </w:rPr>
      </w:pPr>
      <w:r>
        <w:rPr>
          <w:rFonts w:ascii="宋体" w:hAnsi="宋体" w:eastAsia="宋体" w:cs="宋体"/>
          <w:spacing w:val="-2"/>
          <w:sz w:val="21"/>
          <w:szCs w:val="21"/>
          <w:highlight w:val="none"/>
        </w:rPr>
        <w:t>依据《中华人民共和国招标投标法实施条例》第四条第三款的规定，财政部</w:t>
      </w:r>
      <w:r>
        <w:rPr>
          <w:rFonts w:ascii="宋体" w:hAnsi="宋体" w:eastAsia="宋体" w:cs="宋体"/>
          <w:spacing w:val="-3"/>
          <w:sz w:val="21"/>
          <w:szCs w:val="21"/>
          <w:highlight w:val="none"/>
        </w:rPr>
        <w:t>门依法对实</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行招标投标的政府采购工程建设项目的政府采购政</w:t>
      </w:r>
      <w:r>
        <w:rPr>
          <w:rFonts w:ascii="宋体" w:hAnsi="宋体" w:eastAsia="宋体" w:cs="宋体"/>
          <w:spacing w:val="-2"/>
          <w:sz w:val="21"/>
          <w:szCs w:val="21"/>
          <w:highlight w:val="none"/>
        </w:rPr>
        <w:t>策执行情况实施监督。</w:t>
      </w:r>
    </w:p>
    <w:p w14:paraId="3E4D51CF">
      <w:pPr>
        <w:spacing w:before="25" w:line="344" w:lineRule="auto"/>
        <w:ind w:right="19"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投标人和其他利害关系人认为本次招标活动违反法律、法规和规章规定的</w:t>
      </w:r>
      <w:r>
        <w:rPr>
          <w:rFonts w:ascii="宋体" w:hAnsi="宋体" w:eastAsia="宋体" w:cs="宋体"/>
          <w:spacing w:val="-3"/>
          <w:sz w:val="21"/>
          <w:szCs w:val="21"/>
          <w:highlight w:val="none"/>
        </w:rPr>
        <w:t>，有权自知道</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或者应当知道之日起10日内向有关行政监督部门投诉，其中对招标文件的内容(包括招标</w:t>
      </w:r>
      <w:r>
        <w:rPr>
          <w:rFonts w:ascii="宋体" w:hAnsi="宋体" w:eastAsia="宋体" w:cs="宋体"/>
          <w:spacing w:val="2"/>
          <w:sz w:val="21"/>
          <w:szCs w:val="21"/>
          <w:highlight w:val="none"/>
        </w:rPr>
        <w:t xml:space="preserve"> </w:t>
      </w:r>
      <w:r>
        <w:rPr>
          <w:rFonts w:ascii="宋体" w:hAnsi="宋体" w:eastAsia="宋体" w:cs="宋体"/>
          <w:spacing w:val="1"/>
          <w:sz w:val="21"/>
          <w:szCs w:val="21"/>
          <w:highlight w:val="none"/>
        </w:rPr>
        <w:t>控制价)、开标、评标结果进行投诉的，应当按本章第2.4款、第3</w:t>
      </w:r>
      <w:r>
        <w:rPr>
          <w:rFonts w:ascii="宋体" w:hAnsi="宋体" w:eastAsia="宋体" w:cs="宋体"/>
          <w:sz w:val="21"/>
          <w:szCs w:val="21"/>
          <w:highlight w:val="none"/>
        </w:rPr>
        <w:t xml:space="preserve">.2.2项、第5.3款、第6.4 </w:t>
      </w:r>
      <w:r>
        <w:rPr>
          <w:rFonts w:ascii="宋体" w:hAnsi="宋体" w:eastAsia="宋体" w:cs="宋体"/>
          <w:spacing w:val="-2"/>
          <w:sz w:val="21"/>
          <w:szCs w:val="21"/>
          <w:highlight w:val="none"/>
        </w:rPr>
        <w:t>款的规定先向招标人提出异议后，方可向有关行政监督部门投诉，异议答复期不计算在规定</w:t>
      </w:r>
      <w:r>
        <w:rPr>
          <w:rFonts w:ascii="宋体" w:hAnsi="宋体" w:eastAsia="宋体" w:cs="宋体"/>
          <w:spacing w:val="12"/>
          <w:sz w:val="21"/>
          <w:szCs w:val="21"/>
          <w:highlight w:val="none"/>
        </w:rPr>
        <w:t xml:space="preserve"> </w:t>
      </w:r>
      <w:r>
        <w:rPr>
          <w:rFonts w:ascii="宋体" w:hAnsi="宋体" w:eastAsia="宋体" w:cs="宋体"/>
          <w:spacing w:val="-6"/>
          <w:sz w:val="21"/>
          <w:szCs w:val="21"/>
          <w:highlight w:val="none"/>
        </w:rPr>
        <w:t>的投诉时效期限内。</w:t>
      </w:r>
    </w:p>
    <w:p w14:paraId="584811C3">
      <w:pPr>
        <w:spacing w:before="14" w:line="356" w:lineRule="auto"/>
        <w:ind w:left="25" w:right="3" w:firstLine="405"/>
        <w:rPr>
          <w:rFonts w:ascii="宋体" w:hAnsi="宋体" w:eastAsia="宋体" w:cs="宋体"/>
          <w:sz w:val="21"/>
          <w:szCs w:val="21"/>
          <w:highlight w:val="none"/>
        </w:rPr>
      </w:pPr>
      <w:r>
        <w:rPr>
          <w:rFonts w:ascii="宋体" w:hAnsi="宋体" w:eastAsia="宋体" w:cs="宋体"/>
          <w:spacing w:val="-2"/>
          <w:sz w:val="21"/>
          <w:szCs w:val="21"/>
          <w:highlight w:val="none"/>
        </w:rPr>
        <w:t>投标人和其他利害关系人的投诉应按照《工程建设项目招标投标活动投诉处理办法》或</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《湖北省公共资源招标投标投诉处理办法》的规定进行。</w:t>
      </w:r>
    </w:p>
    <w:p w14:paraId="06CA6A20">
      <w:pPr>
        <w:spacing w:before="1" w:line="218"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有关行政监督部门的联系方式见投标人须知前附表。</w:t>
      </w:r>
    </w:p>
    <w:p w14:paraId="079D03CB">
      <w:pPr>
        <w:pStyle w:val="2"/>
        <w:spacing w:line="298" w:lineRule="auto"/>
        <w:rPr>
          <w:highlight w:val="none"/>
        </w:rPr>
      </w:pPr>
    </w:p>
    <w:p w14:paraId="3265CE47">
      <w:pPr>
        <w:pStyle w:val="2"/>
        <w:spacing w:line="298" w:lineRule="auto"/>
        <w:rPr>
          <w:highlight w:val="none"/>
        </w:rPr>
      </w:pPr>
    </w:p>
    <w:p w14:paraId="1CC66EF1">
      <w:pPr>
        <w:pStyle w:val="2"/>
        <w:spacing w:line="298" w:lineRule="auto"/>
        <w:rPr>
          <w:highlight w:val="none"/>
        </w:rPr>
      </w:pPr>
    </w:p>
    <w:p w14:paraId="2D9502EC">
      <w:pPr>
        <w:pStyle w:val="2"/>
        <w:spacing w:line="298" w:lineRule="auto"/>
        <w:rPr>
          <w:highlight w:val="none"/>
        </w:rPr>
      </w:pPr>
    </w:p>
    <w:p w14:paraId="5D8BEC99">
      <w:pPr>
        <w:pStyle w:val="2"/>
        <w:spacing w:before="78" w:line="327" w:lineRule="exact"/>
        <w:outlineLvl w:val="1"/>
        <w:rPr>
          <w:rFonts w:ascii="黑体" w:hAnsi="黑体" w:eastAsia="黑体" w:cs="黑体"/>
          <w:sz w:val="24"/>
          <w:szCs w:val="24"/>
          <w:highlight w:val="none"/>
        </w:rPr>
      </w:pPr>
      <w:bookmarkStart w:id="33" w:name="bookmark14"/>
      <w:bookmarkEnd w:id="33"/>
      <w:r>
        <w:rPr>
          <w:spacing w:val="-1"/>
          <w:position w:val="1"/>
          <w:sz w:val="24"/>
          <w:szCs w:val="24"/>
          <w:highlight w:val="none"/>
        </w:rPr>
        <w:t>10.</w:t>
      </w:r>
      <w:r>
        <w:rPr>
          <w:spacing w:val="42"/>
          <w:position w:val="1"/>
          <w:sz w:val="24"/>
          <w:szCs w:val="24"/>
          <w:highlight w:val="none"/>
        </w:rPr>
        <w:t xml:space="preserve"> </w:t>
      </w:r>
      <w:r>
        <w:rPr>
          <w:rFonts w:ascii="黑体" w:hAnsi="黑体" w:eastAsia="黑体" w:cs="黑体"/>
          <w:spacing w:val="-1"/>
          <w:position w:val="1"/>
          <w:sz w:val="24"/>
          <w:szCs w:val="24"/>
          <w:highlight w:val="none"/>
        </w:rPr>
        <w:t>需要补充的其他内容</w:t>
      </w:r>
    </w:p>
    <w:p w14:paraId="438A7E7B">
      <w:pPr>
        <w:pStyle w:val="2"/>
        <w:spacing w:before="165" w:line="300" w:lineRule="exact"/>
        <w:rPr>
          <w:rFonts w:ascii="黑体" w:hAnsi="黑体" w:eastAsia="黑体" w:cs="黑体"/>
          <w:sz w:val="22"/>
          <w:szCs w:val="22"/>
          <w:highlight w:val="none"/>
        </w:rPr>
      </w:pPr>
      <w:r>
        <w:rPr>
          <w:spacing w:val="-7"/>
          <w:position w:val="1"/>
          <w:sz w:val="22"/>
          <w:szCs w:val="22"/>
          <w:highlight w:val="none"/>
        </w:rPr>
        <w:t xml:space="preserve">10.1  </w:t>
      </w:r>
      <w:r>
        <w:rPr>
          <w:rFonts w:ascii="黑体" w:hAnsi="黑体" w:eastAsia="黑体" w:cs="黑体"/>
          <w:spacing w:val="-7"/>
          <w:position w:val="1"/>
          <w:sz w:val="22"/>
          <w:szCs w:val="22"/>
          <w:highlight w:val="none"/>
        </w:rPr>
        <w:t>多标段投标</w:t>
      </w:r>
    </w:p>
    <w:p w14:paraId="21333FDE">
      <w:pPr>
        <w:spacing w:before="140" w:line="219" w:lineRule="auto"/>
        <w:ind w:left="430"/>
        <w:rPr>
          <w:rFonts w:ascii="宋体" w:hAnsi="宋体" w:eastAsia="宋体" w:cs="宋体"/>
          <w:sz w:val="22"/>
          <w:szCs w:val="22"/>
          <w:highlight w:val="none"/>
        </w:rPr>
      </w:pPr>
      <w:r>
        <w:rPr>
          <w:rFonts w:ascii="宋体" w:hAnsi="宋体" w:eastAsia="宋体" w:cs="宋体"/>
          <w:spacing w:val="-12"/>
          <w:sz w:val="22"/>
          <w:szCs w:val="22"/>
          <w:highlight w:val="none"/>
        </w:rPr>
        <w:t>多标段投标规定：见投标人须知前附表。</w:t>
      </w:r>
    </w:p>
    <w:p w14:paraId="61BE90B7">
      <w:pPr>
        <w:pStyle w:val="2"/>
        <w:spacing w:before="169" w:line="299" w:lineRule="exact"/>
        <w:rPr>
          <w:rFonts w:ascii="黑体" w:hAnsi="黑体" w:eastAsia="黑体" w:cs="黑体"/>
          <w:sz w:val="22"/>
          <w:szCs w:val="22"/>
          <w:highlight w:val="none"/>
        </w:rPr>
      </w:pPr>
      <w:r>
        <w:rPr>
          <w:spacing w:val="-8"/>
          <w:position w:val="1"/>
          <w:sz w:val="22"/>
          <w:szCs w:val="22"/>
          <w:highlight w:val="none"/>
        </w:rPr>
        <w:t>10.2</w:t>
      </w:r>
      <w:r>
        <w:rPr>
          <w:spacing w:val="42"/>
          <w:w w:val="101"/>
          <w:position w:val="1"/>
          <w:sz w:val="22"/>
          <w:szCs w:val="22"/>
          <w:highlight w:val="none"/>
        </w:rPr>
        <w:t xml:space="preserve"> </w:t>
      </w:r>
      <w:r>
        <w:rPr>
          <w:rFonts w:ascii="黑体" w:hAnsi="黑体" w:eastAsia="黑体" w:cs="黑体"/>
          <w:spacing w:val="-8"/>
          <w:position w:val="1"/>
          <w:sz w:val="22"/>
          <w:szCs w:val="22"/>
          <w:highlight w:val="none"/>
        </w:rPr>
        <w:t>评标办法中的有关系数的取值和评分因素设置</w:t>
      </w:r>
    </w:p>
    <w:p w14:paraId="302CAC92">
      <w:pPr>
        <w:spacing w:before="149" w:line="286" w:lineRule="auto"/>
        <w:ind w:right="25" w:firstLine="430"/>
        <w:rPr>
          <w:rFonts w:ascii="宋体" w:hAnsi="宋体" w:eastAsia="宋体" w:cs="宋体"/>
          <w:sz w:val="21"/>
          <w:szCs w:val="21"/>
          <w:highlight w:val="none"/>
        </w:rPr>
      </w:pPr>
      <w:r>
        <w:rPr>
          <w:rFonts w:ascii="宋体" w:hAnsi="宋体" w:eastAsia="宋体" w:cs="宋体"/>
          <w:spacing w:val="3"/>
          <w:sz w:val="21"/>
          <w:szCs w:val="21"/>
          <w:highlight w:val="none"/>
        </w:rPr>
        <w:t>10.2.1</w:t>
      </w:r>
      <w:r>
        <w:rPr>
          <w:rFonts w:ascii="宋体" w:hAnsi="宋体" w:eastAsia="宋体" w:cs="宋体"/>
          <w:spacing w:val="-8"/>
          <w:sz w:val="21"/>
          <w:szCs w:val="21"/>
          <w:highlight w:val="none"/>
        </w:rPr>
        <w:t xml:space="preserve"> </w:t>
      </w:r>
      <w:r>
        <w:rPr>
          <w:rFonts w:ascii="宋体" w:hAnsi="宋体" w:eastAsia="宋体" w:cs="宋体"/>
          <w:spacing w:val="3"/>
          <w:sz w:val="21"/>
          <w:szCs w:val="21"/>
          <w:highlight w:val="none"/>
        </w:rPr>
        <w:t>第三章评标办法前附表中“小微企业报价优惠(扣除)系数”</w:t>
      </w:r>
      <w:r>
        <w:rPr>
          <w:rFonts w:ascii="Times New Roman" w:hAnsi="Times New Roman" w:eastAsia="Times New Roman" w:cs="Times New Roman"/>
          <w:spacing w:val="3"/>
          <w:sz w:val="21"/>
          <w:szCs w:val="21"/>
          <w:highlight w:val="none"/>
        </w:rPr>
        <w:t>P</w:t>
      </w:r>
      <w:r>
        <w:rPr>
          <w:rFonts w:ascii="宋体" w:hAnsi="宋体" w:eastAsia="宋体" w:cs="宋体"/>
          <w:spacing w:val="3"/>
          <w:sz w:val="21"/>
          <w:szCs w:val="21"/>
          <w:highlight w:val="none"/>
        </w:rPr>
        <w:t>的取值：见投标</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人须知前附表。</w:t>
      </w:r>
    </w:p>
    <w:p w14:paraId="2AACBABD">
      <w:pPr>
        <w:pStyle w:val="2"/>
        <w:spacing w:before="130" w:line="282" w:lineRule="auto"/>
        <w:ind w:right="95" w:firstLine="430"/>
        <w:rPr>
          <w:rFonts w:ascii="宋体" w:hAnsi="宋体" w:eastAsia="宋体" w:cs="宋体"/>
          <w:sz w:val="22"/>
          <w:szCs w:val="22"/>
          <w:highlight w:val="none"/>
        </w:rPr>
      </w:pPr>
      <w:r>
        <w:rPr>
          <w:rFonts w:ascii="宋体" w:hAnsi="宋体" w:eastAsia="宋体" w:cs="宋体"/>
          <w:spacing w:val="-2"/>
          <w:sz w:val="22"/>
          <w:szCs w:val="22"/>
          <w:highlight w:val="none"/>
        </w:rPr>
        <w:t>10.2.2第三章评标办法前附表中“满足条件的联合体</w:t>
      </w:r>
      <w:r>
        <w:rPr>
          <w:rFonts w:ascii="宋体" w:hAnsi="宋体" w:eastAsia="宋体" w:cs="宋体"/>
          <w:spacing w:val="-3"/>
          <w:sz w:val="22"/>
          <w:szCs w:val="22"/>
          <w:highlight w:val="none"/>
        </w:rPr>
        <w:t>或者分包企业报价优惠(扣除)</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系数”</w:t>
      </w:r>
      <w:r>
        <w:rPr>
          <w:spacing w:val="-10"/>
          <w:sz w:val="22"/>
          <w:szCs w:val="22"/>
          <w:highlight w:val="none"/>
        </w:rPr>
        <w:t>Q</w:t>
      </w:r>
      <w:r>
        <w:rPr>
          <w:rFonts w:ascii="宋体" w:hAnsi="宋体" w:eastAsia="宋体" w:cs="宋体"/>
          <w:spacing w:val="-10"/>
          <w:sz w:val="22"/>
          <w:szCs w:val="22"/>
          <w:highlight w:val="none"/>
        </w:rPr>
        <w:t>的取值：见投标人须知前附表。</w:t>
      </w:r>
    </w:p>
    <w:p w14:paraId="04E28B65">
      <w:pPr>
        <w:spacing w:before="208" w:line="221" w:lineRule="auto"/>
        <w:rPr>
          <w:rFonts w:ascii="黑体" w:hAnsi="黑体" w:eastAsia="黑体" w:cs="黑体"/>
          <w:sz w:val="22"/>
          <w:szCs w:val="22"/>
          <w:highlight w:val="none"/>
        </w:rPr>
      </w:pPr>
      <w:r>
        <w:rPr>
          <w:rFonts w:ascii="黑体" w:hAnsi="黑体" w:eastAsia="黑体" w:cs="黑体"/>
          <w:spacing w:val="-2"/>
          <w:sz w:val="22"/>
          <w:szCs w:val="22"/>
          <w:highlight w:val="none"/>
        </w:rPr>
        <w:t>10.3交易平台信息服务费</w:t>
      </w:r>
    </w:p>
    <w:p w14:paraId="62D73D85">
      <w:pPr>
        <w:spacing w:before="157" w:line="219"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交易平台信息服务费缴费规定：见投标人须知前附表。</w:t>
      </w:r>
    </w:p>
    <w:p w14:paraId="39659035">
      <w:pPr>
        <w:spacing w:before="289" w:line="221" w:lineRule="auto"/>
        <w:rPr>
          <w:rFonts w:ascii="黑体" w:hAnsi="黑体" w:eastAsia="黑体" w:cs="黑体"/>
          <w:sz w:val="22"/>
          <w:szCs w:val="22"/>
          <w:highlight w:val="none"/>
        </w:rPr>
      </w:pPr>
      <w:r>
        <w:rPr>
          <w:rFonts w:ascii="黑体" w:hAnsi="黑体" w:eastAsia="黑体" w:cs="黑体"/>
          <w:spacing w:val="1"/>
          <w:sz w:val="22"/>
          <w:szCs w:val="22"/>
          <w:highlight w:val="none"/>
        </w:rPr>
        <w:t>10.4招标代理服务费</w:t>
      </w:r>
    </w:p>
    <w:p w14:paraId="1E61D8DB">
      <w:pPr>
        <w:spacing w:before="137" w:line="219"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招标代理服务费收取约定：见投标人须知前附表。</w:t>
      </w:r>
    </w:p>
    <w:p w14:paraId="7680EAB3">
      <w:pPr>
        <w:spacing w:before="299" w:line="222" w:lineRule="auto"/>
        <w:rPr>
          <w:rFonts w:ascii="黑体" w:hAnsi="黑体" w:eastAsia="黑体" w:cs="黑体"/>
          <w:sz w:val="22"/>
          <w:szCs w:val="22"/>
          <w:highlight w:val="none"/>
        </w:rPr>
      </w:pPr>
      <w:r>
        <w:rPr>
          <w:rFonts w:ascii="黑体" w:hAnsi="黑体" w:eastAsia="黑体" w:cs="黑体"/>
          <w:sz w:val="22"/>
          <w:szCs w:val="22"/>
          <w:highlight w:val="none"/>
        </w:rPr>
        <w:t>10.5中标人的纸质投标文件</w:t>
      </w:r>
    </w:p>
    <w:p w14:paraId="7E150083">
      <w:pPr>
        <w:spacing w:before="126"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中标人在签订合同前须向招标人另行提交的投标文件份数：见投标人须知前附表。</w:t>
      </w:r>
    </w:p>
    <w:p w14:paraId="7F003832">
      <w:pPr>
        <w:spacing w:line="219" w:lineRule="auto"/>
        <w:rPr>
          <w:rFonts w:ascii="宋体" w:hAnsi="宋体" w:eastAsia="宋体" w:cs="宋体"/>
          <w:sz w:val="22"/>
          <w:szCs w:val="22"/>
          <w:highlight w:val="none"/>
        </w:rPr>
        <w:sectPr>
          <w:footerReference r:id="rId38" w:type="default"/>
          <w:pgSz w:w="11910" w:h="16840"/>
          <w:pgMar w:top="400" w:right="1786" w:bottom="1238" w:left="1769" w:header="0" w:footer="1007" w:gutter="0"/>
          <w:cols w:space="720" w:num="1"/>
        </w:sectPr>
      </w:pPr>
    </w:p>
    <w:p w14:paraId="40EEFB6C">
      <w:pPr>
        <w:pStyle w:val="2"/>
        <w:spacing w:line="247" w:lineRule="auto"/>
        <w:rPr>
          <w:highlight w:val="none"/>
        </w:rPr>
      </w:pPr>
    </w:p>
    <w:p w14:paraId="2672B281">
      <w:pPr>
        <w:pStyle w:val="2"/>
        <w:spacing w:line="247" w:lineRule="auto"/>
        <w:rPr>
          <w:highlight w:val="none"/>
        </w:rPr>
      </w:pPr>
    </w:p>
    <w:p w14:paraId="31F778BA">
      <w:pPr>
        <w:pStyle w:val="2"/>
        <w:spacing w:line="247" w:lineRule="auto"/>
        <w:rPr>
          <w:highlight w:val="none"/>
        </w:rPr>
      </w:pPr>
    </w:p>
    <w:p w14:paraId="48D8E8FB">
      <w:pPr>
        <w:pStyle w:val="2"/>
        <w:spacing w:line="248" w:lineRule="auto"/>
        <w:rPr>
          <w:highlight w:val="none"/>
        </w:rPr>
      </w:pPr>
    </w:p>
    <w:p w14:paraId="01D07FAA">
      <w:pPr>
        <w:spacing w:before="72" w:line="222" w:lineRule="auto"/>
        <w:ind w:left="13"/>
        <w:rPr>
          <w:rFonts w:ascii="黑体" w:hAnsi="黑体" w:eastAsia="黑体" w:cs="黑体"/>
          <w:sz w:val="22"/>
          <w:szCs w:val="22"/>
          <w:highlight w:val="none"/>
        </w:rPr>
      </w:pPr>
      <w:bookmarkStart w:id="34" w:name="bookmark202"/>
      <w:bookmarkEnd w:id="34"/>
      <w:r>
        <w:rPr>
          <w:rFonts w:ascii="黑体" w:hAnsi="黑体" w:eastAsia="黑体" w:cs="黑体"/>
          <w:spacing w:val="-2"/>
          <w:sz w:val="22"/>
          <w:szCs w:val="22"/>
          <w:highlight w:val="none"/>
        </w:rPr>
        <w:t>10.6政府采购合同融资政策</w:t>
      </w:r>
    </w:p>
    <w:p w14:paraId="08396D1B">
      <w:pPr>
        <w:spacing w:before="135" w:line="219" w:lineRule="auto"/>
        <w:ind w:left="413"/>
        <w:rPr>
          <w:rFonts w:ascii="宋体" w:hAnsi="宋体" w:eastAsia="宋体" w:cs="宋体"/>
          <w:sz w:val="22"/>
          <w:szCs w:val="22"/>
          <w:highlight w:val="none"/>
        </w:rPr>
      </w:pPr>
      <w:r>
        <w:rPr>
          <w:rFonts w:ascii="宋体" w:hAnsi="宋体" w:eastAsia="宋体" w:cs="宋体"/>
          <w:spacing w:val="-11"/>
          <w:sz w:val="22"/>
          <w:szCs w:val="22"/>
          <w:highlight w:val="none"/>
        </w:rPr>
        <w:t>政府采购合同融资政策：见投标人须知前附表。</w:t>
      </w:r>
    </w:p>
    <w:p w14:paraId="6B70A795">
      <w:pPr>
        <w:spacing w:before="210" w:line="222" w:lineRule="auto"/>
        <w:ind w:left="3"/>
        <w:rPr>
          <w:rFonts w:ascii="黑体" w:hAnsi="黑体" w:eastAsia="黑体" w:cs="黑体"/>
          <w:sz w:val="22"/>
          <w:szCs w:val="22"/>
          <w:highlight w:val="none"/>
        </w:rPr>
      </w:pPr>
      <w:r>
        <w:rPr>
          <w:rFonts w:ascii="黑体" w:hAnsi="黑体" w:eastAsia="黑体" w:cs="黑体"/>
          <w:spacing w:val="-2"/>
          <w:sz w:val="22"/>
          <w:szCs w:val="22"/>
          <w:highlight w:val="none"/>
        </w:rPr>
        <w:t>10.7招标人补充的其他内容</w:t>
      </w:r>
    </w:p>
    <w:p w14:paraId="59B85ECC">
      <w:pPr>
        <w:spacing w:before="143" w:line="219" w:lineRule="auto"/>
        <w:ind w:left="413"/>
        <w:rPr>
          <w:rFonts w:ascii="宋体" w:hAnsi="宋体" w:eastAsia="宋体" w:cs="宋体"/>
          <w:sz w:val="22"/>
          <w:szCs w:val="22"/>
          <w:highlight w:val="none"/>
        </w:rPr>
      </w:pPr>
      <w:r>
        <w:rPr>
          <w:rFonts w:ascii="宋体" w:hAnsi="宋体" w:eastAsia="宋体" w:cs="宋体"/>
          <w:spacing w:val="-11"/>
          <w:sz w:val="22"/>
          <w:szCs w:val="22"/>
          <w:highlight w:val="none"/>
        </w:rPr>
        <w:t>招标人补充的其他内容：见投标人须知前附表。</w:t>
      </w:r>
    </w:p>
    <w:p w14:paraId="0B453EF7">
      <w:pPr>
        <w:spacing w:line="219" w:lineRule="auto"/>
        <w:rPr>
          <w:rFonts w:ascii="宋体" w:hAnsi="宋体" w:eastAsia="宋体" w:cs="宋体"/>
          <w:sz w:val="22"/>
          <w:szCs w:val="22"/>
          <w:highlight w:val="none"/>
        </w:rPr>
        <w:sectPr>
          <w:footerReference r:id="rId39" w:type="default"/>
          <w:pgSz w:w="11910" w:h="16840"/>
          <w:pgMar w:top="400" w:right="1786" w:bottom="1217" w:left="1786" w:header="0" w:footer="1013" w:gutter="0"/>
          <w:cols w:space="720" w:num="1"/>
        </w:sectPr>
      </w:pPr>
    </w:p>
    <w:p w14:paraId="691F4F69">
      <w:pPr>
        <w:pStyle w:val="2"/>
        <w:spacing w:line="248" w:lineRule="auto"/>
        <w:rPr>
          <w:highlight w:val="none"/>
        </w:rPr>
      </w:pPr>
    </w:p>
    <w:p w14:paraId="7C376D85">
      <w:pPr>
        <w:pStyle w:val="2"/>
        <w:spacing w:line="249" w:lineRule="auto"/>
        <w:rPr>
          <w:highlight w:val="none"/>
        </w:rPr>
      </w:pPr>
    </w:p>
    <w:p w14:paraId="5F3764FC">
      <w:pPr>
        <w:pStyle w:val="2"/>
        <w:spacing w:line="249" w:lineRule="auto"/>
        <w:rPr>
          <w:highlight w:val="none"/>
        </w:rPr>
      </w:pPr>
    </w:p>
    <w:p w14:paraId="173CEC14">
      <w:pPr>
        <w:spacing w:before="78" w:line="222" w:lineRule="auto"/>
        <w:ind w:left="104"/>
        <w:outlineLvl w:val="1"/>
        <w:rPr>
          <w:rFonts w:ascii="黑体" w:hAnsi="黑体" w:eastAsia="黑体" w:cs="黑体"/>
          <w:sz w:val="24"/>
          <w:szCs w:val="24"/>
          <w:highlight w:val="none"/>
        </w:rPr>
      </w:pPr>
      <w:bookmarkStart w:id="35" w:name="bookmark203"/>
      <w:bookmarkEnd w:id="35"/>
      <w:bookmarkStart w:id="36" w:name="bookmark15"/>
      <w:bookmarkEnd w:id="36"/>
      <w:r>
        <w:rPr>
          <w:rFonts w:ascii="黑体" w:hAnsi="黑体" w:eastAsia="黑体" w:cs="黑体"/>
          <w:spacing w:val="3"/>
          <w:sz w:val="24"/>
          <w:szCs w:val="24"/>
          <w:highlight w:val="none"/>
        </w:rPr>
        <w:t>附录一：投标人资质条件、能力和信誉(适用于未进行资格预审的)</w:t>
      </w:r>
    </w:p>
    <w:p w14:paraId="186DF55D">
      <w:pPr>
        <w:pStyle w:val="2"/>
        <w:spacing w:line="427" w:lineRule="auto"/>
        <w:rPr>
          <w:highlight w:val="none"/>
        </w:rPr>
      </w:pPr>
    </w:p>
    <w:p w14:paraId="43E38BE4">
      <w:pPr>
        <w:spacing w:before="72" w:line="288" w:lineRule="auto"/>
        <w:ind w:left="114" w:right="321" w:hanging="10"/>
        <w:rPr>
          <w:rFonts w:ascii="宋体" w:hAnsi="宋体" w:eastAsia="宋体" w:cs="宋体"/>
          <w:sz w:val="22"/>
          <w:szCs w:val="22"/>
          <w:highlight w:val="none"/>
        </w:rPr>
      </w:pPr>
      <w:r>
        <w:rPr>
          <w:rFonts w:hint="eastAsia" w:ascii="宋体" w:hAnsi="宋体" w:eastAsia="宋体" w:cs="宋体"/>
          <w:color w:val="1000FF"/>
          <w:spacing w:val="-7"/>
          <w:sz w:val="22"/>
          <w:szCs w:val="22"/>
          <w:highlight w:val="none"/>
          <w:lang w:eastAsia="zh-CN"/>
        </w:rPr>
        <w:t>金桥·福菊农贸市场（菊花交易中心）建设项目</w:t>
      </w:r>
      <w:r>
        <w:rPr>
          <w:rFonts w:ascii="宋体" w:hAnsi="宋体" w:eastAsia="宋体" w:cs="宋体"/>
          <w:color w:val="1000FF"/>
          <w:spacing w:val="-7"/>
          <w:sz w:val="22"/>
          <w:szCs w:val="22"/>
          <w:highlight w:val="none"/>
        </w:rPr>
        <w:t>(</w:t>
      </w:r>
      <w:r>
        <w:rPr>
          <w:rFonts w:ascii="宋体" w:hAnsi="宋体" w:eastAsia="宋体" w:cs="宋体"/>
          <w:spacing w:val="-7"/>
          <w:sz w:val="22"/>
          <w:szCs w:val="22"/>
          <w:highlight w:val="none"/>
        </w:rPr>
        <w:t>项目名称)</w:t>
      </w:r>
      <w:r>
        <w:rPr>
          <w:rFonts w:hint="eastAsia" w:ascii="宋体" w:hAnsi="宋体" w:eastAsia="宋体" w:cs="宋体"/>
          <w:spacing w:val="-7"/>
          <w:sz w:val="22"/>
          <w:szCs w:val="22"/>
          <w:highlight w:val="none"/>
          <w:lang w:eastAsia="zh-CN"/>
        </w:rPr>
        <w:t>金桥·福菊农贸市场（菊花交易中心）建设项目</w:t>
      </w:r>
      <w:r>
        <w:rPr>
          <w:rFonts w:ascii="宋体" w:hAnsi="宋体" w:eastAsia="宋体" w:cs="宋体"/>
          <w:sz w:val="22"/>
          <w:szCs w:val="22"/>
          <w:highlight w:val="none"/>
        </w:rPr>
        <w:t>设计施工总承包(标段名称)工程总承包</w:t>
      </w:r>
    </w:p>
    <w:tbl>
      <w:tblPr>
        <w:tblStyle w:val="5"/>
        <w:tblW w:w="87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4"/>
        <w:gridCol w:w="6922"/>
        <w:gridCol w:w="894"/>
      </w:tblGrid>
      <w:tr w14:paraId="20766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914" w:type="dxa"/>
            <w:vAlign w:val="top"/>
          </w:tcPr>
          <w:p w14:paraId="32FCD9E0">
            <w:pPr>
              <w:pStyle w:val="6"/>
              <w:spacing w:before="173" w:line="211" w:lineRule="auto"/>
              <w:ind w:left="234"/>
              <w:rPr>
                <w:highlight w:val="none"/>
              </w:rPr>
            </w:pPr>
            <w:r>
              <w:rPr>
                <w:spacing w:val="-6"/>
                <w:highlight w:val="none"/>
              </w:rPr>
              <w:t>项 目</w:t>
            </w:r>
          </w:p>
        </w:tc>
        <w:tc>
          <w:tcPr>
            <w:tcW w:w="6922" w:type="dxa"/>
            <w:vAlign w:val="top"/>
          </w:tcPr>
          <w:p w14:paraId="6DEEB7D3">
            <w:pPr>
              <w:pStyle w:val="6"/>
              <w:spacing w:before="175" w:line="210" w:lineRule="auto"/>
              <w:ind w:left="3260"/>
              <w:rPr>
                <w:highlight w:val="none"/>
              </w:rPr>
            </w:pPr>
            <w:r>
              <w:rPr>
                <w:spacing w:val="-3"/>
                <w:highlight w:val="none"/>
              </w:rPr>
              <w:t>要求</w:t>
            </w:r>
          </w:p>
        </w:tc>
        <w:tc>
          <w:tcPr>
            <w:tcW w:w="894" w:type="dxa"/>
            <w:vAlign w:val="top"/>
          </w:tcPr>
          <w:p w14:paraId="0C74B70A">
            <w:pPr>
              <w:pStyle w:val="6"/>
              <w:spacing w:before="175" w:line="210" w:lineRule="auto"/>
              <w:ind w:left="228"/>
              <w:rPr>
                <w:highlight w:val="none"/>
              </w:rPr>
            </w:pPr>
            <w:r>
              <w:rPr>
                <w:spacing w:val="5"/>
                <w:highlight w:val="none"/>
              </w:rPr>
              <w:t>备注</w:t>
            </w:r>
          </w:p>
        </w:tc>
      </w:tr>
      <w:tr w14:paraId="646A2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914" w:type="dxa"/>
            <w:vAlign w:val="top"/>
          </w:tcPr>
          <w:p w14:paraId="5CE238C7">
            <w:pPr>
              <w:spacing w:line="320" w:lineRule="auto"/>
              <w:rPr>
                <w:rFonts w:ascii="Arial"/>
                <w:sz w:val="21"/>
                <w:highlight w:val="none"/>
              </w:rPr>
            </w:pPr>
          </w:p>
          <w:p w14:paraId="4E6E8106">
            <w:pPr>
              <w:pStyle w:val="6"/>
              <w:spacing w:before="68" w:line="379" w:lineRule="auto"/>
              <w:ind w:left="234" w:right="225"/>
              <w:rPr>
                <w:highlight w:val="none"/>
              </w:rPr>
            </w:pPr>
            <w:r>
              <w:rPr>
                <w:spacing w:val="11"/>
                <w:highlight w:val="none"/>
              </w:rPr>
              <w:t>资质</w:t>
            </w:r>
            <w:r>
              <w:rPr>
                <w:highlight w:val="none"/>
              </w:rPr>
              <w:t xml:space="preserve"> </w:t>
            </w:r>
            <w:r>
              <w:rPr>
                <w:spacing w:val="-3"/>
                <w:highlight w:val="none"/>
              </w:rPr>
              <w:t>条件</w:t>
            </w:r>
          </w:p>
        </w:tc>
        <w:tc>
          <w:tcPr>
            <w:tcW w:w="6922" w:type="dxa"/>
            <w:vAlign w:val="top"/>
          </w:tcPr>
          <w:p w14:paraId="16C90663">
            <w:pPr>
              <w:pStyle w:val="6"/>
              <w:spacing w:before="70" w:line="220" w:lineRule="auto"/>
              <w:ind w:left="231"/>
              <w:rPr>
                <w:highlight w:val="none"/>
              </w:rPr>
            </w:pPr>
            <w:r>
              <w:rPr>
                <w:color w:val="0000FF"/>
                <w:highlight w:val="none"/>
              </w:rPr>
              <w:t>(1)工程设计资质要求：工程设计综合甲级资质，或工程设计建筑行业</w:t>
            </w:r>
          </w:p>
          <w:p w14:paraId="7D13F99F">
            <w:pPr>
              <w:pStyle w:val="6"/>
              <w:spacing w:before="71" w:line="260" w:lineRule="auto"/>
              <w:ind w:left="130" w:right="68" w:firstLine="10"/>
              <w:rPr>
                <w:highlight w:val="none"/>
              </w:rPr>
            </w:pPr>
            <w:r>
              <w:rPr>
                <w:color w:val="0000FF"/>
                <w:spacing w:val="1"/>
                <w:highlight w:val="none"/>
              </w:rPr>
              <w:t>乙级或以上资质，或工程设计建筑行业(建筑工程)乙级或以上资质；(2)</w:t>
            </w:r>
            <w:r>
              <w:rPr>
                <w:color w:val="0000FF"/>
                <w:spacing w:val="6"/>
                <w:highlight w:val="none"/>
              </w:rPr>
              <w:t xml:space="preserve"> </w:t>
            </w:r>
            <w:r>
              <w:rPr>
                <w:color w:val="0000FF"/>
                <w:highlight w:val="none"/>
              </w:rPr>
              <w:t>施工资质要求：建筑工程施工总承包三级或以上资质</w:t>
            </w:r>
            <w:r>
              <w:rPr>
                <w:color w:val="0000FF"/>
                <w:spacing w:val="-1"/>
                <w:highlight w:val="none"/>
              </w:rPr>
              <w:t>，同时具备合格有效</w:t>
            </w:r>
            <w:r>
              <w:rPr>
                <w:color w:val="0000FF"/>
                <w:highlight w:val="none"/>
              </w:rPr>
              <w:t xml:space="preserve"> </w:t>
            </w:r>
            <w:r>
              <w:rPr>
                <w:color w:val="0000FF"/>
                <w:spacing w:val="12"/>
                <w:highlight w:val="none"/>
              </w:rPr>
              <w:t>的安全生产许可证；</w:t>
            </w:r>
          </w:p>
        </w:tc>
        <w:tc>
          <w:tcPr>
            <w:tcW w:w="894" w:type="dxa"/>
            <w:vAlign w:val="top"/>
          </w:tcPr>
          <w:p w14:paraId="355BC783">
            <w:pPr>
              <w:rPr>
                <w:rFonts w:ascii="Arial"/>
                <w:sz w:val="21"/>
                <w:highlight w:val="none"/>
              </w:rPr>
            </w:pPr>
          </w:p>
        </w:tc>
      </w:tr>
      <w:tr w14:paraId="439FE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8" w:hRule="atLeast"/>
        </w:trPr>
        <w:tc>
          <w:tcPr>
            <w:tcW w:w="914" w:type="dxa"/>
            <w:vAlign w:val="top"/>
          </w:tcPr>
          <w:p w14:paraId="4E8D604F">
            <w:pPr>
              <w:spacing w:line="330" w:lineRule="auto"/>
              <w:rPr>
                <w:rFonts w:ascii="Arial"/>
                <w:sz w:val="21"/>
                <w:highlight w:val="none"/>
              </w:rPr>
            </w:pPr>
          </w:p>
          <w:p w14:paraId="779A4699">
            <w:pPr>
              <w:pStyle w:val="6"/>
              <w:spacing w:before="68" w:line="219" w:lineRule="auto"/>
              <w:ind w:left="234"/>
              <w:rPr>
                <w:highlight w:val="none"/>
              </w:rPr>
            </w:pPr>
            <w:r>
              <w:rPr>
                <w:spacing w:val="-3"/>
                <w:highlight w:val="none"/>
              </w:rPr>
              <w:t>财务</w:t>
            </w:r>
          </w:p>
          <w:p w14:paraId="57ABCD2C">
            <w:pPr>
              <w:pStyle w:val="6"/>
              <w:spacing w:before="201" w:line="221" w:lineRule="auto"/>
              <w:ind w:left="234"/>
              <w:rPr>
                <w:highlight w:val="none"/>
              </w:rPr>
            </w:pPr>
            <w:r>
              <w:rPr>
                <w:spacing w:val="-3"/>
                <w:highlight w:val="none"/>
              </w:rPr>
              <w:t>要求</w:t>
            </w:r>
          </w:p>
        </w:tc>
        <w:tc>
          <w:tcPr>
            <w:tcW w:w="6922" w:type="dxa"/>
            <w:vAlign w:val="top"/>
          </w:tcPr>
          <w:p w14:paraId="56A1BDFD">
            <w:pPr>
              <w:pStyle w:val="6"/>
              <w:spacing w:before="188" w:line="331" w:lineRule="auto"/>
              <w:ind w:left="120" w:right="175" w:firstLine="10"/>
              <w:jc w:val="both"/>
              <w:rPr>
                <w:highlight w:val="none"/>
              </w:rPr>
            </w:pPr>
            <w:r>
              <w:rPr>
                <w:color w:val="0000FF"/>
                <w:highlight w:val="none"/>
              </w:rPr>
              <w:t>投标人需提供202</w:t>
            </w:r>
            <w:r>
              <w:rPr>
                <w:rFonts w:hint="eastAsia"/>
                <w:color w:val="0000FF"/>
                <w:highlight w:val="none"/>
                <w:lang w:val="en-US" w:eastAsia="zh-CN"/>
              </w:rPr>
              <w:t>3</w:t>
            </w:r>
            <w:r>
              <w:rPr>
                <w:color w:val="0000FF"/>
                <w:highlight w:val="none"/>
              </w:rPr>
              <w:t>年度、202</w:t>
            </w:r>
            <w:r>
              <w:rPr>
                <w:rFonts w:hint="eastAsia"/>
                <w:color w:val="0000FF"/>
                <w:highlight w:val="none"/>
                <w:lang w:val="en-US" w:eastAsia="zh-CN"/>
              </w:rPr>
              <w:t>4</w:t>
            </w:r>
            <w:r>
              <w:rPr>
                <w:color w:val="0000FF"/>
                <w:highlight w:val="none"/>
              </w:rPr>
              <w:t>年度、202</w:t>
            </w:r>
            <w:r>
              <w:rPr>
                <w:rFonts w:hint="eastAsia"/>
                <w:color w:val="0000FF"/>
                <w:highlight w:val="none"/>
                <w:lang w:val="en-US" w:eastAsia="zh-CN"/>
              </w:rPr>
              <w:t>5</w:t>
            </w:r>
            <w:r>
              <w:rPr>
                <w:color w:val="0000FF"/>
                <w:highlight w:val="none"/>
              </w:rPr>
              <w:t>年度经审计事务所或会计事务</w:t>
            </w:r>
            <w:r>
              <w:rPr>
                <w:color w:val="0000FF"/>
                <w:spacing w:val="9"/>
                <w:highlight w:val="none"/>
              </w:rPr>
              <w:t xml:space="preserve"> </w:t>
            </w:r>
            <w:r>
              <w:rPr>
                <w:color w:val="0000FF"/>
                <w:highlight w:val="none"/>
              </w:rPr>
              <w:t xml:space="preserve">所出具的审计或财务报告。(注：提供扫描件；如公司成立不满三年的， </w:t>
            </w:r>
            <w:r>
              <w:rPr>
                <w:color w:val="0000FF"/>
                <w:spacing w:val="1"/>
                <w:highlight w:val="none"/>
              </w:rPr>
              <w:t>从成立之日起算；如联合体投标的，则联合体所有成员单位均须提供)</w:t>
            </w:r>
          </w:p>
        </w:tc>
        <w:tc>
          <w:tcPr>
            <w:tcW w:w="894" w:type="dxa"/>
            <w:vAlign w:val="top"/>
          </w:tcPr>
          <w:p w14:paraId="04BB4CD9">
            <w:pPr>
              <w:rPr>
                <w:rFonts w:ascii="Arial"/>
                <w:sz w:val="21"/>
                <w:highlight w:val="none"/>
              </w:rPr>
            </w:pPr>
          </w:p>
        </w:tc>
      </w:tr>
      <w:tr w14:paraId="0621E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6" w:hRule="atLeast"/>
        </w:trPr>
        <w:tc>
          <w:tcPr>
            <w:tcW w:w="914" w:type="dxa"/>
            <w:vAlign w:val="top"/>
          </w:tcPr>
          <w:p w14:paraId="14FD0709">
            <w:pPr>
              <w:spacing w:line="266" w:lineRule="auto"/>
              <w:rPr>
                <w:rFonts w:ascii="Arial"/>
                <w:sz w:val="21"/>
                <w:highlight w:val="none"/>
              </w:rPr>
            </w:pPr>
          </w:p>
          <w:p w14:paraId="7D34BE8A">
            <w:pPr>
              <w:spacing w:line="266" w:lineRule="auto"/>
              <w:rPr>
                <w:rFonts w:ascii="Arial"/>
                <w:sz w:val="21"/>
                <w:highlight w:val="none"/>
              </w:rPr>
            </w:pPr>
          </w:p>
          <w:p w14:paraId="31C6B32F">
            <w:pPr>
              <w:spacing w:line="266" w:lineRule="auto"/>
              <w:rPr>
                <w:rFonts w:ascii="Arial"/>
                <w:sz w:val="21"/>
                <w:highlight w:val="none"/>
              </w:rPr>
            </w:pPr>
          </w:p>
          <w:p w14:paraId="66735636">
            <w:pPr>
              <w:spacing w:line="266" w:lineRule="auto"/>
              <w:rPr>
                <w:rFonts w:ascii="Arial"/>
                <w:sz w:val="21"/>
                <w:highlight w:val="none"/>
              </w:rPr>
            </w:pPr>
          </w:p>
          <w:p w14:paraId="5DC0EC68">
            <w:pPr>
              <w:spacing w:line="266" w:lineRule="auto"/>
              <w:rPr>
                <w:rFonts w:ascii="Arial"/>
                <w:sz w:val="21"/>
                <w:highlight w:val="none"/>
              </w:rPr>
            </w:pPr>
          </w:p>
          <w:p w14:paraId="19CDF3B6">
            <w:pPr>
              <w:spacing w:line="266" w:lineRule="auto"/>
              <w:rPr>
                <w:rFonts w:ascii="Arial"/>
                <w:sz w:val="21"/>
                <w:highlight w:val="none"/>
              </w:rPr>
            </w:pPr>
          </w:p>
          <w:p w14:paraId="58334F1B">
            <w:pPr>
              <w:spacing w:line="267" w:lineRule="auto"/>
              <w:rPr>
                <w:rFonts w:ascii="Arial"/>
                <w:sz w:val="21"/>
                <w:highlight w:val="none"/>
              </w:rPr>
            </w:pPr>
          </w:p>
          <w:p w14:paraId="19E8A861">
            <w:pPr>
              <w:pStyle w:val="6"/>
              <w:spacing w:before="68" w:line="220" w:lineRule="auto"/>
              <w:ind w:left="234"/>
              <w:rPr>
                <w:highlight w:val="none"/>
              </w:rPr>
            </w:pPr>
            <w:r>
              <w:rPr>
                <w:spacing w:val="-2"/>
                <w:highlight w:val="none"/>
              </w:rPr>
              <w:t>业绩</w:t>
            </w:r>
          </w:p>
          <w:p w14:paraId="4AB228CE">
            <w:pPr>
              <w:pStyle w:val="6"/>
              <w:spacing w:before="180" w:line="221" w:lineRule="auto"/>
              <w:ind w:left="234"/>
              <w:rPr>
                <w:highlight w:val="none"/>
              </w:rPr>
            </w:pPr>
            <w:r>
              <w:rPr>
                <w:spacing w:val="-3"/>
                <w:highlight w:val="none"/>
              </w:rPr>
              <w:t>要求</w:t>
            </w:r>
          </w:p>
        </w:tc>
        <w:tc>
          <w:tcPr>
            <w:tcW w:w="6922" w:type="dxa"/>
            <w:vAlign w:val="top"/>
          </w:tcPr>
          <w:p w14:paraId="368ABC5C">
            <w:pPr>
              <w:pStyle w:val="6"/>
              <w:spacing w:before="202" w:line="219" w:lineRule="auto"/>
              <w:ind w:left="130"/>
              <w:rPr>
                <w:highlight w:val="none"/>
              </w:rPr>
            </w:pPr>
            <w:r>
              <w:rPr>
                <w:color w:val="1000FF"/>
                <w:highlight w:val="none"/>
              </w:rPr>
              <w:t>投标人近五年(自投标截止之日往前推算五年)至少承</w:t>
            </w:r>
            <w:r>
              <w:rPr>
                <w:color w:val="1000FF"/>
                <w:spacing w:val="-1"/>
                <w:highlight w:val="none"/>
              </w:rPr>
              <w:t>接过一</w:t>
            </w:r>
            <w:r>
              <w:rPr>
                <w:color w:val="0000FF"/>
                <w:spacing w:val="-1"/>
                <w:highlight w:val="none"/>
              </w:rPr>
              <w:t>项合同总额</w:t>
            </w:r>
          </w:p>
          <w:p w14:paraId="734EAC3C">
            <w:pPr>
              <w:pStyle w:val="6"/>
              <w:spacing w:before="188" w:line="331" w:lineRule="auto"/>
              <w:ind w:left="120" w:right="175" w:firstLine="10"/>
              <w:jc w:val="both"/>
              <w:rPr>
                <w:highlight w:val="none"/>
              </w:rPr>
            </w:pPr>
            <w:r>
              <w:rPr>
                <w:color w:val="0000FF"/>
                <w:highlight w:val="none"/>
              </w:rPr>
              <w:t>不少于</w:t>
            </w:r>
            <w:r>
              <w:rPr>
                <w:rFonts w:hint="eastAsia"/>
                <w:color w:val="0000FF"/>
                <w:highlight w:val="none"/>
                <w:lang w:val="en-US" w:eastAsia="zh-CN"/>
              </w:rPr>
              <w:t>8</w:t>
            </w:r>
            <w:r>
              <w:rPr>
                <w:color w:val="0000FF"/>
                <w:highlight w:val="none"/>
              </w:rPr>
              <w:t>00万元的建筑工程施工总承包或设计施工总承包业绩或EPC业绩</w:t>
            </w:r>
            <w:r>
              <w:rPr>
                <w:rFonts w:hint="eastAsia"/>
                <w:color w:val="0000FF"/>
                <w:highlight w:val="none"/>
                <w:lang w:val="en-US" w:eastAsia="zh-CN"/>
              </w:rPr>
              <w:t>或</w:t>
            </w:r>
            <w:r>
              <w:rPr>
                <w:rFonts w:hint="eastAsia"/>
                <w:color w:val="0000FF"/>
                <w:highlight w:val="none"/>
              </w:rPr>
              <w:t>单项合同工程投资金额800万元以上的建筑工程设计项目</w:t>
            </w:r>
            <w:r>
              <w:rPr>
                <w:color w:val="0000FF"/>
                <w:spacing w:val="1"/>
                <w:highlight w:val="none"/>
              </w:rPr>
              <w:t>(在本项目中以联合体投标的，联合体成员任一方提供的均予以认可)</w:t>
            </w:r>
            <w:r>
              <w:rPr>
                <w:color w:val="1000FF"/>
                <w:spacing w:val="-6"/>
                <w:highlight w:val="none"/>
              </w:rPr>
              <w:t>( 注</w:t>
            </w:r>
            <w:r>
              <w:rPr>
                <w:rFonts w:hint="eastAsia"/>
                <w:color w:val="1000FF"/>
                <w:spacing w:val="-6"/>
                <w:highlight w:val="none"/>
                <w:lang w:eastAsia="zh-CN"/>
              </w:rPr>
              <w:t>：</w:t>
            </w:r>
            <w:r>
              <w:rPr>
                <w:color w:val="0000FF"/>
                <w:spacing w:val="-6"/>
                <w:highlight w:val="none"/>
              </w:rPr>
              <w:t>如设计单位提供业绩时则提供中标通知书(如有</w:t>
            </w:r>
            <w:r>
              <w:rPr>
                <w:color w:val="0000FF"/>
                <w:spacing w:val="-7"/>
                <w:highlight w:val="none"/>
              </w:rPr>
              <w:t>)、合同扫描件，</w:t>
            </w:r>
            <w:r>
              <w:rPr>
                <w:color w:val="0000FF"/>
                <w:spacing w:val="1"/>
                <w:highlight w:val="none"/>
              </w:rPr>
              <w:t>时间以合同签订时间为准，如投标人提供的业绩证明材料不能</w:t>
            </w:r>
            <w:r>
              <w:rPr>
                <w:color w:val="0000FF"/>
                <w:highlight w:val="none"/>
              </w:rPr>
              <w:t>反映上述内容，则提供业主单位盖章的证明材料扫描件；</w:t>
            </w:r>
            <w:r>
              <w:rPr>
                <w:color w:val="0000FF"/>
                <w:spacing w:val="-1"/>
                <w:highlight w:val="none"/>
              </w:rPr>
              <w:t>如施工单位提供业绩时则提</w:t>
            </w:r>
            <w:r>
              <w:rPr>
                <w:color w:val="0000FF"/>
                <w:spacing w:val="1"/>
                <w:highlight w:val="none"/>
              </w:rPr>
              <w:t>供中标通知书(如有)、合同协议书、工程接收证书</w:t>
            </w:r>
            <w:r>
              <w:rPr>
                <w:color w:val="0000FF"/>
                <w:highlight w:val="none"/>
              </w:rPr>
              <w:t>或工程竣工验收证书(工程竣工验收备案证或工程竣工验收备案表)的扫描件，时间以工程竣工时间为准，如投标人提供的业绩证明材料不能反映上述内容，则须</w:t>
            </w:r>
            <w:r>
              <w:rPr>
                <w:color w:val="0000FF"/>
                <w:spacing w:val="-1"/>
                <w:highlight w:val="none"/>
              </w:rPr>
              <w:t>提供</w:t>
            </w:r>
            <w:r>
              <w:rPr>
                <w:color w:val="0000FF"/>
                <w:spacing w:val="2"/>
                <w:highlight w:val="none"/>
              </w:rPr>
              <w:t>业主单位盖章的证明材料扫描件)</w:t>
            </w:r>
          </w:p>
        </w:tc>
        <w:tc>
          <w:tcPr>
            <w:tcW w:w="894" w:type="dxa"/>
            <w:vAlign w:val="top"/>
          </w:tcPr>
          <w:p w14:paraId="77C1D8AC">
            <w:pPr>
              <w:rPr>
                <w:rFonts w:ascii="Arial"/>
                <w:sz w:val="21"/>
                <w:highlight w:val="none"/>
              </w:rPr>
            </w:pPr>
          </w:p>
        </w:tc>
      </w:tr>
      <w:tr w14:paraId="321FC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2" w:hRule="atLeast"/>
        </w:trPr>
        <w:tc>
          <w:tcPr>
            <w:tcW w:w="914" w:type="dxa"/>
            <w:vAlign w:val="top"/>
          </w:tcPr>
          <w:p w14:paraId="39555B96">
            <w:pPr>
              <w:spacing w:line="251" w:lineRule="auto"/>
              <w:rPr>
                <w:rFonts w:ascii="Arial"/>
                <w:sz w:val="21"/>
                <w:highlight w:val="none"/>
              </w:rPr>
            </w:pPr>
          </w:p>
          <w:p w14:paraId="6DB48F10">
            <w:pPr>
              <w:spacing w:line="252" w:lineRule="auto"/>
              <w:rPr>
                <w:rFonts w:ascii="Arial"/>
                <w:sz w:val="21"/>
                <w:highlight w:val="none"/>
              </w:rPr>
            </w:pPr>
          </w:p>
          <w:p w14:paraId="15A61922">
            <w:pPr>
              <w:spacing w:line="252" w:lineRule="auto"/>
              <w:rPr>
                <w:rFonts w:ascii="Arial"/>
                <w:sz w:val="21"/>
                <w:highlight w:val="none"/>
              </w:rPr>
            </w:pPr>
          </w:p>
          <w:p w14:paraId="342F217A">
            <w:pPr>
              <w:spacing w:line="252" w:lineRule="auto"/>
              <w:rPr>
                <w:rFonts w:ascii="Arial"/>
                <w:sz w:val="21"/>
                <w:highlight w:val="none"/>
              </w:rPr>
            </w:pPr>
          </w:p>
          <w:p w14:paraId="77F5346B">
            <w:pPr>
              <w:spacing w:line="252" w:lineRule="auto"/>
              <w:rPr>
                <w:rFonts w:ascii="Arial"/>
                <w:sz w:val="21"/>
                <w:highlight w:val="none"/>
              </w:rPr>
            </w:pPr>
          </w:p>
          <w:p w14:paraId="470D6CC5">
            <w:pPr>
              <w:pStyle w:val="6"/>
              <w:spacing w:before="68" w:line="219" w:lineRule="auto"/>
              <w:ind w:left="234"/>
              <w:rPr>
                <w:highlight w:val="none"/>
              </w:rPr>
            </w:pPr>
            <w:r>
              <w:rPr>
                <w:spacing w:val="-3"/>
                <w:highlight w:val="none"/>
              </w:rPr>
              <w:t>信誉</w:t>
            </w:r>
          </w:p>
          <w:p w14:paraId="61881B48">
            <w:pPr>
              <w:pStyle w:val="6"/>
              <w:spacing w:before="203" w:line="221" w:lineRule="auto"/>
              <w:ind w:left="234"/>
              <w:rPr>
                <w:highlight w:val="none"/>
              </w:rPr>
            </w:pPr>
            <w:r>
              <w:rPr>
                <w:spacing w:val="-3"/>
                <w:highlight w:val="none"/>
              </w:rPr>
              <w:t>要求</w:t>
            </w:r>
          </w:p>
        </w:tc>
        <w:tc>
          <w:tcPr>
            <w:tcW w:w="6922" w:type="dxa"/>
            <w:vAlign w:val="top"/>
          </w:tcPr>
          <w:p w14:paraId="4F867EC5">
            <w:pPr>
              <w:pStyle w:val="6"/>
              <w:spacing w:before="135" w:line="219" w:lineRule="auto"/>
              <w:ind w:left="120"/>
              <w:rPr>
                <w:highlight w:val="none"/>
              </w:rPr>
            </w:pPr>
            <w:r>
              <w:rPr>
                <w:spacing w:val="6"/>
                <w:highlight w:val="none"/>
              </w:rPr>
              <w:t>1.没有被依法暂停或取消投标资格；</w:t>
            </w:r>
          </w:p>
          <w:p w14:paraId="0EBA032F">
            <w:pPr>
              <w:pStyle w:val="6"/>
              <w:spacing w:before="160" w:line="219" w:lineRule="auto"/>
              <w:ind w:left="110"/>
              <w:rPr>
                <w:highlight w:val="none"/>
              </w:rPr>
            </w:pPr>
            <w:r>
              <w:rPr>
                <w:spacing w:val="3"/>
                <w:highlight w:val="none"/>
              </w:rPr>
              <w:t>2.没有被责令停产停业、暂扣或者吊销许可证、暂扣或者吊销执照；</w:t>
            </w:r>
          </w:p>
          <w:p w14:paraId="36B547E8">
            <w:pPr>
              <w:pStyle w:val="6"/>
              <w:spacing w:before="150" w:line="218" w:lineRule="auto"/>
              <w:ind w:left="120"/>
              <w:rPr>
                <w:highlight w:val="none"/>
              </w:rPr>
            </w:pPr>
            <w:r>
              <w:rPr>
                <w:spacing w:val="3"/>
                <w:highlight w:val="none"/>
              </w:rPr>
              <w:t>3.没有进入清算程序，或被宣告破产，或其他丧失履约能力的情形；</w:t>
            </w:r>
          </w:p>
          <w:p w14:paraId="4F9DB7CA">
            <w:pPr>
              <w:pStyle w:val="6"/>
              <w:spacing w:before="163" w:line="219" w:lineRule="auto"/>
              <w:ind w:left="110"/>
              <w:rPr>
                <w:highlight w:val="none"/>
              </w:rPr>
            </w:pPr>
            <w:r>
              <w:rPr>
                <w:spacing w:val="5"/>
                <w:highlight w:val="none"/>
              </w:rPr>
              <w:t>4.在最近三年内没有发生重大工程质量问题；</w:t>
            </w:r>
          </w:p>
          <w:p w14:paraId="425610B2">
            <w:pPr>
              <w:pStyle w:val="6"/>
              <w:spacing w:before="143" w:line="293" w:lineRule="auto"/>
              <w:ind w:left="140" w:right="178" w:hanging="10"/>
              <w:rPr>
                <w:highlight w:val="none"/>
              </w:rPr>
            </w:pPr>
            <w:r>
              <w:rPr>
                <w:highlight w:val="none"/>
              </w:rPr>
              <w:t>5.没有在“国家企业信用信息公示系统”(</w:t>
            </w:r>
            <w:r>
              <w:rPr>
                <w:highlight w:val="none"/>
              </w:rPr>
              <w:fldChar w:fldCharType="begin"/>
            </w:r>
            <w:r>
              <w:rPr>
                <w:highlight w:val="none"/>
              </w:rPr>
              <w:instrText xml:space="preserve"> HYPERLINK "https://www.gsxt.gov.cn" </w:instrText>
            </w:r>
            <w:r>
              <w:rPr>
                <w:highlight w:val="none"/>
              </w:rPr>
              <w:fldChar w:fldCharType="separate"/>
            </w:r>
            <w:r>
              <w:rPr>
                <w:highlight w:val="none"/>
              </w:rPr>
              <w:t>www.gsx</w:t>
            </w:r>
            <w:r>
              <w:rPr>
                <w:spacing w:val="-1"/>
                <w:highlight w:val="none"/>
              </w:rPr>
              <w:t>t.gov.cn</w:t>
            </w:r>
            <w:r>
              <w:rPr>
                <w:spacing w:val="-1"/>
                <w:highlight w:val="none"/>
              </w:rPr>
              <w:fldChar w:fldCharType="end"/>
            </w:r>
            <w:r>
              <w:rPr>
                <w:spacing w:val="-1"/>
                <w:highlight w:val="none"/>
              </w:rPr>
              <w:t>)中被列入严</w:t>
            </w:r>
            <w:r>
              <w:rPr>
                <w:highlight w:val="none"/>
              </w:rPr>
              <w:t xml:space="preserve"> </w:t>
            </w:r>
            <w:r>
              <w:rPr>
                <w:spacing w:val="10"/>
                <w:highlight w:val="none"/>
              </w:rPr>
              <w:t>重违法失信企业名单；</w:t>
            </w:r>
          </w:p>
          <w:p w14:paraId="4295A464">
            <w:pPr>
              <w:pStyle w:val="6"/>
              <w:spacing w:before="134" w:line="278" w:lineRule="auto"/>
              <w:ind w:left="130"/>
              <w:rPr>
                <w:highlight w:val="none"/>
              </w:rPr>
            </w:pPr>
            <w:r>
              <w:rPr>
                <w:highlight w:val="none"/>
              </w:rPr>
              <w:t>6.没有在“信用中国”网站(</w:t>
            </w:r>
            <w:r>
              <w:rPr>
                <w:highlight w:val="none"/>
              </w:rPr>
              <w:fldChar w:fldCharType="begin"/>
            </w:r>
            <w:r>
              <w:rPr>
                <w:highlight w:val="none"/>
              </w:rPr>
              <w:instrText xml:space="preserve"> HYPERLINK "https://www.creditchina.gov.cn" </w:instrText>
            </w:r>
            <w:r>
              <w:rPr>
                <w:highlight w:val="none"/>
              </w:rPr>
              <w:fldChar w:fldCharType="separate"/>
            </w:r>
            <w:r>
              <w:rPr>
                <w:highlight w:val="none"/>
              </w:rPr>
              <w:t>www.creditchina.gov.cn</w:t>
            </w:r>
            <w:r>
              <w:rPr>
                <w:highlight w:val="none"/>
              </w:rPr>
              <w:fldChar w:fldCharType="end"/>
            </w:r>
            <w:r>
              <w:rPr>
                <w:highlight w:val="none"/>
              </w:rPr>
              <w:t>)或中国执行信息公</w:t>
            </w:r>
            <w:r>
              <w:rPr>
                <w:spacing w:val="3"/>
                <w:highlight w:val="none"/>
              </w:rPr>
              <w:t xml:space="preserve"> </w:t>
            </w:r>
            <w:r>
              <w:rPr>
                <w:spacing w:val="-5"/>
                <w:highlight w:val="none"/>
              </w:rPr>
              <w:t>开网(</w:t>
            </w:r>
            <w:r>
              <w:rPr>
                <w:highlight w:val="none"/>
              </w:rPr>
              <w:fldChar w:fldCharType="begin"/>
            </w:r>
            <w:r>
              <w:rPr>
                <w:highlight w:val="none"/>
              </w:rPr>
              <w:instrText xml:space="preserve"> HYPERLINK "http://zxgk.court.gov.cn/" </w:instrText>
            </w:r>
            <w:r>
              <w:rPr>
                <w:highlight w:val="none"/>
              </w:rPr>
              <w:fldChar w:fldCharType="separate"/>
            </w:r>
            <w:r>
              <w:rPr>
                <w:spacing w:val="-5"/>
                <w:highlight w:val="none"/>
              </w:rPr>
              <w:t>http://zxgk.court.gov.cn</w:t>
            </w:r>
            <w:r>
              <w:rPr>
                <w:spacing w:val="-6"/>
                <w:highlight w:val="none"/>
              </w:rPr>
              <w:t>/</w:t>
            </w:r>
            <w:r>
              <w:rPr>
                <w:spacing w:val="-6"/>
                <w:highlight w:val="none"/>
              </w:rPr>
              <w:fldChar w:fldCharType="end"/>
            </w:r>
            <w:r>
              <w:rPr>
                <w:spacing w:val="-6"/>
                <w:highlight w:val="none"/>
              </w:rPr>
              <w:t>)或各级信用信息共享平台中被列入失信被</w:t>
            </w:r>
          </w:p>
        </w:tc>
        <w:tc>
          <w:tcPr>
            <w:tcW w:w="894" w:type="dxa"/>
            <w:vAlign w:val="top"/>
          </w:tcPr>
          <w:p w14:paraId="239E5F67">
            <w:pPr>
              <w:pStyle w:val="6"/>
              <w:spacing w:before="237" w:line="220" w:lineRule="auto"/>
              <w:ind w:left="128"/>
              <w:rPr>
                <w:highlight w:val="none"/>
              </w:rPr>
            </w:pPr>
            <w:r>
              <w:rPr>
                <w:color w:val="0000FF"/>
                <w:spacing w:val="-3"/>
                <w:highlight w:val="none"/>
              </w:rPr>
              <w:t>投标人</w:t>
            </w:r>
          </w:p>
          <w:p w14:paraId="24B1FACC">
            <w:pPr>
              <w:pStyle w:val="6"/>
              <w:spacing w:before="199" w:line="219" w:lineRule="auto"/>
              <w:ind w:left="228"/>
              <w:rPr>
                <w:highlight w:val="none"/>
              </w:rPr>
            </w:pPr>
            <w:r>
              <w:rPr>
                <w:color w:val="0000FF"/>
                <w:spacing w:val="6"/>
                <w:highlight w:val="none"/>
              </w:rPr>
              <w:t>根据</w:t>
            </w:r>
          </w:p>
          <w:p w14:paraId="1321BCD6">
            <w:pPr>
              <w:pStyle w:val="6"/>
              <w:spacing w:before="190" w:line="219" w:lineRule="auto"/>
              <w:ind w:right="18"/>
              <w:jc w:val="right"/>
              <w:rPr>
                <w:highlight w:val="none"/>
              </w:rPr>
            </w:pPr>
            <w:r>
              <w:rPr>
                <w:color w:val="0000FF"/>
                <w:spacing w:val="-1"/>
                <w:highlight w:val="none"/>
              </w:rPr>
              <w:t>“</w:t>
            </w:r>
            <w:r>
              <w:rPr>
                <w:color w:val="0000FF"/>
                <w:spacing w:val="-43"/>
                <w:highlight w:val="none"/>
              </w:rPr>
              <w:t xml:space="preserve"> </w:t>
            </w:r>
            <w:r>
              <w:rPr>
                <w:color w:val="0000FF"/>
                <w:spacing w:val="-1"/>
                <w:highlight w:val="none"/>
              </w:rPr>
              <w:t>第</w:t>
            </w:r>
            <w:r>
              <w:rPr>
                <w:color w:val="0000FF"/>
                <w:spacing w:val="-44"/>
                <w:highlight w:val="none"/>
              </w:rPr>
              <w:t xml:space="preserve"> </w:t>
            </w:r>
            <w:r>
              <w:rPr>
                <w:color w:val="0000FF"/>
                <w:spacing w:val="-1"/>
                <w:highlight w:val="none"/>
              </w:rPr>
              <w:t>七</w:t>
            </w:r>
          </w:p>
          <w:p w14:paraId="51F98379">
            <w:pPr>
              <w:pStyle w:val="6"/>
              <w:spacing w:before="179" w:line="219" w:lineRule="auto"/>
              <w:ind w:left="128"/>
              <w:rPr>
                <w:highlight w:val="none"/>
              </w:rPr>
            </w:pPr>
            <w:r>
              <w:rPr>
                <w:color w:val="0000FF"/>
                <w:spacing w:val="2"/>
                <w:highlight w:val="none"/>
              </w:rPr>
              <w:t>章投标</w:t>
            </w:r>
          </w:p>
          <w:p w14:paraId="5934751C">
            <w:pPr>
              <w:pStyle w:val="6"/>
              <w:spacing w:before="202" w:line="219" w:lineRule="auto"/>
              <w:ind w:left="128"/>
              <w:rPr>
                <w:highlight w:val="none"/>
              </w:rPr>
            </w:pPr>
            <w:r>
              <w:rPr>
                <w:color w:val="0000FF"/>
                <w:spacing w:val="-3"/>
                <w:highlight w:val="none"/>
              </w:rPr>
              <w:t>文件格</w:t>
            </w:r>
          </w:p>
          <w:p w14:paraId="19A42022">
            <w:pPr>
              <w:pStyle w:val="6"/>
              <w:spacing w:before="201" w:line="220" w:lineRule="auto"/>
              <w:ind w:left="128"/>
              <w:rPr>
                <w:highlight w:val="none"/>
              </w:rPr>
            </w:pPr>
            <w:r>
              <w:rPr>
                <w:color w:val="0000FF"/>
                <w:spacing w:val="11"/>
                <w:highlight w:val="none"/>
              </w:rPr>
              <w:t>式(八)</w:t>
            </w:r>
          </w:p>
          <w:p w14:paraId="03ED09A9">
            <w:pPr>
              <w:pStyle w:val="6"/>
              <w:spacing w:before="169" w:line="219" w:lineRule="auto"/>
              <w:ind w:left="128"/>
              <w:rPr>
                <w:highlight w:val="none"/>
              </w:rPr>
            </w:pPr>
            <w:r>
              <w:rPr>
                <w:color w:val="0000FF"/>
                <w:spacing w:val="4"/>
                <w:highlight w:val="none"/>
              </w:rPr>
              <w:t>企业信</w:t>
            </w:r>
          </w:p>
        </w:tc>
      </w:tr>
    </w:tbl>
    <w:p w14:paraId="681EF526">
      <w:pPr>
        <w:pStyle w:val="2"/>
        <w:rPr>
          <w:highlight w:val="none"/>
        </w:rPr>
      </w:pPr>
    </w:p>
    <w:p w14:paraId="2C80CED9">
      <w:pPr>
        <w:rPr>
          <w:highlight w:val="none"/>
        </w:rPr>
        <w:sectPr>
          <w:footerReference r:id="rId40" w:type="default"/>
          <w:pgSz w:w="11910" w:h="16840"/>
          <w:pgMar w:top="400" w:right="1484" w:bottom="1217" w:left="1685" w:header="0" w:footer="1013" w:gutter="0"/>
          <w:cols w:space="720" w:num="1"/>
        </w:sectPr>
      </w:pPr>
    </w:p>
    <w:p w14:paraId="02D5C002">
      <w:pPr>
        <w:spacing w:before="20"/>
        <w:rPr>
          <w:highlight w:val="none"/>
        </w:rPr>
      </w:pPr>
    </w:p>
    <w:p w14:paraId="786CF306">
      <w:pPr>
        <w:spacing w:before="20"/>
        <w:rPr>
          <w:highlight w:val="none"/>
        </w:rPr>
      </w:pPr>
    </w:p>
    <w:p w14:paraId="61F43820">
      <w:pPr>
        <w:spacing w:before="20"/>
        <w:rPr>
          <w:highlight w:val="none"/>
        </w:rPr>
      </w:pPr>
    </w:p>
    <w:p w14:paraId="3D90FD50">
      <w:pPr>
        <w:spacing w:before="19"/>
        <w:rPr>
          <w:highlight w:val="none"/>
        </w:rPr>
      </w:pPr>
    </w:p>
    <w:tbl>
      <w:tblPr>
        <w:tblStyle w:val="5"/>
        <w:tblW w:w="87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4"/>
        <w:gridCol w:w="1498"/>
        <w:gridCol w:w="4675"/>
        <w:gridCol w:w="719"/>
        <w:gridCol w:w="894"/>
      </w:tblGrid>
      <w:tr w14:paraId="79A0D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1" w:hRule="atLeast"/>
        </w:trPr>
        <w:tc>
          <w:tcPr>
            <w:tcW w:w="934" w:type="dxa"/>
            <w:vAlign w:val="top"/>
          </w:tcPr>
          <w:p w14:paraId="73F0C156">
            <w:pPr>
              <w:rPr>
                <w:rFonts w:ascii="Arial"/>
                <w:sz w:val="21"/>
                <w:highlight w:val="none"/>
              </w:rPr>
            </w:pPr>
          </w:p>
        </w:tc>
        <w:tc>
          <w:tcPr>
            <w:tcW w:w="6892" w:type="dxa"/>
            <w:gridSpan w:val="3"/>
            <w:vAlign w:val="top"/>
          </w:tcPr>
          <w:p w14:paraId="3C18C5CA">
            <w:pPr>
              <w:pStyle w:val="6"/>
              <w:spacing w:before="123" w:line="219" w:lineRule="auto"/>
              <w:ind w:left="110"/>
              <w:rPr>
                <w:highlight w:val="none"/>
              </w:rPr>
            </w:pPr>
            <w:r>
              <w:rPr>
                <w:spacing w:val="17"/>
                <w:highlight w:val="none"/>
              </w:rPr>
              <w:t>执行人名单；</w:t>
            </w:r>
          </w:p>
          <w:p w14:paraId="6A2D77A1">
            <w:pPr>
              <w:pStyle w:val="6"/>
              <w:spacing w:before="149" w:line="286" w:lineRule="auto"/>
              <w:ind w:left="110" w:right="68" w:hanging="30"/>
              <w:rPr>
                <w:highlight w:val="none"/>
              </w:rPr>
            </w:pPr>
            <w:r>
              <w:rPr>
                <w:highlight w:val="none"/>
              </w:rPr>
              <w:t>7.在近三年内投标人或其法定代表人、拟委任的项目经理没有被人民法院</w:t>
            </w:r>
            <w:r>
              <w:rPr>
                <w:spacing w:val="11"/>
                <w:highlight w:val="none"/>
              </w:rPr>
              <w:t xml:space="preserve"> </w:t>
            </w:r>
            <w:r>
              <w:rPr>
                <w:spacing w:val="14"/>
                <w:highlight w:val="none"/>
              </w:rPr>
              <w:t>判决为行贿罪；</w:t>
            </w:r>
          </w:p>
          <w:p w14:paraId="10EF891B">
            <w:pPr>
              <w:pStyle w:val="6"/>
              <w:spacing w:before="189" w:line="304" w:lineRule="auto"/>
              <w:ind w:left="110" w:right="184" w:hanging="40"/>
              <w:rPr>
                <w:highlight w:val="none"/>
              </w:rPr>
            </w:pPr>
            <w:r>
              <w:rPr>
                <w:highlight w:val="none"/>
              </w:rPr>
              <w:t>8.不存在法律法规或投标人须知前附表第1.4.3(19)目规定的不得存在的</w:t>
            </w:r>
            <w:r>
              <w:rPr>
                <w:spacing w:val="10"/>
                <w:highlight w:val="none"/>
              </w:rPr>
              <w:t xml:space="preserve"> </w:t>
            </w:r>
            <w:r>
              <w:rPr>
                <w:highlight w:val="none"/>
              </w:rPr>
              <w:t>其他情形。</w:t>
            </w:r>
          </w:p>
        </w:tc>
        <w:tc>
          <w:tcPr>
            <w:tcW w:w="894" w:type="dxa"/>
            <w:vAlign w:val="top"/>
          </w:tcPr>
          <w:p w14:paraId="6EBAB8B7">
            <w:pPr>
              <w:pStyle w:val="6"/>
              <w:spacing w:before="172" w:line="219" w:lineRule="auto"/>
              <w:ind w:left="178"/>
              <w:rPr>
                <w:highlight w:val="none"/>
              </w:rPr>
            </w:pPr>
            <w:r>
              <w:rPr>
                <w:color w:val="0000FF"/>
                <w:spacing w:val="-2"/>
                <w:highlight w:val="none"/>
              </w:rPr>
              <w:t>誉情况</w:t>
            </w:r>
          </w:p>
          <w:p w14:paraId="7AC195C5">
            <w:pPr>
              <w:pStyle w:val="6"/>
              <w:spacing w:before="193" w:line="229" w:lineRule="auto"/>
              <w:ind w:left="178"/>
              <w:rPr>
                <w:highlight w:val="none"/>
              </w:rPr>
            </w:pPr>
            <w:r>
              <w:rPr>
                <w:color w:val="0000FF"/>
                <w:spacing w:val="-5"/>
                <w:highlight w:val="none"/>
              </w:rPr>
              <w:t>7-</w:t>
            </w:r>
            <w:r>
              <w:rPr>
                <w:color w:val="0010FF"/>
                <w:spacing w:val="-5"/>
                <w:highlight w:val="none"/>
              </w:rPr>
              <w:t>1</w:t>
            </w:r>
            <w:r>
              <w:rPr>
                <w:color w:val="0000FF"/>
                <w:spacing w:val="-5"/>
                <w:highlight w:val="none"/>
              </w:rPr>
              <w:t>企</w:t>
            </w:r>
          </w:p>
          <w:p w14:paraId="47293B0E">
            <w:pPr>
              <w:pStyle w:val="6"/>
              <w:spacing w:before="156" w:line="219" w:lineRule="auto"/>
              <w:ind w:left="178"/>
              <w:rPr>
                <w:highlight w:val="none"/>
              </w:rPr>
            </w:pPr>
            <w:r>
              <w:rPr>
                <w:color w:val="0000FF"/>
                <w:spacing w:val="-2"/>
                <w:highlight w:val="none"/>
              </w:rPr>
              <w:t>业信誉</w:t>
            </w:r>
          </w:p>
          <w:p w14:paraId="6908252D">
            <w:pPr>
              <w:pStyle w:val="6"/>
              <w:spacing w:before="202" w:line="219" w:lineRule="auto"/>
              <w:jc w:val="right"/>
              <w:rPr>
                <w:highlight w:val="none"/>
              </w:rPr>
            </w:pPr>
            <w:r>
              <w:rPr>
                <w:color w:val="0000FF"/>
                <w:spacing w:val="13"/>
                <w:highlight w:val="none"/>
              </w:rPr>
              <w:t>声明</w:t>
            </w:r>
            <w:r>
              <w:rPr>
                <w:color w:val="0000FF"/>
                <w:spacing w:val="-30"/>
                <w:highlight w:val="none"/>
              </w:rPr>
              <w:t xml:space="preserve"> </w:t>
            </w:r>
            <w:r>
              <w:rPr>
                <w:color w:val="0000FF"/>
                <w:spacing w:val="13"/>
                <w:highlight w:val="none"/>
              </w:rPr>
              <w:t>”</w:t>
            </w:r>
          </w:p>
          <w:p w14:paraId="64B63D95">
            <w:pPr>
              <w:pStyle w:val="6"/>
              <w:spacing w:before="191" w:line="220" w:lineRule="auto"/>
              <w:ind w:left="178"/>
              <w:rPr>
                <w:highlight w:val="none"/>
              </w:rPr>
            </w:pPr>
            <w:r>
              <w:rPr>
                <w:color w:val="0000FF"/>
                <w:spacing w:val="3"/>
                <w:highlight w:val="none"/>
              </w:rPr>
              <w:t>自行提</w:t>
            </w:r>
          </w:p>
          <w:p w14:paraId="6267D3CA">
            <w:pPr>
              <w:pStyle w:val="6"/>
              <w:spacing w:before="178" w:line="219" w:lineRule="auto"/>
              <w:ind w:left="168"/>
              <w:rPr>
                <w:highlight w:val="none"/>
              </w:rPr>
            </w:pPr>
            <w:r>
              <w:rPr>
                <w:color w:val="0000FF"/>
                <w:spacing w:val="-2"/>
                <w:highlight w:val="none"/>
              </w:rPr>
              <w:t>供(如</w:t>
            </w:r>
          </w:p>
          <w:p w14:paraId="5BE9A759">
            <w:pPr>
              <w:pStyle w:val="6"/>
              <w:spacing w:before="213" w:line="221" w:lineRule="auto"/>
              <w:ind w:left="178"/>
              <w:rPr>
                <w:highlight w:val="none"/>
              </w:rPr>
            </w:pPr>
            <w:r>
              <w:rPr>
                <w:color w:val="0000FF"/>
                <w:spacing w:val="-3"/>
                <w:highlight w:val="none"/>
              </w:rPr>
              <w:t>为联合</w:t>
            </w:r>
          </w:p>
          <w:p w14:paraId="31B66FE8">
            <w:pPr>
              <w:pStyle w:val="6"/>
              <w:spacing w:before="188" w:line="220" w:lineRule="auto"/>
              <w:ind w:left="178"/>
              <w:rPr>
                <w:highlight w:val="none"/>
              </w:rPr>
            </w:pPr>
            <w:r>
              <w:rPr>
                <w:color w:val="0000FF"/>
                <w:spacing w:val="-2"/>
                <w:highlight w:val="none"/>
              </w:rPr>
              <w:t>体投标</w:t>
            </w:r>
          </w:p>
          <w:p w14:paraId="46AFC3B7">
            <w:pPr>
              <w:pStyle w:val="6"/>
              <w:spacing w:before="192" w:line="221" w:lineRule="auto"/>
              <w:ind w:left="178"/>
              <w:rPr>
                <w:highlight w:val="none"/>
              </w:rPr>
            </w:pPr>
            <w:r>
              <w:rPr>
                <w:color w:val="0000FF"/>
                <w:spacing w:val="2"/>
                <w:highlight w:val="none"/>
              </w:rPr>
              <w:t>的，联</w:t>
            </w:r>
          </w:p>
          <w:p w14:paraId="1A86E690">
            <w:pPr>
              <w:pStyle w:val="6"/>
              <w:spacing w:before="197" w:line="220" w:lineRule="auto"/>
              <w:ind w:left="178"/>
              <w:rPr>
                <w:highlight w:val="none"/>
              </w:rPr>
            </w:pPr>
            <w:r>
              <w:rPr>
                <w:color w:val="0000FF"/>
                <w:spacing w:val="-3"/>
                <w:highlight w:val="none"/>
              </w:rPr>
              <w:t>合体各</w:t>
            </w:r>
          </w:p>
          <w:p w14:paraId="4391FF8E">
            <w:pPr>
              <w:pStyle w:val="6"/>
              <w:spacing w:before="179" w:line="220" w:lineRule="auto"/>
              <w:ind w:left="178"/>
              <w:rPr>
                <w:highlight w:val="none"/>
              </w:rPr>
            </w:pPr>
            <w:r>
              <w:rPr>
                <w:color w:val="0000FF"/>
                <w:spacing w:val="-3"/>
                <w:highlight w:val="none"/>
              </w:rPr>
              <w:t>方均须</w:t>
            </w:r>
          </w:p>
          <w:p w14:paraId="3FAF5EB3">
            <w:pPr>
              <w:pStyle w:val="6"/>
              <w:spacing w:before="189" w:line="209" w:lineRule="auto"/>
              <w:ind w:left="128"/>
              <w:rPr>
                <w:highlight w:val="none"/>
              </w:rPr>
            </w:pPr>
            <w:r>
              <w:rPr>
                <w:color w:val="0000FF"/>
                <w:spacing w:val="11"/>
                <w:highlight w:val="none"/>
              </w:rPr>
              <w:t>提供);</w:t>
            </w:r>
          </w:p>
        </w:tc>
      </w:tr>
      <w:tr w14:paraId="6CB0A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934" w:type="dxa"/>
            <w:vAlign w:val="top"/>
          </w:tcPr>
          <w:p w14:paraId="3689CBD0">
            <w:pPr>
              <w:rPr>
                <w:rFonts w:ascii="Arial"/>
                <w:sz w:val="21"/>
                <w:highlight w:val="none"/>
              </w:rPr>
            </w:pPr>
          </w:p>
        </w:tc>
        <w:tc>
          <w:tcPr>
            <w:tcW w:w="1498" w:type="dxa"/>
            <w:vAlign w:val="top"/>
          </w:tcPr>
          <w:p w14:paraId="0565D341">
            <w:pPr>
              <w:pStyle w:val="6"/>
              <w:spacing w:before="173" w:line="220" w:lineRule="auto"/>
              <w:ind w:left="530"/>
              <w:rPr>
                <w:highlight w:val="none"/>
              </w:rPr>
            </w:pPr>
            <w:r>
              <w:rPr>
                <w:spacing w:val="4"/>
                <w:highlight w:val="none"/>
              </w:rPr>
              <w:t>岗位</w:t>
            </w:r>
          </w:p>
        </w:tc>
        <w:tc>
          <w:tcPr>
            <w:tcW w:w="4675" w:type="dxa"/>
            <w:vAlign w:val="top"/>
          </w:tcPr>
          <w:p w14:paraId="08E82C2B">
            <w:pPr>
              <w:pStyle w:val="6"/>
              <w:spacing w:before="182" w:line="219" w:lineRule="auto"/>
              <w:ind w:left="1933"/>
              <w:rPr>
                <w:highlight w:val="none"/>
              </w:rPr>
            </w:pPr>
            <w:r>
              <w:rPr>
                <w:spacing w:val="2"/>
                <w:highlight w:val="none"/>
              </w:rPr>
              <w:t>资格要求</w:t>
            </w:r>
          </w:p>
        </w:tc>
        <w:tc>
          <w:tcPr>
            <w:tcW w:w="719" w:type="dxa"/>
            <w:vAlign w:val="top"/>
          </w:tcPr>
          <w:p w14:paraId="0D3441B8">
            <w:pPr>
              <w:pStyle w:val="6"/>
              <w:spacing w:before="172" w:line="219" w:lineRule="auto"/>
              <w:ind w:left="147"/>
              <w:rPr>
                <w:highlight w:val="none"/>
              </w:rPr>
            </w:pPr>
            <w:r>
              <w:rPr>
                <w:spacing w:val="-3"/>
                <w:highlight w:val="none"/>
              </w:rPr>
              <w:t>数量</w:t>
            </w:r>
          </w:p>
        </w:tc>
        <w:tc>
          <w:tcPr>
            <w:tcW w:w="894" w:type="dxa"/>
            <w:vAlign w:val="top"/>
          </w:tcPr>
          <w:p w14:paraId="57F22640">
            <w:pPr>
              <w:rPr>
                <w:rFonts w:ascii="Arial"/>
                <w:sz w:val="21"/>
                <w:highlight w:val="none"/>
              </w:rPr>
            </w:pPr>
          </w:p>
        </w:tc>
      </w:tr>
      <w:tr w14:paraId="205DB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934" w:type="dxa"/>
            <w:vAlign w:val="top"/>
          </w:tcPr>
          <w:p w14:paraId="1C9684FA">
            <w:pPr>
              <w:pStyle w:val="6"/>
              <w:spacing w:before="213" w:line="278" w:lineRule="auto"/>
              <w:ind w:left="244" w:right="218"/>
              <w:jc w:val="both"/>
              <w:rPr>
                <w:highlight w:val="none"/>
              </w:rPr>
            </w:pPr>
            <w:r>
              <w:rPr>
                <w:spacing w:val="-30"/>
                <w:highlight w:val="none"/>
              </w:rPr>
              <w:t>项</w:t>
            </w:r>
            <w:r>
              <w:rPr>
                <w:spacing w:val="-6"/>
                <w:highlight w:val="none"/>
              </w:rPr>
              <w:t xml:space="preserve"> </w:t>
            </w:r>
            <w:r>
              <w:rPr>
                <w:spacing w:val="-30"/>
                <w:highlight w:val="none"/>
              </w:rPr>
              <w:t>目</w:t>
            </w:r>
            <w:r>
              <w:rPr>
                <w:highlight w:val="none"/>
              </w:rPr>
              <w:t xml:space="preserve"> </w:t>
            </w:r>
            <w:r>
              <w:rPr>
                <w:spacing w:val="-5"/>
                <w:highlight w:val="none"/>
              </w:rPr>
              <w:t>经理</w:t>
            </w:r>
            <w:r>
              <w:rPr>
                <w:highlight w:val="none"/>
              </w:rPr>
              <w:t xml:space="preserve"> </w:t>
            </w:r>
            <w:r>
              <w:rPr>
                <w:spacing w:val="4"/>
                <w:highlight w:val="none"/>
              </w:rPr>
              <w:t>资格</w:t>
            </w:r>
          </w:p>
        </w:tc>
        <w:tc>
          <w:tcPr>
            <w:tcW w:w="1498" w:type="dxa"/>
            <w:vAlign w:val="top"/>
          </w:tcPr>
          <w:p w14:paraId="214F269B">
            <w:pPr>
              <w:spacing w:line="313" w:lineRule="auto"/>
              <w:rPr>
                <w:rFonts w:ascii="Arial"/>
                <w:sz w:val="21"/>
                <w:highlight w:val="none"/>
              </w:rPr>
            </w:pPr>
          </w:p>
          <w:p w14:paraId="00026183">
            <w:pPr>
              <w:pStyle w:val="6"/>
              <w:spacing w:before="68" w:line="289" w:lineRule="auto"/>
              <w:ind w:left="530" w:right="496"/>
              <w:rPr>
                <w:highlight w:val="none"/>
              </w:rPr>
            </w:pPr>
            <w:r>
              <w:rPr>
                <w:spacing w:val="-30"/>
                <w:highlight w:val="none"/>
              </w:rPr>
              <w:t>项</w:t>
            </w:r>
            <w:r>
              <w:rPr>
                <w:spacing w:val="-5"/>
                <w:highlight w:val="none"/>
              </w:rPr>
              <w:t xml:space="preserve"> </w:t>
            </w:r>
            <w:r>
              <w:rPr>
                <w:spacing w:val="-30"/>
                <w:highlight w:val="none"/>
              </w:rPr>
              <w:t>目</w:t>
            </w:r>
            <w:r>
              <w:rPr>
                <w:highlight w:val="none"/>
              </w:rPr>
              <w:t xml:space="preserve"> </w:t>
            </w:r>
            <w:r>
              <w:rPr>
                <w:spacing w:val="-3"/>
                <w:highlight w:val="none"/>
              </w:rPr>
              <w:t>经理</w:t>
            </w:r>
          </w:p>
        </w:tc>
        <w:tc>
          <w:tcPr>
            <w:tcW w:w="4675" w:type="dxa"/>
            <w:vAlign w:val="top"/>
          </w:tcPr>
          <w:p w14:paraId="20594256">
            <w:pPr>
              <w:pStyle w:val="6"/>
              <w:spacing w:before="42" w:line="281" w:lineRule="auto"/>
              <w:ind w:left="112" w:right="132"/>
              <w:rPr>
                <w:highlight w:val="none"/>
              </w:rPr>
            </w:pPr>
            <w:r>
              <w:rPr>
                <w:color w:val="0000FF"/>
                <w:highlight w:val="none"/>
              </w:rPr>
              <w:t>须具备建筑工程专业二级或以上建造师执业资格</w:t>
            </w:r>
            <w:r>
              <w:rPr>
                <w:color w:val="0000FF"/>
                <w:spacing w:val="8"/>
                <w:highlight w:val="none"/>
              </w:rPr>
              <w:t xml:space="preserve"> </w:t>
            </w:r>
            <w:r>
              <w:rPr>
                <w:color w:val="0000FF"/>
                <w:highlight w:val="none"/>
              </w:rPr>
              <w:t>证书、注册证书和有效的B类安全生产考核合格  证书，且无其他在建工程(投标人提供承诺书，</w:t>
            </w:r>
          </w:p>
          <w:p w14:paraId="061CC243">
            <w:pPr>
              <w:pStyle w:val="6"/>
              <w:spacing w:line="199" w:lineRule="auto"/>
              <w:ind w:left="132"/>
              <w:rPr>
                <w:highlight w:val="none"/>
              </w:rPr>
            </w:pPr>
            <w:r>
              <w:rPr>
                <w:color w:val="0000FF"/>
                <w:spacing w:val="7"/>
                <w:highlight w:val="none"/>
              </w:rPr>
              <w:t>格式自拟);</w:t>
            </w:r>
          </w:p>
        </w:tc>
        <w:tc>
          <w:tcPr>
            <w:tcW w:w="719" w:type="dxa"/>
            <w:vAlign w:val="top"/>
          </w:tcPr>
          <w:p w14:paraId="1A1D6717">
            <w:pPr>
              <w:spacing w:line="455" w:lineRule="auto"/>
              <w:rPr>
                <w:rFonts w:ascii="Arial"/>
                <w:sz w:val="21"/>
                <w:highlight w:val="none"/>
              </w:rPr>
            </w:pPr>
          </w:p>
          <w:p w14:paraId="7EF317F5">
            <w:pPr>
              <w:pStyle w:val="6"/>
              <w:spacing w:before="68" w:line="222" w:lineRule="auto"/>
              <w:ind w:left="198"/>
              <w:rPr>
                <w:highlight w:val="none"/>
              </w:rPr>
            </w:pPr>
            <w:r>
              <w:rPr>
                <w:spacing w:val="2"/>
                <w:highlight w:val="none"/>
              </w:rPr>
              <w:t>1人</w:t>
            </w:r>
          </w:p>
        </w:tc>
        <w:tc>
          <w:tcPr>
            <w:tcW w:w="894" w:type="dxa"/>
            <w:vAlign w:val="top"/>
          </w:tcPr>
          <w:p w14:paraId="28409F10">
            <w:pPr>
              <w:rPr>
                <w:rFonts w:ascii="Arial"/>
                <w:sz w:val="21"/>
                <w:highlight w:val="none"/>
              </w:rPr>
            </w:pPr>
          </w:p>
        </w:tc>
      </w:tr>
      <w:tr w14:paraId="7C946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9" w:hRule="atLeast"/>
        </w:trPr>
        <w:tc>
          <w:tcPr>
            <w:tcW w:w="934" w:type="dxa"/>
            <w:vAlign w:val="top"/>
          </w:tcPr>
          <w:p w14:paraId="3FC0DE3F">
            <w:pPr>
              <w:pStyle w:val="6"/>
              <w:spacing w:before="84" w:line="262" w:lineRule="auto"/>
              <w:ind w:left="144" w:right="139" w:firstLine="100"/>
              <w:rPr>
                <w:highlight w:val="none"/>
              </w:rPr>
            </w:pPr>
            <w:r>
              <w:rPr>
                <w:spacing w:val="4"/>
                <w:highlight w:val="none"/>
              </w:rPr>
              <w:t>设计</w:t>
            </w:r>
            <w:r>
              <w:rPr>
                <w:highlight w:val="none"/>
              </w:rPr>
              <w:t xml:space="preserve">  </w:t>
            </w:r>
            <w:r>
              <w:rPr>
                <w:spacing w:val="3"/>
                <w:highlight w:val="none"/>
              </w:rPr>
              <w:t>负责人</w:t>
            </w:r>
            <w:r>
              <w:rPr>
                <w:highlight w:val="none"/>
              </w:rPr>
              <w:t xml:space="preserve"> </w:t>
            </w:r>
            <w:r>
              <w:rPr>
                <w:spacing w:val="23"/>
                <w:w w:val="115"/>
                <w:highlight w:val="none"/>
              </w:rPr>
              <w:t>资格</w:t>
            </w:r>
          </w:p>
        </w:tc>
        <w:tc>
          <w:tcPr>
            <w:tcW w:w="1498" w:type="dxa"/>
            <w:vAlign w:val="top"/>
          </w:tcPr>
          <w:p w14:paraId="1E350753">
            <w:pPr>
              <w:pStyle w:val="6"/>
              <w:spacing w:before="265" w:line="273" w:lineRule="auto"/>
              <w:ind w:left="421" w:right="428" w:firstLine="109"/>
              <w:rPr>
                <w:highlight w:val="none"/>
              </w:rPr>
            </w:pPr>
            <w:r>
              <w:rPr>
                <w:spacing w:val="4"/>
                <w:highlight w:val="none"/>
              </w:rPr>
              <w:t>设计</w:t>
            </w:r>
            <w:r>
              <w:rPr>
                <w:highlight w:val="none"/>
              </w:rPr>
              <w:t xml:space="preserve">  </w:t>
            </w:r>
            <w:r>
              <w:rPr>
                <w:spacing w:val="2"/>
                <w:highlight w:val="none"/>
              </w:rPr>
              <w:t>负责人</w:t>
            </w:r>
          </w:p>
        </w:tc>
        <w:tc>
          <w:tcPr>
            <w:tcW w:w="4675" w:type="dxa"/>
            <w:vAlign w:val="top"/>
          </w:tcPr>
          <w:p w14:paraId="4FBD9A90">
            <w:pPr>
              <w:pStyle w:val="6"/>
              <w:spacing w:before="262" w:line="274" w:lineRule="auto"/>
              <w:ind w:left="132" w:right="276" w:firstLine="10"/>
              <w:rPr>
                <w:highlight w:val="none"/>
              </w:rPr>
            </w:pPr>
            <w:r>
              <w:rPr>
                <w:rFonts w:hint="eastAsia"/>
                <w:color w:val="0000FF"/>
                <w:spacing w:val="2"/>
                <w:highlight w:val="none"/>
              </w:rPr>
              <w:t>须具备一级注册结构工程师（或注册建筑师）（提供执业资格证书或注册证书）</w:t>
            </w:r>
            <w:r>
              <w:rPr>
                <w:color w:val="0000FF"/>
                <w:spacing w:val="2"/>
                <w:highlight w:val="none"/>
              </w:rPr>
              <w:t>;</w:t>
            </w:r>
          </w:p>
        </w:tc>
        <w:tc>
          <w:tcPr>
            <w:tcW w:w="719" w:type="dxa"/>
            <w:vAlign w:val="top"/>
          </w:tcPr>
          <w:p w14:paraId="456082F8">
            <w:pPr>
              <w:spacing w:line="326" w:lineRule="auto"/>
              <w:rPr>
                <w:rFonts w:ascii="Arial"/>
                <w:sz w:val="21"/>
                <w:highlight w:val="none"/>
              </w:rPr>
            </w:pPr>
          </w:p>
          <w:p w14:paraId="16F1E530">
            <w:pPr>
              <w:pStyle w:val="6"/>
              <w:spacing w:before="69" w:line="222" w:lineRule="auto"/>
              <w:ind w:left="198"/>
              <w:rPr>
                <w:highlight w:val="none"/>
              </w:rPr>
            </w:pPr>
            <w:r>
              <w:rPr>
                <w:spacing w:val="2"/>
                <w:highlight w:val="none"/>
              </w:rPr>
              <w:t>1人</w:t>
            </w:r>
          </w:p>
        </w:tc>
        <w:tc>
          <w:tcPr>
            <w:tcW w:w="894" w:type="dxa"/>
            <w:vAlign w:val="top"/>
          </w:tcPr>
          <w:p w14:paraId="3CBF4E2F">
            <w:pPr>
              <w:rPr>
                <w:rFonts w:ascii="Arial"/>
                <w:sz w:val="21"/>
                <w:highlight w:val="none"/>
              </w:rPr>
            </w:pPr>
          </w:p>
        </w:tc>
      </w:tr>
      <w:tr w14:paraId="6CD2E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934" w:type="dxa"/>
            <w:vAlign w:val="top"/>
          </w:tcPr>
          <w:p w14:paraId="3D636053">
            <w:pPr>
              <w:pStyle w:val="6"/>
              <w:spacing w:before="136" w:line="288" w:lineRule="auto"/>
              <w:ind w:left="144" w:right="139" w:firstLine="100"/>
              <w:rPr>
                <w:highlight w:val="none"/>
              </w:rPr>
            </w:pPr>
            <w:r>
              <w:rPr>
                <w:spacing w:val="-4"/>
                <w:highlight w:val="none"/>
              </w:rPr>
              <w:t>施工</w:t>
            </w:r>
            <w:r>
              <w:rPr>
                <w:highlight w:val="none"/>
              </w:rPr>
              <w:t xml:space="preserve">  </w:t>
            </w:r>
            <w:r>
              <w:rPr>
                <w:spacing w:val="3"/>
                <w:highlight w:val="none"/>
              </w:rPr>
              <w:t>负责人</w:t>
            </w:r>
            <w:r>
              <w:rPr>
                <w:highlight w:val="none"/>
              </w:rPr>
              <w:t xml:space="preserve"> </w:t>
            </w:r>
            <w:r>
              <w:rPr>
                <w:spacing w:val="23"/>
                <w:w w:val="115"/>
                <w:highlight w:val="none"/>
              </w:rPr>
              <w:t>资格</w:t>
            </w:r>
          </w:p>
        </w:tc>
        <w:tc>
          <w:tcPr>
            <w:tcW w:w="1498" w:type="dxa"/>
            <w:vAlign w:val="top"/>
          </w:tcPr>
          <w:p w14:paraId="39DA1C19">
            <w:pPr>
              <w:spacing w:line="249" w:lineRule="auto"/>
              <w:rPr>
                <w:rFonts w:ascii="Arial"/>
                <w:sz w:val="21"/>
                <w:highlight w:val="none"/>
              </w:rPr>
            </w:pPr>
          </w:p>
          <w:p w14:paraId="195ED196">
            <w:pPr>
              <w:pStyle w:val="6"/>
              <w:spacing w:before="68" w:line="280" w:lineRule="auto"/>
              <w:ind w:left="421" w:right="428" w:firstLine="109"/>
              <w:rPr>
                <w:highlight w:val="none"/>
              </w:rPr>
            </w:pPr>
            <w:r>
              <w:rPr>
                <w:spacing w:val="-4"/>
                <w:highlight w:val="none"/>
              </w:rPr>
              <w:t>施工</w:t>
            </w:r>
            <w:r>
              <w:rPr>
                <w:highlight w:val="none"/>
              </w:rPr>
              <w:t xml:space="preserve">  </w:t>
            </w:r>
            <w:r>
              <w:rPr>
                <w:spacing w:val="2"/>
                <w:highlight w:val="none"/>
              </w:rPr>
              <w:t>负责人</w:t>
            </w:r>
          </w:p>
        </w:tc>
        <w:tc>
          <w:tcPr>
            <w:tcW w:w="4675" w:type="dxa"/>
            <w:vAlign w:val="top"/>
          </w:tcPr>
          <w:p w14:paraId="05191C65">
            <w:pPr>
              <w:pStyle w:val="6"/>
              <w:spacing w:before="305" w:line="282" w:lineRule="auto"/>
              <w:ind w:left="132" w:right="228" w:firstLine="10"/>
              <w:rPr>
                <w:highlight w:val="none"/>
              </w:rPr>
            </w:pPr>
            <w:r>
              <w:rPr>
                <w:color w:val="0000FF"/>
                <w:spacing w:val="-1"/>
                <w:highlight w:val="none"/>
              </w:rPr>
              <w:t>须具备建筑相关专业中级工程师或以上职称(提</w:t>
            </w:r>
            <w:r>
              <w:rPr>
                <w:color w:val="0000FF"/>
                <w:spacing w:val="8"/>
                <w:highlight w:val="none"/>
              </w:rPr>
              <w:t xml:space="preserve"> </w:t>
            </w:r>
            <w:r>
              <w:rPr>
                <w:color w:val="0000FF"/>
                <w:spacing w:val="6"/>
                <w:highlight w:val="none"/>
              </w:rPr>
              <w:t>供职称证书)</w:t>
            </w:r>
          </w:p>
        </w:tc>
        <w:tc>
          <w:tcPr>
            <w:tcW w:w="719" w:type="dxa"/>
            <w:vAlign w:val="top"/>
          </w:tcPr>
          <w:p w14:paraId="13B14817">
            <w:pPr>
              <w:spacing w:line="397" w:lineRule="auto"/>
              <w:rPr>
                <w:rFonts w:ascii="Arial"/>
                <w:sz w:val="21"/>
                <w:highlight w:val="none"/>
              </w:rPr>
            </w:pPr>
          </w:p>
          <w:p w14:paraId="02B379B7">
            <w:pPr>
              <w:pStyle w:val="6"/>
              <w:spacing w:before="68" w:line="222" w:lineRule="auto"/>
              <w:ind w:left="198"/>
              <w:rPr>
                <w:highlight w:val="none"/>
              </w:rPr>
            </w:pPr>
            <w:r>
              <w:rPr>
                <w:spacing w:val="2"/>
                <w:highlight w:val="none"/>
              </w:rPr>
              <w:t>1人</w:t>
            </w:r>
          </w:p>
        </w:tc>
        <w:tc>
          <w:tcPr>
            <w:tcW w:w="894" w:type="dxa"/>
            <w:vAlign w:val="top"/>
          </w:tcPr>
          <w:p w14:paraId="6502DC29">
            <w:pPr>
              <w:rPr>
                <w:rFonts w:ascii="Arial"/>
                <w:sz w:val="21"/>
                <w:highlight w:val="none"/>
              </w:rPr>
            </w:pPr>
          </w:p>
        </w:tc>
      </w:tr>
      <w:tr w14:paraId="218A9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934" w:type="dxa"/>
            <w:vMerge w:val="restart"/>
            <w:tcBorders>
              <w:bottom w:val="nil"/>
            </w:tcBorders>
            <w:vAlign w:val="top"/>
          </w:tcPr>
          <w:p w14:paraId="52D04E28">
            <w:pPr>
              <w:spacing w:line="269" w:lineRule="auto"/>
              <w:rPr>
                <w:rFonts w:ascii="Arial"/>
                <w:sz w:val="21"/>
                <w:highlight w:val="none"/>
              </w:rPr>
            </w:pPr>
          </w:p>
          <w:p w14:paraId="4BE3A99E">
            <w:pPr>
              <w:spacing w:line="269" w:lineRule="auto"/>
              <w:rPr>
                <w:rFonts w:ascii="Arial"/>
                <w:sz w:val="21"/>
                <w:highlight w:val="none"/>
              </w:rPr>
            </w:pPr>
          </w:p>
          <w:p w14:paraId="1C0EAD31">
            <w:pPr>
              <w:spacing w:line="270" w:lineRule="auto"/>
              <w:rPr>
                <w:rFonts w:ascii="Arial"/>
                <w:sz w:val="21"/>
                <w:highlight w:val="none"/>
              </w:rPr>
            </w:pPr>
          </w:p>
          <w:p w14:paraId="16CC93CF">
            <w:pPr>
              <w:spacing w:line="270" w:lineRule="auto"/>
              <w:rPr>
                <w:rFonts w:ascii="Arial"/>
                <w:sz w:val="21"/>
                <w:highlight w:val="none"/>
              </w:rPr>
            </w:pPr>
          </w:p>
          <w:p w14:paraId="21B18458">
            <w:pPr>
              <w:pStyle w:val="6"/>
              <w:spacing w:before="69" w:line="281" w:lineRule="auto"/>
              <w:ind w:left="244" w:right="218"/>
              <w:jc w:val="both"/>
              <w:rPr>
                <w:highlight w:val="none"/>
              </w:rPr>
            </w:pPr>
            <w:r>
              <w:rPr>
                <w:spacing w:val="-30"/>
                <w:highlight w:val="none"/>
              </w:rPr>
              <w:t>项</w:t>
            </w:r>
            <w:r>
              <w:rPr>
                <w:spacing w:val="-6"/>
                <w:highlight w:val="none"/>
              </w:rPr>
              <w:t xml:space="preserve"> </w:t>
            </w:r>
            <w:r>
              <w:rPr>
                <w:spacing w:val="-30"/>
                <w:highlight w:val="none"/>
              </w:rPr>
              <w:t>目</w:t>
            </w:r>
            <w:r>
              <w:rPr>
                <w:highlight w:val="none"/>
              </w:rPr>
              <w:t xml:space="preserve"> </w:t>
            </w:r>
            <w:r>
              <w:rPr>
                <w:spacing w:val="3"/>
                <w:highlight w:val="none"/>
              </w:rPr>
              <w:t>管理</w:t>
            </w:r>
            <w:r>
              <w:rPr>
                <w:highlight w:val="none"/>
              </w:rPr>
              <w:t xml:space="preserve"> </w:t>
            </w:r>
            <w:r>
              <w:rPr>
                <w:spacing w:val="6"/>
                <w:highlight w:val="none"/>
              </w:rPr>
              <w:t>机构</w:t>
            </w:r>
            <w:r>
              <w:rPr>
                <w:highlight w:val="none"/>
              </w:rPr>
              <w:t xml:space="preserve"> </w:t>
            </w:r>
            <w:r>
              <w:rPr>
                <w:spacing w:val="-5"/>
                <w:highlight w:val="none"/>
              </w:rPr>
              <w:t>其他</w:t>
            </w:r>
            <w:r>
              <w:rPr>
                <w:highlight w:val="none"/>
              </w:rPr>
              <w:t xml:space="preserve"> </w:t>
            </w:r>
            <w:r>
              <w:rPr>
                <w:spacing w:val="5"/>
                <w:highlight w:val="none"/>
              </w:rPr>
              <w:t>主要</w:t>
            </w:r>
            <w:r>
              <w:rPr>
                <w:highlight w:val="none"/>
              </w:rPr>
              <w:t xml:space="preserve"> </w:t>
            </w:r>
            <w:r>
              <w:rPr>
                <w:spacing w:val="14"/>
                <w:highlight w:val="none"/>
              </w:rPr>
              <w:t>人员</w:t>
            </w:r>
          </w:p>
        </w:tc>
        <w:tc>
          <w:tcPr>
            <w:tcW w:w="1498" w:type="dxa"/>
            <w:vAlign w:val="top"/>
          </w:tcPr>
          <w:p w14:paraId="7C1342A3">
            <w:pPr>
              <w:pStyle w:val="6"/>
              <w:spacing w:before="176" w:line="221" w:lineRule="auto"/>
              <w:ind w:left="421"/>
              <w:rPr>
                <w:highlight w:val="none"/>
              </w:rPr>
            </w:pPr>
            <w:r>
              <w:rPr>
                <w:color w:val="0000FF"/>
                <w:spacing w:val="9"/>
                <w:highlight w:val="none"/>
              </w:rPr>
              <w:t>施工员</w:t>
            </w:r>
          </w:p>
        </w:tc>
        <w:tc>
          <w:tcPr>
            <w:tcW w:w="4675" w:type="dxa"/>
            <w:vAlign w:val="top"/>
          </w:tcPr>
          <w:p w14:paraId="4A79491D">
            <w:pPr>
              <w:pStyle w:val="6"/>
              <w:spacing w:before="175" w:line="219" w:lineRule="auto"/>
              <w:ind w:left="132"/>
              <w:rPr>
                <w:highlight w:val="none"/>
              </w:rPr>
            </w:pPr>
            <w:r>
              <w:rPr>
                <w:color w:val="0010FF"/>
                <w:spacing w:val="2"/>
                <w:highlight w:val="none"/>
              </w:rPr>
              <w:t>具有相应岗位资格证(含培训合格证)</w:t>
            </w:r>
          </w:p>
        </w:tc>
        <w:tc>
          <w:tcPr>
            <w:tcW w:w="719" w:type="dxa"/>
            <w:vAlign w:val="top"/>
          </w:tcPr>
          <w:p w14:paraId="683BD752">
            <w:pPr>
              <w:pStyle w:val="6"/>
              <w:spacing w:before="179" w:line="222" w:lineRule="auto"/>
              <w:ind w:left="198"/>
              <w:rPr>
                <w:highlight w:val="none"/>
              </w:rPr>
            </w:pPr>
            <w:r>
              <w:rPr>
                <w:color w:val="0010FF"/>
                <w:spacing w:val="-8"/>
                <w:highlight w:val="none"/>
              </w:rPr>
              <w:t>1</w:t>
            </w:r>
            <w:r>
              <w:rPr>
                <w:color w:val="0000FF"/>
                <w:spacing w:val="-8"/>
                <w:highlight w:val="none"/>
              </w:rPr>
              <w:t>人</w:t>
            </w:r>
          </w:p>
        </w:tc>
        <w:tc>
          <w:tcPr>
            <w:tcW w:w="894" w:type="dxa"/>
            <w:vAlign w:val="top"/>
          </w:tcPr>
          <w:p w14:paraId="6B2225EF">
            <w:pPr>
              <w:rPr>
                <w:rFonts w:ascii="Arial"/>
                <w:sz w:val="21"/>
                <w:highlight w:val="none"/>
              </w:rPr>
            </w:pPr>
          </w:p>
        </w:tc>
      </w:tr>
      <w:tr w14:paraId="57EDA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934" w:type="dxa"/>
            <w:vMerge w:val="continue"/>
            <w:tcBorders>
              <w:top w:val="nil"/>
              <w:bottom w:val="nil"/>
            </w:tcBorders>
            <w:vAlign w:val="top"/>
          </w:tcPr>
          <w:p w14:paraId="5358F4CD">
            <w:pPr>
              <w:rPr>
                <w:rFonts w:ascii="Arial"/>
                <w:sz w:val="21"/>
                <w:highlight w:val="none"/>
              </w:rPr>
            </w:pPr>
          </w:p>
        </w:tc>
        <w:tc>
          <w:tcPr>
            <w:tcW w:w="1498" w:type="dxa"/>
            <w:vAlign w:val="top"/>
          </w:tcPr>
          <w:p w14:paraId="5B5B0DF6">
            <w:pPr>
              <w:pStyle w:val="6"/>
              <w:spacing w:before="206" w:line="220" w:lineRule="auto"/>
              <w:ind w:left="161"/>
              <w:rPr>
                <w:highlight w:val="none"/>
              </w:rPr>
            </w:pPr>
            <w:r>
              <w:rPr>
                <w:color w:val="0000FF"/>
                <w:spacing w:val="3"/>
                <w:highlight w:val="none"/>
              </w:rPr>
              <w:t>质量员(或质</w:t>
            </w:r>
          </w:p>
          <w:p w14:paraId="4E04A7BB">
            <w:pPr>
              <w:pStyle w:val="6"/>
              <w:spacing w:before="179" w:line="205" w:lineRule="auto"/>
              <w:ind w:left="471"/>
              <w:rPr>
                <w:highlight w:val="none"/>
              </w:rPr>
            </w:pPr>
            <w:r>
              <w:rPr>
                <w:color w:val="0000FF"/>
                <w:spacing w:val="16"/>
                <w:highlight w:val="none"/>
              </w:rPr>
              <w:t>检员)</w:t>
            </w:r>
          </w:p>
        </w:tc>
        <w:tc>
          <w:tcPr>
            <w:tcW w:w="4675" w:type="dxa"/>
            <w:vAlign w:val="top"/>
          </w:tcPr>
          <w:p w14:paraId="65B7B7D1">
            <w:pPr>
              <w:spacing w:line="335" w:lineRule="auto"/>
              <w:rPr>
                <w:rFonts w:ascii="Arial"/>
                <w:sz w:val="21"/>
                <w:highlight w:val="none"/>
              </w:rPr>
            </w:pPr>
          </w:p>
          <w:p w14:paraId="5304F5D9">
            <w:pPr>
              <w:pStyle w:val="6"/>
              <w:spacing w:before="68" w:line="219" w:lineRule="auto"/>
              <w:ind w:left="132"/>
              <w:rPr>
                <w:highlight w:val="none"/>
              </w:rPr>
            </w:pPr>
            <w:r>
              <w:rPr>
                <w:color w:val="0000FF"/>
                <w:spacing w:val="2"/>
                <w:highlight w:val="none"/>
              </w:rPr>
              <w:t>具有相应岗位资格证(含培训合格证)</w:t>
            </w:r>
          </w:p>
        </w:tc>
        <w:tc>
          <w:tcPr>
            <w:tcW w:w="719" w:type="dxa"/>
            <w:vAlign w:val="top"/>
          </w:tcPr>
          <w:p w14:paraId="0F0EE4D6">
            <w:pPr>
              <w:spacing w:line="328" w:lineRule="auto"/>
              <w:rPr>
                <w:rFonts w:ascii="Arial"/>
                <w:sz w:val="21"/>
                <w:highlight w:val="none"/>
              </w:rPr>
            </w:pPr>
          </w:p>
          <w:p w14:paraId="6EB61B4B">
            <w:pPr>
              <w:pStyle w:val="6"/>
              <w:spacing w:before="69" w:line="222" w:lineRule="auto"/>
              <w:ind w:left="198"/>
              <w:rPr>
                <w:highlight w:val="none"/>
              </w:rPr>
            </w:pPr>
            <w:r>
              <w:rPr>
                <w:color w:val="0000FF"/>
                <w:spacing w:val="2"/>
                <w:highlight w:val="none"/>
              </w:rPr>
              <w:t>1人</w:t>
            </w:r>
          </w:p>
        </w:tc>
        <w:tc>
          <w:tcPr>
            <w:tcW w:w="894" w:type="dxa"/>
            <w:vAlign w:val="top"/>
          </w:tcPr>
          <w:p w14:paraId="6E2649F8">
            <w:pPr>
              <w:rPr>
                <w:rFonts w:ascii="Arial"/>
                <w:sz w:val="21"/>
                <w:highlight w:val="none"/>
              </w:rPr>
            </w:pPr>
          </w:p>
        </w:tc>
      </w:tr>
      <w:tr w14:paraId="2907C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934" w:type="dxa"/>
            <w:vMerge w:val="continue"/>
            <w:tcBorders>
              <w:top w:val="nil"/>
              <w:bottom w:val="nil"/>
            </w:tcBorders>
            <w:vAlign w:val="top"/>
          </w:tcPr>
          <w:p w14:paraId="4A885E5B">
            <w:pPr>
              <w:rPr>
                <w:rFonts w:ascii="Arial"/>
                <w:sz w:val="21"/>
                <w:highlight w:val="none"/>
              </w:rPr>
            </w:pPr>
          </w:p>
        </w:tc>
        <w:tc>
          <w:tcPr>
            <w:tcW w:w="1498" w:type="dxa"/>
            <w:vAlign w:val="top"/>
          </w:tcPr>
          <w:p w14:paraId="0763CF05">
            <w:pPr>
              <w:pStyle w:val="6"/>
              <w:spacing w:before="205" w:line="197" w:lineRule="auto"/>
              <w:ind w:left="421"/>
              <w:rPr>
                <w:highlight w:val="none"/>
              </w:rPr>
            </w:pPr>
            <w:r>
              <w:rPr>
                <w:color w:val="0000FF"/>
                <w:spacing w:val="9"/>
                <w:highlight w:val="none"/>
              </w:rPr>
              <w:t>材料员</w:t>
            </w:r>
          </w:p>
        </w:tc>
        <w:tc>
          <w:tcPr>
            <w:tcW w:w="4675" w:type="dxa"/>
            <w:vAlign w:val="top"/>
          </w:tcPr>
          <w:p w14:paraId="6BE136F0">
            <w:pPr>
              <w:pStyle w:val="6"/>
              <w:spacing w:before="205" w:line="197" w:lineRule="auto"/>
              <w:ind w:left="132"/>
              <w:rPr>
                <w:highlight w:val="none"/>
              </w:rPr>
            </w:pPr>
            <w:r>
              <w:rPr>
                <w:color w:val="0000FF"/>
                <w:spacing w:val="2"/>
                <w:highlight w:val="none"/>
              </w:rPr>
              <w:t>具有相应岗位资格证(含培训合格证)</w:t>
            </w:r>
          </w:p>
        </w:tc>
        <w:tc>
          <w:tcPr>
            <w:tcW w:w="719" w:type="dxa"/>
            <w:vAlign w:val="top"/>
          </w:tcPr>
          <w:p w14:paraId="1B6678FF">
            <w:pPr>
              <w:pStyle w:val="6"/>
              <w:spacing w:before="200" w:line="202" w:lineRule="auto"/>
              <w:ind w:left="198"/>
              <w:rPr>
                <w:highlight w:val="none"/>
              </w:rPr>
            </w:pPr>
            <w:r>
              <w:rPr>
                <w:color w:val="0000FF"/>
                <w:spacing w:val="2"/>
                <w:highlight w:val="none"/>
              </w:rPr>
              <w:t>1人</w:t>
            </w:r>
          </w:p>
        </w:tc>
        <w:tc>
          <w:tcPr>
            <w:tcW w:w="894" w:type="dxa"/>
            <w:vAlign w:val="top"/>
          </w:tcPr>
          <w:p w14:paraId="661401F5">
            <w:pPr>
              <w:rPr>
                <w:rFonts w:ascii="Arial"/>
                <w:sz w:val="21"/>
                <w:highlight w:val="none"/>
              </w:rPr>
            </w:pPr>
          </w:p>
        </w:tc>
      </w:tr>
      <w:tr w14:paraId="06262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34" w:type="dxa"/>
            <w:vMerge w:val="continue"/>
            <w:tcBorders>
              <w:top w:val="nil"/>
              <w:bottom w:val="nil"/>
            </w:tcBorders>
            <w:vAlign w:val="top"/>
          </w:tcPr>
          <w:p w14:paraId="0C8B6977">
            <w:pPr>
              <w:rPr>
                <w:rFonts w:ascii="Arial"/>
                <w:sz w:val="21"/>
                <w:highlight w:val="none"/>
              </w:rPr>
            </w:pPr>
          </w:p>
        </w:tc>
        <w:tc>
          <w:tcPr>
            <w:tcW w:w="1498" w:type="dxa"/>
            <w:vAlign w:val="top"/>
          </w:tcPr>
          <w:p w14:paraId="650DE703">
            <w:pPr>
              <w:pStyle w:val="6"/>
              <w:spacing w:before="197" w:line="196" w:lineRule="auto"/>
              <w:ind w:left="421"/>
              <w:rPr>
                <w:highlight w:val="none"/>
              </w:rPr>
            </w:pPr>
            <w:r>
              <w:rPr>
                <w:color w:val="0000FF"/>
                <w:spacing w:val="9"/>
                <w:highlight w:val="none"/>
              </w:rPr>
              <w:t>资料员</w:t>
            </w:r>
          </w:p>
        </w:tc>
        <w:tc>
          <w:tcPr>
            <w:tcW w:w="4675" w:type="dxa"/>
            <w:vAlign w:val="top"/>
          </w:tcPr>
          <w:p w14:paraId="0BA19641">
            <w:pPr>
              <w:pStyle w:val="6"/>
              <w:spacing w:before="156" w:line="219" w:lineRule="auto"/>
              <w:ind w:left="132"/>
              <w:rPr>
                <w:highlight w:val="none"/>
              </w:rPr>
            </w:pPr>
            <w:r>
              <w:rPr>
                <w:color w:val="0000FF"/>
                <w:spacing w:val="2"/>
                <w:highlight w:val="none"/>
              </w:rPr>
              <w:t>具有相应岗位资格证(含培训合格证)</w:t>
            </w:r>
          </w:p>
        </w:tc>
        <w:tc>
          <w:tcPr>
            <w:tcW w:w="719" w:type="dxa"/>
            <w:vAlign w:val="top"/>
          </w:tcPr>
          <w:p w14:paraId="6B14974A">
            <w:pPr>
              <w:pStyle w:val="6"/>
              <w:spacing w:before="209" w:line="185" w:lineRule="auto"/>
              <w:ind w:left="198"/>
              <w:rPr>
                <w:highlight w:val="none"/>
              </w:rPr>
            </w:pPr>
            <w:r>
              <w:rPr>
                <w:color w:val="0000FF"/>
                <w:spacing w:val="2"/>
                <w:highlight w:val="none"/>
              </w:rPr>
              <w:t>1人</w:t>
            </w:r>
          </w:p>
        </w:tc>
        <w:tc>
          <w:tcPr>
            <w:tcW w:w="894" w:type="dxa"/>
            <w:vAlign w:val="top"/>
          </w:tcPr>
          <w:p w14:paraId="11F153B9">
            <w:pPr>
              <w:rPr>
                <w:rFonts w:ascii="Arial"/>
                <w:sz w:val="21"/>
                <w:highlight w:val="none"/>
              </w:rPr>
            </w:pPr>
          </w:p>
        </w:tc>
      </w:tr>
      <w:tr w14:paraId="2E774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934" w:type="dxa"/>
            <w:vMerge w:val="continue"/>
            <w:tcBorders>
              <w:top w:val="nil"/>
              <w:bottom w:val="nil"/>
            </w:tcBorders>
            <w:vAlign w:val="top"/>
          </w:tcPr>
          <w:p w14:paraId="560E69C6">
            <w:pPr>
              <w:rPr>
                <w:rFonts w:ascii="Arial"/>
                <w:sz w:val="21"/>
                <w:highlight w:val="none"/>
              </w:rPr>
            </w:pPr>
          </w:p>
        </w:tc>
        <w:tc>
          <w:tcPr>
            <w:tcW w:w="1498" w:type="dxa"/>
            <w:vAlign w:val="top"/>
          </w:tcPr>
          <w:p w14:paraId="34F47047">
            <w:pPr>
              <w:pStyle w:val="6"/>
              <w:spacing w:before="207" w:line="213" w:lineRule="auto"/>
              <w:ind w:left="421"/>
              <w:rPr>
                <w:highlight w:val="none"/>
              </w:rPr>
            </w:pPr>
            <w:r>
              <w:rPr>
                <w:color w:val="0000FF"/>
                <w:spacing w:val="9"/>
                <w:highlight w:val="none"/>
              </w:rPr>
              <w:t>安全员</w:t>
            </w:r>
          </w:p>
        </w:tc>
        <w:tc>
          <w:tcPr>
            <w:tcW w:w="4675" w:type="dxa"/>
            <w:vAlign w:val="top"/>
          </w:tcPr>
          <w:p w14:paraId="1E16596D">
            <w:pPr>
              <w:pStyle w:val="6"/>
              <w:spacing w:before="225" w:line="197" w:lineRule="auto"/>
              <w:ind w:left="132"/>
              <w:rPr>
                <w:highlight w:val="none"/>
              </w:rPr>
            </w:pPr>
            <w:r>
              <w:rPr>
                <w:color w:val="0000FF"/>
                <w:spacing w:val="2"/>
                <w:highlight w:val="none"/>
              </w:rPr>
              <w:t>具有有效的安全生产考核合格证(C证)</w:t>
            </w:r>
          </w:p>
        </w:tc>
        <w:tc>
          <w:tcPr>
            <w:tcW w:w="719" w:type="dxa"/>
            <w:vAlign w:val="top"/>
          </w:tcPr>
          <w:p w14:paraId="3C2C038E">
            <w:pPr>
              <w:pStyle w:val="6"/>
              <w:spacing w:before="199" w:line="220" w:lineRule="auto"/>
              <w:ind w:left="198"/>
              <w:rPr>
                <w:highlight w:val="none"/>
              </w:rPr>
            </w:pPr>
            <w:r>
              <w:rPr>
                <w:color w:val="0000FF"/>
                <w:spacing w:val="2"/>
                <w:highlight w:val="none"/>
              </w:rPr>
              <w:t>1人</w:t>
            </w:r>
          </w:p>
        </w:tc>
        <w:tc>
          <w:tcPr>
            <w:tcW w:w="894" w:type="dxa"/>
            <w:vAlign w:val="top"/>
          </w:tcPr>
          <w:p w14:paraId="6836C526">
            <w:pPr>
              <w:rPr>
                <w:rFonts w:ascii="Arial"/>
                <w:sz w:val="21"/>
                <w:highlight w:val="none"/>
              </w:rPr>
            </w:pPr>
          </w:p>
        </w:tc>
      </w:tr>
      <w:tr w14:paraId="29AC8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934" w:type="dxa"/>
            <w:vMerge w:val="continue"/>
            <w:tcBorders>
              <w:top w:val="nil"/>
              <w:bottom w:val="nil"/>
            </w:tcBorders>
            <w:vAlign w:val="top"/>
          </w:tcPr>
          <w:p w14:paraId="44769C20">
            <w:pPr>
              <w:rPr>
                <w:rFonts w:ascii="Arial"/>
                <w:sz w:val="21"/>
                <w:highlight w:val="none"/>
              </w:rPr>
            </w:pPr>
          </w:p>
        </w:tc>
        <w:tc>
          <w:tcPr>
            <w:tcW w:w="1498" w:type="dxa"/>
            <w:vAlign w:val="top"/>
          </w:tcPr>
          <w:p w14:paraId="2BF40016">
            <w:pPr>
              <w:rPr>
                <w:rFonts w:ascii="Arial"/>
                <w:sz w:val="21"/>
                <w:highlight w:val="none"/>
              </w:rPr>
            </w:pPr>
          </w:p>
        </w:tc>
        <w:tc>
          <w:tcPr>
            <w:tcW w:w="4675" w:type="dxa"/>
            <w:vAlign w:val="top"/>
          </w:tcPr>
          <w:p w14:paraId="1102D4CF">
            <w:pPr>
              <w:rPr>
                <w:rFonts w:ascii="Arial"/>
                <w:sz w:val="21"/>
                <w:highlight w:val="none"/>
              </w:rPr>
            </w:pPr>
          </w:p>
        </w:tc>
        <w:tc>
          <w:tcPr>
            <w:tcW w:w="719" w:type="dxa"/>
            <w:vAlign w:val="top"/>
          </w:tcPr>
          <w:p w14:paraId="4D7C5D81">
            <w:pPr>
              <w:rPr>
                <w:rFonts w:ascii="Arial"/>
                <w:sz w:val="21"/>
                <w:highlight w:val="none"/>
              </w:rPr>
            </w:pPr>
          </w:p>
        </w:tc>
        <w:tc>
          <w:tcPr>
            <w:tcW w:w="894" w:type="dxa"/>
            <w:vAlign w:val="top"/>
          </w:tcPr>
          <w:p w14:paraId="0B8D295E">
            <w:pPr>
              <w:rPr>
                <w:rFonts w:ascii="Arial"/>
                <w:sz w:val="21"/>
                <w:highlight w:val="none"/>
              </w:rPr>
            </w:pPr>
          </w:p>
        </w:tc>
      </w:tr>
      <w:tr w14:paraId="3584A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934" w:type="dxa"/>
            <w:vMerge w:val="continue"/>
            <w:tcBorders>
              <w:top w:val="nil"/>
            </w:tcBorders>
            <w:vAlign w:val="top"/>
          </w:tcPr>
          <w:p w14:paraId="23A2A832">
            <w:pPr>
              <w:rPr>
                <w:rFonts w:ascii="Arial"/>
                <w:sz w:val="21"/>
                <w:highlight w:val="none"/>
              </w:rPr>
            </w:pPr>
          </w:p>
        </w:tc>
        <w:tc>
          <w:tcPr>
            <w:tcW w:w="1498" w:type="dxa"/>
            <w:vAlign w:val="top"/>
          </w:tcPr>
          <w:p w14:paraId="591DD533">
            <w:pPr>
              <w:rPr>
                <w:rFonts w:ascii="Arial"/>
                <w:sz w:val="21"/>
                <w:highlight w:val="none"/>
              </w:rPr>
            </w:pPr>
          </w:p>
        </w:tc>
        <w:tc>
          <w:tcPr>
            <w:tcW w:w="4675" w:type="dxa"/>
            <w:vAlign w:val="top"/>
          </w:tcPr>
          <w:p w14:paraId="754F1EFE">
            <w:pPr>
              <w:rPr>
                <w:rFonts w:ascii="Arial"/>
                <w:sz w:val="21"/>
                <w:highlight w:val="none"/>
              </w:rPr>
            </w:pPr>
          </w:p>
        </w:tc>
        <w:tc>
          <w:tcPr>
            <w:tcW w:w="719" w:type="dxa"/>
            <w:vAlign w:val="top"/>
          </w:tcPr>
          <w:p w14:paraId="6FF3D175">
            <w:pPr>
              <w:rPr>
                <w:rFonts w:ascii="Arial"/>
                <w:sz w:val="21"/>
                <w:highlight w:val="none"/>
              </w:rPr>
            </w:pPr>
          </w:p>
        </w:tc>
        <w:tc>
          <w:tcPr>
            <w:tcW w:w="894" w:type="dxa"/>
            <w:vAlign w:val="top"/>
          </w:tcPr>
          <w:p w14:paraId="296A7240">
            <w:pPr>
              <w:rPr>
                <w:rFonts w:ascii="Arial"/>
                <w:sz w:val="21"/>
                <w:highlight w:val="none"/>
              </w:rPr>
            </w:pPr>
          </w:p>
        </w:tc>
      </w:tr>
      <w:tr w14:paraId="234A4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2432" w:type="dxa"/>
            <w:gridSpan w:val="2"/>
            <w:vAlign w:val="top"/>
          </w:tcPr>
          <w:p w14:paraId="0609B898">
            <w:pPr>
              <w:pStyle w:val="6"/>
              <w:spacing w:before="107" w:line="277" w:lineRule="auto"/>
              <w:ind w:left="784" w:right="573" w:hanging="209"/>
              <w:rPr>
                <w:highlight w:val="none"/>
              </w:rPr>
            </w:pPr>
            <w:r>
              <w:rPr>
                <w:spacing w:val="2"/>
                <w:highlight w:val="none"/>
              </w:rPr>
              <w:t>项目管理机构</w:t>
            </w:r>
            <w:r>
              <w:rPr>
                <w:highlight w:val="none"/>
              </w:rPr>
              <w:t xml:space="preserve"> </w:t>
            </w:r>
            <w:r>
              <w:rPr>
                <w:spacing w:val="7"/>
                <w:highlight w:val="none"/>
              </w:rPr>
              <w:t>主要人员</w:t>
            </w:r>
          </w:p>
        </w:tc>
        <w:tc>
          <w:tcPr>
            <w:tcW w:w="5394" w:type="dxa"/>
            <w:gridSpan w:val="2"/>
            <w:vAlign w:val="top"/>
          </w:tcPr>
          <w:p w14:paraId="4D532013">
            <w:pPr>
              <w:pStyle w:val="6"/>
              <w:spacing w:before="107" w:line="248" w:lineRule="auto"/>
              <w:ind w:left="112" w:right="8"/>
              <w:jc w:val="both"/>
              <w:rPr>
                <w:highlight w:val="none"/>
              </w:rPr>
            </w:pPr>
            <w:r>
              <w:rPr>
                <w:highlight w:val="none"/>
              </w:rPr>
              <w:t>均应当在投标人处注册执业或岗位登记，且社会保险缴费</w:t>
            </w:r>
            <w:r>
              <w:rPr>
                <w:spacing w:val="12"/>
                <w:highlight w:val="none"/>
              </w:rPr>
              <w:t xml:space="preserve"> </w:t>
            </w:r>
            <w:r>
              <w:rPr>
                <w:highlight w:val="none"/>
              </w:rPr>
              <w:t>单位应是投标人。属退休人员的须提供退休证明和投标单</w:t>
            </w:r>
            <w:r>
              <w:rPr>
                <w:spacing w:val="9"/>
                <w:highlight w:val="none"/>
              </w:rPr>
              <w:t xml:space="preserve"> </w:t>
            </w:r>
            <w:r>
              <w:rPr>
                <w:spacing w:val="-1"/>
                <w:highlight w:val="none"/>
              </w:rPr>
              <w:t>位的聘用协议(或劳务合同)。</w:t>
            </w:r>
          </w:p>
        </w:tc>
        <w:tc>
          <w:tcPr>
            <w:tcW w:w="894" w:type="dxa"/>
            <w:vAlign w:val="top"/>
          </w:tcPr>
          <w:p w14:paraId="3E3574C7">
            <w:pPr>
              <w:rPr>
                <w:rFonts w:ascii="Arial"/>
                <w:sz w:val="21"/>
                <w:highlight w:val="none"/>
              </w:rPr>
            </w:pPr>
          </w:p>
        </w:tc>
      </w:tr>
    </w:tbl>
    <w:p w14:paraId="67BD67CF">
      <w:pPr>
        <w:pStyle w:val="2"/>
        <w:rPr>
          <w:highlight w:val="none"/>
        </w:rPr>
      </w:pPr>
    </w:p>
    <w:p w14:paraId="02E91984">
      <w:pPr>
        <w:rPr>
          <w:highlight w:val="none"/>
        </w:rPr>
        <w:sectPr>
          <w:footerReference r:id="rId41" w:type="default"/>
          <w:pgSz w:w="11910" w:h="16840"/>
          <w:pgMar w:top="400" w:right="1504" w:bottom="1217" w:left="1675" w:header="0" w:footer="1013" w:gutter="0"/>
          <w:cols w:space="720" w:num="1"/>
        </w:sectPr>
      </w:pPr>
    </w:p>
    <w:p w14:paraId="2072B018">
      <w:pPr>
        <w:spacing w:before="15"/>
        <w:rPr>
          <w:highlight w:val="none"/>
        </w:rPr>
      </w:pPr>
    </w:p>
    <w:p w14:paraId="76E0E5EA">
      <w:pPr>
        <w:spacing w:before="15"/>
        <w:rPr>
          <w:highlight w:val="none"/>
        </w:rPr>
      </w:pPr>
    </w:p>
    <w:p w14:paraId="7070E080">
      <w:pPr>
        <w:spacing w:before="15"/>
        <w:rPr>
          <w:highlight w:val="none"/>
        </w:rPr>
      </w:pPr>
    </w:p>
    <w:p w14:paraId="3F4D29D9">
      <w:pPr>
        <w:spacing w:before="14"/>
        <w:rPr>
          <w:highlight w:val="none"/>
        </w:rPr>
      </w:pPr>
    </w:p>
    <w:tbl>
      <w:tblPr>
        <w:tblStyle w:val="5"/>
        <w:tblW w:w="87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42"/>
        <w:gridCol w:w="5403"/>
        <w:gridCol w:w="904"/>
      </w:tblGrid>
      <w:tr w14:paraId="19469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442" w:type="dxa"/>
            <w:vAlign w:val="top"/>
          </w:tcPr>
          <w:p w14:paraId="3B0284B2">
            <w:pPr>
              <w:pStyle w:val="6"/>
              <w:spacing w:before="122" w:line="219" w:lineRule="auto"/>
              <w:ind w:left="374"/>
              <w:rPr>
                <w:highlight w:val="none"/>
              </w:rPr>
            </w:pPr>
            <w:bookmarkStart w:id="37" w:name="bookmark204"/>
            <w:bookmarkEnd w:id="37"/>
            <w:r>
              <w:rPr>
                <w:spacing w:val="-1"/>
                <w:highlight w:val="none"/>
              </w:rPr>
              <w:t>施工机械设备要求</w:t>
            </w:r>
          </w:p>
        </w:tc>
        <w:tc>
          <w:tcPr>
            <w:tcW w:w="5403" w:type="dxa"/>
            <w:vAlign w:val="top"/>
          </w:tcPr>
          <w:p w14:paraId="2675139B">
            <w:pPr>
              <w:rPr>
                <w:rFonts w:ascii="Arial"/>
                <w:sz w:val="21"/>
                <w:highlight w:val="none"/>
              </w:rPr>
            </w:pPr>
          </w:p>
        </w:tc>
        <w:tc>
          <w:tcPr>
            <w:tcW w:w="904" w:type="dxa"/>
            <w:vAlign w:val="top"/>
          </w:tcPr>
          <w:p w14:paraId="6090BBE3">
            <w:pPr>
              <w:rPr>
                <w:rFonts w:ascii="Arial"/>
                <w:sz w:val="21"/>
                <w:highlight w:val="none"/>
              </w:rPr>
            </w:pPr>
          </w:p>
        </w:tc>
      </w:tr>
      <w:tr w14:paraId="6D5F2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4" w:hRule="atLeast"/>
        </w:trPr>
        <w:tc>
          <w:tcPr>
            <w:tcW w:w="2442" w:type="dxa"/>
            <w:vAlign w:val="top"/>
          </w:tcPr>
          <w:p w14:paraId="4F01B8D7">
            <w:pPr>
              <w:pStyle w:val="6"/>
              <w:spacing w:before="70" w:line="220" w:lineRule="auto"/>
              <w:ind w:left="794"/>
              <w:rPr>
                <w:highlight w:val="none"/>
              </w:rPr>
            </w:pPr>
            <w:r>
              <w:rPr>
                <w:spacing w:val="-2"/>
                <w:highlight w:val="none"/>
              </w:rPr>
              <w:t>其他要求</w:t>
            </w:r>
          </w:p>
        </w:tc>
        <w:tc>
          <w:tcPr>
            <w:tcW w:w="5403" w:type="dxa"/>
            <w:vAlign w:val="top"/>
          </w:tcPr>
          <w:p w14:paraId="6FC85784">
            <w:pPr>
              <w:pStyle w:val="6"/>
              <w:spacing w:before="78" w:line="219" w:lineRule="auto"/>
              <w:ind w:left="112"/>
              <w:rPr>
                <w:highlight w:val="none"/>
              </w:rPr>
            </w:pPr>
            <w:r>
              <w:rPr>
                <w:spacing w:val="-1"/>
                <w:highlight w:val="none"/>
              </w:rPr>
              <w:t>政府采购特别资格要求：</w:t>
            </w:r>
          </w:p>
          <w:p w14:paraId="07523AB2">
            <w:pPr>
              <w:pStyle w:val="6"/>
              <w:spacing w:before="50" w:line="219" w:lineRule="auto"/>
              <w:ind w:left="122"/>
              <w:rPr>
                <w:highlight w:val="none"/>
              </w:rPr>
            </w:pPr>
            <w:r>
              <w:rPr>
                <w:color w:val="0000FF"/>
                <w:spacing w:val="-1"/>
                <w:highlight w:val="none"/>
              </w:rPr>
              <w:t>□</w:t>
            </w:r>
            <w:r>
              <w:rPr>
                <w:spacing w:val="-1"/>
                <w:highlight w:val="none"/>
              </w:rPr>
              <w:t>采购项目整体预留专门面向中小企业采购。</w:t>
            </w:r>
          </w:p>
          <w:p w14:paraId="2A385ACA">
            <w:pPr>
              <w:pStyle w:val="6"/>
              <w:spacing w:before="60" w:line="219" w:lineRule="auto"/>
              <w:ind w:left="122"/>
              <w:rPr>
                <w:highlight w:val="none"/>
              </w:rPr>
            </w:pPr>
            <w:r>
              <w:rPr>
                <w:color w:val="0000FF"/>
                <w:spacing w:val="-1"/>
                <w:highlight w:val="none"/>
              </w:rPr>
              <w:t>□</w:t>
            </w:r>
            <w:r>
              <w:rPr>
                <w:spacing w:val="-1"/>
                <w:highlight w:val="none"/>
              </w:rPr>
              <w:t>采购项目整体预留专门面向小微企业采购。</w:t>
            </w:r>
          </w:p>
          <w:p w14:paraId="5CDED3A7">
            <w:pPr>
              <w:pStyle w:val="6"/>
              <w:spacing w:before="80" w:line="219" w:lineRule="auto"/>
              <w:ind w:left="142"/>
              <w:rPr>
                <w:highlight w:val="none"/>
              </w:rPr>
            </w:pPr>
            <w:r>
              <w:rPr>
                <w:color w:val="0000FF"/>
                <w:spacing w:val="-1"/>
                <w:highlight w:val="none"/>
              </w:rPr>
              <w:t>□</w:t>
            </w:r>
            <w:r>
              <w:rPr>
                <w:spacing w:val="-1"/>
                <w:highlight w:val="none"/>
              </w:rPr>
              <w:t>采购项目部分预留专门面向中小企业采购。</w:t>
            </w:r>
          </w:p>
          <w:p w14:paraId="7A6BA840">
            <w:pPr>
              <w:pStyle w:val="6"/>
              <w:spacing w:before="72" w:line="277" w:lineRule="auto"/>
              <w:ind w:left="142" w:right="19" w:hanging="10"/>
              <w:rPr>
                <w:highlight w:val="none"/>
              </w:rPr>
            </w:pPr>
            <w:r>
              <w:rPr>
                <w:spacing w:val="-1"/>
                <w:highlight w:val="none"/>
              </w:rPr>
              <w:t>要求大企业与中小企业组成联合体的形式参加投标，且联</w:t>
            </w:r>
            <w:r>
              <w:rPr>
                <w:spacing w:val="14"/>
                <w:highlight w:val="none"/>
              </w:rPr>
              <w:t xml:space="preserve"> </w:t>
            </w:r>
            <w:r>
              <w:rPr>
                <w:highlight w:val="none"/>
              </w:rPr>
              <w:t>合体中中小企业承担的部分达到项目合同总金额的%以</w:t>
            </w:r>
          </w:p>
          <w:p w14:paraId="7D42AF65">
            <w:pPr>
              <w:pStyle w:val="6"/>
              <w:spacing w:before="3" w:line="282" w:lineRule="auto"/>
              <w:ind w:left="132"/>
              <w:rPr>
                <w:highlight w:val="none"/>
              </w:rPr>
            </w:pPr>
            <w:r>
              <w:rPr>
                <w:highlight w:val="none"/>
              </w:rPr>
              <w:t>上，其中小微企业承担的比例不低于%。组成联合体的中</w:t>
            </w:r>
            <w:r>
              <w:rPr>
                <w:spacing w:val="4"/>
                <w:highlight w:val="none"/>
              </w:rPr>
              <w:t xml:space="preserve">  </w:t>
            </w:r>
            <w:r>
              <w:rPr>
                <w:highlight w:val="none"/>
              </w:rPr>
              <w:t>小企业与联合体内其他企业之间不得存在直接控股、管理</w:t>
            </w:r>
            <w:r>
              <w:rPr>
                <w:spacing w:val="9"/>
                <w:highlight w:val="none"/>
              </w:rPr>
              <w:t xml:space="preserve"> </w:t>
            </w:r>
            <w:r>
              <w:rPr>
                <w:spacing w:val="1"/>
                <w:highlight w:val="none"/>
              </w:rPr>
              <w:t>关系。(前述比例由招标人根据项目的具体情况约定)</w:t>
            </w:r>
          </w:p>
          <w:p w14:paraId="204D7534">
            <w:pPr>
              <w:pStyle w:val="6"/>
              <w:spacing w:before="4" w:line="219" w:lineRule="auto"/>
              <w:ind w:left="142"/>
              <w:rPr>
                <w:highlight w:val="none"/>
              </w:rPr>
            </w:pPr>
            <w:r>
              <w:rPr>
                <w:color w:val="0000FF"/>
                <w:spacing w:val="-1"/>
                <w:highlight w:val="none"/>
              </w:rPr>
              <w:t>□</w:t>
            </w:r>
            <w:r>
              <w:rPr>
                <w:spacing w:val="-1"/>
                <w:highlight w:val="none"/>
              </w:rPr>
              <w:t>采购项目部分预留专门面向中小企业采购。</w:t>
            </w:r>
          </w:p>
          <w:p w14:paraId="2300910E">
            <w:pPr>
              <w:pStyle w:val="6"/>
              <w:spacing w:before="61" w:line="280" w:lineRule="auto"/>
              <w:ind w:left="122" w:firstLine="19"/>
              <w:rPr>
                <w:highlight w:val="none"/>
              </w:rPr>
            </w:pPr>
            <w:r>
              <w:rPr>
                <w:spacing w:val="-1"/>
                <w:highlight w:val="none"/>
              </w:rPr>
              <w:t>要求大企业向中小企业分包的形式参加投标，且接受分包</w:t>
            </w:r>
            <w:r>
              <w:rPr>
                <w:spacing w:val="4"/>
                <w:highlight w:val="none"/>
              </w:rPr>
              <w:t xml:space="preserve"> </w:t>
            </w:r>
            <w:r>
              <w:rPr>
                <w:spacing w:val="-1"/>
                <w:highlight w:val="none"/>
              </w:rPr>
              <w:t>的中小企业承担的部分达到项目合同总金额的%以上，其</w:t>
            </w:r>
            <w:r>
              <w:rPr>
                <w:spacing w:val="9"/>
                <w:highlight w:val="none"/>
              </w:rPr>
              <w:t xml:space="preserve">  </w:t>
            </w:r>
            <w:r>
              <w:rPr>
                <w:highlight w:val="none"/>
              </w:rPr>
              <w:t>中接受分包的小微企业承担的比例不低于%。接受分包合</w:t>
            </w:r>
            <w:r>
              <w:rPr>
                <w:spacing w:val="6"/>
                <w:highlight w:val="none"/>
              </w:rPr>
              <w:t xml:space="preserve">  </w:t>
            </w:r>
            <w:r>
              <w:rPr>
                <w:spacing w:val="1"/>
                <w:highlight w:val="none"/>
              </w:rPr>
              <w:t>同的中小企业与分包企业之间不得存在直接</w:t>
            </w:r>
            <w:r>
              <w:rPr>
                <w:highlight w:val="none"/>
              </w:rPr>
              <w:t xml:space="preserve">控股、管理关 </w:t>
            </w:r>
            <w:r>
              <w:rPr>
                <w:spacing w:val="2"/>
                <w:highlight w:val="none"/>
              </w:rPr>
              <w:t>系。(前述比例由招标人根据项目的具体情况约定)</w:t>
            </w:r>
          </w:p>
          <w:p w14:paraId="0B4BEF53">
            <w:pPr>
              <w:pStyle w:val="6"/>
              <w:spacing w:before="18" w:line="246" w:lineRule="auto"/>
              <w:ind w:left="122" w:right="755" w:firstLine="20"/>
              <w:rPr>
                <w:highlight w:val="none"/>
              </w:rPr>
            </w:pPr>
            <w:r>
              <w:rPr>
                <w:color w:val="0000FF"/>
                <w:spacing w:val="-1"/>
                <w:highlight w:val="none"/>
              </w:rPr>
              <w:t>□</w:t>
            </w:r>
            <w:r>
              <w:rPr>
                <w:spacing w:val="-1"/>
                <w:highlight w:val="none"/>
              </w:rPr>
              <w:t>采购项目未预留份额专门面向中小企业采购。</w:t>
            </w:r>
            <w:r>
              <w:rPr>
                <w:spacing w:val="7"/>
                <w:highlight w:val="none"/>
              </w:rPr>
              <w:t xml:space="preserve">  </w:t>
            </w:r>
            <w:r>
              <w:rPr>
                <w:highlight w:val="none"/>
              </w:rPr>
              <w:t>不接受/接受大中型企业与小微企业组成联合体。</w:t>
            </w:r>
          </w:p>
          <w:p w14:paraId="2FDDEA2E">
            <w:pPr>
              <w:pStyle w:val="6"/>
              <w:spacing w:before="61" w:line="248" w:lineRule="auto"/>
              <w:ind w:left="92" w:right="131" w:firstLine="20"/>
              <w:rPr>
                <w:highlight w:val="none"/>
              </w:rPr>
            </w:pPr>
            <w:r>
              <w:rPr>
                <w:color w:val="0000FF"/>
                <w:highlight w:val="none"/>
              </w:rPr>
              <w:t>□</w:t>
            </w:r>
            <w:r>
              <w:rPr>
                <w:highlight w:val="none"/>
              </w:rPr>
              <w:t>不允许/口允许大中型企业向一家或者多家小微企业分</w:t>
            </w:r>
            <w:r>
              <w:rPr>
                <w:spacing w:val="2"/>
                <w:highlight w:val="none"/>
              </w:rPr>
              <w:t xml:space="preserve"> </w:t>
            </w:r>
            <w:r>
              <w:rPr>
                <w:spacing w:val="-2"/>
                <w:highlight w:val="none"/>
              </w:rPr>
              <w:t>包。</w:t>
            </w:r>
          </w:p>
        </w:tc>
        <w:tc>
          <w:tcPr>
            <w:tcW w:w="904" w:type="dxa"/>
            <w:vAlign w:val="top"/>
          </w:tcPr>
          <w:p w14:paraId="02E1A0FC">
            <w:pPr>
              <w:rPr>
                <w:rFonts w:ascii="Arial"/>
                <w:sz w:val="21"/>
                <w:highlight w:val="none"/>
              </w:rPr>
            </w:pPr>
          </w:p>
        </w:tc>
      </w:tr>
      <w:tr w14:paraId="0DEE0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1" w:hRule="atLeast"/>
        </w:trPr>
        <w:tc>
          <w:tcPr>
            <w:tcW w:w="2442" w:type="dxa"/>
            <w:vAlign w:val="top"/>
          </w:tcPr>
          <w:p w14:paraId="3F388EE3">
            <w:pPr>
              <w:rPr>
                <w:rFonts w:ascii="Arial"/>
                <w:sz w:val="21"/>
                <w:highlight w:val="none"/>
              </w:rPr>
            </w:pPr>
          </w:p>
        </w:tc>
        <w:tc>
          <w:tcPr>
            <w:tcW w:w="5403" w:type="dxa"/>
            <w:vAlign w:val="top"/>
          </w:tcPr>
          <w:p w14:paraId="345B4C44">
            <w:pPr>
              <w:pStyle w:val="6"/>
              <w:spacing w:before="83" w:line="282" w:lineRule="auto"/>
              <w:ind w:left="142" w:right="27" w:hanging="20"/>
              <w:rPr>
                <w:highlight w:val="none"/>
              </w:rPr>
            </w:pPr>
            <w:r>
              <w:rPr>
                <w:color w:val="0000FF"/>
                <w:spacing w:val="-1"/>
                <w:highlight w:val="none"/>
              </w:rPr>
              <w:t>①拟派本项目人员不得相互兼职；②拟派项目人员均需提</w:t>
            </w:r>
            <w:r>
              <w:rPr>
                <w:color w:val="0000FF"/>
                <w:spacing w:val="16"/>
                <w:highlight w:val="none"/>
              </w:rPr>
              <w:t xml:space="preserve"> </w:t>
            </w:r>
            <w:r>
              <w:rPr>
                <w:color w:val="0000FF"/>
                <w:spacing w:val="-1"/>
                <w:highlight w:val="none"/>
              </w:rPr>
              <w:t>供202</w:t>
            </w:r>
            <w:r>
              <w:rPr>
                <w:rFonts w:hint="eastAsia"/>
                <w:color w:val="0000FF"/>
                <w:spacing w:val="-1"/>
                <w:highlight w:val="none"/>
                <w:lang w:val="en-US" w:eastAsia="zh-CN"/>
              </w:rPr>
              <w:t>6</w:t>
            </w:r>
            <w:r>
              <w:rPr>
                <w:color w:val="0000FF"/>
                <w:spacing w:val="-1"/>
                <w:highlight w:val="none"/>
              </w:rPr>
              <w:t>年</w:t>
            </w:r>
            <w:r>
              <w:rPr>
                <w:rFonts w:hint="eastAsia"/>
                <w:color w:val="0000FF"/>
                <w:spacing w:val="-1"/>
                <w:highlight w:val="none"/>
                <w:lang w:val="en-US" w:eastAsia="zh-CN"/>
              </w:rPr>
              <w:t>1</w:t>
            </w:r>
            <w:r>
              <w:rPr>
                <w:color w:val="0000FF"/>
                <w:spacing w:val="-1"/>
                <w:highlight w:val="none"/>
              </w:rPr>
              <w:t>月1日至今任意一个月投标人为其缴纳的社保</w:t>
            </w:r>
          </w:p>
          <w:p w14:paraId="39802F0B">
            <w:pPr>
              <w:pStyle w:val="6"/>
              <w:spacing w:line="218" w:lineRule="auto"/>
              <w:ind w:left="132"/>
              <w:rPr>
                <w:highlight w:val="none"/>
              </w:rPr>
            </w:pPr>
            <w:r>
              <w:rPr>
                <w:color w:val="0000FF"/>
                <w:spacing w:val="-1"/>
                <w:highlight w:val="none"/>
              </w:rPr>
              <w:t>证明材料扫描件(以社保管理机构出具为准)或提供从社</w:t>
            </w:r>
          </w:p>
          <w:p w14:paraId="0C6E993B">
            <w:pPr>
              <w:pStyle w:val="6"/>
              <w:spacing w:before="81" w:line="275" w:lineRule="auto"/>
              <w:ind w:left="122" w:right="3" w:firstLine="20"/>
              <w:rPr>
                <w:highlight w:val="none"/>
              </w:rPr>
            </w:pPr>
            <w:r>
              <w:rPr>
                <w:color w:val="0000FF"/>
                <w:spacing w:val="1"/>
                <w:highlight w:val="none"/>
              </w:rPr>
              <w:t>保管理机构网上打印具有社保管理机构电子证章的</w:t>
            </w:r>
            <w:r>
              <w:rPr>
                <w:color w:val="0000FF"/>
                <w:highlight w:val="none"/>
              </w:rPr>
              <w:t>证明  材料扫描件。属退休人员的须提供退休证明和投标单位的</w:t>
            </w:r>
            <w:r>
              <w:rPr>
                <w:color w:val="0000FF"/>
                <w:spacing w:val="15"/>
                <w:highlight w:val="none"/>
              </w:rPr>
              <w:t xml:space="preserve"> </w:t>
            </w:r>
            <w:r>
              <w:rPr>
                <w:color w:val="0000FF"/>
                <w:spacing w:val="1"/>
                <w:highlight w:val="none"/>
              </w:rPr>
              <w:t>聘用协议(或劳务合同)扫描件，否则按未提供社</w:t>
            </w:r>
            <w:r>
              <w:rPr>
                <w:color w:val="0000FF"/>
                <w:highlight w:val="none"/>
              </w:rPr>
              <w:t>保证明</w:t>
            </w:r>
          </w:p>
          <w:p w14:paraId="5E5D22E8">
            <w:pPr>
              <w:pStyle w:val="6"/>
              <w:spacing w:before="2" w:line="281" w:lineRule="auto"/>
              <w:ind w:left="142" w:right="5" w:hanging="20"/>
              <w:rPr>
                <w:highlight w:val="none"/>
              </w:rPr>
            </w:pPr>
            <w:r>
              <w:rPr>
                <w:color w:val="0000FF"/>
                <w:highlight w:val="none"/>
              </w:rPr>
              <w:t>材料处理；③投标人按招标文件要求提供“投标人事前信</w:t>
            </w:r>
            <w:r>
              <w:rPr>
                <w:color w:val="0000FF"/>
                <w:spacing w:val="13"/>
                <w:highlight w:val="none"/>
              </w:rPr>
              <w:t xml:space="preserve"> </w:t>
            </w:r>
            <w:r>
              <w:rPr>
                <w:color w:val="0000FF"/>
                <w:spacing w:val="-1"/>
                <w:highlight w:val="none"/>
              </w:rPr>
              <w:t>用承诺书”(详见投标文件格式，如联合体投标的，则联</w:t>
            </w:r>
            <w:r>
              <w:rPr>
                <w:color w:val="0000FF"/>
                <w:spacing w:val="7"/>
                <w:highlight w:val="none"/>
              </w:rPr>
              <w:t xml:space="preserve">  </w:t>
            </w:r>
            <w:r>
              <w:rPr>
                <w:color w:val="0000FF"/>
                <w:spacing w:val="-1"/>
                <w:highlight w:val="none"/>
              </w:rPr>
              <w:t>合体所有成员单位均须提供);④以上资格要求的所有证</w:t>
            </w:r>
          </w:p>
          <w:p w14:paraId="39DF689B">
            <w:pPr>
              <w:pStyle w:val="6"/>
              <w:spacing w:line="231" w:lineRule="auto"/>
              <w:ind w:left="122" w:right="1"/>
              <w:rPr>
                <w:highlight w:val="none"/>
              </w:rPr>
            </w:pPr>
            <w:r>
              <w:rPr>
                <w:color w:val="0000FF"/>
                <w:highlight w:val="none"/>
              </w:rPr>
              <w:t>件、证明材料均须提供有效的扫描件或行政主管部门打印</w:t>
            </w:r>
            <w:r>
              <w:rPr>
                <w:color w:val="0000FF"/>
                <w:spacing w:val="18"/>
                <w:highlight w:val="none"/>
              </w:rPr>
              <w:t xml:space="preserve"> </w:t>
            </w:r>
            <w:r>
              <w:rPr>
                <w:color w:val="0000FF"/>
                <w:spacing w:val="3"/>
                <w:highlight w:val="none"/>
              </w:rPr>
              <w:t>的电子证书(如有)。)</w:t>
            </w:r>
          </w:p>
        </w:tc>
        <w:tc>
          <w:tcPr>
            <w:tcW w:w="904" w:type="dxa"/>
            <w:vAlign w:val="top"/>
          </w:tcPr>
          <w:p w14:paraId="4CAC80A7">
            <w:pPr>
              <w:rPr>
                <w:rFonts w:ascii="Arial"/>
                <w:sz w:val="21"/>
                <w:highlight w:val="none"/>
              </w:rPr>
            </w:pPr>
          </w:p>
        </w:tc>
      </w:tr>
    </w:tbl>
    <w:p w14:paraId="6D781CFA">
      <w:pPr>
        <w:spacing w:before="163" w:line="440" w:lineRule="auto"/>
        <w:ind w:left="104" w:right="254"/>
        <w:jc w:val="both"/>
        <w:rPr>
          <w:rFonts w:ascii="宋体" w:hAnsi="宋体" w:eastAsia="宋体" w:cs="宋体"/>
          <w:sz w:val="20"/>
          <w:szCs w:val="20"/>
          <w:highlight w:val="none"/>
        </w:rPr>
      </w:pPr>
      <w:r>
        <w:rPr>
          <w:rFonts w:ascii="宋体" w:hAnsi="宋体" w:eastAsia="宋体" w:cs="宋体"/>
          <w:spacing w:val="10"/>
          <w:sz w:val="20"/>
          <w:szCs w:val="20"/>
          <w:highlight w:val="none"/>
        </w:rPr>
        <w:t>备注：1.政府采购工程是指国家机关、事业单位、团体组织使用财</w:t>
      </w:r>
      <w:r>
        <w:rPr>
          <w:rFonts w:ascii="宋体" w:hAnsi="宋体" w:eastAsia="宋体" w:cs="宋体"/>
          <w:spacing w:val="9"/>
          <w:sz w:val="20"/>
          <w:szCs w:val="20"/>
          <w:highlight w:val="none"/>
        </w:rPr>
        <w:t>政性资金采购建设工程。</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财政性资金是指纳入预算管理的资金。以财政性资金作为还款</w:t>
      </w:r>
      <w:r>
        <w:rPr>
          <w:rFonts w:ascii="宋体" w:hAnsi="宋体" w:eastAsia="宋体" w:cs="宋体"/>
          <w:spacing w:val="7"/>
          <w:sz w:val="20"/>
          <w:szCs w:val="20"/>
          <w:highlight w:val="none"/>
        </w:rPr>
        <w:t>来源的借贷资金，视同财政性</w:t>
      </w:r>
      <w:r>
        <w:rPr>
          <w:rFonts w:ascii="宋体" w:hAnsi="宋体" w:eastAsia="宋体" w:cs="宋体"/>
          <w:sz w:val="20"/>
          <w:szCs w:val="20"/>
          <w:highlight w:val="none"/>
        </w:rPr>
        <w:t xml:space="preserve">  </w:t>
      </w:r>
      <w:r>
        <w:rPr>
          <w:rFonts w:ascii="宋体" w:hAnsi="宋体" w:eastAsia="宋体" w:cs="宋体"/>
          <w:spacing w:val="-3"/>
          <w:sz w:val="20"/>
          <w:szCs w:val="20"/>
          <w:highlight w:val="none"/>
        </w:rPr>
        <w:t>资金。</w:t>
      </w:r>
    </w:p>
    <w:p w14:paraId="0CD0E45C">
      <w:pPr>
        <w:spacing w:before="2" w:line="330" w:lineRule="auto"/>
        <w:ind w:left="104" w:right="324" w:firstLine="420"/>
        <w:rPr>
          <w:rFonts w:ascii="宋体" w:hAnsi="宋体" w:eastAsia="宋体" w:cs="宋体"/>
          <w:sz w:val="22"/>
          <w:szCs w:val="22"/>
          <w:highlight w:val="none"/>
        </w:rPr>
      </w:pPr>
      <w:r>
        <w:rPr>
          <w:rFonts w:ascii="宋体" w:hAnsi="宋体" w:eastAsia="宋体" w:cs="宋体"/>
          <w:spacing w:val="-12"/>
          <w:sz w:val="22"/>
          <w:szCs w:val="22"/>
          <w:highlight w:val="none"/>
        </w:rPr>
        <w:t>2.本招标文件所称中、小、微企业，是指在中华人民共和国境内依法设立，依据《中小</w:t>
      </w:r>
      <w:r>
        <w:rPr>
          <w:rFonts w:ascii="宋体" w:hAnsi="宋体" w:eastAsia="宋体" w:cs="宋体"/>
          <w:spacing w:val="4"/>
          <w:sz w:val="22"/>
          <w:szCs w:val="22"/>
          <w:highlight w:val="none"/>
        </w:rPr>
        <w:t xml:space="preserve"> </w:t>
      </w:r>
      <w:r>
        <w:rPr>
          <w:rFonts w:ascii="宋体" w:hAnsi="宋体" w:eastAsia="宋体" w:cs="宋体"/>
          <w:spacing w:val="-8"/>
          <w:sz w:val="22"/>
          <w:szCs w:val="22"/>
          <w:highlight w:val="none"/>
        </w:rPr>
        <w:t>企业划型标准规定》(工信部联企业[2011]300号)确定的中型企业、小型企业和微型企业，</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但与大企业的负责人为同一人，或者与大企业存在直接控股、管理关系的除外。</w:t>
      </w:r>
    </w:p>
    <w:p w14:paraId="4F798635">
      <w:pPr>
        <w:spacing w:before="217" w:line="317" w:lineRule="auto"/>
        <w:ind w:left="104" w:right="325" w:firstLine="4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3.</w:t>
      </w:r>
      <w:r>
        <w:rPr>
          <w:rFonts w:ascii="宋体" w:hAnsi="宋体" w:eastAsia="宋体" w:cs="宋体"/>
          <w:spacing w:val="-8"/>
          <w:sz w:val="22"/>
          <w:szCs w:val="22"/>
          <w:highlight w:val="none"/>
        </w:rPr>
        <w:t>预留份额专门面向中小企业采购的项目中(包括整体预留专门面向中小企业、整体预</w:t>
      </w:r>
      <w:r>
        <w:rPr>
          <w:rFonts w:ascii="宋体" w:hAnsi="宋体" w:eastAsia="宋体" w:cs="宋体"/>
          <w:spacing w:val="15"/>
          <w:sz w:val="22"/>
          <w:szCs w:val="22"/>
          <w:highlight w:val="none"/>
        </w:rPr>
        <w:t xml:space="preserve"> </w:t>
      </w:r>
      <w:r>
        <w:rPr>
          <w:rFonts w:ascii="宋体" w:hAnsi="宋体" w:eastAsia="宋体" w:cs="宋体"/>
          <w:spacing w:val="-7"/>
          <w:sz w:val="22"/>
          <w:szCs w:val="22"/>
          <w:highlight w:val="none"/>
        </w:rPr>
        <w:t>留专门面向小微企业、部分预留专门面向中小企业),部分预留专门面向中小企业采购的项</w:t>
      </w:r>
    </w:p>
    <w:p w14:paraId="225D898D">
      <w:pPr>
        <w:spacing w:line="317" w:lineRule="auto"/>
        <w:rPr>
          <w:rFonts w:ascii="宋体" w:hAnsi="宋体" w:eastAsia="宋体" w:cs="宋体"/>
          <w:sz w:val="22"/>
          <w:szCs w:val="22"/>
          <w:highlight w:val="none"/>
        </w:rPr>
        <w:sectPr>
          <w:footerReference r:id="rId42" w:type="default"/>
          <w:pgSz w:w="11910" w:h="16840"/>
          <w:pgMar w:top="400" w:right="1475" w:bottom="1217" w:left="1675" w:header="0" w:footer="1013" w:gutter="0"/>
          <w:cols w:space="720" w:num="1"/>
        </w:sectPr>
      </w:pPr>
    </w:p>
    <w:p w14:paraId="49EE5046">
      <w:pPr>
        <w:pStyle w:val="2"/>
        <w:spacing w:line="273" w:lineRule="auto"/>
        <w:rPr>
          <w:highlight w:val="none"/>
        </w:rPr>
      </w:pPr>
    </w:p>
    <w:p w14:paraId="357241C3">
      <w:pPr>
        <w:pStyle w:val="2"/>
        <w:spacing w:line="273" w:lineRule="auto"/>
        <w:rPr>
          <w:highlight w:val="none"/>
        </w:rPr>
      </w:pPr>
    </w:p>
    <w:p w14:paraId="27B284C5">
      <w:pPr>
        <w:pStyle w:val="2"/>
        <w:spacing w:line="273" w:lineRule="auto"/>
        <w:rPr>
          <w:highlight w:val="none"/>
        </w:rPr>
      </w:pPr>
    </w:p>
    <w:p w14:paraId="79431165">
      <w:pPr>
        <w:pStyle w:val="2"/>
        <w:spacing w:line="273" w:lineRule="auto"/>
        <w:rPr>
          <w:highlight w:val="none"/>
        </w:rPr>
      </w:pPr>
    </w:p>
    <w:p w14:paraId="15CE528A">
      <w:pPr>
        <w:spacing w:before="68" w:line="415" w:lineRule="auto"/>
        <w:ind w:right="91"/>
        <w:jc w:val="both"/>
        <w:rPr>
          <w:rFonts w:ascii="宋体" w:hAnsi="宋体" w:eastAsia="宋体" w:cs="宋体"/>
          <w:sz w:val="21"/>
          <w:szCs w:val="21"/>
          <w:highlight w:val="none"/>
        </w:rPr>
      </w:pPr>
      <w:bookmarkStart w:id="38" w:name="bookmark205"/>
      <w:bookmarkEnd w:id="38"/>
      <w:r>
        <w:rPr>
          <w:rFonts w:ascii="宋体" w:hAnsi="宋体" w:eastAsia="宋体" w:cs="宋体"/>
          <w:spacing w:val="-2"/>
          <w:sz w:val="21"/>
          <w:szCs w:val="21"/>
          <w:highlight w:val="none"/>
        </w:rPr>
        <w:t>目，招标人要明确预留的工作和金额。招标</w:t>
      </w:r>
      <w:r>
        <w:rPr>
          <w:rFonts w:ascii="宋体" w:hAnsi="宋体" w:eastAsia="宋体" w:cs="宋体"/>
          <w:spacing w:val="-3"/>
          <w:sz w:val="21"/>
          <w:szCs w:val="21"/>
          <w:highlight w:val="none"/>
        </w:rPr>
        <w:t>人要求大企业与中小企业组成联合体形式或者要</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求大企业向中小企业分包的形式参加投标的，应当明确联合协议或者分包意向协议中中</w:t>
      </w:r>
      <w:r>
        <w:rPr>
          <w:rFonts w:ascii="宋体" w:hAnsi="宋体" w:eastAsia="宋体" w:cs="宋体"/>
          <w:spacing w:val="-3"/>
          <w:sz w:val="21"/>
          <w:szCs w:val="21"/>
          <w:highlight w:val="none"/>
        </w:rPr>
        <w:t>小企</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业合同金额应当达到的比例，并作为投标人资格条件。联合体各方均为中小企业的，联</w:t>
      </w:r>
      <w:r>
        <w:rPr>
          <w:rFonts w:ascii="宋体" w:hAnsi="宋体" w:eastAsia="宋体" w:cs="宋体"/>
          <w:spacing w:val="-3"/>
          <w:sz w:val="21"/>
          <w:szCs w:val="21"/>
          <w:highlight w:val="none"/>
        </w:rPr>
        <w:t>合体</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视同中小企业；联合体各方均为小微企业的，联合体视同小微企业。招标人要求以联合</w:t>
      </w:r>
      <w:r>
        <w:rPr>
          <w:rFonts w:ascii="宋体" w:hAnsi="宋体" w:eastAsia="宋体" w:cs="宋体"/>
          <w:spacing w:val="-3"/>
          <w:sz w:val="21"/>
          <w:szCs w:val="21"/>
          <w:highlight w:val="none"/>
        </w:rPr>
        <w:t>体形</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式参加或者合同分包的，小微企业可以独立参加投标，无须以联合体的形式参加或进行合同</w:t>
      </w:r>
      <w:r>
        <w:rPr>
          <w:rFonts w:ascii="宋体" w:hAnsi="宋体" w:eastAsia="宋体" w:cs="宋体"/>
          <w:spacing w:val="7"/>
          <w:sz w:val="21"/>
          <w:szCs w:val="21"/>
          <w:highlight w:val="none"/>
        </w:rPr>
        <w:t xml:space="preserve"> </w:t>
      </w:r>
      <w:r>
        <w:rPr>
          <w:rFonts w:ascii="宋体" w:hAnsi="宋体" w:eastAsia="宋体" w:cs="宋体"/>
          <w:spacing w:val="-2"/>
          <w:sz w:val="21"/>
          <w:szCs w:val="21"/>
          <w:highlight w:val="none"/>
        </w:rPr>
        <w:t>分包。该类项目因落实了政府采购预留份额支持中小企业发展政策，在评标时，小微企业不</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享受价格扣除或增加价格分的优惠政策。</w:t>
      </w:r>
    </w:p>
    <w:p w14:paraId="5FBED4C3">
      <w:pPr>
        <w:spacing w:before="39" w:line="365" w:lineRule="auto"/>
        <w:ind w:right="100" w:firstLine="430"/>
        <w:rPr>
          <w:rFonts w:ascii="宋体" w:hAnsi="宋体" w:eastAsia="宋体" w:cs="宋体"/>
          <w:sz w:val="22"/>
          <w:szCs w:val="22"/>
          <w:highlight w:val="none"/>
        </w:rPr>
      </w:pPr>
      <w:r>
        <w:rPr>
          <w:rFonts w:ascii="宋体" w:hAnsi="宋体" w:eastAsia="宋体" w:cs="宋体"/>
          <w:spacing w:val="-12"/>
          <w:sz w:val="22"/>
          <w:szCs w:val="22"/>
          <w:highlight w:val="none"/>
        </w:rPr>
        <w:t>4.未预留份额专门面向中小企业采购的项目，对小微企业，对接受大中型企</w:t>
      </w:r>
      <w:r>
        <w:rPr>
          <w:rFonts w:ascii="宋体" w:hAnsi="宋体" w:eastAsia="宋体" w:cs="宋体"/>
          <w:spacing w:val="-13"/>
          <w:sz w:val="22"/>
          <w:szCs w:val="22"/>
          <w:highlight w:val="none"/>
        </w:rPr>
        <w:t>业与小微企</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业组成联合体或者允许大中型企业向一家或者多家小微企业分包的项目，对于联合协议</w:t>
      </w:r>
      <w:r>
        <w:rPr>
          <w:rFonts w:ascii="宋体" w:hAnsi="宋体" w:eastAsia="宋体" w:cs="宋体"/>
          <w:spacing w:val="-13"/>
          <w:sz w:val="22"/>
          <w:szCs w:val="22"/>
          <w:highlight w:val="none"/>
        </w:rPr>
        <w:t>或者</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分包意向协议约定小微企业的合同份额占到项目合同总金额30%以上的，对小微企业</w:t>
      </w:r>
      <w:r>
        <w:rPr>
          <w:rFonts w:ascii="宋体" w:hAnsi="宋体" w:eastAsia="宋体" w:cs="宋体"/>
          <w:spacing w:val="-10"/>
          <w:sz w:val="22"/>
          <w:szCs w:val="22"/>
          <w:highlight w:val="none"/>
        </w:rPr>
        <w:t>、对大</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中型企业与小微企业组成的联合体或者向一家或者多家小微企业分包的大中型企业，在评标</w:t>
      </w:r>
      <w:r>
        <w:rPr>
          <w:rFonts w:ascii="宋体" w:hAnsi="宋体" w:eastAsia="宋体" w:cs="宋体"/>
          <w:spacing w:val="17"/>
          <w:sz w:val="22"/>
          <w:szCs w:val="22"/>
          <w:highlight w:val="none"/>
        </w:rPr>
        <w:t xml:space="preserve"> </w:t>
      </w:r>
      <w:r>
        <w:rPr>
          <w:rFonts w:ascii="宋体" w:hAnsi="宋体" w:eastAsia="宋体" w:cs="宋体"/>
          <w:spacing w:val="-12"/>
          <w:sz w:val="22"/>
          <w:szCs w:val="22"/>
          <w:highlight w:val="none"/>
        </w:rPr>
        <w:t>时享受价格扣除或增加价格分的优惠政策。组成联合体或者接受分包的小微企业与联</w:t>
      </w:r>
      <w:r>
        <w:rPr>
          <w:rFonts w:ascii="宋体" w:hAnsi="宋体" w:eastAsia="宋体" w:cs="宋体"/>
          <w:spacing w:val="-13"/>
          <w:sz w:val="22"/>
          <w:szCs w:val="22"/>
          <w:highlight w:val="none"/>
        </w:rPr>
        <w:t>合体内</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其他企业、分包企业之间存在直接控股、管理关系的不享受评标优惠。</w:t>
      </w:r>
    </w:p>
    <w:p w14:paraId="72CF7B00">
      <w:pPr>
        <w:spacing w:before="267" w:line="321" w:lineRule="auto"/>
        <w:ind w:right="100"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5.</w:t>
      </w:r>
      <w:r>
        <w:rPr>
          <w:rFonts w:ascii="宋体" w:hAnsi="宋体" w:eastAsia="宋体" w:cs="宋体"/>
          <w:spacing w:val="-12"/>
          <w:sz w:val="22"/>
          <w:szCs w:val="22"/>
          <w:highlight w:val="none"/>
        </w:rPr>
        <w:t>享受扶持政策获得政府采购合同的，小微企业不得将合同分包给大中型企业，中型企 业不得将合同分包给大型企业。</w:t>
      </w:r>
    </w:p>
    <w:p w14:paraId="0D77D3C5">
      <w:pPr>
        <w:spacing w:before="209" w:line="311" w:lineRule="auto"/>
        <w:ind w:left="10" w:firstLine="420"/>
        <w:rPr>
          <w:rFonts w:ascii="宋体" w:hAnsi="宋体" w:eastAsia="宋体" w:cs="宋体"/>
          <w:sz w:val="22"/>
          <w:szCs w:val="22"/>
          <w:highlight w:val="none"/>
        </w:rPr>
      </w:pPr>
      <w:r>
        <w:rPr>
          <w:rFonts w:ascii="宋体" w:hAnsi="宋体" w:eastAsia="宋体" w:cs="宋体"/>
          <w:spacing w:val="-9"/>
          <w:sz w:val="22"/>
          <w:szCs w:val="22"/>
          <w:highlight w:val="none"/>
        </w:rPr>
        <w:t>6.具体的政策依据详见《政府采购促进中小企业发展管理办法》(财库〔2020〕46号)、</w:t>
      </w:r>
      <w:r>
        <w:rPr>
          <w:rFonts w:ascii="宋体" w:hAnsi="宋体" w:eastAsia="宋体" w:cs="宋体"/>
          <w:spacing w:val="16"/>
          <w:sz w:val="22"/>
          <w:szCs w:val="22"/>
          <w:highlight w:val="none"/>
        </w:rPr>
        <w:t xml:space="preserve"> </w:t>
      </w:r>
      <w:r>
        <w:rPr>
          <w:rFonts w:ascii="宋体" w:hAnsi="宋体" w:eastAsia="宋体" w:cs="宋体"/>
          <w:spacing w:val="-7"/>
          <w:sz w:val="22"/>
          <w:szCs w:val="22"/>
          <w:highlight w:val="none"/>
        </w:rPr>
        <w:t>《关于进一步加大政府采购支持中小企业力度的</w:t>
      </w:r>
      <w:r>
        <w:rPr>
          <w:rFonts w:ascii="宋体" w:hAnsi="宋体" w:eastAsia="宋体" w:cs="宋体"/>
          <w:spacing w:val="-8"/>
          <w:sz w:val="22"/>
          <w:szCs w:val="22"/>
          <w:highlight w:val="none"/>
        </w:rPr>
        <w:t>通知》(财库〔2022〕19号)。</w:t>
      </w:r>
    </w:p>
    <w:p w14:paraId="13A67574">
      <w:pPr>
        <w:spacing w:line="311" w:lineRule="auto"/>
        <w:rPr>
          <w:rFonts w:ascii="宋体" w:hAnsi="宋体" w:eastAsia="宋体" w:cs="宋体"/>
          <w:sz w:val="22"/>
          <w:szCs w:val="22"/>
          <w:highlight w:val="none"/>
        </w:rPr>
        <w:sectPr>
          <w:footerReference r:id="rId43" w:type="default"/>
          <w:pgSz w:w="11910" w:h="16840"/>
          <w:pgMar w:top="400" w:right="1709" w:bottom="1238" w:left="1779" w:header="0" w:footer="1007" w:gutter="0"/>
          <w:cols w:space="720" w:num="1"/>
        </w:sectPr>
      </w:pPr>
    </w:p>
    <w:p w14:paraId="21463518">
      <w:pPr>
        <w:pStyle w:val="2"/>
        <w:spacing w:line="285" w:lineRule="auto"/>
        <w:rPr>
          <w:highlight w:val="none"/>
        </w:rPr>
      </w:pPr>
    </w:p>
    <w:p w14:paraId="414E81FE">
      <w:pPr>
        <w:pStyle w:val="2"/>
        <w:spacing w:line="285" w:lineRule="auto"/>
        <w:rPr>
          <w:highlight w:val="none"/>
        </w:rPr>
      </w:pPr>
    </w:p>
    <w:p w14:paraId="4C003D6C">
      <w:pPr>
        <w:pStyle w:val="2"/>
        <w:spacing w:line="285" w:lineRule="auto"/>
        <w:rPr>
          <w:highlight w:val="none"/>
        </w:rPr>
      </w:pPr>
    </w:p>
    <w:p w14:paraId="1FE6B15D">
      <w:pPr>
        <w:pStyle w:val="2"/>
        <w:spacing w:line="285" w:lineRule="auto"/>
        <w:rPr>
          <w:highlight w:val="none"/>
        </w:rPr>
      </w:pPr>
    </w:p>
    <w:p w14:paraId="1ED1BEEF">
      <w:pPr>
        <w:spacing w:before="78" w:line="215" w:lineRule="auto"/>
        <w:ind w:left="128"/>
        <w:outlineLvl w:val="1"/>
        <w:rPr>
          <w:rFonts w:ascii="宋体" w:hAnsi="宋体" w:eastAsia="宋体" w:cs="宋体"/>
          <w:sz w:val="24"/>
          <w:szCs w:val="24"/>
          <w:highlight w:val="none"/>
        </w:rPr>
      </w:pPr>
      <w:bookmarkStart w:id="39" w:name="bookmark16"/>
      <w:bookmarkEnd w:id="39"/>
      <w:bookmarkStart w:id="40" w:name="bookmark206"/>
      <w:bookmarkEnd w:id="40"/>
      <w:r>
        <w:rPr>
          <w:rFonts w:ascii="宋体" w:hAnsi="宋体" w:eastAsia="宋体" w:cs="宋体"/>
          <w:b/>
          <w:bCs/>
          <w:spacing w:val="-3"/>
          <w:sz w:val="24"/>
          <w:szCs w:val="24"/>
          <w:highlight w:val="none"/>
        </w:rPr>
        <w:t>附录二：政府采购工程预留工作及金额</w:t>
      </w:r>
    </w:p>
    <w:tbl>
      <w:tblPr>
        <w:tblStyle w:val="5"/>
        <w:tblW w:w="84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3196"/>
        <w:gridCol w:w="1418"/>
        <w:gridCol w:w="1328"/>
        <w:gridCol w:w="1803"/>
      </w:tblGrid>
      <w:tr w14:paraId="55B04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3" w:hRule="atLeast"/>
        </w:trPr>
        <w:tc>
          <w:tcPr>
            <w:tcW w:w="754" w:type="dxa"/>
            <w:vAlign w:val="top"/>
          </w:tcPr>
          <w:p w14:paraId="603CB01C">
            <w:pPr>
              <w:spacing w:line="433" w:lineRule="auto"/>
              <w:rPr>
                <w:rFonts w:ascii="Arial"/>
                <w:sz w:val="21"/>
                <w:highlight w:val="none"/>
              </w:rPr>
            </w:pPr>
          </w:p>
          <w:p w14:paraId="1778B8B9">
            <w:pPr>
              <w:pStyle w:val="6"/>
              <w:spacing w:before="69" w:line="221" w:lineRule="auto"/>
              <w:ind w:left="154"/>
              <w:rPr>
                <w:highlight w:val="none"/>
              </w:rPr>
            </w:pPr>
            <w:r>
              <w:rPr>
                <w:spacing w:val="6"/>
                <w:highlight w:val="none"/>
              </w:rPr>
              <w:t>序号</w:t>
            </w:r>
          </w:p>
        </w:tc>
        <w:tc>
          <w:tcPr>
            <w:tcW w:w="3196" w:type="dxa"/>
            <w:vAlign w:val="top"/>
          </w:tcPr>
          <w:p w14:paraId="01993533">
            <w:pPr>
              <w:spacing w:line="432" w:lineRule="auto"/>
              <w:rPr>
                <w:rFonts w:ascii="Arial"/>
                <w:sz w:val="21"/>
                <w:highlight w:val="none"/>
              </w:rPr>
            </w:pPr>
          </w:p>
          <w:p w14:paraId="22675329">
            <w:pPr>
              <w:pStyle w:val="6"/>
              <w:spacing w:before="69" w:line="219" w:lineRule="auto"/>
              <w:ind w:left="750"/>
              <w:rPr>
                <w:highlight w:val="none"/>
              </w:rPr>
            </w:pPr>
            <w:r>
              <w:rPr>
                <w:spacing w:val="1"/>
                <w:highlight w:val="none"/>
              </w:rPr>
              <w:t>预留工作内容名称</w:t>
            </w:r>
          </w:p>
        </w:tc>
        <w:tc>
          <w:tcPr>
            <w:tcW w:w="1418" w:type="dxa"/>
            <w:vAlign w:val="top"/>
          </w:tcPr>
          <w:p w14:paraId="73CF1B46">
            <w:pPr>
              <w:pStyle w:val="6"/>
              <w:spacing w:before="94" w:line="220" w:lineRule="auto"/>
              <w:ind w:left="284"/>
              <w:rPr>
                <w:highlight w:val="none"/>
              </w:rPr>
            </w:pPr>
            <w:r>
              <w:rPr>
                <w:spacing w:val="3"/>
                <w:highlight w:val="none"/>
              </w:rPr>
              <w:t>预留工作</w:t>
            </w:r>
          </w:p>
          <w:p w14:paraId="22289666">
            <w:pPr>
              <w:pStyle w:val="6"/>
              <w:spacing w:before="157" w:line="218" w:lineRule="auto"/>
              <w:ind w:left="175"/>
              <w:rPr>
                <w:highlight w:val="none"/>
              </w:rPr>
            </w:pPr>
            <w:r>
              <w:rPr>
                <w:spacing w:val="-2"/>
                <w:highlight w:val="none"/>
              </w:rPr>
              <w:t>合同估算价</w:t>
            </w:r>
          </w:p>
          <w:p w14:paraId="57C523C8">
            <w:pPr>
              <w:pStyle w:val="6"/>
              <w:spacing w:before="144" w:line="220" w:lineRule="auto"/>
              <w:ind w:left="385"/>
              <w:rPr>
                <w:highlight w:val="none"/>
              </w:rPr>
            </w:pPr>
            <w:r>
              <w:rPr>
                <w:spacing w:val="11"/>
                <w:highlight w:val="none"/>
              </w:rPr>
              <w:t>(万元)</w:t>
            </w:r>
          </w:p>
        </w:tc>
        <w:tc>
          <w:tcPr>
            <w:tcW w:w="1328" w:type="dxa"/>
            <w:vAlign w:val="top"/>
          </w:tcPr>
          <w:p w14:paraId="0C2A9497">
            <w:pPr>
              <w:pStyle w:val="6"/>
              <w:spacing w:before="91" w:line="218" w:lineRule="auto"/>
              <w:ind w:left="136"/>
              <w:rPr>
                <w:highlight w:val="none"/>
              </w:rPr>
            </w:pPr>
            <w:r>
              <w:rPr>
                <w:spacing w:val="-2"/>
                <w:highlight w:val="none"/>
              </w:rPr>
              <w:t>预留合同估</w:t>
            </w:r>
          </w:p>
          <w:p w14:paraId="0B19D98F">
            <w:pPr>
              <w:pStyle w:val="6"/>
              <w:spacing w:before="161" w:line="218" w:lineRule="auto"/>
              <w:ind w:left="236"/>
              <w:rPr>
                <w:highlight w:val="none"/>
              </w:rPr>
            </w:pPr>
            <w:r>
              <w:rPr>
                <w:spacing w:val="3"/>
                <w:highlight w:val="none"/>
              </w:rPr>
              <w:t>算价占比</w:t>
            </w:r>
          </w:p>
          <w:p w14:paraId="6A09DE4C">
            <w:pPr>
              <w:pStyle w:val="6"/>
              <w:spacing w:before="137" w:line="222" w:lineRule="auto"/>
              <w:ind w:left="496"/>
              <w:rPr>
                <w:highlight w:val="none"/>
              </w:rPr>
            </w:pPr>
            <w:r>
              <w:rPr>
                <w:spacing w:val="-11"/>
                <w:highlight w:val="none"/>
              </w:rPr>
              <w:t>(%)</w:t>
            </w:r>
          </w:p>
        </w:tc>
        <w:tc>
          <w:tcPr>
            <w:tcW w:w="1803" w:type="dxa"/>
            <w:vAlign w:val="top"/>
          </w:tcPr>
          <w:p w14:paraId="3BCAEA7B">
            <w:pPr>
              <w:spacing w:line="433" w:lineRule="auto"/>
              <w:rPr>
                <w:rFonts w:ascii="Arial"/>
                <w:sz w:val="21"/>
                <w:highlight w:val="none"/>
              </w:rPr>
            </w:pPr>
          </w:p>
          <w:p w14:paraId="47CA3FFC">
            <w:pPr>
              <w:pStyle w:val="6"/>
              <w:spacing w:before="69" w:line="221" w:lineRule="auto"/>
              <w:ind w:left="708"/>
              <w:rPr>
                <w:highlight w:val="none"/>
              </w:rPr>
            </w:pPr>
            <w:r>
              <w:rPr>
                <w:spacing w:val="5"/>
                <w:highlight w:val="none"/>
              </w:rPr>
              <w:t>备注</w:t>
            </w:r>
          </w:p>
        </w:tc>
      </w:tr>
      <w:tr w14:paraId="6ACA0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54" w:type="dxa"/>
            <w:vAlign w:val="top"/>
          </w:tcPr>
          <w:p w14:paraId="03290592">
            <w:pPr>
              <w:pStyle w:val="6"/>
              <w:spacing w:before="141" w:line="241" w:lineRule="auto"/>
              <w:ind w:left="315"/>
              <w:rPr>
                <w:highlight w:val="none"/>
              </w:rPr>
            </w:pPr>
            <w:r>
              <w:rPr>
                <w:highlight w:val="none"/>
              </w:rPr>
              <w:t>1</w:t>
            </w:r>
          </w:p>
        </w:tc>
        <w:tc>
          <w:tcPr>
            <w:tcW w:w="3196" w:type="dxa"/>
            <w:vAlign w:val="top"/>
          </w:tcPr>
          <w:p w14:paraId="04CC4099">
            <w:pPr>
              <w:rPr>
                <w:rFonts w:ascii="Arial"/>
                <w:sz w:val="21"/>
                <w:highlight w:val="none"/>
              </w:rPr>
            </w:pPr>
          </w:p>
        </w:tc>
        <w:tc>
          <w:tcPr>
            <w:tcW w:w="1418" w:type="dxa"/>
            <w:vAlign w:val="top"/>
          </w:tcPr>
          <w:p w14:paraId="7F72C1DE">
            <w:pPr>
              <w:rPr>
                <w:rFonts w:ascii="Arial"/>
                <w:sz w:val="21"/>
                <w:highlight w:val="none"/>
              </w:rPr>
            </w:pPr>
          </w:p>
        </w:tc>
        <w:tc>
          <w:tcPr>
            <w:tcW w:w="1328" w:type="dxa"/>
            <w:vAlign w:val="top"/>
          </w:tcPr>
          <w:p w14:paraId="3DF1DE0D">
            <w:pPr>
              <w:rPr>
                <w:rFonts w:ascii="Arial"/>
                <w:sz w:val="21"/>
                <w:highlight w:val="none"/>
              </w:rPr>
            </w:pPr>
          </w:p>
        </w:tc>
        <w:tc>
          <w:tcPr>
            <w:tcW w:w="1803" w:type="dxa"/>
            <w:vAlign w:val="top"/>
          </w:tcPr>
          <w:p w14:paraId="1AEF0107">
            <w:pPr>
              <w:rPr>
                <w:rFonts w:ascii="Arial"/>
                <w:sz w:val="21"/>
                <w:highlight w:val="none"/>
              </w:rPr>
            </w:pPr>
          </w:p>
        </w:tc>
      </w:tr>
      <w:tr w14:paraId="20F90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54" w:type="dxa"/>
            <w:vAlign w:val="top"/>
          </w:tcPr>
          <w:p w14:paraId="13F3F4C6">
            <w:pPr>
              <w:pStyle w:val="6"/>
              <w:spacing w:before="152" w:line="241" w:lineRule="auto"/>
              <w:ind w:left="315"/>
              <w:rPr>
                <w:highlight w:val="none"/>
              </w:rPr>
            </w:pPr>
            <w:r>
              <w:rPr>
                <w:highlight w:val="none"/>
              </w:rPr>
              <w:t>2</w:t>
            </w:r>
          </w:p>
        </w:tc>
        <w:tc>
          <w:tcPr>
            <w:tcW w:w="3196" w:type="dxa"/>
            <w:vAlign w:val="top"/>
          </w:tcPr>
          <w:p w14:paraId="704CD3F4">
            <w:pPr>
              <w:rPr>
                <w:rFonts w:ascii="Arial"/>
                <w:sz w:val="21"/>
                <w:highlight w:val="none"/>
              </w:rPr>
            </w:pPr>
          </w:p>
        </w:tc>
        <w:tc>
          <w:tcPr>
            <w:tcW w:w="1418" w:type="dxa"/>
            <w:vAlign w:val="top"/>
          </w:tcPr>
          <w:p w14:paraId="309A2ADA">
            <w:pPr>
              <w:rPr>
                <w:rFonts w:ascii="Arial"/>
                <w:sz w:val="21"/>
                <w:highlight w:val="none"/>
              </w:rPr>
            </w:pPr>
          </w:p>
        </w:tc>
        <w:tc>
          <w:tcPr>
            <w:tcW w:w="1328" w:type="dxa"/>
            <w:vAlign w:val="top"/>
          </w:tcPr>
          <w:p w14:paraId="42355D53">
            <w:pPr>
              <w:rPr>
                <w:rFonts w:ascii="Arial"/>
                <w:sz w:val="21"/>
                <w:highlight w:val="none"/>
              </w:rPr>
            </w:pPr>
          </w:p>
        </w:tc>
        <w:tc>
          <w:tcPr>
            <w:tcW w:w="1803" w:type="dxa"/>
            <w:vAlign w:val="top"/>
          </w:tcPr>
          <w:p w14:paraId="692189A3">
            <w:pPr>
              <w:rPr>
                <w:rFonts w:ascii="Arial"/>
                <w:sz w:val="21"/>
                <w:highlight w:val="none"/>
              </w:rPr>
            </w:pPr>
          </w:p>
        </w:tc>
      </w:tr>
      <w:tr w14:paraId="511B3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54" w:type="dxa"/>
            <w:vAlign w:val="top"/>
          </w:tcPr>
          <w:p w14:paraId="04969D82">
            <w:pPr>
              <w:pStyle w:val="6"/>
              <w:spacing w:before="143"/>
              <w:ind w:left="315"/>
              <w:rPr>
                <w:highlight w:val="none"/>
              </w:rPr>
            </w:pPr>
            <w:r>
              <w:rPr>
                <w:highlight w:val="none"/>
              </w:rPr>
              <w:t>3</w:t>
            </w:r>
          </w:p>
        </w:tc>
        <w:tc>
          <w:tcPr>
            <w:tcW w:w="3196" w:type="dxa"/>
            <w:vAlign w:val="top"/>
          </w:tcPr>
          <w:p w14:paraId="1D5E75D2">
            <w:pPr>
              <w:rPr>
                <w:rFonts w:ascii="Arial"/>
                <w:sz w:val="21"/>
                <w:highlight w:val="none"/>
              </w:rPr>
            </w:pPr>
          </w:p>
        </w:tc>
        <w:tc>
          <w:tcPr>
            <w:tcW w:w="1418" w:type="dxa"/>
            <w:vAlign w:val="top"/>
          </w:tcPr>
          <w:p w14:paraId="3EAE3F08">
            <w:pPr>
              <w:rPr>
                <w:rFonts w:ascii="Arial"/>
                <w:sz w:val="21"/>
                <w:highlight w:val="none"/>
              </w:rPr>
            </w:pPr>
          </w:p>
        </w:tc>
        <w:tc>
          <w:tcPr>
            <w:tcW w:w="1328" w:type="dxa"/>
            <w:vAlign w:val="top"/>
          </w:tcPr>
          <w:p w14:paraId="2610338A">
            <w:pPr>
              <w:rPr>
                <w:rFonts w:ascii="Arial"/>
                <w:sz w:val="21"/>
                <w:highlight w:val="none"/>
              </w:rPr>
            </w:pPr>
          </w:p>
        </w:tc>
        <w:tc>
          <w:tcPr>
            <w:tcW w:w="1803" w:type="dxa"/>
            <w:vAlign w:val="top"/>
          </w:tcPr>
          <w:p w14:paraId="72B03A54">
            <w:pPr>
              <w:rPr>
                <w:rFonts w:ascii="Arial"/>
                <w:sz w:val="21"/>
                <w:highlight w:val="none"/>
              </w:rPr>
            </w:pPr>
          </w:p>
        </w:tc>
      </w:tr>
      <w:tr w14:paraId="2D416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54" w:type="dxa"/>
            <w:vAlign w:val="top"/>
          </w:tcPr>
          <w:p w14:paraId="6C6EBA49">
            <w:pPr>
              <w:pStyle w:val="6"/>
              <w:spacing w:before="144" w:line="241" w:lineRule="auto"/>
              <w:ind w:left="315"/>
              <w:rPr>
                <w:highlight w:val="none"/>
              </w:rPr>
            </w:pPr>
            <w:r>
              <w:rPr>
                <w:highlight w:val="none"/>
              </w:rPr>
              <w:t>4</w:t>
            </w:r>
          </w:p>
        </w:tc>
        <w:tc>
          <w:tcPr>
            <w:tcW w:w="3196" w:type="dxa"/>
            <w:vAlign w:val="top"/>
          </w:tcPr>
          <w:p w14:paraId="2DBFE487">
            <w:pPr>
              <w:rPr>
                <w:rFonts w:ascii="Arial"/>
                <w:sz w:val="21"/>
                <w:highlight w:val="none"/>
              </w:rPr>
            </w:pPr>
          </w:p>
        </w:tc>
        <w:tc>
          <w:tcPr>
            <w:tcW w:w="1418" w:type="dxa"/>
            <w:vAlign w:val="top"/>
          </w:tcPr>
          <w:p w14:paraId="47914DB8">
            <w:pPr>
              <w:rPr>
                <w:rFonts w:ascii="Arial"/>
                <w:sz w:val="21"/>
                <w:highlight w:val="none"/>
              </w:rPr>
            </w:pPr>
          </w:p>
        </w:tc>
        <w:tc>
          <w:tcPr>
            <w:tcW w:w="1328" w:type="dxa"/>
            <w:vAlign w:val="top"/>
          </w:tcPr>
          <w:p w14:paraId="57A2DE8F">
            <w:pPr>
              <w:rPr>
                <w:rFonts w:ascii="Arial"/>
                <w:sz w:val="21"/>
                <w:highlight w:val="none"/>
              </w:rPr>
            </w:pPr>
          </w:p>
        </w:tc>
        <w:tc>
          <w:tcPr>
            <w:tcW w:w="1803" w:type="dxa"/>
            <w:vAlign w:val="top"/>
          </w:tcPr>
          <w:p w14:paraId="1A1E5E6A">
            <w:pPr>
              <w:rPr>
                <w:rFonts w:ascii="Arial"/>
                <w:sz w:val="21"/>
                <w:highlight w:val="none"/>
              </w:rPr>
            </w:pPr>
          </w:p>
        </w:tc>
      </w:tr>
      <w:tr w14:paraId="17362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54" w:type="dxa"/>
            <w:vAlign w:val="top"/>
          </w:tcPr>
          <w:p w14:paraId="61BFD38A">
            <w:pPr>
              <w:pStyle w:val="6"/>
              <w:spacing w:before="145"/>
              <w:ind w:left="315"/>
              <w:rPr>
                <w:highlight w:val="none"/>
              </w:rPr>
            </w:pPr>
            <w:r>
              <w:rPr>
                <w:highlight w:val="none"/>
              </w:rPr>
              <w:t>5</w:t>
            </w:r>
          </w:p>
        </w:tc>
        <w:tc>
          <w:tcPr>
            <w:tcW w:w="3196" w:type="dxa"/>
            <w:vAlign w:val="top"/>
          </w:tcPr>
          <w:p w14:paraId="44E97FE5">
            <w:pPr>
              <w:rPr>
                <w:rFonts w:ascii="Arial"/>
                <w:sz w:val="21"/>
                <w:highlight w:val="none"/>
              </w:rPr>
            </w:pPr>
          </w:p>
        </w:tc>
        <w:tc>
          <w:tcPr>
            <w:tcW w:w="1418" w:type="dxa"/>
            <w:vAlign w:val="top"/>
          </w:tcPr>
          <w:p w14:paraId="66C9AA39">
            <w:pPr>
              <w:rPr>
                <w:rFonts w:ascii="Arial"/>
                <w:sz w:val="21"/>
                <w:highlight w:val="none"/>
              </w:rPr>
            </w:pPr>
          </w:p>
        </w:tc>
        <w:tc>
          <w:tcPr>
            <w:tcW w:w="1328" w:type="dxa"/>
            <w:vAlign w:val="top"/>
          </w:tcPr>
          <w:p w14:paraId="6EA5154A">
            <w:pPr>
              <w:rPr>
                <w:rFonts w:ascii="Arial"/>
                <w:sz w:val="21"/>
                <w:highlight w:val="none"/>
              </w:rPr>
            </w:pPr>
          </w:p>
        </w:tc>
        <w:tc>
          <w:tcPr>
            <w:tcW w:w="1803" w:type="dxa"/>
            <w:vAlign w:val="top"/>
          </w:tcPr>
          <w:p w14:paraId="4C482BC8">
            <w:pPr>
              <w:rPr>
                <w:rFonts w:ascii="Arial"/>
                <w:sz w:val="21"/>
                <w:highlight w:val="none"/>
              </w:rPr>
            </w:pPr>
          </w:p>
        </w:tc>
      </w:tr>
      <w:tr w14:paraId="3A784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54" w:type="dxa"/>
            <w:vAlign w:val="top"/>
          </w:tcPr>
          <w:p w14:paraId="66D532C7">
            <w:pPr>
              <w:pStyle w:val="6"/>
              <w:spacing w:before="146"/>
              <w:ind w:left="315"/>
              <w:rPr>
                <w:highlight w:val="none"/>
              </w:rPr>
            </w:pPr>
            <w:r>
              <w:rPr>
                <w:highlight w:val="none"/>
              </w:rPr>
              <w:t>6</w:t>
            </w:r>
          </w:p>
        </w:tc>
        <w:tc>
          <w:tcPr>
            <w:tcW w:w="3196" w:type="dxa"/>
            <w:vAlign w:val="top"/>
          </w:tcPr>
          <w:p w14:paraId="28EB93D7">
            <w:pPr>
              <w:rPr>
                <w:rFonts w:ascii="Arial"/>
                <w:sz w:val="21"/>
                <w:highlight w:val="none"/>
              </w:rPr>
            </w:pPr>
          </w:p>
        </w:tc>
        <w:tc>
          <w:tcPr>
            <w:tcW w:w="1418" w:type="dxa"/>
            <w:vAlign w:val="top"/>
          </w:tcPr>
          <w:p w14:paraId="782B8B8D">
            <w:pPr>
              <w:rPr>
                <w:rFonts w:ascii="Arial"/>
                <w:sz w:val="21"/>
                <w:highlight w:val="none"/>
              </w:rPr>
            </w:pPr>
          </w:p>
        </w:tc>
        <w:tc>
          <w:tcPr>
            <w:tcW w:w="1328" w:type="dxa"/>
            <w:vAlign w:val="top"/>
          </w:tcPr>
          <w:p w14:paraId="3A2F481E">
            <w:pPr>
              <w:rPr>
                <w:rFonts w:ascii="Arial"/>
                <w:sz w:val="21"/>
                <w:highlight w:val="none"/>
              </w:rPr>
            </w:pPr>
          </w:p>
        </w:tc>
        <w:tc>
          <w:tcPr>
            <w:tcW w:w="1803" w:type="dxa"/>
            <w:vAlign w:val="top"/>
          </w:tcPr>
          <w:p w14:paraId="00683040">
            <w:pPr>
              <w:rPr>
                <w:rFonts w:ascii="Arial"/>
                <w:sz w:val="21"/>
                <w:highlight w:val="none"/>
              </w:rPr>
            </w:pPr>
          </w:p>
        </w:tc>
      </w:tr>
      <w:tr w14:paraId="49377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754" w:type="dxa"/>
            <w:vAlign w:val="top"/>
          </w:tcPr>
          <w:p w14:paraId="5D2E0E9C">
            <w:pPr>
              <w:rPr>
                <w:rFonts w:ascii="Arial"/>
                <w:sz w:val="21"/>
                <w:highlight w:val="none"/>
              </w:rPr>
            </w:pPr>
          </w:p>
        </w:tc>
        <w:tc>
          <w:tcPr>
            <w:tcW w:w="3196" w:type="dxa"/>
            <w:vAlign w:val="top"/>
          </w:tcPr>
          <w:p w14:paraId="784D900C">
            <w:pPr>
              <w:pStyle w:val="6"/>
              <w:spacing w:before="137" w:line="221" w:lineRule="auto"/>
              <w:ind w:left="1380"/>
              <w:rPr>
                <w:highlight w:val="none"/>
              </w:rPr>
            </w:pPr>
            <w:r>
              <w:rPr>
                <w:spacing w:val="-3"/>
                <w:highlight w:val="none"/>
              </w:rPr>
              <w:t>合计</w:t>
            </w:r>
          </w:p>
        </w:tc>
        <w:tc>
          <w:tcPr>
            <w:tcW w:w="1418" w:type="dxa"/>
            <w:vAlign w:val="top"/>
          </w:tcPr>
          <w:p w14:paraId="30350341">
            <w:pPr>
              <w:rPr>
                <w:rFonts w:ascii="Arial"/>
                <w:sz w:val="21"/>
                <w:highlight w:val="none"/>
              </w:rPr>
            </w:pPr>
          </w:p>
        </w:tc>
        <w:tc>
          <w:tcPr>
            <w:tcW w:w="1328" w:type="dxa"/>
            <w:vAlign w:val="top"/>
          </w:tcPr>
          <w:p w14:paraId="6B800100">
            <w:pPr>
              <w:rPr>
                <w:rFonts w:ascii="Arial"/>
                <w:sz w:val="21"/>
                <w:highlight w:val="none"/>
              </w:rPr>
            </w:pPr>
          </w:p>
        </w:tc>
        <w:tc>
          <w:tcPr>
            <w:tcW w:w="1803" w:type="dxa"/>
            <w:vAlign w:val="top"/>
          </w:tcPr>
          <w:p w14:paraId="6FBBF023">
            <w:pPr>
              <w:rPr>
                <w:rFonts w:ascii="Arial"/>
                <w:sz w:val="21"/>
                <w:highlight w:val="none"/>
              </w:rPr>
            </w:pPr>
          </w:p>
        </w:tc>
      </w:tr>
      <w:tr w14:paraId="739FB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754" w:type="dxa"/>
            <w:vAlign w:val="top"/>
          </w:tcPr>
          <w:p w14:paraId="4357F6EF">
            <w:pPr>
              <w:rPr>
                <w:rFonts w:ascii="Arial"/>
                <w:sz w:val="21"/>
                <w:highlight w:val="none"/>
              </w:rPr>
            </w:pPr>
          </w:p>
        </w:tc>
        <w:tc>
          <w:tcPr>
            <w:tcW w:w="3196" w:type="dxa"/>
            <w:vAlign w:val="top"/>
          </w:tcPr>
          <w:p w14:paraId="2B1C4FD0">
            <w:pPr>
              <w:pStyle w:val="6"/>
              <w:spacing w:before="125" w:line="218" w:lineRule="auto"/>
              <w:ind w:left="430"/>
              <w:rPr>
                <w:highlight w:val="none"/>
              </w:rPr>
            </w:pPr>
            <w:r>
              <w:rPr>
                <w:spacing w:val="3"/>
                <w:highlight w:val="none"/>
              </w:rPr>
              <w:t>本项目合同估算价(万元)</w:t>
            </w:r>
          </w:p>
        </w:tc>
        <w:tc>
          <w:tcPr>
            <w:tcW w:w="2746" w:type="dxa"/>
            <w:gridSpan w:val="2"/>
            <w:vAlign w:val="top"/>
          </w:tcPr>
          <w:p w14:paraId="5B1ACF20">
            <w:pPr>
              <w:rPr>
                <w:rFonts w:ascii="Arial"/>
                <w:sz w:val="21"/>
                <w:highlight w:val="none"/>
              </w:rPr>
            </w:pPr>
          </w:p>
        </w:tc>
        <w:tc>
          <w:tcPr>
            <w:tcW w:w="1803" w:type="dxa"/>
            <w:vAlign w:val="top"/>
          </w:tcPr>
          <w:p w14:paraId="4F2E1AC5">
            <w:pPr>
              <w:rPr>
                <w:rFonts w:ascii="Arial"/>
                <w:sz w:val="21"/>
                <w:highlight w:val="none"/>
              </w:rPr>
            </w:pPr>
          </w:p>
        </w:tc>
      </w:tr>
    </w:tbl>
    <w:p w14:paraId="060A41CA">
      <w:pPr>
        <w:pStyle w:val="2"/>
        <w:spacing w:line="402" w:lineRule="auto"/>
        <w:rPr>
          <w:highlight w:val="none"/>
        </w:rPr>
      </w:pPr>
    </w:p>
    <w:p w14:paraId="26E3D69E">
      <w:pPr>
        <w:spacing w:before="68" w:line="273" w:lineRule="auto"/>
        <w:ind w:left="1054" w:right="91" w:hanging="930"/>
        <w:rPr>
          <w:rFonts w:ascii="宋体" w:hAnsi="宋体" w:eastAsia="宋体" w:cs="宋体"/>
          <w:sz w:val="21"/>
          <w:szCs w:val="21"/>
          <w:highlight w:val="none"/>
        </w:rPr>
      </w:pPr>
      <w:r>
        <w:rPr>
          <w:rFonts w:ascii="宋体" w:hAnsi="宋体" w:eastAsia="宋体" w:cs="宋体"/>
          <w:spacing w:val="3"/>
          <w:sz w:val="21"/>
          <w:szCs w:val="21"/>
          <w:highlight w:val="none"/>
        </w:rPr>
        <w:t>备注：1.政府采购工程采用部分预留专门面向中</w:t>
      </w:r>
      <w:r>
        <w:rPr>
          <w:rFonts w:ascii="宋体" w:hAnsi="宋体" w:eastAsia="宋体" w:cs="宋体"/>
          <w:spacing w:val="2"/>
          <w:sz w:val="21"/>
          <w:szCs w:val="21"/>
          <w:highlight w:val="none"/>
        </w:rPr>
        <w:t>小企业的，项目的主体、关键性工作不允</w:t>
      </w:r>
      <w:r>
        <w:rPr>
          <w:rFonts w:ascii="宋体" w:hAnsi="宋体" w:eastAsia="宋体" w:cs="宋体"/>
          <w:sz w:val="21"/>
          <w:szCs w:val="21"/>
          <w:highlight w:val="none"/>
        </w:rPr>
        <w:t xml:space="preserve"> 许分包，招标人应当明确预留工作、预留工作合同估算价及预留合同估算价与项</w:t>
      </w:r>
      <w:r>
        <w:rPr>
          <w:rFonts w:ascii="宋体" w:hAnsi="宋体" w:eastAsia="宋体" w:cs="宋体"/>
          <w:spacing w:val="11"/>
          <w:sz w:val="21"/>
          <w:szCs w:val="21"/>
          <w:highlight w:val="none"/>
        </w:rPr>
        <w:t xml:space="preserve"> </w:t>
      </w:r>
      <w:r>
        <w:rPr>
          <w:rFonts w:ascii="宋体" w:hAnsi="宋体" w:eastAsia="宋体" w:cs="宋体"/>
          <w:spacing w:val="-5"/>
          <w:sz w:val="21"/>
          <w:szCs w:val="21"/>
          <w:highlight w:val="none"/>
        </w:rPr>
        <w:t>目合同估算价的占比。</w:t>
      </w:r>
    </w:p>
    <w:p w14:paraId="6CB91DE2">
      <w:pPr>
        <w:spacing w:before="8" w:line="269" w:lineRule="auto"/>
        <w:ind w:left="1054" w:right="48" w:hanging="320"/>
        <w:rPr>
          <w:rFonts w:ascii="宋体" w:hAnsi="宋体" w:eastAsia="宋体" w:cs="宋体"/>
          <w:sz w:val="21"/>
          <w:szCs w:val="21"/>
          <w:highlight w:val="none"/>
        </w:rPr>
      </w:pPr>
      <w:r>
        <w:rPr>
          <w:rFonts w:ascii="Times New Roman" w:hAnsi="Times New Roman" w:eastAsia="Times New Roman" w:cs="Times New Roman"/>
          <w:spacing w:val="-8"/>
          <w:sz w:val="21"/>
          <w:szCs w:val="21"/>
          <w:highlight w:val="none"/>
        </w:rPr>
        <w:t>2.</w:t>
      </w:r>
      <w:r>
        <w:rPr>
          <w:rFonts w:ascii="Times New Roman" w:hAnsi="Times New Roman" w:eastAsia="Times New Roman" w:cs="Times New Roman"/>
          <w:spacing w:val="11"/>
          <w:sz w:val="21"/>
          <w:szCs w:val="21"/>
          <w:highlight w:val="none"/>
        </w:rPr>
        <w:t xml:space="preserve">  </w:t>
      </w:r>
      <w:r>
        <w:rPr>
          <w:rFonts w:ascii="宋体" w:hAnsi="宋体" w:eastAsia="宋体" w:cs="宋体"/>
          <w:spacing w:val="-8"/>
          <w:sz w:val="21"/>
          <w:szCs w:val="21"/>
          <w:highlight w:val="none"/>
        </w:rPr>
        <w:t>招标人部分预留专门面向中小企业时，应根据</w:t>
      </w:r>
      <w:r>
        <w:rPr>
          <w:rFonts w:ascii="宋体" w:hAnsi="宋体" w:eastAsia="宋体" w:cs="宋体"/>
          <w:spacing w:val="-9"/>
          <w:sz w:val="21"/>
          <w:szCs w:val="21"/>
          <w:highlight w:val="none"/>
        </w:rPr>
        <w:t>项目的实际情况，结合《建筑法》《招</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标投标法》《建筑业企业资质标准》《政府采购</w:t>
      </w:r>
      <w:r>
        <w:rPr>
          <w:rFonts w:ascii="宋体" w:hAnsi="宋体" w:eastAsia="宋体" w:cs="宋体"/>
          <w:spacing w:val="-6"/>
          <w:sz w:val="21"/>
          <w:szCs w:val="21"/>
          <w:highlight w:val="none"/>
        </w:rPr>
        <w:t>促进中小企业发展管理办法》的相</w:t>
      </w:r>
      <w:r>
        <w:rPr>
          <w:rFonts w:ascii="宋体" w:hAnsi="宋体" w:eastAsia="宋体" w:cs="宋体"/>
          <w:sz w:val="21"/>
          <w:szCs w:val="21"/>
          <w:highlight w:val="none"/>
        </w:rPr>
        <w:t xml:space="preserve"> 关规定，合理设置政府采购特别资格要求，充分考虑预留工作与要求以联合体形</w:t>
      </w:r>
      <w:r>
        <w:rPr>
          <w:rFonts w:ascii="宋体" w:hAnsi="宋体" w:eastAsia="宋体" w:cs="宋体"/>
          <w:spacing w:val="9"/>
          <w:sz w:val="21"/>
          <w:szCs w:val="21"/>
          <w:highlight w:val="none"/>
        </w:rPr>
        <w:t xml:space="preserve"> </w:t>
      </w:r>
      <w:r>
        <w:rPr>
          <w:rFonts w:ascii="宋体" w:hAnsi="宋体" w:eastAsia="宋体" w:cs="宋体"/>
          <w:sz w:val="21"/>
          <w:szCs w:val="21"/>
          <w:highlight w:val="none"/>
        </w:rPr>
        <w:t>式参加或者要求进行合同分包的适配性，以及联合协议或者分包意向协议中中小</w:t>
      </w:r>
      <w:r>
        <w:rPr>
          <w:rFonts w:ascii="宋体" w:hAnsi="宋体" w:eastAsia="宋体" w:cs="宋体"/>
          <w:spacing w:val="16"/>
          <w:sz w:val="21"/>
          <w:szCs w:val="21"/>
          <w:highlight w:val="none"/>
        </w:rPr>
        <w:t xml:space="preserve"> </w:t>
      </w:r>
      <w:r>
        <w:rPr>
          <w:rFonts w:ascii="宋体" w:hAnsi="宋体" w:eastAsia="宋体" w:cs="宋体"/>
          <w:spacing w:val="-1"/>
          <w:sz w:val="21"/>
          <w:szCs w:val="21"/>
          <w:highlight w:val="none"/>
        </w:rPr>
        <w:t>企业合同金额应当达到的比例的适配性。</w:t>
      </w:r>
    </w:p>
    <w:p w14:paraId="2DF9F2E2">
      <w:pPr>
        <w:spacing w:before="49" w:line="253" w:lineRule="auto"/>
        <w:ind w:left="1054" w:right="94" w:hanging="3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3.  </w:t>
      </w:r>
      <w:r>
        <w:rPr>
          <w:rFonts w:ascii="宋体" w:hAnsi="宋体" w:eastAsia="宋体" w:cs="宋体"/>
          <w:spacing w:val="-7"/>
          <w:sz w:val="22"/>
          <w:szCs w:val="22"/>
          <w:highlight w:val="none"/>
        </w:rPr>
        <w:t>预留工作中包含专业工程暂估价的，则在备注栏中</w:t>
      </w:r>
      <w:r>
        <w:rPr>
          <w:rFonts w:ascii="宋体" w:hAnsi="宋体" w:eastAsia="宋体" w:cs="宋体"/>
          <w:spacing w:val="-8"/>
          <w:sz w:val="22"/>
          <w:szCs w:val="22"/>
          <w:highlight w:val="none"/>
        </w:rPr>
        <w:t>标注采用工程招标或政府采购</w:t>
      </w:r>
      <w:r>
        <w:rPr>
          <w:rFonts w:ascii="宋体" w:hAnsi="宋体" w:eastAsia="宋体" w:cs="宋体"/>
          <w:sz w:val="22"/>
          <w:szCs w:val="22"/>
          <w:highlight w:val="none"/>
        </w:rPr>
        <w:t xml:space="preserve"> </w:t>
      </w:r>
      <w:r>
        <w:rPr>
          <w:rFonts w:ascii="宋体" w:hAnsi="宋体" w:eastAsia="宋体" w:cs="宋体"/>
          <w:spacing w:val="3"/>
          <w:sz w:val="22"/>
          <w:szCs w:val="22"/>
          <w:highlight w:val="none"/>
        </w:rPr>
        <w:t>方式专门面向中小(小微)企业。</w:t>
      </w:r>
    </w:p>
    <w:p w14:paraId="1DD98642">
      <w:pPr>
        <w:spacing w:line="253" w:lineRule="auto"/>
        <w:rPr>
          <w:rFonts w:ascii="宋体" w:hAnsi="宋体" w:eastAsia="宋体" w:cs="宋体"/>
          <w:sz w:val="22"/>
          <w:szCs w:val="22"/>
          <w:highlight w:val="none"/>
        </w:rPr>
        <w:sectPr>
          <w:footerReference r:id="rId44" w:type="default"/>
          <w:pgSz w:w="11910" w:h="16840"/>
          <w:pgMar w:top="400" w:right="1725" w:bottom="1217" w:left="1675" w:header="0" w:footer="1013" w:gutter="0"/>
          <w:cols w:space="720" w:num="1"/>
        </w:sectPr>
      </w:pPr>
    </w:p>
    <w:p w14:paraId="2A1F0CEA">
      <w:pPr>
        <w:pStyle w:val="2"/>
        <w:spacing w:line="268" w:lineRule="auto"/>
        <w:rPr>
          <w:highlight w:val="none"/>
        </w:rPr>
      </w:pPr>
    </w:p>
    <w:p w14:paraId="1EC2BF1D">
      <w:pPr>
        <w:pStyle w:val="2"/>
        <w:spacing w:line="268" w:lineRule="auto"/>
        <w:rPr>
          <w:highlight w:val="none"/>
        </w:rPr>
      </w:pPr>
    </w:p>
    <w:p w14:paraId="644B713E">
      <w:pPr>
        <w:pStyle w:val="2"/>
        <w:spacing w:line="268" w:lineRule="auto"/>
        <w:rPr>
          <w:highlight w:val="none"/>
        </w:rPr>
      </w:pPr>
    </w:p>
    <w:p w14:paraId="15C4B752">
      <w:pPr>
        <w:pStyle w:val="2"/>
        <w:spacing w:line="269" w:lineRule="auto"/>
        <w:rPr>
          <w:highlight w:val="none"/>
        </w:rPr>
      </w:pPr>
    </w:p>
    <w:p w14:paraId="3E996558">
      <w:pPr>
        <w:pStyle w:val="2"/>
        <w:spacing w:line="269" w:lineRule="auto"/>
        <w:rPr>
          <w:highlight w:val="none"/>
        </w:rPr>
      </w:pPr>
    </w:p>
    <w:p w14:paraId="74E58769">
      <w:pPr>
        <w:spacing w:before="78" w:line="222" w:lineRule="auto"/>
        <w:ind w:left="114"/>
        <w:outlineLvl w:val="1"/>
        <w:rPr>
          <w:rFonts w:ascii="黑体" w:hAnsi="黑体" w:eastAsia="黑体" w:cs="黑体"/>
          <w:sz w:val="24"/>
          <w:szCs w:val="24"/>
          <w:highlight w:val="none"/>
        </w:rPr>
      </w:pPr>
      <w:bookmarkStart w:id="41" w:name="bookmark207"/>
      <w:bookmarkEnd w:id="41"/>
      <w:bookmarkStart w:id="42" w:name="bookmark17"/>
      <w:bookmarkEnd w:id="42"/>
      <w:r>
        <w:rPr>
          <w:rFonts w:ascii="黑体" w:hAnsi="黑体" w:eastAsia="黑体" w:cs="黑体"/>
          <w:spacing w:val="-1"/>
          <w:sz w:val="24"/>
          <w:szCs w:val="24"/>
          <w:highlight w:val="none"/>
        </w:rPr>
        <w:t>附录三：政府采购工程适合小微企业承担的工作及金额</w:t>
      </w:r>
    </w:p>
    <w:p w14:paraId="23A527E3">
      <w:pPr>
        <w:spacing w:before="176"/>
        <w:rPr>
          <w:highlight w:val="none"/>
        </w:rPr>
      </w:pPr>
    </w:p>
    <w:tbl>
      <w:tblPr>
        <w:tblStyle w:val="5"/>
        <w:tblW w:w="84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3196"/>
        <w:gridCol w:w="1418"/>
        <w:gridCol w:w="1338"/>
        <w:gridCol w:w="1793"/>
      </w:tblGrid>
      <w:tr w14:paraId="2A9C3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2" w:hRule="atLeast"/>
        </w:trPr>
        <w:tc>
          <w:tcPr>
            <w:tcW w:w="754" w:type="dxa"/>
            <w:vAlign w:val="top"/>
          </w:tcPr>
          <w:p w14:paraId="2916C8C6">
            <w:pPr>
              <w:spacing w:line="414" w:lineRule="auto"/>
              <w:rPr>
                <w:rFonts w:ascii="Arial"/>
                <w:sz w:val="21"/>
                <w:highlight w:val="none"/>
              </w:rPr>
            </w:pPr>
          </w:p>
          <w:p w14:paraId="2C4F93C0">
            <w:pPr>
              <w:pStyle w:val="6"/>
              <w:spacing w:before="68" w:line="221" w:lineRule="auto"/>
              <w:ind w:left="154"/>
              <w:rPr>
                <w:highlight w:val="none"/>
              </w:rPr>
            </w:pPr>
            <w:r>
              <w:rPr>
                <w:spacing w:val="6"/>
                <w:highlight w:val="none"/>
              </w:rPr>
              <w:t>序号</w:t>
            </w:r>
          </w:p>
        </w:tc>
        <w:tc>
          <w:tcPr>
            <w:tcW w:w="3196" w:type="dxa"/>
            <w:vAlign w:val="top"/>
          </w:tcPr>
          <w:p w14:paraId="48CDC1D9">
            <w:pPr>
              <w:spacing w:line="413" w:lineRule="auto"/>
              <w:rPr>
                <w:rFonts w:ascii="Arial"/>
                <w:sz w:val="21"/>
                <w:highlight w:val="none"/>
              </w:rPr>
            </w:pPr>
          </w:p>
          <w:p w14:paraId="792A9858">
            <w:pPr>
              <w:pStyle w:val="6"/>
              <w:spacing w:before="68" w:line="219" w:lineRule="auto"/>
              <w:ind w:left="750"/>
              <w:rPr>
                <w:highlight w:val="none"/>
              </w:rPr>
            </w:pPr>
            <w:r>
              <w:rPr>
                <w:spacing w:val="-1"/>
                <w:highlight w:val="none"/>
              </w:rPr>
              <w:t>适合工作内容名称</w:t>
            </w:r>
          </w:p>
        </w:tc>
        <w:tc>
          <w:tcPr>
            <w:tcW w:w="1418" w:type="dxa"/>
            <w:vAlign w:val="top"/>
          </w:tcPr>
          <w:p w14:paraId="1ADD7DB4">
            <w:pPr>
              <w:pStyle w:val="6"/>
              <w:spacing w:before="74" w:line="220" w:lineRule="auto"/>
              <w:ind w:left="284"/>
              <w:rPr>
                <w:highlight w:val="none"/>
              </w:rPr>
            </w:pPr>
            <w:r>
              <w:rPr>
                <w:spacing w:val="3"/>
                <w:highlight w:val="none"/>
              </w:rPr>
              <w:t>适合工作</w:t>
            </w:r>
          </w:p>
          <w:p w14:paraId="55C74BCE">
            <w:pPr>
              <w:pStyle w:val="6"/>
              <w:spacing w:before="157" w:line="218" w:lineRule="auto"/>
              <w:ind w:left="175"/>
              <w:rPr>
                <w:highlight w:val="none"/>
              </w:rPr>
            </w:pPr>
            <w:r>
              <w:rPr>
                <w:spacing w:val="-2"/>
                <w:highlight w:val="none"/>
              </w:rPr>
              <w:t>合同估算价</w:t>
            </w:r>
          </w:p>
          <w:p w14:paraId="0AF37E5C">
            <w:pPr>
              <w:pStyle w:val="6"/>
              <w:spacing w:before="164" w:line="220" w:lineRule="auto"/>
              <w:ind w:left="385"/>
              <w:rPr>
                <w:highlight w:val="none"/>
              </w:rPr>
            </w:pPr>
            <w:r>
              <w:rPr>
                <w:spacing w:val="11"/>
                <w:highlight w:val="none"/>
              </w:rPr>
              <w:t>(万元)</w:t>
            </w:r>
          </w:p>
        </w:tc>
        <w:tc>
          <w:tcPr>
            <w:tcW w:w="1338" w:type="dxa"/>
            <w:vAlign w:val="top"/>
          </w:tcPr>
          <w:p w14:paraId="7F256DDB">
            <w:pPr>
              <w:pStyle w:val="6"/>
              <w:spacing w:before="63" w:line="322" w:lineRule="auto"/>
              <w:ind w:left="136" w:right="123"/>
              <w:jc w:val="right"/>
              <w:rPr>
                <w:highlight w:val="none"/>
              </w:rPr>
            </w:pPr>
            <w:r>
              <w:rPr>
                <w:spacing w:val="-2"/>
                <w:highlight w:val="none"/>
              </w:rPr>
              <w:t>适合工作合</w:t>
            </w:r>
            <w:r>
              <w:rPr>
                <w:highlight w:val="none"/>
              </w:rPr>
              <w:t xml:space="preserve"> </w:t>
            </w:r>
            <w:r>
              <w:rPr>
                <w:spacing w:val="3"/>
                <w:highlight w:val="none"/>
              </w:rPr>
              <w:t>同估算价占</w:t>
            </w:r>
            <w:r>
              <w:rPr>
                <w:spacing w:val="1"/>
                <w:highlight w:val="none"/>
              </w:rPr>
              <w:t xml:space="preserve"> </w:t>
            </w:r>
            <w:r>
              <w:rPr>
                <w:spacing w:val="-16"/>
                <w:w w:val="97"/>
                <w:highlight w:val="none"/>
              </w:rPr>
              <w:t>比</w:t>
            </w:r>
            <w:r>
              <w:rPr>
                <w:spacing w:val="37"/>
                <w:highlight w:val="none"/>
              </w:rPr>
              <w:t xml:space="preserve"> </w:t>
            </w:r>
            <w:r>
              <w:rPr>
                <w:spacing w:val="-16"/>
                <w:w w:val="97"/>
                <w:highlight w:val="none"/>
              </w:rPr>
              <w:t>(</w:t>
            </w:r>
            <w:r>
              <w:rPr>
                <w:spacing w:val="-5"/>
                <w:highlight w:val="none"/>
              </w:rPr>
              <w:t xml:space="preserve"> </w:t>
            </w:r>
            <w:r>
              <w:rPr>
                <w:spacing w:val="-16"/>
                <w:w w:val="97"/>
                <w:highlight w:val="none"/>
              </w:rPr>
              <w:t>%</w:t>
            </w:r>
            <w:r>
              <w:rPr>
                <w:spacing w:val="1"/>
                <w:highlight w:val="none"/>
              </w:rPr>
              <w:t xml:space="preserve"> </w:t>
            </w:r>
            <w:r>
              <w:rPr>
                <w:spacing w:val="-16"/>
                <w:w w:val="97"/>
                <w:highlight w:val="none"/>
              </w:rPr>
              <w:t>)</w:t>
            </w:r>
          </w:p>
        </w:tc>
        <w:tc>
          <w:tcPr>
            <w:tcW w:w="1793" w:type="dxa"/>
            <w:vAlign w:val="top"/>
          </w:tcPr>
          <w:p w14:paraId="7ACA604A">
            <w:pPr>
              <w:spacing w:line="414" w:lineRule="auto"/>
              <w:rPr>
                <w:rFonts w:ascii="Arial"/>
                <w:sz w:val="21"/>
                <w:highlight w:val="none"/>
              </w:rPr>
            </w:pPr>
          </w:p>
          <w:p w14:paraId="7AD5225C">
            <w:pPr>
              <w:pStyle w:val="6"/>
              <w:spacing w:before="68" w:line="221" w:lineRule="auto"/>
              <w:ind w:left="708"/>
              <w:rPr>
                <w:highlight w:val="none"/>
              </w:rPr>
            </w:pPr>
            <w:r>
              <w:rPr>
                <w:spacing w:val="5"/>
                <w:highlight w:val="none"/>
              </w:rPr>
              <w:t>备注</w:t>
            </w:r>
          </w:p>
        </w:tc>
      </w:tr>
      <w:tr w14:paraId="3545D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754" w:type="dxa"/>
            <w:vAlign w:val="top"/>
          </w:tcPr>
          <w:p w14:paraId="11B1EE9D">
            <w:pPr>
              <w:pStyle w:val="6"/>
              <w:spacing w:before="162" w:line="241" w:lineRule="auto"/>
              <w:ind w:left="315"/>
              <w:rPr>
                <w:highlight w:val="none"/>
              </w:rPr>
            </w:pPr>
            <w:r>
              <w:rPr>
                <w:highlight w:val="none"/>
              </w:rPr>
              <w:t>1</w:t>
            </w:r>
          </w:p>
        </w:tc>
        <w:tc>
          <w:tcPr>
            <w:tcW w:w="3196" w:type="dxa"/>
            <w:vAlign w:val="top"/>
          </w:tcPr>
          <w:p w14:paraId="763BFC0B">
            <w:pPr>
              <w:rPr>
                <w:rFonts w:ascii="Arial"/>
                <w:sz w:val="21"/>
                <w:highlight w:val="none"/>
              </w:rPr>
            </w:pPr>
          </w:p>
        </w:tc>
        <w:tc>
          <w:tcPr>
            <w:tcW w:w="1418" w:type="dxa"/>
            <w:vAlign w:val="top"/>
          </w:tcPr>
          <w:p w14:paraId="0446A5BC">
            <w:pPr>
              <w:rPr>
                <w:rFonts w:ascii="Arial"/>
                <w:sz w:val="21"/>
                <w:highlight w:val="none"/>
              </w:rPr>
            </w:pPr>
          </w:p>
        </w:tc>
        <w:tc>
          <w:tcPr>
            <w:tcW w:w="1338" w:type="dxa"/>
            <w:vAlign w:val="top"/>
          </w:tcPr>
          <w:p w14:paraId="53AC4301">
            <w:pPr>
              <w:rPr>
                <w:rFonts w:ascii="Arial"/>
                <w:sz w:val="21"/>
                <w:highlight w:val="none"/>
              </w:rPr>
            </w:pPr>
          </w:p>
        </w:tc>
        <w:tc>
          <w:tcPr>
            <w:tcW w:w="1793" w:type="dxa"/>
            <w:vAlign w:val="top"/>
          </w:tcPr>
          <w:p w14:paraId="6A50C094">
            <w:pPr>
              <w:rPr>
                <w:rFonts w:ascii="Arial"/>
                <w:sz w:val="21"/>
                <w:highlight w:val="none"/>
              </w:rPr>
            </w:pPr>
          </w:p>
        </w:tc>
      </w:tr>
      <w:tr w14:paraId="03541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54" w:type="dxa"/>
            <w:vAlign w:val="top"/>
          </w:tcPr>
          <w:p w14:paraId="63E3C7D5">
            <w:pPr>
              <w:pStyle w:val="6"/>
              <w:spacing w:before="143" w:line="241" w:lineRule="auto"/>
              <w:ind w:left="315"/>
              <w:rPr>
                <w:highlight w:val="none"/>
              </w:rPr>
            </w:pPr>
            <w:r>
              <w:rPr>
                <w:highlight w:val="none"/>
              </w:rPr>
              <w:t>2</w:t>
            </w:r>
          </w:p>
        </w:tc>
        <w:tc>
          <w:tcPr>
            <w:tcW w:w="3196" w:type="dxa"/>
            <w:vAlign w:val="top"/>
          </w:tcPr>
          <w:p w14:paraId="3480DCAB">
            <w:pPr>
              <w:rPr>
                <w:rFonts w:ascii="Arial"/>
                <w:sz w:val="21"/>
                <w:highlight w:val="none"/>
              </w:rPr>
            </w:pPr>
          </w:p>
        </w:tc>
        <w:tc>
          <w:tcPr>
            <w:tcW w:w="1418" w:type="dxa"/>
            <w:vAlign w:val="top"/>
          </w:tcPr>
          <w:p w14:paraId="540EB996">
            <w:pPr>
              <w:rPr>
                <w:rFonts w:ascii="Arial"/>
                <w:sz w:val="21"/>
                <w:highlight w:val="none"/>
              </w:rPr>
            </w:pPr>
          </w:p>
        </w:tc>
        <w:tc>
          <w:tcPr>
            <w:tcW w:w="1338" w:type="dxa"/>
            <w:vAlign w:val="top"/>
          </w:tcPr>
          <w:p w14:paraId="0D053C80">
            <w:pPr>
              <w:rPr>
                <w:rFonts w:ascii="Arial"/>
                <w:sz w:val="21"/>
                <w:highlight w:val="none"/>
              </w:rPr>
            </w:pPr>
          </w:p>
        </w:tc>
        <w:tc>
          <w:tcPr>
            <w:tcW w:w="1793" w:type="dxa"/>
            <w:vAlign w:val="top"/>
          </w:tcPr>
          <w:p w14:paraId="5F4EFDFB">
            <w:pPr>
              <w:rPr>
                <w:rFonts w:ascii="Arial"/>
                <w:sz w:val="21"/>
                <w:highlight w:val="none"/>
              </w:rPr>
            </w:pPr>
          </w:p>
        </w:tc>
      </w:tr>
      <w:tr w14:paraId="0C950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54" w:type="dxa"/>
            <w:vAlign w:val="top"/>
          </w:tcPr>
          <w:p w14:paraId="1ADB5D31">
            <w:pPr>
              <w:pStyle w:val="6"/>
              <w:spacing w:before="144"/>
              <w:ind w:left="315"/>
              <w:rPr>
                <w:highlight w:val="none"/>
              </w:rPr>
            </w:pPr>
            <w:r>
              <w:rPr>
                <w:highlight w:val="none"/>
              </w:rPr>
              <w:t>3</w:t>
            </w:r>
          </w:p>
        </w:tc>
        <w:tc>
          <w:tcPr>
            <w:tcW w:w="3196" w:type="dxa"/>
            <w:vAlign w:val="top"/>
          </w:tcPr>
          <w:p w14:paraId="02EEDE60">
            <w:pPr>
              <w:rPr>
                <w:rFonts w:ascii="Arial"/>
                <w:sz w:val="21"/>
                <w:highlight w:val="none"/>
              </w:rPr>
            </w:pPr>
          </w:p>
        </w:tc>
        <w:tc>
          <w:tcPr>
            <w:tcW w:w="1418" w:type="dxa"/>
            <w:vAlign w:val="top"/>
          </w:tcPr>
          <w:p w14:paraId="3903271F">
            <w:pPr>
              <w:rPr>
                <w:rFonts w:ascii="Arial"/>
                <w:sz w:val="21"/>
                <w:highlight w:val="none"/>
              </w:rPr>
            </w:pPr>
          </w:p>
        </w:tc>
        <w:tc>
          <w:tcPr>
            <w:tcW w:w="1338" w:type="dxa"/>
            <w:vAlign w:val="top"/>
          </w:tcPr>
          <w:p w14:paraId="4CB3B7B3">
            <w:pPr>
              <w:rPr>
                <w:rFonts w:ascii="Arial"/>
                <w:sz w:val="21"/>
                <w:highlight w:val="none"/>
              </w:rPr>
            </w:pPr>
          </w:p>
        </w:tc>
        <w:tc>
          <w:tcPr>
            <w:tcW w:w="1793" w:type="dxa"/>
            <w:vAlign w:val="top"/>
          </w:tcPr>
          <w:p w14:paraId="48BAF116">
            <w:pPr>
              <w:rPr>
                <w:rFonts w:ascii="Arial"/>
                <w:sz w:val="21"/>
                <w:highlight w:val="none"/>
              </w:rPr>
            </w:pPr>
          </w:p>
        </w:tc>
      </w:tr>
      <w:tr w14:paraId="0FB1D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754" w:type="dxa"/>
            <w:vAlign w:val="top"/>
          </w:tcPr>
          <w:p w14:paraId="0DC5E449">
            <w:pPr>
              <w:pStyle w:val="6"/>
              <w:spacing w:before="155" w:line="241" w:lineRule="auto"/>
              <w:ind w:left="315"/>
              <w:rPr>
                <w:highlight w:val="none"/>
              </w:rPr>
            </w:pPr>
            <w:r>
              <w:rPr>
                <w:highlight w:val="none"/>
              </w:rPr>
              <w:t>4</w:t>
            </w:r>
          </w:p>
        </w:tc>
        <w:tc>
          <w:tcPr>
            <w:tcW w:w="3196" w:type="dxa"/>
            <w:vAlign w:val="top"/>
          </w:tcPr>
          <w:p w14:paraId="00052302">
            <w:pPr>
              <w:rPr>
                <w:rFonts w:ascii="Arial"/>
                <w:sz w:val="21"/>
                <w:highlight w:val="none"/>
              </w:rPr>
            </w:pPr>
          </w:p>
        </w:tc>
        <w:tc>
          <w:tcPr>
            <w:tcW w:w="1418" w:type="dxa"/>
            <w:vAlign w:val="top"/>
          </w:tcPr>
          <w:p w14:paraId="60F0D440">
            <w:pPr>
              <w:rPr>
                <w:rFonts w:ascii="Arial"/>
                <w:sz w:val="21"/>
                <w:highlight w:val="none"/>
              </w:rPr>
            </w:pPr>
          </w:p>
        </w:tc>
        <w:tc>
          <w:tcPr>
            <w:tcW w:w="1338" w:type="dxa"/>
            <w:vAlign w:val="top"/>
          </w:tcPr>
          <w:p w14:paraId="0F39987A">
            <w:pPr>
              <w:rPr>
                <w:rFonts w:ascii="Arial"/>
                <w:sz w:val="21"/>
                <w:highlight w:val="none"/>
              </w:rPr>
            </w:pPr>
          </w:p>
        </w:tc>
        <w:tc>
          <w:tcPr>
            <w:tcW w:w="1793" w:type="dxa"/>
            <w:vAlign w:val="top"/>
          </w:tcPr>
          <w:p w14:paraId="3EDACBD5">
            <w:pPr>
              <w:rPr>
                <w:rFonts w:ascii="Arial"/>
                <w:sz w:val="21"/>
                <w:highlight w:val="none"/>
              </w:rPr>
            </w:pPr>
          </w:p>
        </w:tc>
      </w:tr>
      <w:tr w14:paraId="3E22B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54" w:type="dxa"/>
            <w:vAlign w:val="top"/>
          </w:tcPr>
          <w:p w14:paraId="74231683">
            <w:pPr>
              <w:pStyle w:val="6"/>
              <w:spacing w:before="146"/>
              <w:ind w:left="315"/>
              <w:rPr>
                <w:highlight w:val="none"/>
              </w:rPr>
            </w:pPr>
            <w:r>
              <w:rPr>
                <w:highlight w:val="none"/>
              </w:rPr>
              <w:t>5</w:t>
            </w:r>
          </w:p>
        </w:tc>
        <w:tc>
          <w:tcPr>
            <w:tcW w:w="3196" w:type="dxa"/>
            <w:vAlign w:val="top"/>
          </w:tcPr>
          <w:p w14:paraId="2E6EF3F3">
            <w:pPr>
              <w:rPr>
                <w:rFonts w:ascii="Arial"/>
                <w:sz w:val="21"/>
                <w:highlight w:val="none"/>
              </w:rPr>
            </w:pPr>
          </w:p>
        </w:tc>
        <w:tc>
          <w:tcPr>
            <w:tcW w:w="1418" w:type="dxa"/>
            <w:vAlign w:val="top"/>
          </w:tcPr>
          <w:p w14:paraId="55613C32">
            <w:pPr>
              <w:rPr>
                <w:rFonts w:ascii="Arial"/>
                <w:sz w:val="21"/>
                <w:highlight w:val="none"/>
              </w:rPr>
            </w:pPr>
          </w:p>
        </w:tc>
        <w:tc>
          <w:tcPr>
            <w:tcW w:w="1338" w:type="dxa"/>
            <w:vAlign w:val="top"/>
          </w:tcPr>
          <w:p w14:paraId="06E61566">
            <w:pPr>
              <w:rPr>
                <w:rFonts w:ascii="Arial"/>
                <w:sz w:val="21"/>
                <w:highlight w:val="none"/>
              </w:rPr>
            </w:pPr>
          </w:p>
        </w:tc>
        <w:tc>
          <w:tcPr>
            <w:tcW w:w="1793" w:type="dxa"/>
            <w:vAlign w:val="top"/>
          </w:tcPr>
          <w:p w14:paraId="1137A47C">
            <w:pPr>
              <w:rPr>
                <w:rFonts w:ascii="Arial"/>
                <w:sz w:val="21"/>
                <w:highlight w:val="none"/>
              </w:rPr>
            </w:pPr>
          </w:p>
        </w:tc>
      </w:tr>
      <w:tr w14:paraId="0AA1E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754" w:type="dxa"/>
            <w:vAlign w:val="top"/>
          </w:tcPr>
          <w:p w14:paraId="7041BD15">
            <w:pPr>
              <w:pStyle w:val="6"/>
              <w:spacing w:before="147"/>
              <w:ind w:left="315"/>
              <w:rPr>
                <w:highlight w:val="none"/>
              </w:rPr>
            </w:pPr>
            <w:r>
              <w:rPr>
                <w:highlight w:val="none"/>
              </w:rPr>
              <w:t>6</w:t>
            </w:r>
          </w:p>
        </w:tc>
        <w:tc>
          <w:tcPr>
            <w:tcW w:w="3196" w:type="dxa"/>
            <w:vAlign w:val="top"/>
          </w:tcPr>
          <w:p w14:paraId="52736253">
            <w:pPr>
              <w:rPr>
                <w:rFonts w:ascii="Arial"/>
                <w:sz w:val="21"/>
                <w:highlight w:val="none"/>
              </w:rPr>
            </w:pPr>
          </w:p>
        </w:tc>
        <w:tc>
          <w:tcPr>
            <w:tcW w:w="1418" w:type="dxa"/>
            <w:vAlign w:val="top"/>
          </w:tcPr>
          <w:p w14:paraId="511505FE">
            <w:pPr>
              <w:rPr>
                <w:rFonts w:ascii="Arial"/>
                <w:sz w:val="21"/>
                <w:highlight w:val="none"/>
              </w:rPr>
            </w:pPr>
          </w:p>
        </w:tc>
        <w:tc>
          <w:tcPr>
            <w:tcW w:w="1338" w:type="dxa"/>
            <w:vAlign w:val="top"/>
          </w:tcPr>
          <w:p w14:paraId="53FC8997">
            <w:pPr>
              <w:rPr>
                <w:rFonts w:ascii="Arial"/>
                <w:sz w:val="21"/>
                <w:highlight w:val="none"/>
              </w:rPr>
            </w:pPr>
          </w:p>
        </w:tc>
        <w:tc>
          <w:tcPr>
            <w:tcW w:w="1793" w:type="dxa"/>
            <w:vAlign w:val="top"/>
          </w:tcPr>
          <w:p w14:paraId="32456917">
            <w:pPr>
              <w:rPr>
                <w:rFonts w:ascii="Arial"/>
                <w:sz w:val="21"/>
                <w:highlight w:val="none"/>
              </w:rPr>
            </w:pPr>
          </w:p>
        </w:tc>
      </w:tr>
      <w:tr w14:paraId="0E273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754" w:type="dxa"/>
            <w:vAlign w:val="top"/>
          </w:tcPr>
          <w:p w14:paraId="04E1214F">
            <w:pPr>
              <w:rPr>
                <w:rFonts w:ascii="Arial"/>
                <w:sz w:val="21"/>
                <w:highlight w:val="none"/>
              </w:rPr>
            </w:pPr>
          </w:p>
        </w:tc>
        <w:tc>
          <w:tcPr>
            <w:tcW w:w="3196" w:type="dxa"/>
            <w:vAlign w:val="top"/>
          </w:tcPr>
          <w:p w14:paraId="4CCECE85">
            <w:pPr>
              <w:pStyle w:val="6"/>
              <w:spacing w:before="138" w:line="221" w:lineRule="auto"/>
              <w:ind w:left="1380"/>
              <w:rPr>
                <w:highlight w:val="none"/>
              </w:rPr>
            </w:pPr>
            <w:r>
              <w:rPr>
                <w:spacing w:val="-3"/>
                <w:highlight w:val="none"/>
              </w:rPr>
              <w:t>合计</w:t>
            </w:r>
          </w:p>
        </w:tc>
        <w:tc>
          <w:tcPr>
            <w:tcW w:w="1418" w:type="dxa"/>
            <w:vAlign w:val="top"/>
          </w:tcPr>
          <w:p w14:paraId="1B3A079D">
            <w:pPr>
              <w:rPr>
                <w:rFonts w:ascii="Arial"/>
                <w:sz w:val="21"/>
                <w:highlight w:val="none"/>
              </w:rPr>
            </w:pPr>
          </w:p>
        </w:tc>
        <w:tc>
          <w:tcPr>
            <w:tcW w:w="1338" w:type="dxa"/>
            <w:vAlign w:val="top"/>
          </w:tcPr>
          <w:p w14:paraId="71CCF0E4">
            <w:pPr>
              <w:rPr>
                <w:rFonts w:ascii="Arial"/>
                <w:sz w:val="21"/>
                <w:highlight w:val="none"/>
              </w:rPr>
            </w:pPr>
          </w:p>
        </w:tc>
        <w:tc>
          <w:tcPr>
            <w:tcW w:w="1793" w:type="dxa"/>
            <w:vAlign w:val="top"/>
          </w:tcPr>
          <w:p w14:paraId="678E16AF">
            <w:pPr>
              <w:rPr>
                <w:rFonts w:ascii="Arial"/>
                <w:sz w:val="21"/>
                <w:highlight w:val="none"/>
              </w:rPr>
            </w:pPr>
          </w:p>
        </w:tc>
      </w:tr>
      <w:tr w14:paraId="2B2E5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754" w:type="dxa"/>
            <w:vAlign w:val="top"/>
          </w:tcPr>
          <w:p w14:paraId="3B056DFA">
            <w:pPr>
              <w:rPr>
                <w:rFonts w:ascii="Arial"/>
                <w:sz w:val="21"/>
                <w:highlight w:val="none"/>
              </w:rPr>
            </w:pPr>
          </w:p>
        </w:tc>
        <w:tc>
          <w:tcPr>
            <w:tcW w:w="3196" w:type="dxa"/>
            <w:vAlign w:val="top"/>
          </w:tcPr>
          <w:p w14:paraId="7D886DC9">
            <w:pPr>
              <w:pStyle w:val="6"/>
              <w:spacing w:before="116" w:line="218" w:lineRule="auto"/>
              <w:ind w:left="430"/>
              <w:rPr>
                <w:highlight w:val="none"/>
              </w:rPr>
            </w:pPr>
            <w:r>
              <w:rPr>
                <w:spacing w:val="3"/>
                <w:highlight w:val="none"/>
              </w:rPr>
              <w:t>本项目合同估算价(万元)</w:t>
            </w:r>
          </w:p>
        </w:tc>
        <w:tc>
          <w:tcPr>
            <w:tcW w:w="2756" w:type="dxa"/>
            <w:gridSpan w:val="2"/>
            <w:vAlign w:val="top"/>
          </w:tcPr>
          <w:p w14:paraId="1AD69E96">
            <w:pPr>
              <w:rPr>
                <w:rFonts w:ascii="Arial"/>
                <w:sz w:val="21"/>
                <w:highlight w:val="none"/>
              </w:rPr>
            </w:pPr>
          </w:p>
        </w:tc>
        <w:tc>
          <w:tcPr>
            <w:tcW w:w="1793" w:type="dxa"/>
            <w:vAlign w:val="top"/>
          </w:tcPr>
          <w:p w14:paraId="79A6D13A">
            <w:pPr>
              <w:rPr>
                <w:rFonts w:ascii="Arial"/>
                <w:sz w:val="21"/>
                <w:highlight w:val="none"/>
              </w:rPr>
            </w:pPr>
          </w:p>
        </w:tc>
      </w:tr>
    </w:tbl>
    <w:p w14:paraId="6ACB3589">
      <w:pPr>
        <w:pStyle w:val="2"/>
        <w:spacing w:line="348" w:lineRule="auto"/>
        <w:rPr>
          <w:highlight w:val="none"/>
        </w:rPr>
      </w:pPr>
    </w:p>
    <w:p w14:paraId="05234634">
      <w:pPr>
        <w:spacing w:before="72" w:line="230" w:lineRule="auto"/>
        <w:ind w:left="114" w:right="97"/>
        <w:jc w:val="both"/>
        <w:rPr>
          <w:rFonts w:ascii="宋体" w:hAnsi="宋体" w:eastAsia="宋体" w:cs="宋体"/>
          <w:sz w:val="22"/>
          <w:szCs w:val="22"/>
          <w:highlight w:val="none"/>
        </w:rPr>
      </w:pPr>
      <w:r>
        <w:rPr>
          <w:rFonts w:ascii="宋体" w:hAnsi="宋体" w:eastAsia="宋体" w:cs="宋体"/>
          <w:spacing w:val="-7"/>
          <w:sz w:val="22"/>
          <w:szCs w:val="22"/>
          <w:highlight w:val="none"/>
        </w:rPr>
        <w:t>备注：1.政府采购工程未预留份额面向中小企业采购的，如果招标人接受大中型</w:t>
      </w:r>
      <w:r>
        <w:rPr>
          <w:rFonts w:ascii="宋体" w:hAnsi="宋体" w:eastAsia="宋体" w:cs="宋体"/>
          <w:spacing w:val="-8"/>
          <w:sz w:val="22"/>
          <w:szCs w:val="22"/>
          <w:highlight w:val="none"/>
        </w:rPr>
        <w:t>企业与小</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微企业组成联合体或允许大中型企业向一家或者多家小微企业分包，招标人宜明确适合联合</w:t>
      </w:r>
      <w:r>
        <w:rPr>
          <w:rFonts w:ascii="宋体" w:hAnsi="宋体" w:eastAsia="宋体" w:cs="宋体"/>
          <w:spacing w:val="7"/>
          <w:sz w:val="22"/>
          <w:szCs w:val="22"/>
          <w:highlight w:val="none"/>
        </w:rPr>
        <w:t xml:space="preserve"> </w:t>
      </w:r>
      <w:r>
        <w:rPr>
          <w:rFonts w:ascii="宋体" w:hAnsi="宋体" w:eastAsia="宋体" w:cs="宋体"/>
          <w:spacing w:val="-13"/>
          <w:sz w:val="22"/>
          <w:szCs w:val="22"/>
          <w:highlight w:val="none"/>
        </w:rPr>
        <w:t>体中的小微企业或适合接受分包的小微企业承担的工作、适合工作的合同估算价及适合工作</w:t>
      </w:r>
      <w:r>
        <w:rPr>
          <w:rFonts w:ascii="宋体" w:hAnsi="宋体" w:eastAsia="宋体" w:cs="宋体"/>
          <w:spacing w:val="12"/>
          <w:sz w:val="22"/>
          <w:szCs w:val="22"/>
          <w:highlight w:val="none"/>
        </w:rPr>
        <w:t xml:space="preserve"> </w:t>
      </w:r>
      <w:r>
        <w:rPr>
          <w:rFonts w:ascii="宋体" w:hAnsi="宋体" w:eastAsia="宋体" w:cs="宋体"/>
          <w:spacing w:val="-13"/>
          <w:sz w:val="22"/>
          <w:szCs w:val="22"/>
          <w:highlight w:val="none"/>
        </w:rPr>
        <w:t>的合同估算价与项目合同估算价的占比，以供投标人组建联合体或签订分包意向协议时参考</w:t>
      </w:r>
    </w:p>
    <w:p w14:paraId="5048221F">
      <w:pPr>
        <w:spacing w:before="273" w:line="230" w:lineRule="auto"/>
        <w:ind w:left="754" w:right="104" w:hanging="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 xml:space="preserve">2.  </w:t>
      </w:r>
      <w:r>
        <w:rPr>
          <w:rFonts w:ascii="宋体" w:hAnsi="宋体" w:eastAsia="宋体" w:cs="宋体"/>
          <w:spacing w:val="-8"/>
          <w:sz w:val="22"/>
          <w:szCs w:val="22"/>
          <w:highlight w:val="none"/>
        </w:rPr>
        <w:t>适合工作中包含专业工程暂估价的，则在备注栏中标注采用工程招标或政府采购</w:t>
      </w:r>
      <w:r>
        <w:rPr>
          <w:rFonts w:ascii="宋体" w:hAnsi="宋体" w:eastAsia="宋体" w:cs="宋体"/>
          <w:spacing w:val="16"/>
          <w:sz w:val="22"/>
          <w:szCs w:val="22"/>
          <w:highlight w:val="none"/>
        </w:rPr>
        <w:t xml:space="preserve"> </w:t>
      </w:r>
      <w:r>
        <w:rPr>
          <w:rFonts w:ascii="宋体" w:hAnsi="宋体" w:eastAsia="宋体" w:cs="宋体"/>
          <w:spacing w:val="3"/>
          <w:sz w:val="22"/>
          <w:szCs w:val="22"/>
          <w:highlight w:val="none"/>
        </w:rPr>
        <w:t>方式专门面向中小(小微)企业。</w:t>
      </w:r>
    </w:p>
    <w:p w14:paraId="7C6D9019">
      <w:pPr>
        <w:spacing w:line="230" w:lineRule="auto"/>
        <w:rPr>
          <w:rFonts w:ascii="宋体" w:hAnsi="宋体" w:eastAsia="宋体" w:cs="宋体"/>
          <w:sz w:val="22"/>
          <w:szCs w:val="22"/>
          <w:highlight w:val="none"/>
        </w:rPr>
        <w:sectPr>
          <w:footerReference r:id="rId45" w:type="default"/>
          <w:pgSz w:w="11910" w:h="16840"/>
          <w:pgMar w:top="400" w:right="1725" w:bottom="1238" w:left="1675" w:header="0" w:footer="1007" w:gutter="0"/>
          <w:cols w:space="720" w:num="1"/>
        </w:sectPr>
      </w:pPr>
    </w:p>
    <w:p w14:paraId="6A97B98C">
      <w:pPr>
        <w:pStyle w:val="2"/>
        <w:spacing w:line="251" w:lineRule="auto"/>
        <w:rPr>
          <w:highlight w:val="none"/>
        </w:rPr>
      </w:pPr>
    </w:p>
    <w:p w14:paraId="3B417C39">
      <w:pPr>
        <w:pStyle w:val="2"/>
        <w:spacing w:line="251" w:lineRule="auto"/>
        <w:rPr>
          <w:highlight w:val="none"/>
        </w:rPr>
      </w:pPr>
    </w:p>
    <w:p w14:paraId="75ACE8C4">
      <w:pPr>
        <w:pStyle w:val="2"/>
        <w:spacing w:line="251" w:lineRule="auto"/>
        <w:rPr>
          <w:highlight w:val="none"/>
        </w:rPr>
      </w:pPr>
    </w:p>
    <w:p w14:paraId="75FD2ABC">
      <w:pPr>
        <w:pStyle w:val="2"/>
        <w:spacing w:line="251" w:lineRule="auto"/>
        <w:rPr>
          <w:highlight w:val="none"/>
        </w:rPr>
      </w:pPr>
    </w:p>
    <w:p w14:paraId="4EAB98BA">
      <w:pPr>
        <w:pStyle w:val="2"/>
        <w:spacing w:line="251" w:lineRule="auto"/>
        <w:rPr>
          <w:highlight w:val="none"/>
        </w:rPr>
      </w:pPr>
    </w:p>
    <w:p w14:paraId="13EE5B83">
      <w:pPr>
        <w:pStyle w:val="2"/>
        <w:spacing w:line="251" w:lineRule="auto"/>
        <w:rPr>
          <w:highlight w:val="none"/>
        </w:rPr>
      </w:pPr>
    </w:p>
    <w:p w14:paraId="41696239">
      <w:pPr>
        <w:pStyle w:val="2"/>
        <w:spacing w:line="251" w:lineRule="auto"/>
        <w:rPr>
          <w:highlight w:val="none"/>
        </w:rPr>
      </w:pPr>
    </w:p>
    <w:p w14:paraId="439EDE4F">
      <w:pPr>
        <w:pStyle w:val="2"/>
        <w:spacing w:line="251" w:lineRule="auto"/>
        <w:rPr>
          <w:highlight w:val="none"/>
        </w:rPr>
      </w:pPr>
    </w:p>
    <w:p w14:paraId="29320251">
      <w:pPr>
        <w:pStyle w:val="2"/>
        <w:spacing w:line="251" w:lineRule="auto"/>
        <w:rPr>
          <w:highlight w:val="none"/>
        </w:rPr>
      </w:pPr>
    </w:p>
    <w:p w14:paraId="19DCDA69">
      <w:pPr>
        <w:pStyle w:val="2"/>
        <w:spacing w:line="251" w:lineRule="auto"/>
        <w:rPr>
          <w:highlight w:val="none"/>
        </w:rPr>
      </w:pPr>
    </w:p>
    <w:p w14:paraId="7C8F0D33">
      <w:pPr>
        <w:spacing w:before="72" w:line="222" w:lineRule="auto"/>
        <w:ind w:left="3"/>
        <w:outlineLvl w:val="1"/>
        <w:rPr>
          <w:rFonts w:ascii="黑体" w:hAnsi="黑体" w:eastAsia="黑体" w:cs="黑体"/>
          <w:sz w:val="22"/>
          <w:szCs w:val="22"/>
          <w:highlight w:val="none"/>
        </w:rPr>
      </w:pPr>
      <w:bookmarkStart w:id="43" w:name="bookmark18"/>
      <w:bookmarkEnd w:id="43"/>
      <w:r>
        <w:rPr>
          <w:rFonts w:ascii="黑体" w:hAnsi="黑体" w:eastAsia="黑体" w:cs="黑体"/>
          <w:spacing w:val="13"/>
          <w:sz w:val="22"/>
          <w:szCs w:val="22"/>
          <w:highlight w:val="none"/>
        </w:rPr>
        <w:t>附表一</w:t>
      </w:r>
      <w:r>
        <w:rPr>
          <w:rFonts w:ascii="黑体" w:hAnsi="黑体" w:eastAsia="黑体" w:cs="黑体"/>
          <w:spacing w:val="-41"/>
          <w:sz w:val="22"/>
          <w:szCs w:val="22"/>
          <w:highlight w:val="none"/>
        </w:rPr>
        <w:t xml:space="preserve"> </w:t>
      </w:r>
      <w:r>
        <w:rPr>
          <w:rFonts w:ascii="黑体" w:hAnsi="黑体" w:eastAsia="黑体" w:cs="黑体"/>
          <w:spacing w:val="13"/>
          <w:sz w:val="22"/>
          <w:szCs w:val="22"/>
          <w:highlight w:val="none"/>
        </w:rPr>
        <w:t>：招标文件澄清申请函</w:t>
      </w:r>
    </w:p>
    <w:p w14:paraId="1D24062D">
      <w:pPr>
        <w:spacing w:before="138" w:line="222" w:lineRule="auto"/>
        <w:ind w:left="2883"/>
        <w:rPr>
          <w:rFonts w:ascii="黑体" w:hAnsi="黑体" w:eastAsia="黑体" w:cs="黑体"/>
          <w:sz w:val="30"/>
          <w:szCs w:val="30"/>
          <w:highlight w:val="none"/>
        </w:rPr>
      </w:pPr>
      <w:bookmarkStart w:id="44" w:name="bookmark208"/>
      <w:bookmarkEnd w:id="44"/>
      <w:r>
        <w:rPr>
          <w:rFonts w:ascii="黑体" w:hAnsi="黑体" w:eastAsia="黑体" w:cs="黑体"/>
          <w:spacing w:val="-15"/>
          <w:sz w:val="30"/>
          <w:szCs w:val="30"/>
          <w:highlight w:val="none"/>
        </w:rPr>
        <w:t>招标文件澄清申请函</w:t>
      </w:r>
    </w:p>
    <w:p w14:paraId="5A75687A">
      <w:pPr>
        <w:spacing w:before="269" w:line="213" w:lineRule="auto"/>
        <w:ind w:left="6633"/>
        <w:rPr>
          <w:rFonts w:ascii="宋体" w:hAnsi="宋体" w:eastAsia="宋体" w:cs="宋体"/>
          <w:sz w:val="22"/>
          <w:szCs w:val="22"/>
          <w:highlight w:val="none"/>
        </w:rPr>
      </w:pPr>
      <w:r>
        <w:rPr>
          <w:rFonts w:ascii="宋体" w:hAnsi="宋体" w:eastAsia="宋体" w:cs="宋体"/>
          <w:spacing w:val="-23"/>
          <w:w w:val="92"/>
          <w:sz w:val="22"/>
          <w:szCs w:val="22"/>
          <w:highlight w:val="none"/>
        </w:rPr>
        <w:t>编号：_</w:t>
      </w:r>
      <w:r>
        <w:rPr>
          <w:rFonts w:ascii="宋体" w:hAnsi="宋体" w:eastAsia="宋体" w:cs="宋体"/>
          <w:sz w:val="22"/>
          <w:szCs w:val="22"/>
          <w:highlight w:val="none"/>
          <w:u w:val="single" w:color="auto"/>
        </w:rPr>
        <w:t xml:space="preserve">          </w:t>
      </w:r>
    </w:p>
    <w:p w14:paraId="3432D6CE">
      <w:pPr>
        <w:tabs>
          <w:tab w:val="left" w:pos="1903"/>
        </w:tabs>
        <w:spacing w:before="214" w:line="220" w:lineRule="auto"/>
        <w:ind w:left="423"/>
        <w:rPr>
          <w:rFonts w:ascii="宋体" w:hAnsi="宋体" w:eastAsia="宋体" w:cs="宋体"/>
          <w:sz w:val="22"/>
          <w:szCs w:val="22"/>
          <w:highlight w:val="none"/>
        </w:rPr>
      </w:pPr>
      <w:r>
        <w:rPr>
          <w:rFonts w:ascii="宋体" w:hAnsi="宋体" w:eastAsia="宋体" w:cs="宋体"/>
          <w:sz w:val="22"/>
          <w:szCs w:val="22"/>
          <w:highlight w:val="none"/>
          <w:u w:val="single" w:color="auto"/>
        </w:rPr>
        <w:tab/>
      </w:r>
      <w:r>
        <w:rPr>
          <w:rFonts w:ascii="宋体" w:hAnsi="宋体" w:eastAsia="宋体" w:cs="宋体"/>
          <w:spacing w:val="-27"/>
          <w:sz w:val="22"/>
          <w:szCs w:val="22"/>
          <w:highlight w:val="none"/>
        </w:rPr>
        <w:t xml:space="preserve"> </w:t>
      </w:r>
      <w:r>
        <w:rPr>
          <w:rFonts w:ascii="宋体" w:hAnsi="宋体" w:eastAsia="宋体" w:cs="宋体"/>
          <w:spacing w:val="-6"/>
          <w:sz w:val="22"/>
          <w:szCs w:val="22"/>
          <w:highlight w:val="none"/>
        </w:rPr>
        <w:t>(招标人名称):</w:t>
      </w:r>
    </w:p>
    <w:p w14:paraId="35552D2E">
      <w:pPr>
        <w:spacing w:before="196" w:line="380" w:lineRule="auto"/>
        <w:ind w:left="13" w:right="33" w:firstLine="410"/>
        <w:rPr>
          <w:rFonts w:ascii="宋体" w:hAnsi="宋体" w:eastAsia="宋体" w:cs="宋体"/>
          <w:sz w:val="22"/>
          <w:szCs w:val="22"/>
          <w:highlight w:val="none"/>
        </w:rPr>
      </w:pPr>
      <w:r>
        <w:rPr>
          <w:rFonts w:ascii="宋体" w:hAnsi="宋体" w:eastAsia="宋体" w:cs="宋体"/>
          <w:spacing w:val="-4"/>
          <w:position w:val="-1"/>
          <w:sz w:val="22"/>
          <w:szCs w:val="22"/>
          <w:highlight w:val="none"/>
        </w:rPr>
        <w:t>经过仔细阅读</w:t>
      </w:r>
      <w:r>
        <w:rPr>
          <w:rFonts w:ascii="宋体" w:hAnsi="宋体" w:eastAsia="宋体" w:cs="宋体"/>
          <w:spacing w:val="14"/>
          <w:position w:val="-1"/>
          <w:sz w:val="22"/>
          <w:szCs w:val="22"/>
          <w:highlight w:val="none"/>
          <w:u w:val="single" w:color="auto"/>
        </w:rPr>
        <w:t xml:space="preserve">      </w:t>
      </w:r>
      <w:r>
        <w:rPr>
          <w:rFonts w:ascii="宋体" w:hAnsi="宋体" w:eastAsia="宋体" w:cs="宋体"/>
          <w:spacing w:val="-29"/>
          <w:position w:val="-1"/>
          <w:sz w:val="22"/>
          <w:szCs w:val="22"/>
          <w:highlight w:val="none"/>
        </w:rPr>
        <w:t xml:space="preserve"> </w:t>
      </w:r>
      <w:r>
        <w:rPr>
          <w:rFonts w:ascii="宋体" w:hAnsi="宋体" w:eastAsia="宋体" w:cs="宋体"/>
          <w:spacing w:val="-4"/>
          <w:position w:val="-1"/>
          <w:sz w:val="22"/>
          <w:szCs w:val="22"/>
          <w:highlight w:val="none"/>
        </w:rPr>
        <w:t>(项目名称)</w:t>
      </w:r>
      <w:r>
        <w:rPr>
          <w:rFonts w:ascii="宋体" w:hAnsi="宋体" w:eastAsia="宋体" w:cs="宋体"/>
          <w:spacing w:val="-79"/>
          <w:position w:val="-1"/>
          <w:sz w:val="22"/>
          <w:szCs w:val="22"/>
          <w:highlight w:val="none"/>
        </w:rPr>
        <w:t xml:space="preserve"> </w:t>
      </w:r>
      <w:r>
        <w:rPr>
          <w:rFonts w:ascii="宋体" w:hAnsi="宋体" w:eastAsia="宋体" w:cs="宋体"/>
          <w:spacing w:val="7"/>
          <w:position w:val="-1"/>
          <w:sz w:val="22"/>
          <w:szCs w:val="22"/>
          <w:highlight w:val="none"/>
          <w:u w:val="single" w:color="auto"/>
        </w:rPr>
        <w:t xml:space="preserve">    </w:t>
      </w:r>
      <w:r>
        <w:rPr>
          <w:rFonts w:ascii="宋体" w:hAnsi="宋体" w:eastAsia="宋体" w:cs="宋体"/>
          <w:spacing w:val="-28"/>
          <w:position w:val="-1"/>
          <w:sz w:val="22"/>
          <w:szCs w:val="22"/>
          <w:highlight w:val="none"/>
        </w:rPr>
        <w:t xml:space="preserve"> </w:t>
      </w:r>
      <w:r>
        <w:rPr>
          <w:rFonts w:ascii="宋体" w:hAnsi="宋体" w:eastAsia="宋体" w:cs="宋体"/>
          <w:spacing w:val="-4"/>
          <w:sz w:val="22"/>
          <w:szCs w:val="22"/>
          <w:highlight w:val="none"/>
        </w:rPr>
        <w:t>(标段名称)工程总承包招标文件后，我方申</w:t>
      </w:r>
      <w:r>
        <w:rPr>
          <w:rFonts w:ascii="宋体" w:hAnsi="宋体" w:eastAsia="宋体" w:cs="宋体"/>
          <w:sz w:val="22"/>
          <w:szCs w:val="22"/>
          <w:highlight w:val="none"/>
        </w:rPr>
        <w:t xml:space="preserve"> </w:t>
      </w:r>
      <w:r>
        <w:rPr>
          <w:rFonts w:ascii="宋体" w:hAnsi="宋体" w:eastAsia="宋体" w:cs="宋体"/>
          <w:spacing w:val="-14"/>
          <w:sz w:val="22"/>
          <w:szCs w:val="22"/>
          <w:highlight w:val="none"/>
        </w:rPr>
        <w:t>请对以下问题予以澄清：</w:t>
      </w:r>
    </w:p>
    <w:p w14:paraId="4A57C457">
      <w:pPr>
        <w:spacing w:before="86" w:line="235" w:lineRule="auto"/>
        <w:ind w:left="523"/>
        <w:rPr>
          <w:rFonts w:ascii="宋体" w:hAnsi="宋体" w:eastAsia="宋体" w:cs="宋体"/>
          <w:sz w:val="16"/>
          <w:szCs w:val="16"/>
          <w:highlight w:val="none"/>
        </w:rPr>
      </w:pPr>
      <w:r>
        <w:rPr>
          <w:rFonts w:ascii="宋体" w:hAnsi="宋体" w:eastAsia="宋体" w:cs="宋体"/>
          <w:spacing w:val="-4"/>
          <w:sz w:val="16"/>
          <w:szCs w:val="16"/>
          <w:highlight w:val="none"/>
        </w:rPr>
        <w:t>1、………</w:t>
      </w:r>
    </w:p>
    <w:p w14:paraId="3BAA09B6">
      <w:pPr>
        <w:spacing w:before="224" w:line="235" w:lineRule="auto"/>
        <w:ind w:left="523"/>
        <w:rPr>
          <w:rFonts w:ascii="宋体" w:hAnsi="宋体" w:eastAsia="宋体" w:cs="宋体"/>
          <w:sz w:val="22"/>
          <w:szCs w:val="22"/>
          <w:highlight w:val="none"/>
        </w:rPr>
      </w:pPr>
      <w:r>
        <w:rPr>
          <w:rFonts w:ascii="宋体" w:hAnsi="宋体" w:eastAsia="宋体" w:cs="宋体"/>
          <w:spacing w:val="-9"/>
          <w:sz w:val="22"/>
          <w:szCs w:val="22"/>
          <w:highlight w:val="none"/>
        </w:rPr>
        <w:t>2、………</w:t>
      </w:r>
    </w:p>
    <w:p w14:paraId="4E151CEA">
      <w:pPr>
        <w:pStyle w:val="2"/>
        <w:spacing w:line="280" w:lineRule="auto"/>
        <w:rPr>
          <w:highlight w:val="none"/>
        </w:rPr>
      </w:pPr>
    </w:p>
    <w:p w14:paraId="76F9773C">
      <w:pPr>
        <w:spacing w:before="1" w:line="50" w:lineRule="exact"/>
        <w:ind w:left="533"/>
        <w:rPr>
          <w:highlight w:val="none"/>
        </w:rPr>
      </w:pPr>
      <w:r>
        <w:rPr>
          <w:position w:val="-1"/>
          <w:highlight w:val="none"/>
        </w:rPr>
        <w:drawing>
          <wp:inline distT="0" distB="0" distL="0" distR="0">
            <wp:extent cx="393700" cy="3175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06"/>
                    <a:stretch>
                      <a:fillRect/>
                    </a:stretch>
                  </pic:blipFill>
                  <pic:spPr>
                    <a:xfrm>
                      <a:off x="0" y="0"/>
                      <a:ext cx="393721" cy="31759"/>
                    </a:xfrm>
                    <a:prstGeom prst="rect">
                      <a:avLst/>
                    </a:prstGeom>
                  </pic:spPr>
                </pic:pic>
              </a:graphicData>
            </a:graphic>
          </wp:inline>
        </w:drawing>
      </w:r>
    </w:p>
    <w:p w14:paraId="49E00F5C">
      <w:pPr>
        <w:pStyle w:val="2"/>
        <w:spacing w:line="243" w:lineRule="auto"/>
        <w:rPr>
          <w:highlight w:val="none"/>
        </w:rPr>
      </w:pPr>
    </w:p>
    <w:p w14:paraId="6391A7E7">
      <w:pPr>
        <w:pStyle w:val="2"/>
        <w:spacing w:line="243" w:lineRule="auto"/>
        <w:rPr>
          <w:highlight w:val="none"/>
        </w:rPr>
      </w:pPr>
    </w:p>
    <w:p w14:paraId="298F21ED">
      <w:pPr>
        <w:pStyle w:val="2"/>
        <w:spacing w:line="243" w:lineRule="auto"/>
        <w:rPr>
          <w:highlight w:val="none"/>
        </w:rPr>
      </w:pPr>
    </w:p>
    <w:p w14:paraId="68D7BD9D">
      <w:pPr>
        <w:pStyle w:val="2"/>
        <w:spacing w:line="243" w:lineRule="auto"/>
        <w:rPr>
          <w:highlight w:val="none"/>
        </w:rPr>
      </w:pPr>
    </w:p>
    <w:p w14:paraId="6FD2948B">
      <w:pPr>
        <w:pStyle w:val="2"/>
        <w:spacing w:line="244" w:lineRule="auto"/>
        <w:rPr>
          <w:highlight w:val="none"/>
        </w:rPr>
      </w:pPr>
    </w:p>
    <w:p w14:paraId="77B5573D">
      <w:pPr>
        <w:pStyle w:val="2"/>
        <w:spacing w:line="244" w:lineRule="auto"/>
        <w:rPr>
          <w:highlight w:val="none"/>
        </w:rPr>
      </w:pPr>
    </w:p>
    <w:p w14:paraId="61BD37AD">
      <w:pPr>
        <w:pStyle w:val="2"/>
        <w:spacing w:line="244" w:lineRule="auto"/>
        <w:rPr>
          <w:highlight w:val="none"/>
        </w:rPr>
      </w:pPr>
    </w:p>
    <w:p w14:paraId="56EACA12">
      <w:pPr>
        <w:pStyle w:val="2"/>
        <w:spacing w:line="244" w:lineRule="auto"/>
        <w:rPr>
          <w:highlight w:val="none"/>
        </w:rPr>
      </w:pPr>
    </w:p>
    <w:p w14:paraId="2A3037F0">
      <w:pPr>
        <w:pStyle w:val="2"/>
        <w:spacing w:line="244" w:lineRule="auto"/>
        <w:rPr>
          <w:highlight w:val="none"/>
        </w:rPr>
      </w:pPr>
    </w:p>
    <w:p w14:paraId="16238D7D">
      <w:pPr>
        <w:spacing w:before="72" w:line="230" w:lineRule="auto"/>
        <w:ind w:left="3883"/>
        <w:rPr>
          <w:rFonts w:ascii="宋体" w:hAnsi="宋体" w:eastAsia="宋体" w:cs="宋体"/>
          <w:sz w:val="22"/>
          <w:szCs w:val="22"/>
          <w:highlight w:val="none"/>
        </w:rPr>
      </w:pPr>
      <w:r>
        <w:rPr>
          <w:rFonts w:ascii="宋体" w:hAnsi="宋体" w:eastAsia="宋体" w:cs="宋体"/>
          <w:spacing w:val="-5"/>
          <w:position w:val="-1"/>
          <w:sz w:val="22"/>
          <w:szCs w:val="22"/>
          <w:highlight w:val="none"/>
        </w:rPr>
        <w:t>投标人：</w:t>
      </w:r>
      <w:r>
        <w:rPr>
          <w:rFonts w:ascii="宋体" w:hAnsi="宋体" w:eastAsia="宋体" w:cs="宋体"/>
          <w:position w:val="-1"/>
          <w:sz w:val="22"/>
          <w:szCs w:val="22"/>
          <w:highlight w:val="none"/>
          <w:u w:val="single" w:color="auto"/>
        </w:rPr>
        <w:t xml:space="preserve">                     </w:t>
      </w:r>
      <w:r>
        <w:rPr>
          <w:rFonts w:ascii="宋体" w:hAnsi="宋体" w:eastAsia="宋体" w:cs="宋体"/>
          <w:spacing w:val="-2"/>
          <w:position w:val="-1"/>
          <w:sz w:val="22"/>
          <w:szCs w:val="22"/>
          <w:highlight w:val="none"/>
        </w:rPr>
        <w:t xml:space="preserve"> </w:t>
      </w:r>
      <w:r>
        <w:rPr>
          <w:rFonts w:ascii="宋体" w:hAnsi="宋体" w:eastAsia="宋体" w:cs="宋体"/>
          <w:spacing w:val="-5"/>
          <w:sz w:val="22"/>
          <w:szCs w:val="22"/>
          <w:highlight w:val="none"/>
        </w:rPr>
        <w:t>(盖单位章)</w:t>
      </w:r>
    </w:p>
    <w:p w14:paraId="30CA834E">
      <w:pPr>
        <w:pStyle w:val="2"/>
        <w:spacing w:line="288" w:lineRule="auto"/>
        <w:rPr>
          <w:highlight w:val="none"/>
        </w:rPr>
      </w:pPr>
    </w:p>
    <w:p w14:paraId="3DFBCD47">
      <w:pPr>
        <w:pStyle w:val="2"/>
        <w:spacing w:line="289" w:lineRule="auto"/>
        <w:rPr>
          <w:highlight w:val="none"/>
        </w:rPr>
      </w:pPr>
    </w:p>
    <w:p w14:paraId="366F306D">
      <w:pPr>
        <w:tabs>
          <w:tab w:val="left" w:pos="6612"/>
        </w:tabs>
        <w:spacing w:before="72" w:line="223" w:lineRule="auto"/>
        <w:ind w:left="5893"/>
        <w:rPr>
          <w:rFonts w:ascii="宋体" w:hAnsi="宋体" w:eastAsia="宋体" w:cs="宋体"/>
          <w:sz w:val="22"/>
          <w:szCs w:val="22"/>
          <w:highlight w:val="none"/>
        </w:rPr>
      </w:pPr>
      <w:r>
        <w:rPr>
          <w:rFonts w:ascii="宋体" w:hAnsi="宋体" w:eastAsia="宋体" w:cs="宋体"/>
          <w:position w:val="-2"/>
          <w:sz w:val="22"/>
          <w:szCs w:val="22"/>
          <w:highlight w:val="none"/>
          <w:u w:val="single" w:color="auto"/>
        </w:rPr>
        <w:tab/>
      </w:r>
      <w:r>
        <w:rPr>
          <w:rFonts w:ascii="宋体" w:hAnsi="宋体" w:eastAsia="宋体" w:cs="宋体"/>
          <w:spacing w:val="-11"/>
          <w:w w:val="73"/>
          <w:position w:val="-2"/>
          <w:sz w:val="22"/>
          <w:szCs w:val="22"/>
          <w:highlight w:val="none"/>
        </w:rPr>
        <w:t>年</w:t>
      </w:r>
      <w:r>
        <w:rPr>
          <w:rFonts w:ascii="宋体" w:hAnsi="宋体" w:eastAsia="宋体" w:cs="宋体"/>
          <w:spacing w:val="3"/>
          <w:position w:val="-2"/>
          <w:sz w:val="22"/>
          <w:szCs w:val="22"/>
          <w:highlight w:val="none"/>
          <w:u w:val="single" w:color="auto"/>
        </w:rPr>
        <w:t xml:space="preserve">     </w:t>
      </w:r>
      <w:r>
        <w:rPr>
          <w:rFonts w:ascii="宋体" w:hAnsi="宋体" w:eastAsia="宋体" w:cs="宋体"/>
          <w:spacing w:val="-11"/>
          <w:w w:val="73"/>
          <w:sz w:val="22"/>
          <w:szCs w:val="22"/>
          <w:highlight w:val="none"/>
        </w:rPr>
        <w:t>月_</w:t>
      </w:r>
      <w:r>
        <w:rPr>
          <w:rFonts w:ascii="宋体" w:hAnsi="宋体" w:eastAsia="宋体" w:cs="宋体"/>
          <w:spacing w:val="4"/>
          <w:sz w:val="22"/>
          <w:szCs w:val="22"/>
          <w:highlight w:val="none"/>
          <w:u w:val="single" w:color="auto"/>
        </w:rPr>
        <w:t xml:space="preserve">     </w:t>
      </w:r>
      <w:r>
        <w:rPr>
          <w:rFonts w:ascii="宋体" w:hAnsi="宋体" w:eastAsia="宋体" w:cs="宋体"/>
          <w:spacing w:val="-45"/>
          <w:position w:val="2"/>
          <w:sz w:val="22"/>
          <w:szCs w:val="22"/>
          <w:highlight w:val="none"/>
        </w:rPr>
        <w:t>日</w:t>
      </w:r>
    </w:p>
    <w:p w14:paraId="2055585F">
      <w:pPr>
        <w:pStyle w:val="2"/>
        <w:spacing w:line="248" w:lineRule="auto"/>
        <w:rPr>
          <w:highlight w:val="none"/>
        </w:rPr>
      </w:pPr>
    </w:p>
    <w:p w14:paraId="0CD23CF3">
      <w:pPr>
        <w:pStyle w:val="2"/>
        <w:spacing w:line="248" w:lineRule="auto"/>
        <w:rPr>
          <w:highlight w:val="none"/>
        </w:rPr>
      </w:pPr>
    </w:p>
    <w:p w14:paraId="4FBED866">
      <w:pPr>
        <w:pStyle w:val="2"/>
        <w:spacing w:line="248" w:lineRule="auto"/>
        <w:rPr>
          <w:highlight w:val="none"/>
        </w:rPr>
      </w:pPr>
    </w:p>
    <w:p w14:paraId="5E09A3A8">
      <w:pPr>
        <w:pStyle w:val="2"/>
        <w:spacing w:line="248" w:lineRule="auto"/>
        <w:rPr>
          <w:highlight w:val="none"/>
        </w:rPr>
      </w:pPr>
    </w:p>
    <w:p w14:paraId="74F1FF89">
      <w:pPr>
        <w:pStyle w:val="2"/>
        <w:spacing w:line="248" w:lineRule="auto"/>
        <w:rPr>
          <w:highlight w:val="none"/>
        </w:rPr>
      </w:pPr>
    </w:p>
    <w:p w14:paraId="2EBDE180">
      <w:pPr>
        <w:pStyle w:val="2"/>
        <w:spacing w:line="248" w:lineRule="auto"/>
        <w:rPr>
          <w:highlight w:val="none"/>
        </w:rPr>
      </w:pPr>
    </w:p>
    <w:p w14:paraId="5F85EADD">
      <w:pPr>
        <w:pStyle w:val="2"/>
        <w:spacing w:line="248" w:lineRule="auto"/>
        <w:rPr>
          <w:highlight w:val="none"/>
        </w:rPr>
      </w:pPr>
    </w:p>
    <w:p w14:paraId="3071CFE3">
      <w:pPr>
        <w:pStyle w:val="2"/>
        <w:spacing w:line="248" w:lineRule="auto"/>
        <w:rPr>
          <w:highlight w:val="none"/>
        </w:rPr>
      </w:pPr>
    </w:p>
    <w:p w14:paraId="28711C60">
      <w:pPr>
        <w:pStyle w:val="2"/>
        <w:spacing w:line="248" w:lineRule="auto"/>
        <w:rPr>
          <w:highlight w:val="none"/>
        </w:rPr>
      </w:pPr>
    </w:p>
    <w:p w14:paraId="20C182AC">
      <w:pPr>
        <w:pStyle w:val="2"/>
        <w:spacing w:line="248" w:lineRule="auto"/>
        <w:rPr>
          <w:highlight w:val="none"/>
        </w:rPr>
      </w:pPr>
    </w:p>
    <w:p w14:paraId="5FCD7615">
      <w:pPr>
        <w:pStyle w:val="2"/>
        <w:spacing w:line="248" w:lineRule="auto"/>
        <w:rPr>
          <w:highlight w:val="none"/>
        </w:rPr>
      </w:pPr>
    </w:p>
    <w:p w14:paraId="7B7E6ABA">
      <w:pPr>
        <w:pStyle w:val="2"/>
        <w:spacing w:line="249" w:lineRule="auto"/>
        <w:rPr>
          <w:highlight w:val="none"/>
        </w:rPr>
      </w:pPr>
    </w:p>
    <w:p w14:paraId="059DDF55">
      <w:pPr>
        <w:spacing w:before="72" w:line="219" w:lineRule="auto"/>
        <w:ind w:left="23"/>
        <w:rPr>
          <w:rFonts w:ascii="宋体" w:hAnsi="宋体" w:eastAsia="宋体" w:cs="宋体"/>
          <w:sz w:val="22"/>
          <w:szCs w:val="22"/>
          <w:highlight w:val="none"/>
        </w:rPr>
      </w:pPr>
      <w:r>
        <w:rPr>
          <w:rFonts w:ascii="宋体" w:hAnsi="宋体" w:eastAsia="宋体" w:cs="宋体"/>
          <w:spacing w:val="-14"/>
          <w:sz w:val="22"/>
          <w:szCs w:val="22"/>
          <w:highlight w:val="none"/>
        </w:rPr>
        <w:t>备注：投标人要求招标人澄清招标文件有关问题时，</w:t>
      </w:r>
      <w:r>
        <w:rPr>
          <w:rFonts w:ascii="宋体" w:hAnsi="宋体" w:eastAsia="宋体" w:cs="宋体"/>
          <w:spacing w:val="-15"/>
          <w:sz w:val="22"/>
          <w:szCs w:val="22"/>
          <w:highlight w:val="none"/>
        </w:rPr>
        <w:t>适用于本格式。</w:t>
      </w:r>
    </w:p>
    <w:p w14:paraId="73985D8B">
      <w:pPr>
        <w:pStyle w:val="2"/>
        <w:spacing w:line="301" w:lineRule="auto"/>
        <w:rPr>
          <w:highlight w:val="none"/>
        </w:rPr>
      </w:pPr>
    </w:p>
    <w:p w14:paraId="2BE1D9CF">
      <w:pPr>
        <w:pStyle w:val="2"/>
        <w:spacing w:line="302" w:lineRule="auto"/>
        <w:rPr>
          <w:highlight w:val="none"/>
        </w:rPr>
      </w:pPr>
    </w:p>
    <w:p w14:paraId="6AD0F134">
      <w:pPr>
        <w:spacing w:before="72" w:line="222" w:lineRule="auto"/>
        <w:ind w:left="3"/>
        <w:outlineLvl w:val="1"/>
        <w:rPr>
          <w:rFonts w:ascii="黑体" w:hAnsi="黑体" w:eastAsia="黑体" w:cs="黑体"/>
          <w:spacing w:val="19"/>
          <w:sz w:val="22"/>
          <w:szCs w:val="22"/>
          <w:highlight w:val="none"/>
        </w:rPr>
      </w:pPr>
      <w:bookmarkStart w:id="45" w:name="bookmark19"/>
      <w:bookmarkEnd w:id="45"/>
    </w:p>
    <w:p w14:paraId="06E3CF37">
      <w:pPr>
        <w:spacing w:before="72" w:line="222" w:lineRule="auto"/>
        <w:ind w:left="3"/>
        <w:outlineLvl w:val="1"/>
        <w:rPr>
          <w:rFonts w:ascii="黑体" w:hAnsi="黑体" w:eastAsia="黑体" w:cs="黑体"/>
          <w:spacing w:val="19"/>
          <w:sz w:val="22"/>
          <w:szCs w:val="22"/>
          <w:highlight w:val="none"/>
        </w:rPr>
      </w:pPr>
    </w:p>
    <w:p w14:paraId="15AC9AB4">
      <w:pPr>
        <w:spacing w:before="72" w:line="222" w:lineRule="auto"/>
        <w:ind w:left="3"/>
        <w:outlineLvl w:val="1"/>
        <w:rPr>
          <w:rFonts w:ascii="黑体" w:hAnsi="黑体" w:eastAsia="黑体" w:cs="黑体"/>
          <w:spacing w:val="19"/>
          <w:sz w:val="22"/>
          <w:szCs w:val="22"/>
          <w:highlight w:val="none"/>
        </w:rPr>
      </w:pPr>
    </w:p>
    <w:p w14:paraId="490CF3AF">
      <w:pPr>
        <w:spacing w:before="72" w:line="222" w:lineRule="auto"/>
        <w:ind w:left="3"/>
        <w:outlineLvl w:val="1"/>
        <w:rPr>
          <w:rFonts w:ascii="黑体" w:hAnsi="黑体" w:eastAsia="黑体" w:cs="黑体"/>
          <w:sz w:val="22"/>
          <w:szCs w:val="22"/>
          <w:highlight w:val="none"/>
        </w:rPr>
      </w:pPr>
      <w:r>
        <w:rPr>
          <w:rFonts w:ascii="黑体" w:hAnsi="黑体" w:eastAsia="黑体" w:cs="黑体"/>
          <w:spacing w:val="19"/>
          <w:sz w:val="22"/>
          <w:szCs w:val="22"/>
          <w:highlight w:val="none"/>
        </w:rPr>
        <w:t>附表二：招标文件澄清通知</w:t>
      </w:r>
    </w:p>
    <w:p w14:paraId="5D105107">
      <w:pPr>
        <w:pStyle w:val="2"/>
        <w:spacing w:line="258" w:lineRule="auto"/>
        <w:rPr>
          <w:highlight w:val="none"/>
        </w:rPr>
      </w:pPr>
    </w:p>
    <w:p w14:paraId="317B942D">
      <w:pPr>
        <w:pStyle w:val="2"/>
        <w:spacing w:line="258" w:lineRule="auto"/>
        <w:rPr>
          <w:highlight w:val="none"/>
        </w:rPr>
      </w:pPr>
    </w:p>
    <w:p w14:paraId="6FA325A1">
      <w:pPr>
        <w:pStyle w:val="2"/>
        <w:spacing w:line="259" w:lineRule="auto"/>
        <w:rPr>
          <w:highlight w:val="none"/>
        </w:rPr>
      </w:pPr>
    </w:p>
    <w:p w14:paraId="3CCD02FA">
      <w:pPr>
        <w:pStyle w:val="2"/>
        <w:spacing w:line="259" w:lineRule="auto"/>
        <w:rPr>
          <w:highlight w:val="none"/>
        </w:rPr>
      </w:pPr>
    </w:p>
    <w:p w14:paraId="42DB2FE7">
      <w:pPr>
        <w:spacing w:before="91" w:line="222" w:lineRule="auto"/>
        <w:ind w:left="3040"/>
        <w:rPr>
          <w:rFonts w:ascii="黑体" w:hAnsi="黑体" w:eastAsia="黑体" w:cs="黑体"/>
          <w:sz w:val="28"/>
          <w:szCs w:val="28"/>
          <w:highlight w:val="none"/>
        </w:rPr>
      </w:pPr>
      <w:bookmarkStart w:id="46" w:name="bookmark209"/>
      <w:bookmarkEnd w:id="46"/>
      <w:r>
        <w:rPr>
          <w:rFonts w:ascii="黑体" w:hAnsi="黑体" w:eastAsia="黑体" w:cs="黑体"/>
          <w:spacing w:val="5"/>
          <w:sz w:val="28"/>
          <w:szCs w:val="28"/>
          <w:highlight w:val="none"/>
        </w:rPr>
        <w:t>招标文件澄清通知</w:t>
      </w:r>
    </w:p>
    <w:p w14:paraId="54B06674">
      <w:pPr>
        <w:pStyle w:val="2"/>
        <w:spacing w:line="266" w:lineRule="auto"/>
        <w:rPr>
          <w:highlight w:val="none"/>
        </w:rPr>
      </w:pPr>
    </w:p>
    <w:p w14:paraId="5F742222">
      <w:pPr>
        <w:pStyle w:val="2"/>
        <w:spacing w:line="267" w:lineRule="auto"/>
        <w:rPr>
          <w:highlight w:val="none"/>
        </w:rPr>
      </w:pPr>
    </w:p>
    <w:p w14:paraId="1A412DC1">
      <w:pPr>
        <w:spacing w:before="65" w:line="219" w:lineRule="auto"/>
        <w:ind w:left="5990"/>
        <w:rPr>
          <w:rFonts w:ascii="宋体" w:hAnsi="宋体" w:eastAsia="宋体" w:cs="宋体"/>
          <w:sz w:val="20"/>
          <w:szCs w:val="20"/>
          <w:highlight w:val="none"/>
        </w:rPr>
      </w:pPr>
      <w:r>
        <w:rPr>
          <w:rFonts w:ascii="宋体" w:hAnsi="宋体" w:eastAsia="宋体" w:cs="宋体"/>
          <w:sz w:val="20"/>
          <w:szCs w:val="20"/>
          <w:highlight w:val="none"/>
        </w:rPr>
        <w:t>编号：</w:t>
      </w:r>
      <w:r>
        <w:rPr>
          <w:rFonts w:ascii="宋体" w:hAnsi="宋体" w:eastAsia="宋体" w:cs="宋体"/>
          <w:spacing w:val="-60"/>
          <w:sz w:val="20"/>
          <w:szCs w:val="20"/>
          <w:highlight w:val="none"/>
        </w:rPr>
        <w:t xml:space="preserve"> </w:t>
      </w:r>
      <w:r>
        <w:rPr>
          <w:rFonts w:ascii="宋体" w:hAnsi="宋体" w:eastAsia="宋体" w:cs="宋体"/>
          <w:sz w:val="20"/>
          <w:szCs w:val="20"/>
          <w:highlight w:val="none"/>
          <w:u w:val="single" w:color="auto"/>
        </w:rPr>
        <w:t xml:space="preserve">             </w:t>
      </w:r>
    </w:p>
    <w:p w14:paraId="21D7DF63">
      <w:pPr>
        <w:pStyle w:val="2"/>
        <w:spacing w:line="312" w:lineRule="auto"/>
        <w:rPr>
          <w:highlight w:val="none"/>
        </w:rPr>
      </w:pPr>
    </w:p>
    <w:p w14:paraId="309C915A">
      <w:pPr>
        <w:pStyle w:val="2"/>
        <w:spacing w:line="312" w:lineRule="auto"/>
        <w:rPr>
          <w:highlight w:val="none"/>
        </w:rPr>
      </w:pPr>
    </w:p>
    <w:p w14:paraId="30874DF5">
      <w:pPr>
        <w:spacing w:before="65" w:line="220" w:lineRule="auto"/>
        <w:ind w:left="10"/>
        <w:rPr>
          <w:rFonts w:ascii="宋体" w:hAnsi="宋体" w:eastAsia="宋体" w:cs="宋体"/>
          <w:sz w:val="20"/>
          <w:szCs w:val="20"/>
          <w:highlight w:val="none"/>
        </w:rPr>
      </w:pPr>
      <w:r>
        <w:rPr>
          <w:rFonts w:ascii="宋体" w:hAnsi="宋体" w:eastAsia="宋体" w:cs="宋体"/>
          <w:sz w:val="20"/>
          <w:szCs w:val="20"/>
          <w:highlight w:val="none"/>
        </w:rPr>
        <w:t>各投标人：</w:t>
      </w:r>
    </w:p>
    <w:p w14:paraId="6C252F40">
      <w:pPr>
        <w:spacing w:before="241" w:line="227" w:lineRule="auto"/>
        <w:jc w:val="right"/>
        <w:rPr>
          <w:rFonts w:ascii="宋体" w:hAnsi="宋体" w:eastAsia="宋体" w:cs="宋体"/>
          <w:sz w:val="20"/>
          <w:szCs w:val="20"/>
          <w:highlight w:val="none"/>
        </w:rPr>
      </w:pPr>
      <w:r>
        <w:rPr>
          <w:rFonts w:ascii="宋体" w:hAnsi="宋体" w:eastAsia="宋体" w:cs="宋体"/>
          <w:spacing w:val="9"/>
          <w:position w:val="-1"/>
          <w:sz w:val="20"/>
          <w:szCs w:val="20"/>
          <w:highlight w:val="none"/>
        </w:rPr>
        <w:t>经研究，对</w:t>
      </w:r>
      <w:r>
        <w:rPr>
          <w:rFonts w:ascii="宋体" w:hAnsi="宋体" w:eastAsia="宋体" w:cs="宋体"/>
          <w:spacing w:val="-71"/>
          <w:position w:val="-1"/>
          <w:sz w:val="20"/>
          <w:szCs w:val="20"/>
          <w:highlight w:val="none"/>
        </w:rPr>
        <w:t xml:space="preserve"> </w:t>
      </w:r>
      <w:r>
        <w:rPr>
          <w:rFonts w:ascii="宋体" w:hAnsi="宋体" w:eastAsia="宋体" w:cs="宋体"/>
          <w:spacing w:val="5"/>
          <w:position w:val="-1"/>
          <w:sz w:val="20"/>
          <w:szCs w:val="20"/>
          <w:highlight w:val="none"/>
          <w:u w:val="single" w:color="auto"/>
        </w:rPr>
        <w:t xml:space="preserve">       </w:t>
      </w:r>
      <w:r>
        <w:rPr>
          <w:rFonts w:ascii="宋体" w:hAnsi="宋体" w:eastAsia="宋体" w:cs="宋体"/>
          <w:spacing w:val="-35"/>
          <w:position w:val="-1"/>
          <w:sz w:val="20"/>
          <w:szCs w:val="20"/>
          <w:highlight w:val="none"/>
        </w:rPr>
        <w:t xml:space="preserve"> </w:t>
      </w:r>
      <w:r>
        <w:rPr>
          <w:rFonts w:ascii="宋体" w:hAnsi="宋体" w:eastAsia="宋体" w:cs="宋体"/>
          <w:spacing w:val="9"/>
          <w:sz w:val="20"/>
          <w:szCs w:val="20"/>
          <w:highlight w:val="none"/>
        </w:rPr>
        <w:t>(项目名称)</w:t>
      </w:r>
      <w:r>
        <w:rPr>
          <w:rFonts w:ascii="宋体" w:hAnsi="宋体" w:eastAsia="宋体" w:cs="宋体"/>
          <w:spacing w:val="-93"/>
          <w:sz w:val="20"/>
          <w:szCs w:val="20"/>
          <w:highlight w:val="none"/>
        </w:rPr>
        <w:t xml:space="preserve"> </w:t>
      </w:r>
      <w:r>
        <w:rPr>
          <w:rFonts w:ascii="宋体" w:hAnsi="宋体" w:eastAsia="宋体" w:cs="宋体"/>
          <w:spacing w:val="20"/>
          <w:sz w:val="20"/>
          <w:szCs w:val="20"/>
          <w:highlight w:val="none"/>
          <w:u w:val="single" w:color="auto"/>
        </w:rPr>
        <w:t xml:space="preserve">    </w:t>
      </w:r>
      <w:r>
        <w:rPr>
          <w:rFonts w:ascii="宋体" w:hAnsi="宋体" w:eastAsia="宋体" w:cs="宋体"/>
          <w:spacing w:val="-60"/>
          <w:sz w:val="20"/>
          <w:szCs w:val="20"/>
          <w:highlight w:val="none"/>
        </w:rPr>
        <w:t xml:space="preserve"> </w:t>
      </w:r>
      <w:r>
        <w:rPr>
          <w:rFonts w:ascii="宋体" w:hAnsi="宋体" w:eastAsia="宋体" w:cs="宋体"/>
          <w:spacing w:val="9"/>
          <w:sz w:val="20"/>
          <w:szCs w:val="20"/>
          <w:highlight w:val="none"/>
        </w:rPr>
        <w:t>(标段名称)工程总承包招标文件，作如</w:t>
      </w:r>
      <w:r>
        <w:rPr>
          <w:rFonts w:ascii="宋体" w:hAnsi="宋体" w:eastAsia="宋体" w:cs="宋体"/>
          <w:spacing w:val="8"/>
          <w:sz w:val="20"/>
          <w:szCs w:val="20"/>
          <w:highlight w:val="none"/>
        </w:rPr>
        <w:t>下澄清：</w:t>
      </w:r>
    </w:p>
    <w:p w14:paraId="1C95830B">
      <w:pPr>
        <w:spacing w:line="174" w:lineRule="exact"/>
        <w:rPr>
          <w:highlight w:val="none"/>
        </w:rPr>
      </w:pPr>
    </w:p>
    <w:p w14:paraId="54C2F790">
      <w:pPr>
        <w:spacing w:line="174" w:lineRule="exact"/>
        <w:rPr>
          <w:highlight w:val="none"/>
        </w:rPr>
        <w:sectPr>
          <w:footerReference r:id="rId46" w:type="default"/>
          <w:pgSz w:w="11910" w:h="16840"/>
          <w:pgMar w:top="400" w:right="1739" w:bottom="1231" w:left="1769" w:header="0" w:footer="970" w:gutter="0"/>
          <w:cols w:equalWidth="0" w:num="1">
            <w:col w:w="8401"/>
          </w:cols>
        </w:sectPr>
      </w:pPr>
    </w:p>
    <w:p w14:paraId="76B277D7">
      <w:pPr>
        <w:spacing w:before="40" w:line="443" w:lineRule="auto"/>
        <w:ind w:left="530"/>
        <w:rPr>
          <w:rFonts w:ascii="宋体" w:hAnsi="宋体" w:eastAsia="宋体" w:cs="宋体"/>
          <w:sz w:val="20"/>
          <w:szCs w:val="20"/>
          <w:highlight w:val="none"/>
        </w:rPr>
      </w:pPr>
      <w:r>
        <w:rPr>
          <w:rFonts w:ascii="宋体" w:hAnsi="宋体" w:eastAsia="宋体" w:cs="宋体"/>
          <w:spacing w:val="-12"/>
          <w:sz w:val="20"/>
          <w:szCs w:val="20"/>
          <w:highlight w:val="none"/>
        </w:rPr>
        <w:t>1.</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2.</w:t>
      </w:r>
    </w:p>
    <w:p w14:paraId="1B79E549">
      <w:pPr>
        <w:pStyle w:val="2"/>
        <w:spacing w:line="14" w:lineRule="auto"/>
        <w:rPr>
          <w:sz w:val="2"/>
          <w:highlight w:val="none"/>
        </w:rPr>
      </w:pPr>
      <w:r>
        <w:rPr>
          <w:sz w:val="2"/>
          <w:szCs w:val="2"/>
          <w:highlight w:val="none"/>
        </w:rPr>
        <w:br w:type="column"/>
      </w:r>
    </w:p>
    <w:p w14:paraId="1BFBA40B">
      <w:pPr>
        <w:spacing w:before="38" w:line="443" w:lineRule="auto"/>
        <w:ind w:left="12" w:right="7280" w:hanging="12"/>
        <w:rPr>
          <w:rFonts w:ascii="宋体" w:hAnsi="宋体" w:eastAsia="宋体" w:cs="宋体"/>
          <w:sz w:val="20"/>
          <w:szCs w:val="20"/>
          <w:highlight w:val="none"/>
        </w:rPr>
      </w:pPr>
      <w:r>
        <w:rPr>
          <w:rFonts w:ascii="宋体" w:hAnsi="宋体" w:eastAsia="宋体" w:cs="宋体"/>
          <w:spacing w:val="-11"/>
          <w:sz w:val="20"/>
          <w:szCs w:val="20"/>
          <w:highlight w:val="none"/>
        </w:rPr>
        <w:t>……</w:t>
      </w:r>
      <w:r>
        <w:rPr>
          <w:rFonts w:ascii="宋体" w:hAnsi="宋体" w:eastAsia="宋体" w:cs="宋体"/>
          <w:sz w:val="20"/>
          <w:szCs w:val="20"/>
          <w:highlight w:val="none"/>
        </w:rPr>
        <w:t xml:space="preserve"> </w:t>
      </w:r>
      <w:r>
        <w:rPr>
          <w:rFonts w:ascii="宋体" w:hAnsi="宋体" w:eastAsia="宋体" w:cs="宋体"/>
          <w:spacing w:val="-11"/>
          <w:sz w:val="20"/>
          <w:szCs w:val="20"/>
          <w:highlight w:val="none"/>
        </w:rPr>
        <w:t>……</w:t>
      </w:r>
    </w:p>
    <w:p w14:paraId="1C523973">
      <w:pPr>
        <w:spacing w:line="443" w:lineRule="auto"/>
        <w:rPr>
          <w:rFonts w:ascii="宋体" w:hAnsi="宋体" w:eastAsia="宋体" w:cs="宋体"/>
          <w:sz w:val="20"/>
          <w:szCs w:val="20"/>
          <w:highlight w:val="none"/>
        </w:rPr>
        <w:sectPr>
          <w:type w:val="continuous"/>
          <w:pgSz w:w="11910" w:h="16840"/>
          <w:pgMar w:top="400" w:right="1739" w:bottom="1231" w:left="1769" w:header="0" w:footer="970" w:gutter="0"/>
          <w:cols w:equalWidth="0" w:num="2">
            <w:col w:w="721" w:space="8"/>
            <w:col w:w="7673"/>
          </w:cols>
        </w:sectPr>
      </w:pPr>
    </w:p>
    <w:p w14:paraId="008A17B3">
      <w:pPr>
        <w:pStyle w:val="2"/>
        <w:spacing w:line="254" w:lineRule="auto"/>
        <w:rPr>
          <w:highlight w:val="none"/>
        </w:rPr>
      </w:pPr>
    </w:p>
    <w:p w14:paraId="497E6255">
      <w:pPr>
        <w:pStyle w:val="2"/>
        <w:spacing w:line="254" w:lineRule="auto"/>
        <w:rPr>
          <w:highlight w:val="none"/>
        </w:rPr>
      </w:pPr>
    </w:p>
    <w:p w14:paraId="0E19BB60">
      <w:pPr>
        <w:pStyle w:val="2"/>
        <w:spacing w:line="254" w:lineRule="auto"/>
        <w:rPr>
          <w:highlight w:val="none"/>
        </w:rPr>
      </w:pPr>
    </w:p>
    <w:p w14:paraId="6555DA90">
      <w:pPr>
        <w:pStyle w:val="2"/>
        <w:spacing w:line="254" w:lineRule="auto"/>
        <w:rPr>
          <w:highlight w:val="none"/>
        </w:rPr>
      </w:pPr>
    </w:p>
    <w:p w14:paraId="5BD0D7DA">
      <w:pPr>
        <w:pStyle w:val="2"/>
        <w:spacing w:line="254" w:lineRule="auto"/>
        <w:rPr>
          <w:highlight w:val="none"/>
        </w:rPr>
      </w:pPr>
    </w:p>
    <w:p w14:paraId="20C9C23B">
      <w:pPr>
        <w:pStyle w:val="2"/>
        <w:spacing w:line="254" w:lineRule="auto"/>
        <w:rPr>
          <w:highlight w:val="none"/>
        </w:rPr>
      </w:pPr>
    </w:p>
    <w:p w14:paraId="4CA23BFD">
      <w:pPr>
        <w:pStyle w:val="2"/>
        <w:spacing w:line="254" w:lineRule="auto"/>
        <w:rPr>
          <w:highlight w:val="none"/>
        </w:rPr>
      </w:pPr>
    </w:p>
    <w:p w14:paraId="31E65B39">
      <w:pPr>
        <w:pStyle w:val="2"/>
        <w:spacing w:line="254" w:lineRule="auto"/>
        <w:rPr>
          <w:highlight w:val="none"/>
        </w:rPr>
      </w:pPr>
    </w:p>
    <w:p w14:paraId="5342DAD5">
      <w:pPr>
        <w:pStyle w:val="2"/>
        <w:spacing w:line="254" w:lineRule="auto"/>
        <w:rPr>
          <w:highlight w:val="none"/>
        </w:rPr>
      </w:pPr>
    </w:p>
    <w:p w14:paraId="1D911429">
      <w:pPr>
        <w:pStyle w:val="2"/>
        <w:spacing w:line="255" w:lineRule="auto"/>
        <w:rPr>
          <w:highlight w:val="none"/>
        </w:rPr>
      </w:pPr>
    </w:p>
    <w:p w14:paraId="39673B07">
      <w:pPr>
        <w:pStyle w:val="2"/>
        <w:spacing w:line="255" w:lineRule="auto"/>
        <w:rPr>
          <w:highlight w:val="none"/>
        </w:rPr>
      </w:pPr>
    </w:p>
    <w:p w14:paraId="03C1C5D1">
      <w:pPr>
        <w:spacing w:before="65" w:line="220" w:lineRule="auto"/>
        <w:ind w:left="3910"/>
        <w:rPr>
          <w:rFonts w:ascii="宋体" w:hAnsi="宋体" w:eastAsia="宋体" w:cs="宋体"/>
          <w:sz w:val="20"/>
          <w:szCs w:val="20"/>
          <w:highlight w:val="none"/>
        </w:rPr>
      </w:pPr>
      <w:r>
        <w:rPr>
          <w:rFonts w:ascii="宋体" w:hAnsi="宋体" w:eastAsia="宋体" w:cs="宋体"/>
          <w:spacing w:val="6"/>
          <w:sz w:val="20"/>
          <w:szCs w:val="20"/>
          <w:highlight w:val="none"/>
        </w:rPr>
        <w:t>招标人：</w:t>
      </w:r>
      <w:r>
        <w:rPr>
          <w:rFonts w:ascii="宋体" w:hAnsi="宋体" w:eastAsia="宋体" w:cs="宋体"/>
          <w:spacing w:val="-52"/>
          <w:sz w:val="20"/>
          <w:szCs w:val="20"/>
          <w:highlight w:val="none"/>
        </w:rPr>
        <w:t xml:space="preserve"> </w:t>
      </w:r>
      <w:r>
        <w:rPr>
          <w:rFonts w:ascii="宋体" w:hAnsi="宋体" w:eastAsia="宋体" w:cs="宋体"/>
          <w:spacing w:val="6"/>
          <w:sz w:val="20"/>
          <w:szCs w:val="20"/>
          <w:highlight w:val="none"/>
          <w:u w:val="single" w:color="auto"/>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5"/>
          <w:sz w:val="20"/>
          <w:szCs w:val="20"/>
          <w:highlight w:val="none"/>
        </w:rPr>
        <w:t xml:space="preserve"> (盖单位章)</w:t>
      </w:r>
    </w:p>
    <w:p w14:paraId="5C1800FA">
      <w:pPr>
        <w:pStyle w:val="2"/>
        <w:spacing w:line="319" w:lineRule="auto"/>
        <w:rPr>
          <w:highlight w:val="none"/>
        </w:rPr>
      </w:pPr>
    </w:p>
    <w:p w14:paraId="4605EDB0">
      <w:pPr>
        <w:pStyle w:val="2"/>
        <w:spacing w:line="320" w:lineRule="auto"/>
        <w:rPr>
          <w:highlight w:val="none"/>
        </w:rPr>
      </w:pPr>
    </w:p>
    <w:p w14:paraId="37F5AC01">
      <w:pPr>
        <w:tabs>
          <w:tab w:val="left" w:pos="6430"/>
        </w:tabs>
        <w:spacing w:before="65" w:line="223" w:lineRule="auto"/>
        <w:ind w:left="5480"/>
        <w:rPr>
          <w:rFonts w:ascii="宋体" w:hAnsi="宋体" w:eastAsia="宋体" w:cs="宋体"/>
          <w:sz w:val="20"/>
          <w:szCs w:val="20"/>
          <w:highlight w:val="none"/>
        </w:rPr>
      </w:pPr>
      <w:r>
        <w:rPr>
          <w:rFonts w:ascii="宋体" w:hAnsi="宋体" w:eastAsia="宋体" w:cs="宋体"/>
          <w:position w:val="-1"/>
          <w:sz w:val="20"/>
          <w:szCs w:val="20"/>
          <w:highlight w:val="none"/>
          <w:u w:val="single" w:color="auto"/>
        </w:rPr>
        <w:tab/>
      </w:r>
      <w:r>
        <w:rPr>
          <w:rFonts w:ascii="宋体" w:hAnsi="宋体" w:eastAsia="宋体" w:cs="宋体"/>
          <w:spacing w:val="-5"/>
          <w:position w:val="-1"/>
          <w:sz w:val="20"/>
          <w:szCs w:val="20"/>
          <w:highlight w:val="none"/>
        </w:rPr>
        <w:t>年</w:t>
      </w:r>
      <w:r>
        <w:rPr>
          <w:rFonts w:ascii="宋体" w:hAnsi="宋体" w:eastAsia="宋体" w:cs="宋体"/>
          <w:spacing w:val="-6"/>
          <w:position w:val="-1"/>
          <w:sz w:val="20"/>
          <w:szCs w:val="20"/>
          <w:highlight w:val="none"/>
        </w:rPr>
        <w:t xml:space="preserve"> </w:t>
      </w:r>
      <w:r>
        <w:rPr>
          <w:rFonts w:ascii="宋体" w:hAnsi="宋体" w:eastAsia="宋体" w:cs="宋体"/>
          <w:spacing w:val="16"/>
          <w:position w:val="-1"/>
          <w:sz w:val="20"/>
          <w:szCs w:val="20"/>
          <w:highlight w:val="none"/>
          <w:u w:val="single" w:color="auto"/>
        </w:rPr>
        <w:t xml:space="preserve">     </w:t>
      </w:r>
      <w:r>
        <w:rPr>
          <w:rFonts w:ascii="宋体" w:hAnsi="宋体" w:eastAsia="宋体" w:cs="宋体"/>
          <w:spacing w:val="-30"/>
          <w:position w:val="-1"/>
          <w:sz w:val="20"/>
          <w:szCs w:val="20"/>
          <w:highlight w:val="none"/>
        </w:rPr>
        <w:t xml:space="preserve"> </w:t>
      </w:r>
      <w:r>
        <w:rPr>
          <w:rFonts w:ascii="宋体" w:hAnsi="宋体" w:eastAsia="宋体" w:cs="宋体"/>
          <w:spacing w:val="-5"/>
          <w:sz w:val="20"/>
          <w:szCs w:val="20"/>
          <w:highlight w:val="none"/>
        </w:rPr>
        <w:t>月</w:t>
      </w:r>
      <w:r>
        <w:rPr>
          <w:rFonts w:ascii="宋体" w:hAnsi="宋体" w:eastAsia="宋体" w:cs="宋体"/>
          <w:spacing w:val="-5"/>
          <w:sz w:val="20"/>
          <w:szCs w:val="20"/>
          <w:highlight w:val="none"/>
          <w:u w:val="single" w:color="auto"/>
        </w:rPr>
        <w:t xml:space="preserve">      </w:t>
      </w:r>
      <w:r>
        <w:rPr>
          <w:rFonts w:ascii="宋体" w:hAnsi="宋体" w:eastAsia="宋体" w:cs="宋体"/>
          <w:spacing w:val="-90"/>
          <w:sz w:val="20"/>
          <w:szCs w:val="20"/>
          <w:highlight w:val="none"/>
        </w:rPr>
        <w:t xml:space="preserve"> </w:t>
      </w:r>
      <w:r>
        <w:rPr>
          <w:rFonts w:ascii="宋体" w:hAnsi="宋体" w:eastAsia="宋体" w:cs="宋体"/>
          <w:spacing w:val="-5"/>
          <w:position w:val="1"/>
          <w:sz w:val="20"/>
          <w:szCs w:val="20"/>
          <w:highlight w:val="none"/>
        </w:rPr>
        <w:t>日</w:t>
      </w:r>
    </w:p>
    <w:p w14:paraId="3427B418">
      <w:pPr>
        <w:pStyle w:val="2"/>
        <w:spacing w:line="264" w:lineRule="auto"/>
        <w:rPr>
          <w:highlight w:val="none"/>
        </w:rPr>
      </w:pPr>
    </w:p>
    <w:p w14:paraId="1F13704E">
      <w:pPr>
        <w:pStyle w:val="2"/>
        <w:spacing w:line="264" w:lineRule="auto"/>
        <w:rPr>
          <w:highlight w:val="none"/>
        </w:rPr>
      </w:pPr>
    </w:p>
    <w:p w14:paraId="680CD39F">
      <w:pPr>
        <w:pStyle w:val="2"/>
        <w:spacing w:line="264" w:lineRule="auto"/>
        <w:rPr>
          <w:highlight w:val="none"/>
        </w:rPr>
      </w:pPr>
    </w:p>
    <w:p w14:paraId="1EDBB634">
      <w:pPr>
        <w:pStyle w:val="2"/>
        <w:spacing w:line="265" w:lineRule="auto"/>
        <w:rPr>
          <w:highlight w:val="none"/>
        </w:rPr>
      </w:pPr>
    </w:p>
    <w:p w14:paraId="3D7D4E85">
      <w:pPr>
        <w:pStyle w:val="2"/>
        <w:spacing w:line="265" w:lineRule="auto"/>
        <w:rPr>
          <w:highlight w:val="none"/>
        </w:rPr>
      </w:pPr>
    </w:p>
    <w:p w14:paraId="0503D3E0">
      <w:pPr>
        <w:pStyle w:val="2"/>
        <w:spacing w:line="265" w:lineRule="auto"/>
        <w:rPr>
          <w:highlight w:val="none"/>
        </w:rPr>
      </w:pPr>
    </w:p>
    <w:p w14:paraId="0CD5A244">
      <w:pPr>
        <w:spacing w:before="65" w:line="455" w:lineRule="auto"/>
        <w:ind w:left="650" w:right="61" w:hanging="620"/>
        <w:rPr>
          <w:rFonts w:ascii="宋体" w:hAnsi="宋体" w:eastAsia="宋体" w:cs="宋体"/>
          <w:sz w:val="20"/>
          <w:szCs w:val="20"/>
          <w:highlight w:val="none"/>
        </w:rPr>
      </w:pPr>
      <w:r>
        <w:rPr>
          <w:rFonts w:ascii="宋体" w:hAnsi="宋体" w:eastAsia="宋体" w:cs="宋体"/>
          <w:spacing w:val="8"/>
          <w:sz w:val="20"/>
          <w:szCs w:val="20"/>
          <w:highlight w:val="none"/>
        </w:rPr>
        <w:t>备注：招标人对招标文件有关问题澄清时，适用于本格式。招</w:t>
      </w:r>
      <w:r>
        <w:rPr>
          <w:rFonts w:ascii="宋体" w:hAnsi="宋体" w:eastAsia="宋体" w:cs="宋体"/>
          <w:spacing w:val="7"/>
          <w:sz w:val="20"/>
          <w:szCs w:val="20"/>
          <w:highlight w:val="none"/>
        </w:rPr>
        <w:t>标人可根据需要将附表二与附</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表三内容合并发出。</w:t>
      </w:r>
    </w:p>
    <w:p w14:paraId="1B8DF274">
      <w:pPr>
        <w:pStyle w:val="2"/>
        <w:spacing w:line="284" w:lineRule="auto"/>
        <w:rPr>
          <w:highlight w:val="none"/>
        </w:rPr>
      </w:pPr>
    </w:p>
    <w:p w14:paraId="300B8EC9">
      <w:pPr>
        <w:pStyle w:val="2"/>
        <w:spacing w:line="285" w:lineRule="auto"/>
        <w:rPr>
          <w:highlight w:val="none"/>
        </w:rPr>
      </w:pPr>
    </w:p>
    <w:p w14:paraId="17477748">
      <w:pPr>
        <w:pStyle w:val="2"/>
        <w:spacing w:line="285" w:lineRule="auto"/>
        <w:rPr>
          <w:highlight w:val="none"/>
        </w:rPr>
      </w:pPr>
    </w:p>
    <w:p w14:paraId="2657E39D">
      <w:pPr>
        <w:spacing w:before="65" w:line="187" w:lineRule="auto"/>
        <w:ind w:left="30"/>
        <w:outlineLvl w:val="1"/>
        <w:rPr>
          <w:rFonts w:ascii="黑体" w:hAnsi="黑体" w:eastAsia="黑体" w:cs="黑体"/>
          <w:sz w:val="20"/>
          <w:szCs w:val="20"/>
          <w:highlight w:val="none"/>
        </w:rPr>
      </w:pPr>
      <w:bookmarkStart w:id="47" w:name="bookmark20"/>
      <w:bookmarkEnd w:id="47"/>
      <w:r>
        <w:rPr>
          <w:rFonts w:ascii="黑体" w:hAnsi="黑体" w:eastAsia="黑体" w:cs="黑体"/>
          <w:spacing w:val="38"/>
          <w:sz w:val="20"/>
          <w:szCs w:val="20"/>
          <w:highlight w:val="none"/>
        </w:rPr>
        <w:t>附表三：招标文件修改通知</w:t>
      </w:r>
    </w:p>
    <w:p w14:paraId="18746838">
      <w:pPr>
        <w:spacing w:line="187" w:lineRule="auto"/>
        <w:rPr>
          <w:rFonts w:ascii="黑体" w:hAnsi="黑体" w:eastAsia="黑体" w:cs="黑体"/>
          <w:sz w:val="20"/>
          <w:szCs w:val="20"/>
          <w:highlight w:val="none"/>
        </w:rPr>
        <w:sectPr>
          <w:type w:val="continuous"/>
          <w:pgSz w:w="11910" w:h="16840"/>
          <w:pgMar w:top="400" w:right="1739" w:bottom="1231" w:left="1769" w:header="0" w:footer="970" w:gutter="0"/>
          <w:cols w:equalWidth="0" w:num="1">
            <w:col w:w="8401"/>
          </w:cols>
        </w:sectPr>
      </w:pPr>
    </w:p>
    <w:p w14:paraId="6E603F87">
      <w:pPr>
        <w:pStyle w:val="2"/>
        <w:spacing w:line="277" w:lineRule="auto"/>
        <w:rPr>
          <w:highlight w:val="none"/>
        </w:rPr>
      </w:pPr>
    </w:p>
    <w:p w14:paraId="0AE41B70">
      <w:pPr>
        <w:pStyle w:val="2"/>
        <w:spacing w:line="278" w:lineRule="auto"/>
        <w:rPr>
          <w:highlight w:val="none"/>
        </w:rPr>
      </w:pPr>
    </w:p>
    <w:p w14:paraId="28DA4A3E">
      <w:pPr>
        <w:pStyle w:val="2"/>
        <w:spacing w:line="278" w:lineRule="auto"/>
        <w:rPr>
          <w:highlight w:val="none"/>
        </w:rPr>
      </w:pPr>
    </w:p>
    <w:p w14:paraId="5A20477C">
      <w:pPr>
        <w:pStyle w:val="2"/>
        <w:spacing w:line="278" w:lineRule="auto"/>
        <w:rPr>
          <w:highlight w:val="none"/>
        </w:rPr>
      </w:pPr>
    </w:p>
    <w:p w14:paraId="1168FD99">
      <w:pPr>
        <w:spacing w:before="91" w:line="222" w:lineRule="auto"/>
        <w:ind w:left="3023"/>
        <w:rPr>
          <w:rFonts w:ascii="黑体" w:hAnsi="黑体" w:eastAsia="黑体" w:cs="黑体"/>
          <w:sz w:val="28"/>
          <w:szCs w:val="28"/>
          <w:highlight w:val="none"/>
        </w:rPr>
      </w:pPr>
      <w:bookmarkStart w:id="48" w:name="bookmark210"/>
      <w:bookmarkEnd w:id="48"/>
      <w:r>
        <w:rPr>
          <w:rFonts w:ascii="黑体" w:hAnsi="黑体" w:eastAsia="黑体" w:cs="黑体"/>
          <w:spacing w:val="5"/>
          <w:sz w:val="28"/>
          <w:szCs w:val="28"/>
          <w:highlight w:val="none"/>
        </w:rPr>
        <w:t>招标文件修改通知</w:t>
      </w:r>
    </w:p>
    <w:p w14:paraId="794776FA">
      <w:pPr>
        <w:pStyle w:val="2"/>
        <w:spacing w:line="284" w:lineRule="auto"/>
        <w:rPr>
          <w:highlight w:val="none"/>
        </w:rPr>
      </w:pPr>
    </w:p>
    <w:p w14:paraId="57637F6C">
      <w:pPr>
        <w:pStyle w:val="2"/>
        <w:spacing w:line="285" w:lineRule="auto"/>
        <w:rPr>
          <w:highlight w:val="none"/>
        </w:rPr>
      </w:pPr>
    </w:p>
    <w:p w14:paraId="4F20977E">
      <w:pPr>
        <w:pStyle w:val="2"/>
        <w:spacing w:line="285" w:lineRule="auto"/>
        <w:rPr>
          <w:highlight w:val="none"/>
        </w:rPr>
      </w:pPr>
    </w:p>
    <w:p w14:paraId="3F4EA57B">
      <w:pPr>
        <w:pStyle w:val="2"/>
        <w:spacing w:line="285" w:lineRule="auto"/>
        <w:rPr>
          <w:highlight w:val="none"/>
        </w:rPr>
      </w:pPr>
    </w:p>
    <w:p w14:paraId="6AC148B1">
      <w:pPr>
        <w:spacing w:before="65" w:line="219" w:lineRule="auto"/>
        <w:ind w:left="6013"/>
        <w:rPr>
          <w:rFonts w:ascii="宋体" w:hAnsi="宋体" w:eastAsia="宋体" w:cs="宋体"/>
          <w:sz w:val="20"/>
          <w:szCs w:val="20"/>
          <w:highlight w:val="none"/>
        </w:rPr>
      </w:pPr>
      <w:r>
        <w:rPr>
          <w:rFonts w:ascii="宋体" w:hAnsi="宋体" w:eastAsia="宋体" w:cs="宋体"/>
          <w:sz w:val="20"/>
          <w:szCs w:val="20"/>
          <w:highlight w:val="none"/>
        </w:rPr>
        <w:t>编号：</w:t>
      </w:r>
      <w:r>
        <w:rPr>
          <w:rFonts w:ascii="宋体" w:hAnsi="宋体" w:eastAsia="宋体" w:cs="宋体"/>
          <w:sz w:val="20"/>
          <w:szCs w:val="20"/>
          <w:highlight w:val="none"/>
          <w:u w:val="single" w:color="auto"/>
        </w:rPr>
        <w:t xml:space="preserve">              </w:t>
      </w:r>
    </w:p>
    <w:p w14:paraId="62FD8621">
      <w:pPr>
        <w:pStyle w:val="2"/>
        <w:spacing w:line="281" w:lineRule="auto"/>
        <w:rPr>
          <w:highlight w:val="none"/>
        </w:rPr>
      </w:pPr>
    </w:p>
    <w:p w14:paraId="7C925E16">
      <w:pPr>
        <w:pStyle w:val="2"/>
        <w:spacing w:line="281" w:lineRule="auto"/>
        <w:rPr>
          <w:highlight w:val="none"/>
        </w:rPr>
      </w:pPr>
    </w:p>
    <w:p w14:paraId="3C411819">
      <w:pPr>
        <w:pStyle w:val="2"/>
        <w:spacing w:line="281" w:lineRule="auto"/>
        <w:rPr>
          <w:highlight w:val="none"/>
        </w:rPr>
      </w:pPr>
    </w:p>
    <w:p w14:paraId="59119C8A">
      <w:pPr>
        <w:spacing w:before="65" w:line="220" w:lineRule="auto"/>
        <w:ind w:left="3"/>
        <w:rPr>
          <w:rFonts w:ascii="宋体" w:hAnsi="宋体" w:eastAsia="宋体" w:cs="宋体"/>
          <w:sz w:val="20"/>
          <w:szCs w:val="20"/>
          <w:highlight w:val="none"/>
        </w:rPr>
      </w:pPr>
      <w:r>
        <w:rPr>
          <w:rFonts w:ascii="宋体" w:hAnsi="宋体" w:eastAsia="宋体" w:cs="宋体"/>
          <w:spacing w:val="-2"/>
          <w:sz w:val="20"/>
          <w:szCs w:val="20"/>
          <w:highlight w:val="none"/>
        </w:rPr>
        <w:t>各投标人：</w:t>
      </w:r>
    </w:p>
    <w:p w14:paraId="7EB39F23">
      <w:pPr>
        <w:pStyle w:val="2"/>
        <w:spacing w:line="244" w:lineRule="auto"/>
        <w:rPr>
          <w:highlight w:val="none"/>
        </w:rPr>
      </w:pPr>
    </w:p>
    <w:p w14:paraId="24397C58">
      <w:pPr>
        <w:spacing w:before="65" w:line="227" w:lineRule="auto"/>
        <w:jc w:val="right"/>
        <w:rPr>
          <w:rFonts w:ascii="宋体" w:hAnsi="宋体" w:eastAsia="宋体" w:cs="宋体"/>
          <w:sz w:val="20"/>
          <w:szCs w:val="20"/>
          <w:highlight w:val="none"/>
        </w:rPr>
      </w:pPr>
      <w:r>
        <w:rPr>
          <w:highlight w:val="none"/>
        </w:rPr>
        <w:drawing>
          <wp:anchor distT="0" distB="0" distL="0" distR="0" simplePos="0" relativeHeight="251659264" behindDoc="0" locked="0" layoutInCell="1" allowOverlap="1">
            <wp:simplePos x="0" y="0"/>
            <wp:positionH relativeFrom="column">
              <wp:posOffset>986155</wp:posOffset>
            </wp:positionH>
            <wp:positionV relativeFrom="paragraph">
              <wp:posOffset>180975</wp:posOffset>
            </wp:positionV>
            <wp:extent cx="1511300" cy="127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07"/>
                    <a:stretch>
                      <a:fillRect/>
                    </a:stretch>
                  </pic:blipFill>
                  <pic:spPr>
                    <a:xfrm>
                      <a:off x="0" y="0"/>
                      <a:ext cx="1511284" cy="12658"/>
                    </a:xfrm>
                    <a:prstGeom prst="rect">
                      <a:avLst/>
                    </a:prstGeom>
                  </pic:spPr>
                </pic:pic>
              </a:graphicData>
            </a:graphic>
          </wp:anchor>
        </w:drawing>
      </w:r>
      <w:r>
        <w:rPr>
          <w:rFonts w:ascii="宋体" w:hAnsi="宋体" w:eastAsia="宋体" w:cs="宋体"/>
          <w:spacing w:val="6"/>
          <w:position w:val="-1"/>
          <w:sz w:val="20"/>
          <w:szCs w:val="20"/>
          <w:highlight w:val="none"/>
        </w:rPr>
        <w:t xml:space="preserve">经研究，对       </w:t>
      </w:r>
      <w:r>
        <w:rPr>
          <w:rFonts w:ascii="宋体" w:hAnsi="宋体" w:eastAsia="宋体" w:cs="宋体"/>
          <w:spacing w:val="6"/>
          <w:sz w:val="20"/>
          <w:szCs w:val="20"/>
          <w:highlight w:val="none"/>
        </w:rPr>
        <w:t>_</w:t>
      </w:r>
      <w:r>
        <w:rPr>
          <w:rFonts w:ascii="宋体" w:hAnsi="宋体" w:eastAsia="宋体" w:cs="宋体"/>
          <w:spacing w:val="-37"/>
          <w:sz w:val="20"/>
          <w:szCs w:val="20"/>
          <w:highlight w:val="none"/>
        </w:rPr>
        <w:t xml:space="preserve"> </w:t>
      </w:r>
      <w:r>
        <w:rPr>
          <w:rFonts w:ascii="宋体" w:hAnsi="宋体" w:eastAsia="宋体" w:cs="宋体"/>
          <w:spacing w:val="6"/>
          <w:sz w:val="20"/>
          <w:szCs w:val="20"/>
          <w:highlight w:val="none"/>
        </w:rPr>
        <w:t>(项目名称)     (标段名称)工程总承包招标文件，作如下修改：</w:t>
      </w:r>
    </w:p>
    <w:p w14:paraId="0DE16DE4">
      <w:pPr>
        <w:spacing w:before="304" w:line="239" w:lineRule="auto"/>
        <w:ind w:left="533"/>
        <w:rPr>
          <w:rFonts w:ascii="宋体" w:hAnsi="宋体" w:eastAsia="宋体" w:cs="宋体"/>
          <w:sz w:val="20"/>
          <w:szCs w:val="20"/>
          <w:highlight w:val="none"/>
        </w:rPr>
      </w:pPr>
      <w:r>
        <w:rPr>
          <w:rFonts w:ascii="宋体" w:hAnsi="宋体" w:eastAsia="宋体" w:cs="宋体"/>
          <w:spacing w:val="-6"/>
          <w:sz w:val="20"/>
          <w:szCs w:val="20"/>
          <w:highlight w:val="none"/>
        </w:rPr>
        <w:t>1.……</w:t>
      </w:r>
    </w:p>
    <w:p w14:paraId="2B8F3FB3">
      <w:pPr>
        <w:spacing w:before="301" w:line="239" w:lineRule="auto"/>
        <w:ind w:left="533"/>
        <w:rPr>
          <w:rFonts w:ascii="宋体" w:hAnsi="宋体" w:eastAsia="宋体" w:cs="宋体"/>
          <w:sz w:val="20"/>
          <w:szCs w:val="20"/>
          <w:highlight w:val="none"/>
        </w:rPr>
      </w:pPr>
      <w:r>
        <w:rPr>
          <w:rFonts w:ascii="宋体" w:hAnsi="宋体" w:eastAsia="宋体" w:cs="宋体"/>
          <w:spacing w:val="-3"/>
          <w:sz w:val="20"/>
          <w:szCs w:val="20"/>
          <w:highlight w:val="none"/>
        </w:rPr>
        <w:t>2.……</w:t>
      </w:r>
    </w:p>
    <w:p w14:paraId="50B0D11F">
      <w:pPr>
        <w:pStyle w:val="2"/>
        <w:spacing w:line="381" w:lineRule="auto"/>
        <w:rPr>
          <w:highlight w:val="none"/>
        </w:rPr>
      </w:pPr>
    </w:p>
    <w:p w14:paraId="0B07D2FD">
      <w:pPr>
        <w:spacing w:before="65" w:line="83" w:lineRule="exact"/>
        <w:ind w:left="513"/>
        <w:rPr>
          <w:rFonts w:ascii="宋体" w:hAnsi="宋体" w:eastAsia="宋体" w:cs="宋体"/>
          <w:sz w:val="20"/>
          <w:szCs w:val="20"/>
          <w:highlight w:val="none"/>
        </w:rPr>
      </w:pPr>
      <w:r>
        <w:rPr>
          <w:rFonts w:ascii="宋体" w:hAnsi="宋体" w:eastAsia="宋体" w:cs="宋体"/>
          <w:spacing w:val="-3"/>
          <w:position w:val="1"/>
          <w:sz w:val="20"/>
          <w:szCs w:val="20"/>
          <w:highlight w:val="none"/>
        </w:rPr>
        <w:t>...</w:t>
      </w:r>
    </w:p>
    <w:p w14:paraId="11F0F9E9">
      <w:pPr>
        <w:pStyle w:val="2"/>
        <w:spacing w:line="251" w:lineRule="auto"/>
        <w:rPr>
          <w:highlight w:val="none"/>
        </w:rPr>
      </w:pPr>
    </w:p>
    <w:p w14:paraId="251E8A4C">
      <w:pPr>
        <w:pStyle w:val="2"/>
        <w:spacing w:line="251" w:lineRule="auto"/>
        <w:rPr>
          <w:highlight w:val="none"/>
        </w:rPr>
      </w:pPr>
    </w:p>
    <w:p w14:paraId="1A23D40E">
      <w:pPr>
        <w:pStyle w:val="2"/>
        <w:spacing w:line="251" w:lineRule="auto"/>
        <w:rPr>
          <w:highlight w:val="none"/>
        </w:rPr>
      </w:pPr>
    </w:p>
    <w:p w14:paraId="14D7403E">
      <w:pPr>
        <w:pStyle w:val="2"/>
        <w:spacing w:line="251" w:lineRule="auto"/>
        <w:rPr>
          <w:highlight w:val="none"/>
        </w:rPr>
      </w:pPr>
    </w:p>
    <w:p w14:paraId="29B8EF10">
      <w:pPr>
        <w:pStyle w:val="2"/>
        <w:spacing w:line="251" w:lineRule="auto"/>
        <w:rPr>
          <w:highlight w:val="none"/>
        </w:rPr>
      </w:pPr>
    </w:p>
    <w:p w14:paraId="5D4536B6">
      <w:pPr>
        <w:pStyle w:val="2"/>
        <w:spacing w:line="251" w:lineRule="auto"/>
        <w:rPr>
          <w:highlight w:val="none"/>
        </w:rPr>
      </w:pPr>
    </w:p>
    <w:p w14:paraId="5E65F1B8">
      <w:pPr>
        <w:spacing w:before="66" w:line="226" w:lineRule="auto"/>
        <w:ind w:left="3893"/>
        <w:rPr>
          <w:rFonts w:ascii="宋体" w:hAnsi="宋体" w:eastAsia="宋体" w:cs="宋体"/>
          <w:sz w:val="20"/>
          <w:szCs w:val="20"/>
          <w:highlight w:val="none"/>
        </w:rPr>
      </w:pPr>
      <w:r>
        <w:rPr>
          <w:rFonts w:ascii="宋体" w:hAnsi="宋体" w:eastAsia="宋体" w:cs="宋体"/>
          <w:spacing w:val="6"/>
          <w:sz w:val="20"/>
          <w:szCs w:val="20"/>
          <w:highlight w:val="none"/>
        </w:rPr>
        <w:t>招标人：</w:t>
      </w:r>
      <w:r>
        <w:rPr>
          <w:rFonts w:ascii="宋体" w:hAnsi="宋体" w:eastAsia="宋体" w:cs="宋体"/>
          <w:spacing w:val="-52"/>
          <w:sz w:val="20"/>
          <w:szCs w:val="20"/>
          <w:highlight w:val="none"/>
        </w:rPr>
        <w:t xml:space="preserve"> </w:t>
      </w:r>
      <w:r>
        <w:rPr>
          <w:rFonts w:ascii="宋体" w:hAnsi="宋体" w:eastAsia="宋体" w:cs="宋体"/>
          <w:spacing w:val="6"/>
          <w:sz w:val="20"/>
          <w:szCs w:val="20"/>
          <w:highlight w:val="none"/>
          <w:u w:val="single" w:color="auto"/>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5"/>
          <w:sz w:val="20"/>
          <w:szCs w:val="20"/>
          <w:highlight w:val="none"/>
        </w:rPr>
        <w:t xml:space="preserve"> (盖单位章)</w:t>
      </w:r>
    </w:p>
    <w:p w14:paraId="0803CAF6">
      <w:pPr>
        <w:pStyle w:val="2"/>
        <w:spacing w:line="319" w:lineRule="auto"/>
        <w:rPr>
          <w:highlight w:val="none"/>
        </w:rPr>
      </w:pPr>
    </w:p>
    <w:p w14:paraId="40006CFE">
      <w:pPr>
        <w:pStyle w:val="2"/>
        <w:spacing w:line="320" w:lineRule="auto"/>
        <w:rPr>
          <w:highlight w:val="none"/>
        </w:rPr>
      </w:pPr>
    </w:p>
    <w:p w14:paraId="31F3B4BD">
      <w:pPr>
        <w:tabs>
          <w:tab w:val="left" w:pos="6412"/>
        </w:tabs>
        <w:spacing w:before="66" w:line="233" w:lineRule="auto"/>
        <w:ind w:left="5463"/>
        <w:rPr>
          <w:rFonts w:ascii="宋体" w:hAnsi="宋体" w:eastAsia="宋体" w:cs="宋体"/>
          <w:sz w:val="20"/>
          <w:szCs w:val="20"/>
          <w:highlight w:val="none"/>
        </w:rPr>
      </w:pPr>
      <w:r>
        <w:rPr>
          <w:rFonts w:ascii="宋体" w:hAnsi="宋体" w:eastAsia="宋体" w:cs="宋体"/>
          <w:position w:val="-1"/>
          <w:sz w:val="20"/>
          <w:szCs w:val="20"/>
          <w:highlight w:val="none"/>
          <w:u w:val="single" w:color="auto"/>
        </w:rPr>
        <w:tab/>
      </w:r>
      <w:r>
        <w:rPr>
          <w:rFonts w:ascii="宋体" w:hAnsi="宋体" w:eastAsia="宋体" w:cs="宋体"/>
          <w:spacing w:val="-5"/>
          <w:position w:val="-1"/>
          <w:sz w:val="20"/>
          <w:szCs w:val="20"/>
          <w:highlight w:val="none"/>
        </w:rPr>
        <w:t>年</w:t>
      </w:r>
      <w:r>
        <w:rPr>
          <w:rFonts w:ascii="宋体" w:hAnsi="宋体" w:eastAsia="宋体" w:cs="宋体"/>
          <w:spacing w:val="-6"/>
          <w:position w:val="-1"/>
          <w:sz w:val="20"/>
          <w:szCs w:val="20"/>
          <w:highlight w:val="none"/>
        </w:rPr>
        <w:t xml:space="preserve"> </w:t>
      </w:r>
      <w:r>
        <w:rPr>
          <w:rFonts w:ascii="宋体" w:hAnsi="宋体" w:eastAsia="宋体" w:cs="宋体"/>
          <w:spacing w:val="14"/>
          <w:position w:val="-1"/>
          <w:sz w:val="20"/>
          <w:szCs w:val="20"/>
          <w:highlight w:val="none"/>
          <w:u w:val="single" w:color="auto"/>
        </w:rPr>
        <w:t xml:space="preserve">     </w:t>
      </w:r>
      <w:r>
        <w:rPr>
          <w:rFonts w:ascii="宋体" w:hAnsi="宋体" w:eastAsia="宋体" w:cs="宋体"/>
          <w:spacing w:val="-20"/>
          <w:position w:val="-1"/>
          <w:sz w:val="20"/>
          <w:szCs w:val="20"/>
          <w:highlight w:val="none"/>
        </w:rPr>
        <w:t xml:space="preserve"> </w:t>
      </w:r>
      <w:r>
        <w:rPr>
          <w:rFonts w:ascii="宋体" w:hAnsi="宋体" w:eastAsia="宋体" w:cs="宋体"/>
          <w:spacing w:val="-5"/>
          <w:sz w:val="20"/>
          <w:szCs w:val="20"/>
          <w:highlight w:val="none"/>
        </w:rPr>
        <w:t>月</w:t>
      </w:r>
      <w:r>
        <w:rPr>
          <w:rFonts w:ascii="宋体" w:hAnsi="宋体" w:eastAsia="宋体" w:cs="宋体"/>
          <w:spacing w:val="-5"/>
          <w:sz w:val="20"/>
          <w:szCs w:val="20"/>
          <w:highlight w:val="none"/>
          <w:u w:val="single" w:color="auto"/>
        </w:rPr>
        <w:t xml:space="preserve">      </w:t>
      </w:r>
      <w:r>
        <w:rPr>
          <w:rFonts w:ascii="宋体" w:hAnsi="宋体" w:eastAsia="宋体" w:cs="宋体"/>
          <w:spacing w:val="-90"/>
          <w:sz w:val="20"/>
          <w:szCs w:val="20"/>
          <w:highlight w:val="none"/>
        </w:rPr>
        <w:t xml:space="preserve"> </w:t>
      </w:r>
      <w:r>
        <w:rPr>
          <w:rFonts w:ascii="宋体" w:hAnsi="宋体" w:eastAsia="宋体" w:cs="宋体"/>
          <w:spacing w:val="-5"/>
          <w:position w:val="1"/>
          <w:sz w:val="20"/>
          <w:szCs w:val="20"/>
          <w:highlight w:val="none"/>
        </w:rPr>
        <w:t>日</w:t>
      </w:r>
    </w:p>
    <w:p w14:paraId="362B6D14">
      <w:pPr>
        <w:pStyle w:val="2"/>
        <w:spacing w:line="264" w:lineRule="auto"/>
        <w:rPr>
          <w:highlight w:val="none"/>
        </w:rPr>
      </w:pPr>
    </w:p>
    <w:p w14:paraId="552B6EF5">
      <w:pPr>
        <w:pStyle w:val="2"/>
        <w:spacing w:line="264" w:lineRule="auto"/>
        <w:rPr>
          <w:highlight w:val="none"/>
        </w:rPr>
      </w:pPr>
    </w:p>
    <w:p w14:paraId="0A125A0D">
      <w:pPr>
        <w:pStyle w:val="2"/>
        <w:spacing w:line="264" w:lineRule="auto"/>
        <w:rPr>
          <w:highlight w:val="none"/>
        </w:rPr>
      </w:pPr>
    </w:p>
    <w:p w14:paraId="274DBA0D">
      <w:pPr>
        <w:pStyle w:val="2"/>
        <w:spacing w:line="264" w:lineRule="auto"/>
        <w:rPr>
          <w:highlight w:val="none"/>
        </w:rPr>
      </w:pPr>
    </w:p>
    <w:p w14:paraId="3C93CA24">
      <w:pPr>
        <w:pStyle w:val="2"/>
        <w:spacing w:line="265" w:lineRule="auto"/>
        <w:rPr>
          <w:highlight w:val="none"/>
        </w:rPr>
      </w:pPr>
    </w:p>
    <w:p w14:paraId="53BB4066">
      <w:pPr>
        <w:pStyle w:val="2"/>
        <w:spacing w:line="265" w:lineRule="auto"/>
        <w:rPr>
          <w:highlight w:val="none"/>
        </w:rPr>
      </w:pPr>
    </w:p>
    <w:p w14:paraId="35E71E86">
      <w:pPr>
        <w:spacing w:before="65" w:line="219" w:lineRule="auto"/>
        <w:ind w:left="23"/>
        <w:rPr>
          <w:rFonts w:ascii="宋体" w:hAnsi="宋体" w:eastAsia="宋体" w:cs="宋体"/>
          <w:sz w:val="20"/>
          <w:szCs w:val="20"/>
          <w:highlight w:val="none"/>
        </w:rPr>
      </w:pPr>
      <w:r>
        <w:rPr>
          <w:rFonts w:ascii="宋体" w:hAnsi="宋体" w:eastAsia="宋体" w:cs="宋体"/>
          <w:spacing w:val="3"/>
          <w:sz w:val="20"/>
          <w:szCs w:val="20"/>
          <w:highlight w:val="none"/>
        </w:rPr>
        <w:t>备注：招标人对招标文件修改时，适用于本格式。</w:t>
      </w:r>
    </w:p>
    <w:p w14:paraId="2FE8DB5B">
      <w:pPr>
        <w:spacing w:line="219" w:lineRule="auto"/>
        <w:rPr>
          <w:rFonts w:ascii="宋体" w:hAnsi="宋体" w:eastAsia="宋体" w:cs="宋体"/>
          <w:sz w:val="20"/>
          <w:szCs w:val="20"/>
          <w:highlight w:val="none"/>
        </w:rPr>
        <w:sectPr>
          <w:footerReference r:id="rId47" w:type="default"/>
          <w:pgSz w:w="11910" w:h="16840"/>
          <w:pgMar w:top="400" w:right="1760" w:bottom="1231" w:left="1786" w:header="0" w:footer="970" w:gutter="0"/>
          <w:cols w:space="720" w:num="1"/>
        </w:sectPr>
      </w:pPr>
    </w:p>
    <w:p w14:paraId="5115288A">
      <w:pPr>
        <w:pStyle w:val="2"/>
        <w:spacing w:line="263" w:lineRule="auto"/>
        <w:rPr>
          <w:highlight w:val="none"/>
        </w:rPr>
      </w:pPr>
    </w:p>
    <w:p w14:paraId="662B6F7B">
      <w:pPr>
        <w:pStyle w:val="2"/>
        <w:spacing w:line="263" w:lineRule="auto"/>
        <w:rPr>
          <w:highlight w:val="none"/>
        </w:rPr>
      </w:pPr>
    </w:p>
    <w:p w14:paraId="0794009C">
      <w:pPr>
        <w:pStyle w:val="2"/>
        <w:spacing w:line="263" w:lineRule="auto"/>
        <w:rPr>
          <w:highlight w:val="none"/>
        </w:rPr>
      </w:pPr>
    </w:p>
    <w:p w14:paraId="5CC49745">
      <w:pPr>
        <w:pStyle w:val="2"/>
        <w:spacing w:line="264" w:lineRule="auto"/>
        <w:rPr>
          <w:highlight w:val="none"/>
        </w:rPr>
      </w:pPr>
    </w:p>
    <w:p w14:paraId="0713DA99">
      <w:pPr>
        <w:spacing w:before="78" w:line="221" w:lineRule="auto"/>
        <w:ind w:left="124"/>
        <w:outlineLvl w:val="1"/>
        <w:rPr>
          <w:rFonts w:ascii="黑体" w:hAnsi="黑体" w:eastAsia="黑体" w:cs="黑体"/>
          <w:sz w:val="24"/>
          <w:szCs w:val="24"/>
          <w:highlight w:val="none"/>
        </w:rPr>
      </w:pPr>
      <w:bookmarkStart w:id="49" w:name="bookmark21"/>
      <w:bookmarkEnd w:id="49"/>
      <w:r>
        <w:rPr>
          <w:rFonts w:ascii="黑体" w:hAnsi="黑体" w:eastAsia="黑体" w:cs="黑体"/>
          <w:spacing w:val="-2"/>
          <w:sz w:val="24"/>
          <w:szCs w:val="24"/>
          <w:highlight w:val="none"/>
        </w:rPr>
        <w:t>附表四：投标文件递交签收凭证</w:t>
      </w:r>
    </w:p>
    <w:p w14:paraId="38BA956B">
      <w:pPr>
        <w:pStyle w:val="2"/>
        <w:spacing w:line="315" w:lineRule="auto"/>
        <w:rPr>
          <w:highlight w:val="none"/>
        </w:rPr>
      </w:pPr>
    </w:p>
    <w:p w14:paraId="5DB31216">
      <w:pPr>
        <w:spacing w:before="97" w:line="221" w:lineRule="auto"/>
        <w:ind w:left="2834"/>
        <w:rPr>
          <w:rFonts w:ascii="黑体" w:hAnsi="黑体" w:eastAsia="黑体" w:cs="黑体"/>
          <w:sz w:val="30"/>
          <w:szCs w:val="30"/>
          <w:highlight w:val="none"/>
        </w:rPr>
      </w:pPr>
      <w:bookmarkStart w:id="50" w:name="bookmark211"/>
      <w:bookmarkEnd w:id="50"/>
      <w:r>
        <w:rPr>
          <w:rFonts w:ascii="黑体" w:hAnsi="黑体" w:eastAsia="黑体" w:cs="黑体"/>
          <w:spacing w:val="-16"/>
          <w:sz w:val="30"/>
          <w:szCs w:val="30"/>
          <w:highlight w:val="none"/>
        </w:rPr>
        <w:t>投标文件递交签收凭证</w:t>
      </w:r>
    </w:p>
    <w:p w14:paraId="12BDFFA3">
      <w:pPr>
        <w:pStyle w:val="2"/>
        <w:spacing w:line="303" w:lineRule="auto"/>
        <w:rPr>
          <w:highlight w:val="none"/>
        </w:rPr>
      </w:pPr>
    </w:p>
    <w:p w14:paraId="299F5474">
      <w:pPr>
        <w:pStyle w:val="2"/>
        <w:spacing w:line="304" w:lineRule="auto"/>
        <w:rPr>
          <w:highlight w:val="none"/>
        </w:rPr>
      </w:pPr>
    </w:p>
    <w:p w14:paraId="3968E5B0">
      <w:pPr>
        <w:spacing w:before="69" w:line="219" w:lineRule="auto"/>
        <w:ind w:left="6505"/>
        <w:rPr>
          <w:rFonts w:ascii="宋体" w:hAnsi="宋体" w:eastAsia="宋体" w:cs="宋体"/>
          <w:sz w:val="21"/>
          <w:szCs w:val="21"/>
          <w:highlight w:val="none"/>
        </w:rPr>
      </w:pPr>
      <w:r>
        <w:rPr>
          <w:highlight w:val="none"/>
        </w:rPr>
        <w:drawing>
          <wp:anchor distT="0" distB="0" distL="0" distR="0" simplePos="0" relativeHeight="251660288" behindDoc="0" locked="0" layoutInCell="1" allowOverlap="1">
            <wp:simplePos x="0" y="0"/>
            <wp:positionH relativeFrom="column">
              <wp:posOffset>1189990</wp:posOffset>
            </wp:positionH>
            <wp:positionV relativeFrom="paragraph">
              <wp:posOffset>2311400</wp:posOffset>
            </wp:positionV>
            <wp:extent cx="831850" cy="698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308"/>
                    <a:stretch>
                      <a:fillRect/>
                    </a:stretch>
                  </pic:blipFill>
                  <pic:spPr>
                    <a:xfrm>
                      <a:off x="0" y="0"/>
                      <a:ext cx="831838" cy="6984"/>
                    </a:xfrm>
                    <a:prstGeom prst="rect">
                      <a:avLst/>
                    </a:prstGeom>
                  </pic:spPr>
                </pic:pic>
              </a:graphicData>
            </a:graphic>
          </wp:anchor>
        </w:drawing>
      </w:r>
      <w:r>
        <w:rPr>
          <w:rFonts w:ascii="宋体" w:hAnsi="宋体" w:eastAsia="宋体" w:cs="宋体"/>
          <w:spacing w:val="-2"/>
          <w:sz w:val="21"/>
          <w:szCs w:val="21"/>
          <w:highlight w:val="none"/>
        </w:rPr>
        <w:t>编号：</w:t>
      </w:r>
    </w:p>
    <w:p w14:paraId="2D34F0F1">
      <w:pPr>
        <w:spacing w:line="27" w:lineRule="exact"/>
        <w:rPr>
          <w:highlight w:val="none"/>
        </w:rPr>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32"/>
        <w:gridCol w:w="6387"/>
      </w:tblGrid>
      <w:tr w14:paraId="7DD61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2132" w:type="dxa"/>
            <w:vAlign w:val="top"/>
          </w:tcPr>
          <w:p w14:paraId="612F9FCB">
            <w:pPr>
              <w:pStyle w:val="6"/>
              <w:spacing w:before="244" w:line="220" w:lineRule="auto"/>
              <w:ind w:left="614"/>
              <w:rPr>
                <w:sz w:val="22"/>
                <w:szCs w:val="22"/>
                <w:highlight w:val="none"/>
              </w:rPr>
            </w:pPr>
            <w:r>
              <w:rPr>
                <w:spacing w:val="2"/>
                <w:sz w:val="22"/>
                <w:szCs w:val="22"/>
                <w:highlight w:val="none"/>
              </w:rPr>
              <w:t>工程名称</w:t>
            </w:r>
          </w:p>
        </w:tc>
        <w:tc>
          <w:tcPr>
            <w:tcW w:w="6387" w:type="dxa"/>
            <w:vAlign w:val="top"/>
          </w:tcPr>
          <w:p w14:paraId="7894F4AC">
            <w:pPr>
              <w:pStyle w:val="6"/>
              <w:spacing w:before="236" w:line="219" w:lineRule="auto"/>
              <w:ind w:left="922"/>
              <w:rPr>
                <w:sz w:val="22"/>
                <w:szCs w:val="22"/>
                <w:highlight w:val="none"/>
              </w:rPr>
            </w:pPr>
            <w:r>
              <w:rPr>
                <w:sz w:val="22"/>
                <w:szCs w:val="22"/>
                <w:highlight w:val="none"/>
              </w:rPr>
              <w:t>(项目名称)</w:t>
            </w:r>
            <w:r>
              <w:rPr>
                <w:spacing w:val="-100"/>
                <w:sz w:val="22"/>
                <w:szCs w:val="22"/>
                <w:highlight w:val="none"/>
              </w:rPr>
              <w:t xml:space="preserve"> </w:t>
            </w:r>
            <w:r>
              <w:rPr>
                <w:spacing w:val="54"/>
                <w:sz w:val="22"/>
                <w:szCs w:val="22"/>
                <w:highlight w:val="none"/>
                <w:u w:val="single" w:color="auto"/>
              </w:rPr>
              <w:t xml:space="preserve">  </w:t>
            </w:r>
            <w:r>
              <w:rPr>
                <w:sz w:val="22"/>
                <w:szCs w:val="22"/>
                <w:highlight w:val="none"/>
              </w:rPr>
              <w:t>(标段名称)工程总承包</w:t>
            </w:r>
          </w:p>
        </w:tc>
      </w:tr>
      <w:tr w14:paraId="2580E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132" w:type="dxa"/>
            <w:vAlign w:val="top"/>
          </w:tcPr>
          <w:p w14:paraId="680B9655">
            <w:pPr>
              <w:pStyle w:val="6"/>
              <w:spacing w:before="231" w:line="220" w:lineRule="auto"/>
              <w:ind w:left="724"/>
              <w:rPr>
                <w:sz w:val="22"/>
                <w:szCs w:val="22"/>
                <w:highlight w:val="none"/>
              </w:rPr>
            </w:pPr>
            <w:r>
              <w:rPr>
                <w:spacing w:val="-3"/>
                <w:sz w:val="22"/>
                <w:szCs w:val="22"/>
                <w:highlight w:val="none"/>
              </w:rPr>
              <w:t>招标人</w:t>
            </w:r>
          </w:p>
        </w:tc>
        <w:tc>
          <w:tcPr>
            <w:tcW w:w="6387" w:type="dxa"/>
            <w:vAlign w:val="top"/>
          </w:tcPr>
          <w:p w14:paraId="69D3C8BC">
            <w:pPr>
              <w:rPr>
                <w:rFonts w:ascii="Arial"/>
                <w:sz w:val="21"/>
                <w:highlight w:val="none"/>
              </w:rPr>
            </w:pPr>
          </w:p>
        </w:tc>
      </w:tr>
      <w:tr w14:paraId="4DDD6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132" w:type="dxa"/>
            <w:vAlign w:val="top"/>
          </w:tcPr>
          <w:p w14:paraId="0D10F8B7">
            <w:pPr>
              <w:pStyle w:val="6"/>
              <w:spacing w:before="240" w:line="219" w:lineRule="auto"/>
              <w:ind w:left="394"/>
              <w:rPr>
                <w:sz w:val="22"/>
                <w:szCs w:val="22"/>
                <w:highlight w:val="none"/>
              </w:rPr>
            </w:pPr>
            <w:r>
              <w:rPr>
                <w:spacing w:val="2"/>
                <w:sz w:val="22"/>
                <w:szCs w:val="22"/>
                <w:highlight w:val="none"/>
              </w:rPr>
              <w:t>招标代理机构</w:t>
            </w:r>
          </w:p>
        </w:tc>
        <w:tc>
          <w:tcPr>
            <w:tcW w:w="6387" w:type="dxa"/>
            <w:vAlign w:val="top"/>
          </w:tcPr>
          <w:p w14:paraId="766CB54A">
            <w:pPr>
              <w:rPr>
                <w:rFonts w:ascii="Arial"/>
                <w:sz w:val="21"/>
                <w:highlight w:val="none"/>
              </w:rPr>
            </w:pPr>
          </w:p>
        </w:tc>
      </w:tr>
      <w:tr w14:paraId="6D46F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atLeast"/>
        </w:trPr>
        <w:tc>
          <w:tcPr>
            <w:tcW w:w="2132" w:type="dxa"/>
            <w:vAlign w:val="top"/>
          </w:tcPr>
          <w:p w14:paraId="2FBB7F3E">
            <w:pPr>
              <w:pStyle w:val="6"/>
              <w:spacing w:before="224" w:line="220" w:lineRule="auto"/>
              <w:ind w:left="724"/>
              <w:rPr>
                <w:sz w:val="22"/>
                <w:szCs w:val="22"/>
                <w:highlight w:val="none"/>
              </w:rPr>
            </w:pPr>
            <w:r>
              <w:rPr>
                <w:spacing w:val="3"/>
                <w:sz w:val="22"/>
                <w:szCs w:val="22"/>
                <w:highlight w:val="none"/>
              </w:rPr>
              <w:t>投标人</w:t>
            </w:r>
          </w:p>
        </w:tc>
        <w:tc>
          <w:tcPr>
            <w:tcW w:w="6387" w:type="dxa"/>
            <w:vAlign w:val="top"/>
          </w:tcPr>
          <w:p w14:paraId="24E4E28F">
            <w:pPr>
              <w:rPr>
                <w:rFonts w:ascii="Arial"/>
                <w:sz w:val="21"/>
                <w:highlight w:val="none"/>
              </w:rPr>
            </w:pPr>
          </w:p>
        </w:tc>
      </w:tr>
      <w:tr w14:paraId="6062F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132" w:type="dxa"/>
            <w:vAlign w:val="top"/>
          </w:tcPr>
          <w:p w14:paraId="41A70D40">
            <w:pPr>
              <w:pStyle w:val="6"/>
              <w:spacing w:before="246" w:line="219" w:lineRule="auto"/>
              <w:ind w:left="174"/>
              <w:rPr>
                <w:sz w:val="22"/>
                <w:szCs w:val="22"/>
                <w:highlight w:val="none"/>
              </w:rPr>
            </w:pPr>
            <w:r>
              <w:rPr>
                <w:spacing w:val="2"/>
                <w:sz w:val="22"/>
                <w:szCs w:val="22"/>
                <w:highlight w:val="none"/>
              </w:rPr>
              <w:t>投标文件递交时间</w:t>
            </w:r>
          </w:p>
        </w:tc>
        <w:tc>
          <w:tcPr>
            <w:tcW w:w="6387" w:type="dxa"/>
            <w:vAlign w:val="top"/>
          </w:tcPr>
          <w:p w14:paraId="40EAD376">
            <w:pPr>
              <w:pStyle w:val="6"/>
              <w:spacing w:before="267" w:line="220" w:lineRule="auto"/>
              <w:ind w:left="1042"/>
              <w:rPr>
                <w:sz w:val="22"/>
                <w:szCs w:val="22"/>
                <w:highlight w:val="none"/>
              </w:rPr>
            </w:pPr>
            <w:r>
              <w:rPr>
                <w:spacing w:val="-18"/>
                <w:sz w:val="22"/>
                <w:szCs w:val="22"/>
                <w:highlight w:val="none"/>
                <w:u w:val="single" w:color="auto"/>
              </w:rPr>
              <w:t>年</w:t>
            </w:r>
            <w:r>
              <w:rPr>
                <w:spacing w:val="15"/>
                <w:sz w:val="22"/>
                <w:szCs w:val="22"/>
                <w:highlight w:val="none"/>
                <w:u w:val="single" w:color="auto"/>
              </w:rPr>
              <w:t xml:space="preserve">    </w:t>
            </w:r>
            <w:r>
              <w:rPr>
                <w:spacing w:val="-18"/>
                <w:position w:val="1"/>
                <w:sz w:val="19"/>
                <w:szCs w:val="19"/>
                <w:highlight w:val="none"/>
                <w:u w:val="single" w:color="auto"/>
              </w:rPr>
              <w:t>月</w:t>
            </w:r>
            <w:r>
              <w:rPr>
                <w:spacing w:val="68"/>
                <w:position w:val="1"/>
                <w:sz w:val="19"/>
                <w:szCs w:val="19"/>
                <w:highlight w:val="none"/>
                <w:u w:val="single" w:color="auto"/>
              </w:rPr>
              <w:t xml:space="preserve"> </w:t>
            </w:r>
            <w:r>
              <w:rPr>
                <w:spacing w:val="75"/>
                <w:position w:val="1"/>
                <w:sz w:val="19"/>
                <w:szCs w:val="19"/>
                <w:highlight w:val="none"/>
              </w:rPr>
              <w:t xml:space="preserve"> </w:t>
            </w:r>
            <w:r>
              <w:rPr>
                <w:spacing w:val="-18"/>
                <w:sz w:val="22"/>
                <w:szCs w:val="22"/>
                <w:highlight w:val="none"/>
              </w:rPr>
              <w:t>日</w:t>
            </w:r>
            <w:r>
              <w:rPr>
                <w:spacing w:val="-63"/>
                <w:sz w:val="22"/>
                <w:szCs w:val="22"/>
                <w:highlight w:val="none"/>
              </w:rPr>
              <w:t xml:space="preserve"> </w:t>
            </w:r>
            <w:r>
              <w:rPr>
                <w:spacing w:val="55"/>
                <w:sz w:val="22"/>
                <w:szCs w:val="22"/>
                <w:highlight w:val="none"/>
                <w:u w:val="single" w:color="auto"/>
              </w:rPr>
              <w:t xml:space="preserve">  </w:t>
            </w:r>
            <w:r>
              <w:rPr>
                <w:spacing w:val="-18"/>
                <w:sz w:val="22"/>
                <w:szCs w:val="22"/>
                <w:highlight w:val="none"/>
              </w:rPr>
              <w:t>时</w:t>
            </w:r>
            <w:r>
              <w:rPr>
                <w:spacing w:val="-91"/>
                <w:sz w:val="22"/>
                <w:szCs w:val="22"/>
                <w:highlight w:val="none"/>
              </w:rPr>
              <w:t xml:space="preserve"> </w:t>
            </w:r>
            <w:r>
              <w:rPr>
                <w:spacing w:val="54"/>
                <w:sz w:val="22"/>
                <w:szCs w:val="22"/>
                <w:highlight w:val="none"/>
                <w:u w:val="single" w:color="auto"/>
              </w:rPr>
              <w:t xml:space="preserve">  </w:t>
            </w:r>
            <w:r>
              <w:rPr>
                <w:spacing w:val="-18"/>
                <w:sz w:val="22"/>
                <w:szCs w:val="22"/>
                <w:highlight w:val="none"/>
              </w:rPr>
              <w:t>分</w:t>
            </w:r>
          </w:p>
        </w:tc>
      </w:tr>
      <w:tr w14:paraId="10F49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 w:hRule="atLeast"/>
        </w:trPr>
        <w:tc>
          <w:tcPr>
            <w:tcW w:w="2132" w:type="dxa"/>
            <w:vAlign w:val="top"/>
          </w:tcPr>
          <w:p w14:paraId="739FCAFD">
            <w:pPr>
              <w:pStyle w:val="6"/>
              <w:spacing w:before="228" w:line="219" w:lineRule="auto"/>
              <w:ind w:left="174"/>
              <w:rPr>
                <w:sz w:val="22"/>
                <w:szCs w:val="22"/>
                <w:highlight w:val="none"/>
              </w:rPr>
            </w:pPr>
            <w:r>
              <w:rPr>
                <w:spacing w:val="1"/>
                <w:sz w:val="22"/>
                <w:szCs w:val="22"/>
                <w:highlight w:val="none"/>
              </w:rPr>
              <w:t>投标文件是否加密</w:t>
            </w:r>
          </w:p>
        </w:tc>
        <w:tc>
          <w:tcPr>
            <w:tcW w:w="6387" w:type="dxa"/>
            <w:vAlign w:val="top"/>
          </w:tcPr>
          <w:p w14:paraId="4FF82214">
            <w:pPr>
              <w:rPr>
                <w:rFonts w:ascii="Arial"/>
                <w:sz w:val="21"/>
                <w:highlight w:val="none"/>
              </w:rPr>
            </w:pPr>
          </w:p>
        </w:tc>
      </w:tr>
    </w:tbl>
    <w:p w14:paraId="7A0EE0DC">
      <w:pPr>
        <w:pStyle w:val="2"/>
        <w:rPr>
          <w:highlight w:val="none"/>
        </w:rPr>
      </w:pPr>
    </w:p>
    <w:p w14:paraId="5B2356D8">
      <w:pPr>
        <w:rPr>
          <w:highlight w:val="none"/>
        </w:rPr>
        <w:sectPr>
          <w:footerReference r:id="rId48" w:type="default"/>
          <w:pgSz w:w="11910" w:h="16840"/>
          <w:pgMar w:top="400" w:right="1695" w:bottom="1238" w:left="1685" w:header="0" w:footer="1007" w:gutter="0"/>
          <w:cols w:space="720" w:num="1"/>
        </w:sectPr>
      </w:pPr>
    </w:p>
    <w:p w14:paraId="5FCDC16F">
      <w:pPr>
        <w:pStyle w:val="2"/>
        <w:spacing w:line="245" w:lineRule="auto"/>
        <w:rPr>
          <w:highlight w:val="none"/>
        </w:rPr>
      </w:pPr>
    </w:p>
    <w:p w14:paraId="7F756B36">
      <w:pPr>
        <w:pStyle w:val="2"/>
        <w:spacing w:line="245" w:lineRule="auto"/>
        <w:rPr>
          <w:highlight w:val="none"/>
        </w:rPr>
      </w:pPr>
    </w:p>
    <w:p w14:paraId="5421165A">
      <w:pPr>
        <w:pStyle w:val="2"/>
        <w:spacing w:line="245" w:lineRule="auto"/>
        <w:rPr>
          <w:highlight w:val="none"/>
        </w:rPr>
      </w:pPr>
    </w:p>
    <w:p w14:paraId="0695529B">
      <w:pPr>
        <w:pStyle w:val="2"/>
        <w:spacing w:line="245" w:lineRule="auto"/>
        <w:rPr>
          <w:highlight w:val="none"/>
        </w:rPr>
      </w:pPr>
    </w:p>
    <w:p w14:paraId="41D587C8">
      <w:pPr>
        <w:pStyle w:val="2"/>
        <w:spacing w:line="245" w:lineRule="auto"/>
        <w:rPr>
          <w:highlight w:val="none"/>
        </w:rPr>
      </w:pPr>
    </w:p>
    <w:p w14:paraId="4C18A7E0">
      <w:pPr>
        <w:pStyle w:val="2"/>
        <w:spacing w:line="246" w:lineRule="auto"/>
        <w:rPr>
          <w:highlight w:val="none"/>
        </w:rPr>
      </w:pPr>
    </w:p>
    <w:p w14:paraId="56C091CF">
      <w:pPr>
        <w:spacing w:before="78" w:line="222" w:lineRule="auto"/>
        <w:ind w:left="45"/>
        <w:outlineLvl w:val="1"/>
        <w:rPr>
          <w:rFonts w:ascii="黑体" w:hAnsi="黑体" w:eastAsia="黑体" w:cs="黑体"/>
          <w:sz w:val="24"/>
          <w:szCs w:val="24"/>
          <w:highlight w:val="none"/>
        </w:rPr>
      </w:pPr>
      <w:bookmarkStart w:id="51" w:name="bookmark22"/>
      <w:bookmarkEnd w:id="51"/>
      <w:r>
        <w:rPr>
          <w:rFonts w:ascii="黑体" w:hAnsi="黑体" w:eastAsia="黑体" w:cs="黑体"/>
          <w:spacing w:val="-3"/>
          <w:sz w:val="24"/>
          <w:szCs w:val="24"/>
          <w:highlight w:val="none"/>
        </w:rPr>
        <w:t>附表五：开标记录表</w:t>
      </w:r>
    </w:p>
    <w:p w14:paraId="4EB319A6">
      <w:pPr>
        <w:pStyle w:val="2"/>
        <w:spacing w:line="363" w:lineRule="auto"/>
        <w:rPr>
          <w:highlight w:val="none"/>
        </w:rPr>
      </w:pPr>
    </w:p>
    <w:p w14:paraId="78A67A07">
      <w:pPr>
        <w:spacing w:before="94" w:line="196" w:lineRule="auto"/>
        <w:ind w:left="1169"/>
        <w:rPr>
          <w:rFonts w:ascii="宋体" w:hAnsi="宋体" w:eastAsia="宋体" w:cs="宋体"/>
          <w:sz w:val="29"/>
          <w:szCs w:val="29"/>
          <w:highlight w:val="none"/>
        </w:rPr>
      </w:pPr>
      <w:bookmarkStart w:id="52" w:name="bookmark212"/>
      <w:bookmarkEnd w:id="52"/>
      <w:r>
        <w:rPr>
          <w:rFonts w:ascii="宋体" w:hAnsi="宋体" w:eastAsia="宋体" w:cs="宋体"/>
          <w:b/>
          <w:bCs/>
          <w:spacing w:val="-1"/>
          <w:sz w:val="29"/>
          <w:szCs w:val="29"/>
          <w:highlight w:val="none"/>
        </w:rPr>
        <w:t>(项目名称)</w:t>
      </w:r>
      <w:r>
        <w:rPr>
          <w:rFonts w:ascii="宋体" w:hAnsi="宋体" w:eastAsia="宋体" w:cs="宋体"/>
          <w:spacing w:val="38"/>
          <w:sz w:val="29"/>
          <w:szCs w:val="29"/>
          <w:highlight w:val="none"/>
        </w:rPr>
        <w:t xml:space="preserve">    </w:t>
      </w:r>
      <w:r>
        <w:rPr>
          <w:rFonts w:ascii="宋体" w:hAnsi="宋体" w:eastAsia="宋体" w:cs="宋体"/>
          <w:b/>
          <w:bCs/>
          <w:spacing w:val="-1"/>
          <w:sz w:val="29"/>
          <w:szCs w:val="29"/>
          <w:highlight w:val="none"/>
        </w:rPr>
        <w:t>(标段名称)工程总承包招标开标记录表</w:t>
      </w:r>
    </w:p>
    <w:tbl>
      <w:tblPr>
        <w:tblStyle w:val="5"/>
        <w:tblW w:w="9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1808"/>
        <w:gridCol w:w="1039"/>
        <w:gridCol w:w="819"/>
        <w:gridCol w:w="839"/>
        <w:gridCol w:w="829"/>
        <w:gridCol w:w="620"/>
        <w:gridCol w:w="809"/>
        <w:gridCol w:w="939"/>
        <w:gridCol w:w="719"/>
        <w:gridCol w:w="844"/>
      </w:tblGrid>
      <w:tr w14:paraId="43677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485" w:type="dxa"/>
            <w:vMerge w:val="restart"/>
            <w:tcBorders>
              <w:bottom w:val="nil"/>
            </w:tcBorders>
            <w:vAlign w:val="top"/>
          </w:tcPr>
          <w:p w14:paraId="1BD415B6">
            <w:pPr>
              <w:spacing w:line="324" w:lineRule="auto"/>
              <w:rPr>
                <w:rFonts w:ascii="Arial"/>
                <w:sz w:val="21"/>
                <w:highlight w:val="none"/>
              </w:rPr>
            </w:pPr>
          </w:p>
          <w:p w14:paraId="34D6CA73">
            <w:pPr>
              <w:pStyle w:val="6"/>
              <w:spacing w:before="68" w:line="221" w:lineRule="auto"/>
              <w:ind w:left="15"/>
              <w:rPr>
                <w:highlight w:val="none"/>
              </w:rPr>
            </w:pPr>
            <w:r>
              <w:rPr>
                <w:spacing w:val="6"/>
                <w:highlight w:val="none"/>
              </w:rPr>
              <w:t>序号</w:t>
            </w:r>
          </w:p>
        </w:tc>
        <w:tc>
          <w:tcPr>
            <w:tcW w:w="1808" w:type="dxa"/>
            <w:vMerge w:val="restart"/>
            <w:tcBorders>
              <w:bottom w:val="nil"/>
            </w:tcBorders>
            <w:vAlign w:val="top"/>
          </w:tcPr>
          <w:p w14:paraId="1CD0F8EE">
            <w:pPr>
              <w:spacing w:line="324" w:lineRule="auto"/>
              <w:rPr>
                <w:rFonts w:ascii="Arial"/>
                <w:sz w:val="21"/>
                <w:highlight w:val="none"/>
              </w:rPr>
            </w:pPr>
          </w:p>
          <w:p w14:paraId="3773EB5E">
            <w:pPr>
              <w:pStyle w:val="6"/>
              <w:spacing w:before="68" w:line="220" w:lineRule="auto"/>
              <w:ind w:left="400"/>
              <w:rPr>
                <w:highlight w:val="none"/>
              </w:rPr>
            </w:pPr>
            <w:r>
              <w:rPr>
                <w:spacing w:val="2"/>
                <w:highlight w:val="none"/>
              </w:rPr>
              <w:t>投标人名称</w:t>
            </w:r>
          </w:p>
        </w:tc>
        <w:tc>
          <w:tcPr>
            <w:tcW w:w="1039" w:type="dxa"/>
            <w:vMerge w:val="restart"/>
            <w:tcBorders>
              <w:bottom w:val="nil"/>
            </w:tcBorders>
            <w:vAlign w:val="top"/>
          </w:tcPr>
          <w:p w14:paraId="5AE1DDF4">
            <w:pPr>
              <w:pStyle w:val="6"/>
              <w:spacing w:before="231" w:line="218" w:lineRule="auto"/>
              <w:ind w:left="92"/>
              <w:rPr>
                <w:highlight w:val="none"/>
              </w:rPr>
            </w:pPr>
            <w:r>
              <w:rPr>
                <w:spacing w:val="-3"/>
                <w:highlight w:val="none"/>
              </w:rPr>
              <w:t>投标报价</w:t>
            </w:r>
          </w:p>
          <w:p w14:paraId="127A79E3">
            <w:pPr>
              <w:pStyle w:val="6"/>
              <w:spacing w:before="84" w:line="220" w:lineRule="auto"/>
              <w:ind w:left="302"/>
              <w:rPr>
                <w:highlight w:val="none"/>
              </w:rPr>
            </w:pPr>
            <w:r>
              <w:rPr>
                <w:spacing w:val="15"/>
                <w:highlight w:val="none"/>
              </w:rPr>
              <w:t>(元)</w:t>
            </w:r>
          </w:p>
        </w:tc>
        <w:tc>
          <w:tcPr>
            <w:tcW w:w="819" w:type="dxa"/>
            <w:vMerge w:val="restart"/>
            <w:tcBorders>
              <w:bottom w:val="nil"/>
            </w:tcBorders>
            <w:vAlign w:val="top"/>
          </w:tcPr>
          <w:p w14:paraId="4A5523E4">
            <w:pPr>
              <w:pStyle w:val="6"/>
              <w:spacing w:before="66" w:line="269" w:lineRule="auto"/>
              <w:ind w:left="203" w:right="72" w:hanging="10"/>
              <w:rPr>
                <w:highlight w:val="none"/>
              </w:rPr>
            </w:pPr>
            <w:r>
              <w:rPr>
                <w:spacing w:val="6"/>
                <w:highlight w:val="none"/>
              </w:rPr>
              <w:t>工期</w:t>
            </w:r>
            <w:r>
              <w:rPr>
                <w:highlight w:val="none"/>
              </w:rPr>
              <w:t xml:space="preserve">  </w:t>
            </w:r>
            <w:r>
              <w:rPr>
                <w:spacing w:val="2"/>
                <w:highlight w:val="none"/>
              </w:rPr>
              <w:t>(日历</w:t>
            </w:r>
            <w:r>
              <w:rPr>
                <w:spacing w:val="1"/>
                <w:highlight w:val="none"/>
              </w:rPr>
              <w:t xml:space="preserve"> </w:t>
            </w:r>
            <w:r>
              <w:rPr>
                <w:spacing w:val="13"/>
                <w:highlight w:val="none"/>
              </w:rPr>
              <w:t>天</w:t>
            </w:r>
            <w:r>
              <w:rPr>
                <w:spacing w:val="-42"/>
                <w:highlight w:val="none"/>
              </w:rPr>
              <w:t xml:space="preserve"> </w:t>
            </w:r>
            <w:r>
              <w:rPr>
                <w:spacing w:val="13"/>
                <w:highlight w:val="none"/>
              </w:rPr>
              <w:t>)</w:t>
            </w:r>
          </w:p>
        </w:tc>
        <w:tc>
          <w:tcPr>
            <w:tcW w:w="839" w:type="dxa"/>
            <w:vMerge w:val="restart"/>
            <w:tcBorders>
              <w:bottom w:val="nil"/>
            </w:tcBorders>
            <w:vAlign w:val="top"/>
          </w:tcPr>
          <w:p w14:paraId="4C0E13A5">
            <w:pPr>
              <w:pStyle w:val="6"/>
              <w:spacing w:before="64" w:line="221" w:lineRule="auto"/>
              <w:ind w:left="204"/>
              <w:rPr>
                <w:highlight w:val="none"/>
              </w:rPr>
            </w:pPr>
            <w:r>
              <w:rPr>
                <w:spacing w:val="4"/>
                <w:highlight w:val="none"/>
              </w:rPr>
              <w:t>设计</w:t>
            </w:r>
          </w:p>
          <w:p w14:paraId="68D6A025">
            <w:pPr>
              <w:pStyle w:val="6"/>
              <w:spacing w:before="68" w:line="220" w:lineRule="auto"/>
              <w:ind w:left="204"/>
              <w:rPr>
                <w:highlight w:val="none"/>
              </w:rPr>
            </w:pPr>
            <w:r>
              <w:rPr>
                <w:spacing w:val="-3"/>
                <w:highlight w:val="none"/>
              </w:rPr>
              <w:t>质量</w:t>
            </w:r>
          </w:p>
          <w:p w14:paraId="4F39364A">
            <w:pPr>
              <w:pStyle w:val="6"/>
              <w:spacing w:before="89" w:line="220" w:lineRule="auto"/>
              <w:ind w:left="204"/>
              <w:rPr>
                <w:highlight w:val="none"/>
              </w:rPr>
            </w:pPr>
            <w:r>
              <w:rPr>
                <w:spacing w:val="8"/>
                <w:highlight w:val="none"/>
              </w:rPr>
              <w:t>目标</w:t>
            </w:r>
          </w:p>
        </w:tc>
        <w:tc>
          <w:tcPr>
            <w:tcW w:w="829" w:type="dxa"/>
            <w:vMerge w:val="restart"/>
            <w:tcBorders>
              <w:bottom w:val="nil"/>
            </w:tcBorders>
            <w:vAlign w:val="top"/>
          </w:tcPr>
          <w:p w14:paraId="43825F3E">
            <w:pPr>
              <w:pStyle w:val="6"/>
              <w:spacing w:before="54" w:line="220" w:lineRule="auto"/>
              <w:ind w:left="95"/>
              <w:rPr>
                <w:highlight w:val="none"/>
              </w:rPr>
            </w:pPr>
            <w:r>
              <w:rPr>
                <w:spacing w:val="7"/>
                <w:highlight w:val="none"/>
              </w:rPr>
              <w:t>施工质</w:t>
            </w:r>
          </w:p>
          <w:p w14:paraId="056EDB78">
            <w:pPr>
              <w:pStyle w:val="6"/>
              <w:spacing w:before="95" w:line="225" w:lineRule="auto"/>
              <w:ind w:left="305"/>
              <w:rPr>
                <w:highlight w:val="none"/>
              </w:rPr>
            </w:pPr>
            <w:r>
              <w:rPr>
                <w:highlight w:val="none"/>
              </w:rPr>
              <w:t>量</w:t>
            </w:r>
          </w:p>
          <w:p w14:paraId="181A28AB">
            <w:pPr>
              <w:pStyle w:val="6"/>
              <w:spacing w:before="68" w:line="220" w:lineRule="auto"/>
              <w:ind w:left="195"/>
              <w:rPr>
                <w:highlight w:val="none"/>
              </w:rPr>
            </w:pPr>
            <w:r>
              <w:rPr>
                <w:spacing w:val="8"/>
                <w:highlight w:val="none"/>
              </w:rPr>
              <w:t>目标</w:t>
            </w:r>
          </w:p>
        </w:tc>
        <w:tc>
          <w:tcPr>
            <w:tcW w:w="2368" w:type="dxa"/>
            <w:gridSpan w:val="3"/>
            <w:vAlign w:val="top"/>
          </w:tcPr>
          <w:p w14:paraId="5FCB39D9">
            <w:pPr>
              <w:pStyle w:val="6"/>
              <w:spacing w:before="64" w:line="220" w:lineRule="auto"/>
              <w:ind w:left="766"/>
              <w:rPr>
                <w:highlight w:val="none"/>
              </w:rPr>
            </w:pPr>
            <w:r>
              <w:rPr>
                <w:spacing w:val="-3"/>
                <w:highlight w:val="none"/>
              </w:rPr>
              <w:t>项目经理</w:t>
            </w:r>
          </w:p>
        </w:tc>
        <w:tc>
          <w:tcPr>
            <w:tcW w:w="719" w:type="dxa"/>
            <w:vMerge w:val="restart"/>
            <w:tcBorders>
              <w:bottom w:val="nil"/>
            </w:tcBorders>
            <w:vAlign w:val="top"/>
          </w:tcPr>
          <w:p w14:paraId="233E8970">
            <w:pPr>
              <w:pStyle w:val="6"/>
              <w:spacing w:before="223" w:line="292" w:lineRule="auto"/>
              <w:ind w:left="148" w:right="51" w:hanging="110"/>
              <w:rPr>
                <w:highlight w:val="none"/>
              </w:rPr>
            </w:pPr>
            <w:r>
              <w:rPr>
                <w:spacing w:val="-4"/>
                <w:highlight w:val="none"/>
              </w:rPr>
              <w:t>投标人</w:t>
            </w:r>
            <w:r>
              <w:rPr>
                <w:highlight w:val="none"/>
              </w:rPr>
              <w:t xml:space="preserve"> </w:t>
            </w:r>
            <w:r>
              <w:rPr>
                <w:spacing w:val="-2"/>
                <w:highlight w:val="none"/>
              </w:rPr>
              <w:t>代表</w:t>
            </w:r>
          </w:p>
        </w:tc>
        <w:tc>
          <w:tcPr>
            <w:tcW w:w="844" w:type="dxa"/>
            <w:vMerge w:val="restart"/>
            <w:tcBorders>
              <w:bottom w:val="nil"/>
            </w:tcBorders>
            <w:vAlign w:val="top"/>
          </w:tcPr>
          <w:p w14:paraId="6A6B53FE">
            <w:pPr>
              <w:pStyle w:val="6"/>
              <w:spacing w:before="226" w:line="221" w:lineRule="auto"/>
              <w:ind w:left="209"/>
              <w:rPr>
                <w:highlight w:val="none"/>
              </w:rPr>
            </w:pPr>
            <w:r>
              <w:rPr>
                <w:spacing w:val="9"/>
                <w:highlight w:val="none"/>
              </w:rPr>
              <w:t>联系</w:t>
            </w:r>
          </w:p>
          <w:p w14:paraId="6E5A0250">
            <w:pPr>
              <w:pStyle w:val="6"/>
              <w:spacing w:before="78" w:line="221" w:lineRule="auto"/>
              <w:ind w:left="209"/>
              <w:rPr>
                <w:highlight w:val="none"/>
              </w:rPr>
            </w:pPr>
            <w:r>
              <w:rPr>
                <w:spacing w:val="4"/>
                <w:highlight w:val="none"/>
              </w:rPr>
              <w:t>电话</w:t>
            </w:r>
          </w:p>
        </w:tc>
      </w:tr>
      <w:tr w14:paraId="1B951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485" w:type="dxa"/>
            <w:vMerge w:val="continue"/>
            <w:tcBorders>
              <w:top w:val="nil"/>
            </w:tcBorders>
            <w:vAlign w:val="top"/>
          </w:tcPr>
          <w:p w14:paraId="76169D82">
            <w:pPr>
              <w:rPr>
                <w:rFonts w:ascii="Arial"/>
                <w:sz w:val="21"/>
                <w:highlight w:val="none"/>
              </w:rPr>
            </w:pPr>
          </w:p>
        </w:tc>
        <w:tc>
          <w:tcPr>
            <w:tcW w:w="1808" w:type="dxa"/>
            <w:vMerge w:val="continue"/>
            <w:tcBorders>
              <w:top w:val="nil"/>
            </w:tcBorders>
            <w:vAlign w:val="top"/>
          </w:tcPr>
          <w:p w14:paraId="0D7D18FE">
            <w:pPr>
              <w:rPr>
                <w:rFonts w:ascii="Arial"/>
                <w:sz w:val="21"/>
                <w:highlight w:val="none"/>
              </w:rPr>
            </w:pPr>
          </w:p>
        </w:tc>
        <w:tc>
          <w:tcPr>
            <w:tcW w:w="1039" w:type="dxa"/>
            <w:vMerge w:val="continue"/>
            <w:tcBorders>
              <w:top w:val="nil"/>
            </w:tcBorders>
            <w:vAlign w:val="top"/>
          </w:tcPr>
          <w:p w14:paraId="5B3010AF">
            <w:pPr>
              <w:rPr>
                <w:rFonts w:ascii="Arial"/>
                <w:sz w:val="21"/>
                <w:highlight w:val="none"/>
              </w:rPr>
            </w:pPr>
          </w:p>
        </w:tc>
        <w:tc>
          <w:tcPr>
            <w:tcW w:w="819" w:type="dxa"/>
            <w:vMerge w:val="continue"/>
            <w:tcBorders>
              <w:top w:val="nil"/>
            </w:tcBorders>
            <w:vAlign w:val="top"/>
          </w:tcPr>
          <w:p w14:paraId="765CA1F8">
            <w:pPr>
              <w:rPr>
                <w:rFonts w:ascii="Arial"/>
                <w:sz w:val="21"/>
                <w:highlight w:val="none"/>
              </w:rPr>
            </w:pPr>
          </w:p>
        </w:tc>
        <w:tc>
          <w:tcPr>
            <w:tcW w:w="839" w:type="dxa"/>
            <w:vMerge w:val="continue"/>
            <w:tcBorders>
              <w:top w:val="nil"/>
            </w:tcBorders>
            <w:vAlign w:val="top"/>
          </w:tcPr>
          <w:p w14:paraId="4B35CEA0">
            <w:pPr>
              <w:rPr>
                <w:rFonts w:ascii="Arial"/>
                <w:sz w:val="21"/>
                <w:highlight w:val="none"/>
              </w:rPr>
            </w:pPr>
          </w:p>
        </w:tc>
        <w:tc>
          <w:tcPr>
            <w:tcW w:w="829" w:type="dxa"/>
            <w:vMerge w:val="continue"/>
            <w:tcBorders>
              <w:top w:val="nil"/>
            </w:tcBorders>
            <w:vAlign w:val="top"/>
          </w:tcPr>
          <w:p w14:paraId="60810AB3">
            <w:pPr>
              <w:rPr>
                <w:rFonts w:ascii="Arial"/>
                <w:sz w:val="21"/>
                <w:highlight w:val="none"/>
              </w:rPr>
            </w:pPr>
          </w:p>
        </w:tc>
        <w:tc>
          <w:tcPr>
            <w:tcW w:w="620" w:type="dxa"/>
            <w:vAlign w:val="top"/>
          </w:tcPr>
          <w:p w14:paraId="0082CEA3">
            <w:pPr>
              <w:pStyle w:val="6"/>
              <w:spacing w:before="228" w:line="219" w:lineRule="auto"/>
              <w:ind w:left="96"/>
              <w:rPr>
                <w:highlight w:val="none"/>
              </w:rPr>
            </w:pPr>
            <w:r>
              <w:rPr>
                <w:spacing w:val="13"/>
                <w:highlight w:val="none"/>
              </w:rPr>
              <w:t>姓名</w:t>
            </w:r>
          </w:p>
        </w:tc>
        <w:tc>
          <w:tcPr>
            <w:tcW w:w="809" w:type="dxa"/>
            <w:vAlign w:val="top"/>
          </w:tcPr>
          <w:p w14:paraId="1D364298">
            <w:pPr>
              <w:pStyle w:val="6"/>
              <w:spacing w:before="57" w:line="219" w:lineRule="auto"/>
              <w:ind w:left="186"/>
              <w:rPr>
                <w:highlight w:val="none"/>
              </w:rPr>
            </w:pPr>
            <w:r>
              <w:rPr>
                <w:spacing w:val="6"/>
                <w:highlight w:val="none"/>
              </w:rPr>
              <w:t>证书</w:t>
            </w:r>
          </w:p>
          <w:p w14:paraId="24523F71">
            <w:pPr>
              <w:pStyle w:val="6"/>
              <w:spacing w:before="85" w:line="221" w:lineRule="auto"/>
              <w:ind w:left="186"/>
              <w:rPr>
                <w:highlight w:val="none"/>
              </w:rPr>
            </w:pPr>
            <w:r>
              <w:rPr>
                <w:spacing w:val="5"/>
                <w:highlight w:val="none"/>
              </w:rPr>
              <w:t>名称</w:t>
            </w:r>
          </w:p>
        </w:tc>
        <w:tc>
          <w:tcPr>
            <w:tcW w:w="939" w:type="dxa"/>
            <w:vAlign w:val="top"/>
          </w:tcPr>
          <w:p w14:paraId="0D207C21">
            <w:pPr>
              <w:pStyle w:val="6"/>
              <w:spacing w:before="57" w:line="260" w:lineRule="auto"/>
              <w:ind w:left="356" w:right="136" w:hanging="209"/>
              <w:rPr>
                <w:highlight w:val="none"/>
              </w:rPr>
            </w:pPr>
            <w:r>
              <w:rPr>
                <w:spacing w:val="5"/>
                <w:highlight w:val="none"/>
              </w:rPr>
              <w:t>证书编</w:t>
            </w:r>
            <w:r>
              <w:rPr>
                <w:highlight w:val="none"/>
              </w:rPr>
              <w:t xml:space="preserve"> 号</w:t>
            </w:r>
          </w:p>
        </w:tc>
        <w:tc>
          <w:tcPr>
            <w:tcW w:w="719" w:type="dxa"/>
            <w:vMerge w:val="continue"/>
            <w:tcBorders>
              <w:top w:val="nil"/>
            </w:tcBorders>
            <w:vAlign w:val="top"/>
          </w:tcPr>
          <w:p w14:paraId="5F63D1F9">
            <w:pPr>
              <w:rPr>
                <w:rFonts w:ascii="Arial"/>
                <w:sz w:val="21"/>
                <w:highlight w:val="none"/>
              </w:rPr>
            </w:pPr>
          </w:p>
        </w:tc>
        <w:tc>
          <w:tcPr>
            <w:tcW w:w="844" w:type="dxa"/>
            <w:vMerge w:val="continue"/>
            <w:tcBorders>
              <w:top w:val="nil"/>
            </w:tcBorders>
            <w:vAlign w:val="top"/>
          </w:tcPr>
          <w:p w14:paraId="0DADFD02">
            <w:pPr>
              <w:rPr>
                <w:rFonts w:ascii="Arial"/>
                <w:sz w:val="21"/>
                <w:highlight w:val="none"/>
              </w:rPr>
            </w:pPr>
          </w:p>
        </w:tc>
      </w:tr>
      <w:tr w14:paraId="362F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85" w:type="dxa"/>
            <w:vAlign w:val="top"/>
          </w:tcPr>
          <w:p w14:paraId="7885857A">
            <w:pPr>
              <w:rPr>
                <w:rFonts w:ascii="Arial"/>
                <w:sz w:val="21"/>
                <w:highlight w:val="none"/>
              </w:rPr>
            </w:pPr>
          </w:p>
        </w:tc>
        <w:tc>
          <w:tcPr>
            <w:tcW w:w="1808" w:type="dxa"/>
            <w:vAlign w:val="top"/>
          </w:tcPr>
          <w:p w14:paraId="6CB2A84E">
            <w:pPr>
              <w:rPr>
                <w:rFonts w:ascii="Arial"/>
                <w:sz w:val="21"/>
                <w:highlight w:val="none"/>
              </w:rPr>
            </w:pPr>
          </w:p>
        </w:tc>
        <w:tc>
          <w:tcPr>
            <w:tcW w:w="1039" w:type="dxa"/>
            <w:vAlign w:val="top"/>
          </w:tcPr>
          <w:p w14:paraId="542BF8D3">
            <w:pPr>
              <w:rPr>
                <w:rFonts w:ascii="Arial"/>
                <w:sz w:val="21"/>
                <w:highlight w:val="none"/>
              </w:rPr>
            </w:pPr>
          </w:p>
        </w:tc>
        <w:tc>
          <w:tcPr>
            <w:tcW w:w="819" w:type="dxa"/>
            <w:vAlign w:val="top"/>
          </w:tcPr>
          <w:p w14:paraId="63D12CB3">
            <w:pPr>
              <w:rPr>
                <w:rFonts w:ascii="Arial"/>
                <w:sz w:val="21"/>
                <w:highlight w:val="none"/>
              </w:rPr>
            </w:pPr>
          </w:p>
        </w:tc>
        <w:tc>
          <w:tcPr>
            <w:tcW w:w="839" w:type="dxa"/>
            <w:vAlign w:val="top"/>
          </w:tcPr>
          <w:p w14:paraId="26767BD2">
            <w:pPr>
              <w:rPr>
                <w:rFonts w:ascii="Arial"/>
                <w:sz w:val="21"/>
                <w:highlight w:val="none"/>
              </w:rPr>
            </w:pPr>
          </w:p>
        </w:tc>
        <w:tc>
          <w:tcPr>
            <w:tcW w:w="829" w:type="dxa"/>
            <w:vAlign w:val="top"/>
          </w:tcPr>
          <w:p w14:paraId="5BBFF263">
            <w:pPr>
              <w:rPr>
                <w:rFonts w:ascii="Arial"/>
                <w:sz w:val="21"/>
                <w:highlight w:val="none"/>
              </w:rPr>
            </w:pPr>
          </w:p>
        </w:tc>
        <w:tc>
          <w:tcPr>
            <w:tcW w:w="620" w:type="dxa"/>
            <w:vAlign w:val="top"/>
          </w:tcPr>
          <w:p w14:paraId="7BB54164">
            <w:pPr>
              <w:rPr>
                <w:rFonts w:ascii="Arial"/>
                <w:sz w:val="21"/>
                <w:highlight w:val="none"/>
              </w:rPr>
            </w:pPr>
          </w:p>
        </w:tc>
        <w:tc>
          <w:tcPr>
            <w:tcW w:w="809" w:type="dxa"/>
            <w:vAlign w:val="top"/>
          </w:tcPr>
          <w:p w14:paraId="51043537">
            <w:pPr>
              <w:rPr>
                <w:rFonts w:ascii="Arial"/>
                <w:sz w:val="21"/>
                <w:highlight w:val="none"/>
              </w:rPr>
            </w:pPr>
          </w:p>
        </w:tc>
        <w:tc>
          <w:tcPr>
            <w:tcW w:w="939" w:type="dxa"/>
            <w:vAlign w:val="top"/>
          </w:tcPr>
          <w:p w14:paraId="06F4EE70">
            <w:pPr>
              <w:rPr>
                <w:rFonts w:ascii="Arial"/>
                <w:sz w:val="21"/>
                <w:highlight w:val="none"/>
              </w:rPr>
            </w:pPr>
          </w:p>
        </w:tc>
        <w:tc>
          <w:tcPr>
            <w:tcW w:w="719" w:type="dxa"/>
            <w:vAlign w:val="top"/>
          </w:tcPr>
          <w:p w14:paraId="31F2C7F3">
            <w:pPr>
              <w:rPr>
                <w:rFonts w:ascii="Arial"/>
                <w:sz w:val="21"/>
                <w:highlight w:val="none"/>
              </w:rPr>
            </w:pPr>
          </w:p>
        </w:tc>
        <w:tc>
          <w:tcPr>
            <w:tcW w:w="844" w:type="dxa"/>
            <w:vAlign w:val="top"/>
          </w:tcPr>
          <w:p w14:paraId="44F9AD65">
            <w:pPr>
              <w:rPr>
                <w:rFonts w:ascii="Arial"/>
                <w:sz w:val="21"/>
                <w:highlight w:val="none"/>
              </w:rPr>
            </w:pPr>
          </w:p>
        </w:tc>
      </w:tr>
      <w:tr w14:paraId="25022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485" w:type="dxa"/>
            <w:vAlign w:val="top"/>
          </w:tcPr>
          <w:p w14:paraId="213CE517">
            <w:pPr>
              <w:rPr>
                <w:rFonts w:ascii="Arial"/>
                <w:sz w:val="21"/>
                <w:highlight w:val="none"/>
              </w:rPr>
            </w:pPr>
          </w:p>
        </w:tc>
        <w:tc>
          <w:tcPr>
            <w:tcW w:w="1808" w:type="dxa"/>
            <w:vAlign w:val="top"/>
          </w:tcPr>
          <w:p w14:paraId="11DB1252">
            <w:pPr>
              <w:rPr>
                <w:rFonts w:ascii="Arial"/>
                <w:sz w:val="21"/>
                <w:highlight w:val="none"/>
              </w:rPr>
            </w:pPr>
          </w:p>
        </w:tc>
        <w:tc>
          <w:tcPr>
            <w:tcW w:w="1039" w:type="dxa"/>
            <w:vAlign w:val="top"/>
          </w:tcPr>
          <w:p w14:paraId="414925FD">
            <w:pPr>
              <w:rPr>
                <w:rFonts w:ascii="Arial"/>
                <w:sz w:val="21"/>
                <w:highlight w:val="none"/>
              </w:rPr>
            </w:pPr>
          </w:p>
        </w:tc>
        <w:tc>
          <w:tcPr>
            <w:tcW w:w="819" w:type="dxa"/>
            <w:vAlign w:val="top"/>
          </w:tcPr>
          <w:p w14:paraId="43B276ED">
            <w:pPr>
              <w:rPr>
                <w:rFonts w:ascii="Arial"/>
                <w:sz w:val="21"/>
                <w:highlight w:val="none"/>
              </w:rPr>
            </w:pPr>
          </w:p>
        </w:tc>
        <w:tc>
          <w:tcPr>
            <w:tcW w:w="839" w:type="dxa"/>
            <w:vAlign w:val="top"/>
          </w:tcPr>
          <w:p w14:paraId="30B0EF9C">
            <w:pPr>
              <w:rPr>
                <w:rFonts w:ascii="Arial"/>
                <w:sz w:val="21"/>
                <w:highlight w:val="none"/>
              </w:rPr>
            </w:pPr>
          </w:p>
        </w:tc>
        <w:tc>
          <w:tcPr>
            <w:tcW w:w="829" w:type="dxa"/>
            <w:vAlign w:val="top"/>
          </w:tcPr>
          <w:p w14:paraId="2A55D6DF">
            <w:pPr>
              <w:rPr>
                <w:rFonts w:ascii="Arial"/>
                <w:sz w:val="21"/>
                <w:highlight w:val="none"/>
              </w:rPr>
            </w:pPr>
          </w:p>
        </w:tc>
        <w:tc>
          <w:tcPr>
            <w:tcW w:w="620" w:type="dxa"/>
            <w:vAlign w:val="top"/>
          </w:tcPr>
          <w:p w14:paraId="5DFF81E8">
            <w:pPr>
              <w:rPr>
                <w:rFonts w:ascii="Arial"/>
                <w:sz w:val="21"/>
                <w:highlight w:val="none"/>
              </w:rPr>
            </w:pPr>
          </w:p>
        </w:tc>
        <w:tc>
          <w:tcPr>
            <w:tcW w:w="809" w:type="dxa"/>
            <w:vAlign w:val="top"/>
          </w:tcPr>
          <w:p w14:paraId="510D7EC1">
            <w:pPr>
              <w:rPr>
                <w:rFonts w:ascii="Arial"/>
                <w:sz w:val="21"/>
                <w:highlight w:val="none"/>
              </w:rPr>
            </w:pPr>
          </w:p>
        </w:tc>
        <w:tc>
          <w:tcPr>
            <w:tcW w:w="939" w:type="dxa"/>
            <w:vAlign w:val="top"/>
          </w:tcPr>
          <w:p w14:paraId="4246988B">
            <w:pPr>
              <w:rPr>
                <w:rFonts w:ascii="Arial"/>
                <w:sz w:val="21"/>
                <w:highlight w:val="none"/>
              </w:rPr>
            </w:pPr>
          </w:p>
        </w:tc>
        <w:tc>
          <w:tcPr>
            <w:tcW w:w="719" w:type="dxa"/>
            <w:vAlign w:val="top"/>
          </w:tcPr>
          <w:p w14:paraId="7B50391B">
            <w:pPr>
              <w:rPr>
                <w:rFonts w:ascii="Arial"/>
                <w:sz w:val="21"/>
                <w:highlight w:val="none"/>
              </w:rPr>
            </w:pPr>
          </w:p>
        </w:tc>
        <w:tc>
          <w:tcPr>
            <w:tcW w:w="844" w:type="dxa"/>
            <w:vAlign w:val="top"/>
          </w:tcPr>
          <w:p w14:paraId="7270572A">
            <w:pPr>
              <w:rPr>
                <w:rFonts w:ascii="Arial"/>
                <w:sz w:val="21"/>
                <w:highlight w:val="none"/>
              </w:rPr>
            </w:pPr>
          </w:p>
        </w:tc>
      </w:tr>
      <w:tr w14:paraId="49564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485" w:type="dxa"/>
            <w:vAlign w:val="top"/>
          </w:tcPr>
          <w:p w14:paraId="72B1A6CC">
            <w:pPr>
              <w:rPr>
                <w:rFonts w:ascii="Arial"/>
                <w:sz w:val="21"/>
                <w:highlight w:val="none"/>
              </w:rPr>
            </w:pPr>
          </w:p>
        </w:tc>
        <w:tc>
          <w:tcPr>
            <w:tcW w:w="1808" w:type="dxa"/>
            <w:vAlign w:val="top"/>
          </w:tcPr>
          <w:p w14:paraId="532742DC">
            <w:pPr>
              <w:rPr>
                <w:rFonts w:ascii="Arial"/>
                <w:sz w:val="21"/>
                <w:highlight w:val="none"/>
              </w:rPr>
            </w:pPr>
          </w:p>
        </w:tc>
        <w:tc>
          <w:tcPr>
            <w:tcW w:w="1039" w:type="dxa"/>
            <w:vAlign w:val="top"/>
          </w:tcPr>
          <w:p w14:paraId="6A2B3BE8">
            <w:pPr>
              <w:rPr>
                <w:rFonts w:ascii="Arial"/>
                <w:sz w:val="21"/>
                <w:highlight w:val="none"/>
              </w:rPr>
            </w:pPr>
          </w:p>
        </w:tc>
        <w:tc>
          <w:tcPr>
            <w:tcW w:w="819" w:type="dxa"/>
            <w:vAlign w:val="top"/>
          </w:tcPr>
          <w:p w14:paraId="3A67C1AA">
            <w:pPr>
              <w:rPr>
                <w:rFonts w:ascii="Arial"/>
                <w:sz w:val="21"/>
                <w:highlight w:val="none"/>
              </w:rPr>
            </w:pPr>
          </w:p>
        </w:tc>
        <w:tc>
          <w:tcPr>
            <w:tcW w:w="839" w:type="dxa"/>
            <w:vAlign w:val="top"/>
          </w:tcPr>
          <w:p w14:paraId="6FEAA0C7">
            <w:pPr>
              <w:rPr>
                <w:rFonts w:ascii="Arial"/>
                <w:sz w:val="21"/>
                <w:highlight w:val="none"/>
              </w:rPr>
            </w:pPr>
          </w:p>
        </w:tc>
        <w:tc>
          <w:tcPr>
            <w:tcW w:w="829" w:type="dxa"/>
            <w:vAlign w:val="top"/>
          </w:tcPr>
          <w:p w14:paraId="4920B7DA">
            <w:pPr>
              <w:rPr>
                <w:rFonts w:ascii="Arial"/>
                <w:sz w:val="21"/>
                <w:highlight w:val="none"/>
              </w:rPr>
            </w:pPr>
          </w:p>
        </w:tc>
        <w:tc>
          <w:tcPr>
            <w:tcW w:w="620" w:type="dxa"/>
            <w:vAlign w:val="top"/>
          </w:tcPr>
          <w:p w14:paraId="02976FB0">
            <w:pPr>
              <w:rPr>
                <w:rFonts w:ascii="Arial"/>
                <w:sz w:val="21"/>
                <w:highlight w:val="none"/>
              </w:rPr>
            </w:pPr>
          </w:p>
        </w:tc>
        <w:tc>
          <w:tcPr>
            <w:tcW w:w="809" w:type="dxa"/>
            <w:vAlign w:val="top"/>
          </w:tcPr>
          <w:p w14:paraId="1FB4D1FC">
            <w:pPr>
              <w:rPr>
                <w:rFonts w:ascii="Arial"/>
                <w:sz w:val="21"/>
                <w:highlight w:val="none"/>
              </w:rPr>
            </w:pPr>
          </w:p>
        </w:tc>
        <w:tc>
          <w:tcPr>
            <w:tcW w:w="939" w:type="dxa"/>
            <w:vAlign w:val="top"/>
          </w:tcPr>
          <w:p w14:paraId="6388C5C4">
            <w:pPr>
              <w:rPr>
                <w:rFonts w:ascii="Arial"/>
                <w:sz w:val="21"/>
                <w:highlight w:val="none"/>
              </w:rPr>
            </w:pPr>
          </w:p>
        </w:tc>
        <w:tc>
          <w:tcPr>
            <w:tcW w:w="719" w:type="dxa"/>
            <w:vAlign w:val="top"/>
          </w:tcPr>
          <w:p w14:paraId="609D9D39">
            <w:pPr>
              <w:rPr>
                <w:rFonts w:ascii="Arial"/>
                <w:sz w:val="21"/>
                <w:highlight w:val="none"/>
              </w:rPr>
            </w:pPr>
          </w:p>
        </w:tc>
        <w:tc>
          <w:tcPr>
            <w:tcW w:w="844" w:type="dxa"/>
            <w:vAlign w:val="top"/>
          </w:tcPr>
          <w:p w14:paraId="191DA40E">
            <w:pPr>
              <w:rPr>
                <w:rFonts w:ascii="Arial"/>
                <w:sz w:val="21"/>
                <w:highlight w:val="none"/>
              </w:rPr>
            </w:pPr>
          </w:p>
        </w:tc>
      </w:tr>
      <w:tr w14:paraId="2AB7C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485" w:type="dxa"/>
            <w:vAlign w:val="top"/>
          </w:tcPr>
          <w:p w14:paraId="59B65BC3">
            <w:pPr>
              <w:rPr>
                <w:rFonts w:ascii="Arial"/>
                <w:sz w:val="21"/>
                <w:highlight w:val="none"/>
              </w:rPr>
            </w:pPr>
          </w:p>
        </w:tc>
        <w:tc>
          <w:tcPr>
            <w:tcW w:w="1808" w:type="dxa"/>
            <w:vAlign w:val="top"/>
          </w:tcPr>
          <w:p w14:paraId="51DA781A">
            <w:pPr>
              <w:rPr>
                <w:rFonts w:ascii="Arial"/>
                <w:sz w:val="21"/>
                <w:highlight w:val="none"/>
              </w:rPr>
            </w:pPr>
          </w:p>
        </w:tc>
        <w:tc>
          <w:tcPr>
            <w:tcW w:w="1039" w:type="dxa"/>
            <w:vAlign w:val="top"/>
          </w:tcPr>
          <w:p w14:paraId="0A6DD847">
            <w:pPr>
              <w:rPr>
                <w:rFonts w:ascii="Arial"/>
                <w:sz w:val="21"/>
                <w:highlight w:val="none"/>
              </w:rPr>
            </w:pPr>
          </w:p>
        </w:tc>
        <w:tc>
          <w:tcPr>
            <w:tcW w:w="819" w:type="dxa"/>
            <w:vAlign w:val="top"/>
          </w:tcPr>
          <w:p w14:paraId="2A44B3B5">
            <w:pPr>
              <w:rPr>
                <w:rFonts w:ascii="Arial"/>
                <w:sz w:val="21"/>
                <w:highlight w:val="none"/>
              </w:rPr>
            </w:pPr>
          </w:p>
        </w:tc>
        <w:tc>
          <w:tcPr>
            <w:tcW w:w="839" w:type="dxa"/>
            <w:vAlign w:val="top"/>
          </w:tcPr>
          <w:p w14:paraId="7DB18241">
            <w:pPr>
              <w:rPr>
                <w:rFonts w:ascii="Arial"/>
                <w:sz w:val="21"/>
                <w:highlight w:val="none"/>
              </w:rPr>
            </w:pPr>
          </w:p>
        </w:tc>
        <w:tc>
          <w:tcPr>
            <w:tcW w:w="829" w:type="dxa"/>
            <w:vAlign w:val="top"/>
          </w:tcPr>
          <w:p w14:paraId="6DFCB706">
            <w:pPr>
              <w:rPr>
                <w:rFonts w:ascii="Arial"/>
                <w:sz w:val="21"/>
                <w:highlight w:val="none"/>
              </w:rPr>
            </w:pPr>
          </w:p>
        </w:tc>
        <w:tc>
          <w:tcPr>
            <w:tcW w:w="620" w:type="dxa"/>
            <w:vAlign w:val="top"/>
          </w:tcPr>
          <w:p w14:paraId="178BF1C0">
            <w:pPr>
              <w:rPr>
                <w:rFonts w:ascii="Arial"/>
                <w:sz w:val="21"/>
                <w:highlight w:val="none"/>
              </w:rPr>
            </w:pPr>
          </w:p>
        </w:tc>
        <w:tc>
          <w:tcPr>
            <w:tcW w:w="809" w:type="dxa"/>
            <w:vAlign w:val="top"/>
          </w:tcPr>
          <w:p w14:paraId="0D484848">
            <w:pPr>
              <w:rPr>
                <w:rFonts w:ascii="Arial"/>
                <w:sz w:val="21"/>
                <w:highlight w:val="none"/>
              </w:rPr>
            </w:pPr>
          </w:p>
        </w:tc>
        <w:tc>
          <w:tcPr>
            <w:tcW w:w="939" w:type="dxa"/>
            <w:vAlign w:val="top"/>
          </w:tcPr>
          <w:p w14:paraId="28175A9C">
            <w:pPr>
              <w:rPr>
                <w:rFonts w:ascii="Arial"/>
                <w:sz w:val="21"/>
                <w:highlight w:val="none"/>
              </w:rPr>
            </w:pPr>
          </w:p>
        </w:tc>
        <w:tc>
          <w:tcPr>
            <w:tcW w:w="719" w:type="dxa"/>
            <w:vAlign w:val="top"/>
          </w:tcPr>
          <w:p w14:paraId="69E1A6E2">
            <w:pPr>
              <w:rPr>
                <w:rFonts w:ascii="Arial"/>
                <w:sz w:val="21"/>
                <w:highlight w:val="none"/>
              </w:rPr>
            </w:pPr>
          </w:p>
        </w:tc>
        <w:tc>
          <w:tcPr>
            <w:tcW w:w="844" w:type="dxa"/>
            <w:vAlign w:val="top"/>
          </w:tcPr>
          <w:p w14:paraId="786242E9">
            <w:pPr>
              <w:rPr>
                <w:rFonts w:ascii="Arial"/>
                <w:sz w:val="21"/>
                <w:highlight w:val="none"/>
              </w:rPr>
            </w:pPr>
          </w:p>
        </w:tc>
      </w:tr>
      <w:tr w14:paraId="6C7B5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485" w:type="dxa"/>
            <w:vAlign w:val="top"/>
          </w:tcPr>
          <w:p w14:paraId="3E0EFEFB">
            <w:pPr>
              <w:rPr>
                <w:rFonts w:ascii="Arial"/>
                <w:sz w:val="21"/>
                <w:highlight w:val="none"/>
              </w:rPr>
            </w:pPr>
          </w:p>
        </w:tc>
        <w:tc>
          <w:tcPr>
            <w:tcW w:w="1808" w:type="dxa"/>
            <w:vAlign w:val="top"/>
          </w:tcPr>
          <w:p w14:paraId="66519A6F">
            <w:pPr>
              <w:rPr>
                <w:rFonts w:ascii="Arial"/>
                <w:sz w:val="21"/>
                <w:highlight w:val="none"/>
              </w:rPr>
            </w:pPr>
          </w:p>
        </w:tc>
        <w:tc>
          <w:tcPr>
            <w:tcW w:w="1039" w:type="dxa"/>
            <w:vAlign w:val="top"/>
          </w:tcPr>
          <w:p w14:paraId="46A39437">
            <w:pPr>
              <w:rPr>
                <w:rFonts w:ascii="Arial"/>
                <w:sz w:val="21"/>
                <w:highlight w:val="none"/>
              </w:rPr>
            </w:pPr>
          </w:p>
        </w:tc>
        <w:tc>
          <w:tcPr>
            <w:tcW w:w="819" w:type="dxa"/>
            <w:vAlign w:val="top"/>
          </w:tcPr>
          <w:p w14:paraId="78070C58">
            <w:pPr>
              <w:rPr>
                <w:rFonts w:ascii="Arial"/>
                <w:sz w:val="21"/>
                <w:highlight w:val="none"/>
              </w:rPr>
            </w:pPr>
          </w:p>
        </w:tc>
        <w:tc>
          <w:tcPr>
            <w:tcW w:w="839" w:type="dxa"/>
            <w:vAlign w:val="top"/>
          </w:tcPr>
          <w:p w14:paraId="704DC2CC">
            <w:pPr>
              <w:rPr>
                <w:rFonts w:ascii="Arial"/>
                <w:sz w:val="21"/>
                <w:highlight w:val="none"/>
              </w:rPr>
            </w:pPr>
          </w:p>
        </w:tc>
        <w:tc>
          <w:tcPr>
            <w:tcW w:w="829" w:type="dxa"/>
            <w:vAlign w:val="top"/>
          </w:tcPr>
          <w:p w14:paraId="6FC7EA6C">
            <w:pPr>
              <w:rPr>
                <w:rFonts w:ascii="Arial"/>
                <w:sz w:val="21"/>
                <w:highlight w:val="none"/>
              </w:rPr>
            </w:pPr>
          </w:p>
        </w:tc>
        <w:tc>
          <w:tcPr>
            <w:tcW w:w="620" w:type="dxa"/>
            <w:vAlign w:val="top"/>
          </w:tcPr>
          <w:p w14:paraId="4C5148DC">
            <w:pPr>
              <w:rPr>
                <w:rFonts w:ascii="Arial"/>
                <w:sz w:val="21"/>
                <w:highlight w:val="none"/>
              </w:rPr>
            </w:pPr>
          </w:p>
        </w:tc>
        <w:tc>
          <w:tcPr>
            <w:tcW w:w="809" w:type="dxa"/>
            <w:vAlign w:val="top"/>
          </w:tcPr>
          <w:p w14:paraId="6E2D08D1">
            <w:pPr>
              <w:rPr>
                <w:rFonts w:ascii="Arial"/>
                <w:sz w:val="21"/>
                <w:highlight w:val="none"/>
              </w:rPr>
            </w:pPr>
          </w:p>
        </w:tc>
        <w:tc>
          <w:tcPr>
            <w:tcW w:w="939" w:type="dxa"/>
            <w:vAlign w:val="top"/>
          </w:tcPr>
          <w:p w14:paraId="4C793026">
            <w:pPr>
              <w:rPr>
                <w:rFonts w:ascii="Arial"/>
                <w:sz w:val="21"/>
                <w:highlight w:val="none"/>
              </w:rPr>
            </w:pPr>
          </w:p>
        </w:tc>
        <w:tc>
          <w:tcPr>
            <w:tcW w:w="719" w:type="dxa"/>
            <w:vAlign w:val="top"/>
          </w:tcPr>
          <w:p w14:paraId="2E7C422D">
            <w:pPr>
              <w:rPr>
                <w:rFonts w:ascii="Arial"/>
                <w:sz w:val="21"/>
                <w:highlight w:val="none"/>
              </w:rPr>
            </w:pPr>
          </w:p>
        </w:tc>
        <w:tc>
          <w:tcPr>
            <w:tcW w:w="844" w:type="dxa"/>
            <w:vAlign w:val="top"/>
          </w:tcPr>
          <w:p w14:paraId="242D54A1">
            <w:pPr>
              <w:rPr>
                <w:rFonts w:ascii="Arial"/>
                <w:sz w:val="21"/>
                <w:highlight w:val="none"/>
              </w:rPr>
            </w:pPr>
          </w:p>
        </w:tc>
      </w:tr>
      <w:tr w14:paraId="14E0D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485" w:type="dxa"/>
            <w:vAlign w:val="top"/>
          </w:tcPr>
          <w:p w14:paraId="30FFFCCD">
            <w:pPr>
              <w:rPr>
                <w:rFonts w:ascii="Arial"/>
                <w:sz w:val="21"/>
                <w:highlight w:val="none"/>
              </w:rPr>
            </w:pPr>
          </w:p>
        </w:tc>
        <w:tc>
          <w:tcPr>
            <w:tcW w:w="1808" w:type="dxa"/>
            <w:vAlign w:val="top"/>
          </w:tcPr>
          <w:p w14:paraId="00743523">
            <w:pPr>
              <w:rPr>
                <w:rFonts w:ascii="Arial"/>
                <w:sz w:val="21"/>
                <w:highlight w:val="none"/>
              </w:rPr>
            </w:pPr>
          </w:p>
        </w:tc>
        <w:tc>
          <w:tcPr>
            <w:tcW w:w="1039" w:type="dxa"/>
            <w:vAlign w:val="top"/>
          </w:tcPr>
          <w:p w14:paraId="24CC3EDB">
            <w:pPr>
              <w:rPr>
                <w:rFonts w:ascii="Arial"/>
                <w:sz w:val="21"/>
                <w:highlight w:val="none"/>
              </w:rPr>
            </w:pPr>
          </w:p>
        </w:tc>
        <w:tc>
          <w:tcPr>
            <w:tcW w:w="819" w:type="dxa"/>
            <w:vAlign w:val="top"/>
          </w:tcPr>
          <w:p w14:paraId="17B0B58C">
            <w:pPr>
              <w:rPr>
                <w:rFonts w:ascii="Arial"/>
                <w:sz w:val="21"/>
                <w:highlight w:val="none"/>
              </w:rPr>
            </w:pPr>
          </w:p>
        </w:tc>
        <w:tc>
          <w:tcPr>
            <w:tcW w:w="839" w:type="dxa"/>
            <w:vAlign w:val="top"/>
          </w:tcPr>
          <w:p w14:paraId="2B119CB3">
            <w:pPr>
              <w:rPr>
                <w:rFonts w:ascii="Arial"/>
                <w:sz w:val="21"/>
                <w:highlight w:val="none"/>
              </w:rPr>
            </w:pPr>
          </w:p>
        </w:tc>
        <w:tc>
          <w:tcPr>
            <w:tcW w:w="829" w:type="dxa"/>
            <w:vAlign w:val="top"/>
          </w:tcPr>
          <w:p w14:paraId="07AE9379">
            <w:pPr>
              <w:rPr>
                <w:rFonts w:ascii="Arial"/>
                <w:sz w:val="21"/>
                <w:highlight w:val="none"/>
              </w:rPr>
            </w:pPr>
          </w:p>
        </w:tc>
        <w:tc>
          <w:tcPr>
            <w:tcW w:w="620" w:type="dxa"/>
            <w:vAlign w:val="top"/>
          </w:tcPr>
          <w:p w14:paraId="5B280191">
            <w:pPr>
              <w:rPr>
                <w:rFonts w:ascii="Arial"/>
                <w:sz w:val="21"/>
                <w:highlight w:val="none"/>
              </w:rPr>
            </w:pPr>
          </w:p>
        </w:tc>
        <w:tc>
          <w:tcPr>
            <w:tcW w:w="809" w:type="dxa"/>
            <w:vAlign w:val="top"/>
          </w:tcPr>
          <w:p w14:paraId="02463475">
            <w:pPr>
              <w:rPr>
                <w:rFonts w:ascii="Arial"/>
                <w:sz w:val="21"/>
                <w:highlight w:val="none"/>
              </w:rPr>
            </w:pPr>
          </w:p>
        </w:tc>
        <w:tc>
          <w:tcPr>
            <w:tcW w:w="939" w:type="dxa"/>
            <w:vAlign w:val="top"/>
          </w:tcPr>
          <w:p w14:paraId="29BF1012">
            <w:pPr>
              <w:rPr>
                <w:rFonts w:ascii="Arial"/>
                <w:sz w:val="21"/>
                <w:highlight w:val="none"/>
              </w:rPr>
            </w:pPr>
          </w:p>
        </w:tc>
        <w:tc>
          <w:tcPr>
            <w:tcW w:w="719" w:type="dxa"/>
            <w:vAlign w:val="top"/>
          </w:tcPr>
          <w:p w14:paraId="570C3276">
            <w:pPr>
              <w:rPr>
                <w:rFonts w:ascii="Arial"/>
                <w:sz w:val="21"/>
                <w:highlight w:val="none"/>
              </w:rPr>
            </w:pPr>
          </w:p>
        </w:tc>
        <w:tc>
          <w:tcPr>
            <w:tcW w:w="844" w:type="dxa"/>
            <w:vAlign w:val="top"/>
          </w:tcPr>
          <w:p w14:paraId="47556E7D">
            <w:pPr>
              <w:rPr>
                <w:rFonts w:ascii="Arial"/>
                <w:sz w:val="21"/>
                <w:highlight w:val="none"/>
              </w:rPr>
            </w:pPr>
          </w:p>
        </w:tc>
      </w:tr>
      <w:tr w14:paraId="13ACB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485" w:type="dxa"/>
            <w:vAlign w:val="top"/>
          </w:tcPr>
          <w:p w14:paraId="7B610089">
            <w:pPr>
              <w:rPr>
                <w:rFonts w:ascii="Arial"/>
                <w:sz w:val="21"/>
                <w:highlight w:val="none"/>
              </w:rPr>
            </w:pPr>
          </w:p>
        </w:tc>
        <w:tc>
          <w:tcPr>
            <w:tcW w:w="1808" w:type="dxa"/>
            <w:vAlign w:val="top"/>
          </w:tcPr>
          <w:p w14:paraId="3981205A">
            <w:pPr>
              <w:rPr>
                <w:rFonts w:ascii="Arial"/>
                <w:sz w:val="21"/>
                <w:highlight w:val="none"/>
              </w:rPr>
            </w:pPr>
          </w:p>
        </w:tc>
        <w:tc>
          <w:tcPr>
            <w:tcW w:w="1039" w:type="dxa"/>
            <w:vAlign w:val="top"/>
          </w:tcPr>
          <w:p w14:paraId="29E9B8C4">
            <w:pPr>
              <w:rPr>
                <w:rFonts w:ascii="Arial"/>
                <w:sz w:val="21"/>
                <w:highlight w:val="none"/>
              </w:rPr>
            </w:pPr>
          </w:p>
        </w:tc>
        <w:tc>
          <w:tcPr>
            <w:tcW w:w="819" w:type="dxa"/>
            <w:vAlign w:val="top"/>
          </w:tcPr>
          <w:p w14:paraId="0E04AFCF">
            <w:pPr>
              <w:rPr>
                <w:rFonts w:ascii="Arial"/>
                <w:sz w:val="21"/>
                <w:highlight w:val="none"/>
              </w:rPr>
            </w:pPr>
          </w:p>
        </w:tc>
        <w:tc>
          <w:tcPr>
            <w:tcW w:w="839" w:type="dxa"/>
            <w:vAlign w:val="top"/>
          </w:tcPr>
          <w:p w14:paraId="4790C184">
            <w:pPr>
              <w:rPr>
                <w:rFonts w:ascii="Arial"/>
                <w:sz w:val="21"/>
                <w:highlight w:val="none"/>
              </w:rPr>
            </w:pPr>
          </w:p>
        </w:tc>
        <w:tc>
          <w:tcPr>
            <w:tcW w:w="829" w:type="dxa"/>
            <w:vAlign w:val="top"/>
          </w:tcPr>
          <w:p w14:paraId="73BCA908">
            <w:pPr>
              <w:rPr>
                <w:rFonts w:ascii="Arial"/>
                <w:sz w:val="21"/>
                <w:highlight w:val="none"/>
              </w:rPr>
            </w:pPr>
          </w:p>
        </w:tc>
        <w:tc>
          <w:tcPr>
            <w:tcW w:w="620" w:type="dxa"/>
            <w:vAlign w:val="top"/>
          </w:tcPr>
          <w:p w14:paraId="12AE1B6D">
            <w:pPr>
              <w:rPr>
                <w:rFonts w:ascii="Arial"/>
                <w:sz w:val="21"/>
                <w:highlight w:val="none"/>
              </w:rPr>
            </w:pPr>
          </w:p>
        </w:tc>
        <w:tc>
          <w:tcPr>
            <w:tcW w:w="809" w:type="dxa"/>
            <w:vAlign w:val="top"/>
          </w:tcPr>
          <w:p w14:paraId="28581A26">
            <w:pPr>
              <w:rPr>
                <w:rFonts w:ascii="Arial"/>
                <w:sz w:val="21"/>
                <w:highlight w:val="none"/>
              </w:rPr>
            </w:pPr>
          </w:p>
        </w:tc>
        <w:tc>
          <w:tcPr>
            <w:tcW w:w="939" w:type="dxa"/>
            <w:vAlign w:val="top"/>
          </w:tcPr>
          <w:p w14:paraId="656A9A0A">
            <w:pPr>
              <w:rPr>
                <w:rFonts w:ascii="Arial"/>
                <w:sz w:val="21"/>
                <w:highlight w:val="none"/>
              </w:rPr>
            </w:pPr>
          </w:p>
        </w:tc>
        <w:tc>
          <w:tcPr>
            <w:tcW w:w="719" w:type="dxa"/>
            <w:vAlign w:val="top"/>
          </w:tcPr>
          <w:p w14:paraId="7BBE5CEC">
            <w:pPr>
              <w:rPr>
                <w:rFonts w:ascii="Arial"/>
                <w:sz w:val="21"/>
                <w:highlight w:val="none"/>
              </w:rPr>
            </w:pPr>
          </w:p>
        </w:tc>
        <w:tc>
          <w:tcPr>
            <w:tcW w:w="844" w:type="dxa"/>
            <w:vAlign w:val="top"/>
          </w:tcPr>
          <w:p w14:paraId="313B18D4">
            <w:pPr>
              <w:rPr>
                <w:rFonts w:ascii="Arial"/>
                <w:sz w:val="21"/>
                <w:highlight w:val="none"/>
              </w:rPr>
            </w:pPr>
          </w:p>
        </w:tc>
      </w:tr>
      <w:tr w14:paraId="20227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485" w:type="dxa"/>
            <w:vAlign w:val="top"/>
          </w:tcPr>
          <w:p w14:paraId="783DC636">
            <w:pPr>
              <w:rPr>
                <w:rFonts w:ascii="Arial"/>
                <w:sz w:val="21"/>
                <w:highlight w:val="none"/>
              </w:rPr>
            </w:pPr>
          </w:p>
        </w:tc>
        <w:tc>
          <w:tcPr>
            <w:tcW w:w="1808" w:type="dxa"/>
            <w:vAlign w:val="top"/>
          </w:tcPr>
          <w:p w14:paraId="7E3E2A8A">
            <w:pPr>
              <w:rPr>
                <w:rFonts w:ascii="Arial"/>
                <w:sz w:val="21"/>
                <w:highlight w:val="none"/>
              </w:rPr>
            </w:pPr>
          </w:p>
        </w:tc>
        <w:tc>
          <w:tcPr>
            <w:tcW w:w="1039" w:type="dxa"/>
            <w:vAlign w:val="top"/>
          </w:tcPr>
          <w:p w14:paraId="26DAB533">
            <w:pPr>
              <w:rPr>
                <w:rFonts w:ascii="Arial"/>
                <w:sz w:val="21"/>
                <w:highlight w:val="none"/>
              </w:rPr>
            </w:pPr>
          </w:p>
        </w:tc>
        <w:tc>
          <w:tcPr>
            <w:tcW w:w="819" w:type="dxa"/>
            <w:vAlign w:val="top"/>
          </w:tcPr>
          <w:p w14:paraId="2ABE41C0">
            <w:pPr>
              <w:rPr>
                <w:rFonts w:ascii="Arial"/>
                <w:sz w:val="21"/>
                <w:highlight w:val="none"/>
              </w:rPr>
            </w:pPr>
          </w:p>
        </w:tc>
        <w:tc>
          <w:tcPr>
            <w:tcW w:w="839" w:type="dxa"/>
            <w:vAlign w:val="top"/>
          </w:tcPr>
          <w:p w14:paraId="308BF7EA">
            <w:pPr>
              <w:rPr>
                <w:rFonts w:ascii="Arial"/>
                <w:sz w:val="21"/>
                <w:highlight w:val="none"/>
              </w:rPr>
            </w:pPr>
          </w:p>
        </w:tc>
        <w:tc>
          <w:tcPr>
            <w:tcW w:w="829" w:type="dxa"/>
            <w:vAlign w:val="top"/>
          </w:tcPr>
          <w:p w14:paraId="2A226232">
            <w:pPr>
              <w:rPr>
                <w:rFonts w:ascii="Arial"/>
                <w:sz w:val="21"/>
                <w:highlight w:val="none"/>
              </w:rPr>
            </w:pPr>
          </w:p>
        </w:tc>
        <w:tc>
          <w:tcPr>
            <w:tcW w:w="620" w:type="dxa"/>
            <w:vAlign w:val="top"/>
          </w:tcPr>
          <w:p w14:paraId="62972FE5">
            <w:pPr>
              <w:rPr>
                <w:rFonts w:ascii="Arial"/>
                <w:sz w:val="21"/>
                <w:highlight w:val="none"/>
              </w:rPr>
            </w:pPr>
          </w:p>
        </w:tc>
        <w:tc>
          <w:tcPr>
            <w:tcW w:w="809" w:type="dxa"/>
            <w:vAlign w:val="top"/>
          </w:tcPr>
          <w:p w14:paraId="61BA63A5">
            <w:pPr>
              <w:rPr>
                <w:rFonts w:ascii="Arial"/>
                <w:sz w:val="21"/>
                <w:highlight w:val="none"/>
              </w:rPr>
            </w:pPr>
          </w:p>
        </w:tc>
        <w:tc>
          <w:tcPr>
            <w:tcW w:w="939" w:type="dxa"/>
            <w:vAlign w:val="top"/>
          </w:tcPr>
          <w:p w14:paraId="0CF8E38E">
            <w:pPr>
              <w:rPr>
                <w:rFonts w:ascii="Arial"/>
                <w:sz w:val="21"/>
                <w:highlight w:val="none"/>
              </w:rPr>
            </w:pPr>
          </w:p>
        </w:tc>
        <w:tc>
          <w:tcPr>
            <w:tcW w:w="719" w:type="dxa"/>
            <w:vAlign w:val="top"/>
          </w:tcPr>
          <w:p w14:paraId="448F595E">
            <w:pPr>
              <w:rPr>
                <w:rFonts w:ascii="Arial"/>
                <w:sz w:val="21"/>
                <w:highlight w:val="none"/>
              </w:rPr>
            </w:pPr>
          </w:p>
        </w:tc>
        <w:tc>
          <w:tcPr>
            <w:tcW w:w="844" w:type="dxa"/>
            <w:vAlign w:val="top"/>
          </w:tcPr>
          <w:p w14:paraId="1E755573">
            <w:pPr>
              <w:rPr>
                <w:rFonts w:ascii="Arial"/>
                <w:sz w:val="21"/>
                <w:highlight w:val="none"/>
              </w:rPr>
            </w:pPr>
          </w:p>
        </w:tc>
      </w:tr>
      <w:tr w14:paraId="2C56F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2293" w:type="dxa"/>
            <w:gridSpan w:val="2"/>
            <w:vAlign w:val="top"/>
          </w:tcPr>
          <w:p w14:paraId="397A3CB7">
            <w:pPr>
              <w:pStyle w:val="6"/>
              <w:spacing w:before="94" w:line="218" w:lineRule="auto"/>
              <w:ind w:left="295"/>
              <w:rPr>
                <w:highlight w:val="none"/>
              </w:rPr>
            </w:pPr>
            <w:r>
              <w:rPr>
                <w:spacing w:val="5"/>
                <w:highlight w:val="none"/>
              </w:rPr>
              <w:t>最高投标限价(元)</w:t>
            </w:r>
          </w:p>
        </w:tc>
        <w:tc>
          <w:tcPr>
            <w:tcW w:w="7457" w:type="dxa"/>
            <w:gridSpan w:val="9"/>
            <w:vAlign w:val="top"/>
          </w:tcPr>
          <w:p w14:paraId="0815B23D">
            <w:pPr>
              <w:rPr>
                <w:rFonts w:ascii="Arial"/>
                <w:sz w:val="21"/>
                <w:highlight w:val="none"/>
              </w:rPr>
            </w:pPr>
          </w:p>
        </w:tc>
      </w:tr>
      <w:tr w14:paraId="72F7C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2293" w:type="dxa"/>
            <w:gridSpan w:val="2"/>
            <w:vAlign w:val="top"/>
          </w:tcPr>
          <w:p w14:paraId="79A7492F">
            <w:pPr>
              <w:pStyle w:val="6"/>
              <w:spacing w:before="168" w:line="275" w:lineRule="auto"/>
              <w:ind w:left="925" w:right="106" w:hanging="840"/>
              <w:rPr>
                <w:highlight w:val="none"/>
              </w:rPr>
            </w:pPr>
            <w:r>
              <w:rPr>
                <w:spacing w:val="-1"/>
                <w:highlight w:val="none"/>
              </w:rPr>
              <w:t>开标过程需记录的其他</w:t>
            </w:r>
            <w:r>
              <w:rPr>
                <w:highlight w:val="none"/>
              </w:rPr>
              <w:t xml:space="preserve"> </w:t>
            </w:r>
            <w:r>
              <w:rPr>
                <w:spacing w:val="6"/>
                <w:highlight w:val="none"/>
              </w:rPr>
              <w:t>事项</w:t>
            </w:r>
          </w:p>
        </w:tc>
        <w:tc>
          <w:tcPr>
            <w:tcW w:w="7457" w:type="dxa"/>
            <w:gridSpan w:val="9"/>
            <w:vAlign w:val="top"/>
          </w:tcPr>
          <w:p w14:paraId="66BC5ECB">
            <w:pPr>
              <w:rPr>
                <w:rFonts w:ascii="Arial"/>
                <w:sz w:val="21"/>
                <w:highlight w:val="none"/>
              </w:rPr>
            </w:pPr>
          </w:p>
        </w:tc>
      </w:tr>
    </w:tbl>
    <w:p w14:paraId="6697B2A0">
      <w:pPr>
        <w:spacing w:before="134" w:line="229" w:lineRule="auto"/>
        <w:ind w:left="675"/>
        <w:rPr>
          <w:rFonts w:ascii="宋体" w:hAnsi="宋体" w:eastAsia="宋体" w:cs="宋体"/>
          <w:sz w:val="22"/>
          <w:szCs w:val="22"/>
          <w:highlight w:val="none"/>
        </w:rPr>
      </w:pPr>
      <w:r>
        <w:rPr>
          <w:rFonts w:ascii="宋体" w:hAnsi="宋体" w:eastAsia="宋体" w:cs="宋体"/>
          <w:spacing w:val="-17"/>
          <w:position w:val="-2"/>
          <w:sz w:val="22"/>
          <w:szCs w:val="22"/>
          <w:highlight w:val="none"/>
        </w:rPr>
        <w:t>开标时间：</w:t>
      </w:r>
      <w:r>
        <w:rPr>
          <w:rFonts w:ascii="宋体" w:hAnsi="宋体" w:eastAsia="宋体" w:cs="宋体"/>
          <w:spacing w:val="20"/>
          <w:position w:val="-2"/>
          <w:sz w:val="22"/>
          <w:szCs w:val="22"/>
          <w:highlight w:val="none"/>
          <w:u w:val="single" w:color="auto"/>
        </w:rPr>
        <w:t xml:space="preserve">     </w:t>
      </w:r>
      <w:r>
        <w:rPr>
          <w:rFonts w:ascii="宋体" w:hAnsi="宋体" w:eastAsia="宋体" w:cs="宋体"/>
          <w:spacing w:val="-17"/>
          <w:position w:val="1"/>
          <w:sz w:val="19"/>
          <w:szCs w:val="19"/>
          <w:highlight w:val="none"/>
        </w:rPr>
        <w:t>年</w:t>
      </w:r>
      <w:r>
        <w:rPr>
          <w:rFonts w:ascii="宋体" w:hAnsi="宋体" w:eastAsia="宋体" w:cs="宋体"/>
          <w:spacing w:val="12"/>
          <w:position w:val="-1"/>
          <w:sz w:val="22"/>
          <w:szCs w:val="22"/>
          <w:highlight w:val="none"/>
          <w:u w:val="single" w:color="auto"/>
        </w:rPr>
        <w:t xml:space="preserve">    </w:t>
      </w:r>
      <w:r>
        <w:rPr>
          <w:rFonts w:ascii="宋体" w:hAnsi="宋体" w:eastAsia="宋体" w:cs="宋体"/>
          <w:spacing w:val="-17"/>
          <w:position w:val="-1"/>
          <w:sz w:val="22"/>
          <w:szCs w:val="22"/>
          <w:highlight w:val="none"/>
          <w:u w:val="single" w:color="auto"/>
        </w:rPr>
        <w:t>月</w:t>
      </w:r>
      <w:r>
        <w:rPr>
          <w:rFonts w:ascii="宋体" w:hAnsi="宋体" w:eastAsia="宋体" w:cs="宋体"/>
          <w:spacing w:val="3"/>
          <w:position w:val="-1"/>
          <w:sz w:val="22"/>
          <w:szCs w:val="22"/>
          <w:highlight w:val="none"/>
          <w:u w:val="single" w:color="auto"/>
        </w:rPr>
        <w:t xml:space="preserve">     </w:t>
      </w:r>
      <w:r>
        <w:rPr>
          <w:rFonts w:ascii="宋体" w:hAnsi="宋体" w:eastAsia="宋体" w:cs="宋体"/>
          <w:spacing w:val="-17"/>
          <w:position w:val="-1"/>
          <w:sz w:val="22"/>
          <w:szCs w:val="22"/>
          <w:highlight w:val="none"/>
          <w:u w:val="single" w:color="auto"/>
        </w:rPr>
        <w:t xml:space="preserve">日   </w:t>
      </w:r>
      <w:r>
        <w:rPr>
          <w:rFonts w:ascii="宋体" w:hAnsi="宋体" w:eastAsia="宋体" w:cs="宋体"/>
          <w:spacing w:val="-17"/>
          <w:position w:val="1"/>
          <w:sz w:val="19"/>
          <w:szCs w:val="19"/>
          <w:highlight w:val="none"/>
          <w:u w:val="single" w:color="auto"/>
        </w:rPr>
        <w:t>时</w:t>
      </w:r>
      <w:r>
        <w:rPr>
          <w:rFonts w:ascii="宋体" w:hAnsi="宋体" w:eastAsia="宋体" w:cs="宋体"/>
          <w:spacing w:val="17"/>
          <w:position w:val="1"/>
          <w:sz w:val="19"/>
          <w:szCs w:val="19"/>
          <w:highlight w:val="none"/>
          <w:u w:val="single" w:color="auto"/>
        </w:rPr>
        <w:t xml:space="preserve">    </w:t>
      </w:r>
      <w:r>
        <w:rPr>
          <w:rFonts w:ascii="宋体" w:hAnsi="宋体" w:eastAsia="宋体" w:cs="宋体"/>
          <w:spacing w:val="-17"/>
          <w:position w:val="1"/>
          <w:sz w:val="19"/>
          <w:szCs w:val="19"/>
          <w:highlight w:val="none"/>
        </w:rPr>
        <w:t>分</w:t>
      </w:r>
      <w:r>
        <w:rPr>
          <w:rFonts w:ascii="宋体" w:hAnsi="宋体" w:eastAsia="宋体" w:cs="宋体"/>
          <w:spacing w:val="15"/>
          <w:position w:val="1"/>
          <w:sz w:val="19"/>
          <w:szCs w:val="19"/>
          <w:highlight w:val="none"/>
        </w:rPr>
        <w:t xml:space="preserve">     </w:t>
      </w:r>
      <w:r>
        <w:rPr>
          <w:rFonts w:ascii="宋体" w:hAnsi="宋体" w:eastAsia="宋体" w:cs="宋体"/>
          <w:spacing w:val="-17"/>
          <w:position w:val="1"/>
          <w:sz w:val="22"/>
          <w:szCs w:val="22"/>
          <w:highlight w:val="none"/>
        </w:rPr>
        <w:t>开标地点：</w:t>
      </w:r>
      <w:r>
        <w:rPr>
          <w:rFonts w:ascii="宋体" w:hAnsi="宋体" w:eastAsia="宋体" w:cs="宋体"/>
          <w:position w:val="1"/>
          <w:sz w:val="22"/>
          <w:szCs w:val="22"/>
          <w:highlight w:val="none"/>
          <w:u w:val="single" w:color="auto"/>
        </w:rPr>
        <w:t xml:space="preserve">                </w:t>
      </w:r>
    </w:p>
    <w:p w14:paraId="761A1FBE">
      <w:pPr>
        <w:spacing w:before="116" w:line="215" w:lineRule="auto"/>
        <w:ind w:left="435"/>
        <w:rPr>
          <w:rFonts w:ascii="宋体" w:hAnsi="宋体" w:eastAsia="宋体" w:cs="宋体"/>
          <w:sz w:val="22"/>
          <w:szCs w:val="22"/>
          <w:highlight w:val="none"/>
        </w:rPr>
      </w:pPr>
      <w:r>
        <w:rPr>
          <w:rFonts w:ascii="宋体" w:hAnsi="宋体" w:eastAsia="宋体" w:cs="宋体"/>
          <w:spacing w:val="-19"/>
          <w:sz w:val="22"/>
          <w:szCs w:val="22"/>
          <w:highlight w:val="none"/>
        </w:rPr>
        <w:t>主持人：</w:t>
      </w:r>
      <w:r>
        <w:rPr>
          <w:rFonts w:ascii="宋体" w:hAnsi="宋体" w:eastAsia="宋体" w:cs="宋体"/>
          <w:spacing w:val="2"/>
          <w:sz w:val="22"/>
          <w:szCs w:val="22"/>
          <w:highlight w:val="none"/>
          <w:u w:val="single" w:color="auto"/>
        </w:rPr>
        <w:t xml:space="preserve">                </w:t>
      </w:r>
      <w:r>
        <w:rPr>
          <w:rFonts w:ascii="宋体" w:hAnsi="宋体" w:eastAsia="宋体" w:cs="宋体"/>
          <w:spacing w:val="-19"/>
          <w:sz w:val="22"/>
          <w:szCs w:val="22"/>
          <w:highlight w:val="none"/>
        </w:rPr>
        <w:t>招标人代表：_</w:t>
      </w:r>
      <w:r>
        <w:rPr>
          <w:rFonts w:ascii="宋体" w:hAnsi="宋体" w:eastAsia="宋体" w:cs="宋体"/>
          <w:spacing w:val="2"/>
          <w:sz w:val="22"/>
          <w:szCs w:val="22"/>
          <w:highlight w:val="none"/>
          <w:u w:val="single" w:color="auto"/>
        </w:rPr>
        <w:t xml:space="preserve">               </w:t>
      </w:r>
      <w:r>
        <w:rPr>
          <w:rFonts w:ascii="宋体" w:hAnsi="宋体" w:eastAsia="宋体" w:cs="宋体"/>
          <w:spacing w:val="-19"/>
          <w:sz w:val="22"/>
          <w:szCs w:val="22"/>
          <w:highlight w:val="none"/>
        </w:rPr>
        <w:t>监标人：</w:t>
      </w:r>
      <w:r>
        <w:rPr>
          <w:rFonts w:ascii="宋体" w:hAnsi="宋体" w:eastAsia="宋体" w:cs="宋体"/>
          <w:sz w:val="22"/>
          <w:szCs w:val="22"/>
          <w:highlight w:val="none"/>
          <w:u w:val="single" w:color="auto"/>
        </w:rPr>
        <w:t xml:space="preserve">              </w:t>
      </w:r>
    </w:p>
    <w:p w14:paraId="10902360">
      <w:pPr>
        <w:spacing w:line="215" w:lineRule="auto"/>
        <w:rPr>
          <w:rFonts w:ascii="宋体" w:hAnsi="宋体" w:eastAsia="宋体" w:cs="宋体"/>
          <w:sz w:val="22"/>
          <w:szCs w:val="22"/>
          <w:highlight w:val="none"/>
        </w:rPr>
        <w:sectPr>
          <w:footerReference r:id="rId49" w:type="default"/>
          <w:pgSz w:w="11910" w:h="16840"/>
          <w:pgMar w:top="1134" w:right="1701" w:bottom="1134" w:left="1754" w:header="0" w:footer="1028" w:gutter="0"/>
          <w:cols w:space="720" w:num="1"/>
        </w:sectPr>
      </w:pPr>
    </w:p>
    <w:p w14:paraId="12F89883">
      <w:pPr>
        <w:pStyle w:val="2"/>
        <w:spacing w:line="278" w:lineRule="auto"/>
        <w:rPr>
          <w:highlight w:val="none"/>
        </w:rPr>
      </w:pPr>
    </w:p>
    <w:p w14:paraId="120FBCA9">
      <w:pPr>
        <w:pStyle w:val="2"/>
        <w:spacing w:line="278" w:lineRule="auto"/>
        <w:rPr>
          <w:highlight w:val="none"/>
        </w:rPr>
      </w:pPr>
    </w:p>
    <w:p w14:paraId="16829FAE">
      <w:pPr>
        <w:pStyle w:val="2"/>
        <w:spacing w:line="278" w:lineRule="auto"/>
        <w:rPr>
          <w:highlight w:val="none"/>
        </w:rPr>
      </w:pPr>
    </w:p>
    <w:p w14:paraId="75FC8EB4">
      <w:pPr>
        <w:pStyle w:val="2"/>
        <w:spacing w:line="278" w:lineRule="auto"/>
        <w:rPr>
          <w:highlight w:val="none"/>
        </w:rPr>
      </w:pPr>
    </w:p>
    <w:p w14:paraId="1F870F36">
      <w:pPr>
        <w:pStyle w:val="2"/>
        <w:spacing w:line="278" w:lineRule="auto"/>
        <w:rPr>
          <w:highlight w:val="none"/>
        </w:rPr>
      </w:pPr>
    </w:p>
    <w:p w14:paraId="7B715EF2">
      <w:pPr>
        <w:spacing w:before="68" w:line="222" w:lineRule="auto"/>
        <w:ind w:left="10"/>
        <w:outlineLvl w:val="1"/>
        <w:rPr>
          <w:rFonts w:ascii="黑体" w:hAnsi="黑体" w:eastAsia="黑体" w:cs="黑体"/>
          <w:sz w:val="21"/>
          <w:szCs w:val="21"/>
          <w:highlight w:val="none"/>
        </w:rPr>
      </w:pPr>
      <w:bookmarkStart w:id="53" w:name="bookmark23"/>
      <w:bookmarkEnd w:id="53"/>
      <w:r>
        <w:rPr>
          <w:rFonts w:ascii="黑体" w:hAnsi="黑体" w:eastAsia="黑体" w:cs="黑体"/>
          <w:spacing w:val="30"/>
          <w:sz w:val="21"/>
          <w:szCs w:val="21"/>
          <w:highlight w:val="none"/>
        </w:rPr>
        <w:t>附表六：投标文件澄清通知</w:t>
      </w:r>
    </w:p>
    <w:p w14:paraId="07AB7292">
      <w:pPr>
        <w:pStyle w:val="2"/>
        <w:spacing w:line="386" w:lineRule="auto"/>
        <w:rPr>
          <w:highlight w:val="none"/>
        </w:rPr>
      </w:pPr>
    </w:p>
    <w:p w14:paraId="55913C5E">
      <w:pPr>
        <w:spacing w:before="91" w:line="222" w:lineRule="auto"/>
        <w:ind w:left="2730"/>
        <w:rPr>
          <w:rFonts w:ascii="黑体" w:hAnsi="黑体" w:eastAsia="黑体" w:cs="黑体"/>
          <w:sz w:val="28"/>
          <w:szCs w:val="28"/>
          <w:highlight w:val="none"/>
        </w:rPr>
      </w:pPr>
      <w:bookmarkStart w:id="54" w:name="bookmark213"/>
      <w:bookmarkEnd w:id="54"/>
      <w:r>
        <w:rPr>
          <w:rFonts w:ascii="黑体" w:hAnsi="黑体" w:eastAsia="黑体" w:cs="黑体"/>
          <w:spacing w:val="3"/>
          <w:sz w:val="28"/>
          <w:szCs w:val="28"/>
          <w:highlight w:val="none"/>
        </w:rPr>
        <w:t>投标文件问题澄清通知</w:t>
      </w:r>
    </w:p>
    <w:p w14:paraId="43877147">
      <w:pPr>
        <w:pStyle w:val="2"/>
        <w:spacing w:line="411" w:lineRule="auto"/>
        <w:rPr>
          <w:highlight w:val="none"/>
        </w:rPr>
      </w:pPr>
    </w:p>
    <w:p w14:paraId="1E77470C">
      <w:pPr>
        <w:spacing w:before="68" w:line="219" w:lineRule="auto"/>
        <w:ind w:left="6130"/>
        <w:rPr>
          <w:rFonts w:ascii="宋体" w:hAnsi="宋体" w:eastAsia="宋体" w:cs="宋体"/>
          <w:sz w:val="21"/>
          <w:szCs w:val="21"/>
          <w:highlight w:val="none"/>
        </w:rPr>
      </w:pPr>
      <w:r>
        <w:rPr>
          <w:rFonts w:ascii="宋体" w:hAnsi="宋体" w:eastAsia="宋体" w:cs="宋体"/>
          <w:spacing w:val="-4"/>
          <w:sz w:val="21"/>
          <w:szCs w:val="21"/>
          <w:highlight w:val="none"/>
        </w:rPr>
        <w:t>编号：</w:t>
      </w:r>
      <w:r>
        <w:rPr>
          <w:rFonts w:ascii="宋体" w:hAnsi="宋体" w:eastAsia="宋体" w:cs="宋体"/>
          <w:sz w:val="21"/>
          <w:szCs w:val="21"/>
          <w:highlight w:val="none"/>
          <w:u w:val="single" w:color="auto"/>
        </w:rPr>
        <w:t xml:space="preserve">                </w:t>
      </w:r>
    </w:p>
    <w:p w14:paraId="2A56DD37">
      <w:pPr>
        <w:pStyle w:val="2"/>
        <w:spacing w:line="284" w:lineRule="auto"/>
        <w:rPr>
          <w:highlight w:val="none"/>
        </w:rPr>
      </w:pPr>
    </w:p>
    <w:p w14:paraId="696858E0">
      <w:pPr>
        <w:pStyle w:val="2"/>
        <w:spacing w:line="285" w:lineRule="auto"/>
        <w:rPr>
          <w:highlight w:val="none"/>
        </w:rPr>
      </w:pPr>
    </w:p>
    <w:p w14:paraId="423FCDA6">
      <w:pPr>
        <w:tabs>
          <w:tab w:val="left" w:pos="1510"/>
        </w:tabs>
        <w:spacing w:before="68" w:line="220" w:lineRule="auto"/>
        <w:ind w:left="190"/>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45"/>
          <w:sz w:val="21"/>
          <w:szCs w:val="21"/>
          <w:highlight w:val="none"/>
        </w:rPr>
        <w:t xml:space="preserve"> </w:t>
      </w:r>
      <w:r>
        <w:rPr>
          <w:rFonts w:ascii="宋体" w:hAnsi="宋体" w:eastAsia="宋体" w:cs="宋体"/>
          <w:spacing w:val="2"/>
          <w:sz w:val="21"/>
          <w:szCs w:val="21"/>
          <w:highlight w:val="none"/>
        </w:rPr>
        <w:t>(投标人名称):</w:t>
      </w:r>
    </w:p>
    <w:p w14:paraId="26F4C369">
      <w:pPr>
        <w:pStyle w:val="2"/>
        <w:spacing w:line="293" w:lineRule="auto"/>
        <w:rPr>
          <w:highlight w:val="none"/>
        </w:rPr>
      </w:pPr>
    </w:p>
    <w:p w14:paraId="2F5BDF49">
      <w:pPr>
        <w:pStyle w:val="2"/>
        <w:spacing w:line="293" w:lineRule="auto"/>
        <w:rPr>
          <w:highlight w:val="none"/>
        </w:rPr>
      </w:pPr>
    </w:p>
    <w:p w14:paraId="4B205644">
      <w:pPr>
        <w:tabs>
          <w:tab w:val="left" w:pos="1290"/>
        </w:tabs>
        <w:spacing w:before="70" w:line="415" w:lineRule="auto"/>
        <w:ind w:right="4" w:firstLine="500"/>
        <w:jc w:val="both"/>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25"/>
          <w:sz w:val="21"/>
          <w:szCs w:val="21"/>
          <w:highlight w:val="none"/>
        </w:rPr>
        <w:t xml:space="preserve"> </w:t>
      </w:r>
      <w:r>
        <w:rPr>
          <w:rFonts w:ascii="宋体" w:hAnsi="宋体" w:eastAsia="宋体" w:cs="宋体"/>
          <w:spacing w:val="3"/>
          <w:sz w:val="21"/>
          <w:szCs w:val="21"/>
          <w:highlight w:val="none"/>
        </w:rPr>
        <w:t>(项目名称)</w:t>
      </w:r>
      <w:r>
        <w:rPr>
          <w:rFonts w:ascii="宋体" w:hAnsi="宋体" w:eastAsia="宋体" w:cs="宋体"/>
          <w:spacing w:val="-81"/>
          <w:sz w:val="21"/>
          <w:szCs w:val="21"/>
          <w:highlight w:val="none"/>
        </w:rPr>
        <w:t xml:space="preserve"> </w:t>
      </w:r>
      <w:r>
        <w:rPr>
          <w:rFonts w:ascii="宋体" w:hAnsi="宋体" w:eastAsia="宋体" w:cs="宋体"/>
          <w:spacing w:val="15"/>
          <w:sz w:val="21"/>
          <w:szCs w:val="21"/>
          <w:highlight w:val="none"/>
          <w:u w:val="single" w:color="auto"/>
        </w:rPr>
        <w:t xml:space="preserve">    </w:t>
      </w:r>
      <w:r>
        <w:rPr>
          <w:rFonts w:ascii="宋体" w:hAnsi="宋体" w:eastAsia="宋体" w:cs="宋体"/>
          <w:spacing w:val="-65"/>
          <w:sz w:val="21"/>
          <w:szCs w:val="21"/>
          <w:highlight w:val="none"/>
        </w:rPr>
        <w:t xml:space="preserve"> </w:t>
      </w:r>
      <w:r>
        <w:rPr>
          <w:rFonts w:ascii="宋体" w:hAnsi="宋体" w:eastAsia="宋体" w:cs="宋体"/>
          <w:spacing w:val="3"/>
          <w:sz w:val="21"/>
          <w:szCs w:val="21"/>
          <w:highlight w:val="none"/>
        </w:rPr>
        <w:t>(标段名称)工程总承包招标的评标委员会，对你方</w:t>
      </w:r>
      <w:r>
        <w:rPr>
          <w:rFonts w:ascii="宋体" w:hAnsi="宋体" w:eastAsia="宋体" w:cs="宋体"/>
          <w:spacing w:val="2"/>
          <w:sz w:val="21"/>
          <w:szCs w:val="21"/>
          <w:highlight w:val="none"/>
        </w:rPr>
        <w:t>的投标</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文件进行了仔细的审查，现需你方对下列问题以书面形式予以澄清、说明或者补正，并将投</w:t>
      </w:r>
      <w:r>
        <w:rPr>
          <w:rFonts w:ascii="宋体" w:hAnsi="宋体" w:eastAsia="宋体" w:cs="宋体"/>
          <w:spacing w:val="18"/>
          <w:sz w:val="21"/>
          <w:szCs w:val="21"/>
          <w:highlight w:val="none"/>
        </w:rPr>
        <w:t xml:space="preserve"> </w:t>
      </w:r>
      <w:r>
        <w:rPr>
          <w:rFonts w:ascii="宋体" w:hAnsi="宋体" w:eastAsia="宋体" w:cs="宋体"/>
          <w:spacing w:val="-12"/>
          <w:sz w:val="21"/>
          <w:szCs w:val="21"/>
          <w:highlight w:val="none"/>
        </w:rPr>
        <w:t>标文件的澄清、说明或者补正于</w:t>
      </w:r>
      <w:r>
        <w:rPr>
          <w:rFonts w:ascii="宋体" w:hAnsi="宋体" w:eastAsia="宋体" w:cs="宋体"/>
          <w:spacing w:val="10"/>
          <w:sz w:val="21"/>
          <w:szCs w:val="21"/>
          <w:highlight w:val="none"/>
          <w:u w:val="single" w:color="auto"/>
        </w:rPr>
        <w:t xml:space="preserve">     </w:t>
      </w:r>
      <w:r>
        <w:rPr>
          <w:rFonts w:ascii="宋体" w:hAnsi="宋体" w:eastAsia="宋体" w:cs="宋体"/>
          <w:spacing w:val="-12"/>
          <w:sz w:val="21"/>
          <w:szCs w:val="21"/>
          <w:highlight w:val="none"/>
        </w:rPr>
        <w:t>年</w:t>
      </w:r>
      <w:r>
        <w:rPr>
          <w:rFonts w:ascii="宋体" w:hAnsi="宋体" w:eastAsia="宋体" w:cs="宋体"/>
          <w:spacing w:val="-88"/>
          <w:sz w:val="21"/>
          <w:szCs w:val="21"/>
          <w:highlight w:val="none"/>
        </w:rPr>
        <w:t xml:space="preserve"> </w:t>
      </w:r>
      <w:r>
        <w:rPr>
          <w:rFonts w:ascii="宋体" w:hAnsi="宋体" w:eastAsia="宋体" w:cs="宋体"/>
          <w:spacing w:val="18"/>
          <w:sz w:val="21"/>
          <w:szCs w:val="21"/>
          <w:highlight w:val="none"/>
          <w:u w:val="single" w:color="auto"/>
        </w:rPr>
        <w:t xml:space="preserve">   </w:t>
      </w:r>
      <w:r>
        <w:rPr>
          <w:rFonts w:ascii="宋体" w:hAnsi="宋体" w:eastAsia="宋体" w:cs="宋体"/>
          <w:spacing w:val="-12"/>
          <w:sz w:val="21"/>
          <w:szCs w:val="21"/>
          <w:highlight w:val="none"/>
          <w:u w:val="single" w:color="auto"/>
        </w:rPr>
        <w:t>月</w:t>
      </w:r>
      <w:r>
        <w:rPr>
          <w:rFonts w:ascii="宋体" w:hAnsi="宋体" w:eastAsia="宋体" w:cs="宋体"/>
          <w:spacing w:val="-12"/>
          <w:sz w:val="21"/>
          <w:szCs w:val="21"/>
          <w:highlight w:val="none"/>
          <w:u w:val="dotted" w:color="auto"/>
        </w:rPr>
        <w:t xml:space="preserve">  </w:t>
      </w:r>
      <w:r>
        <w:rPr>
          <w:rFonts w:ascii="宋体" w:hAnsi="宋体" w:eastAsia="宋体" w:cs="宋体"/>
          <w:spacing w:val="47"/>
          <w:sz w:val="21"/>
          <w:szCs w:val="21"/>
          <w:highlight w:val="none"/>
          <w:u w:val="single" w:color="auto"/>
        </w:rPr>
        <w:t xml:space="preserve"> </w:t>
      </w:r>
      <w:r>
        <w:rPr>
          <w:rFonts w:ascii="宋体" w:hAnsi="宋体" w:eastAsia="宋体" w:cs="宋体"/>
          <w:spacing w:val="-12"/>
          <w:sz w:val="21"/>
          <w:szCs w:val="21"/>
          <w:highlight w:val="none"/>
          <w:u w:val="single" w:color="auto"/>
        </w:rPr>
        <w:t xml:space="preserve">日.  </w:t>
      </w:r>
      <w:r>
        <w:rPr>
          <w:rFonts w:ascii="宋体" w:hAnsi="宋体" w:eastAsia="宋体" w:cs="宋体"/>
          <w:spacing w:val="-12"/>
          <w:sz w:val="21"/>
          <w:szCs w:val="21"/>
          <w:highlight w:val="none"/>
        </w:rPr>
        <w:t>时前，通过“电子交易平台”“投标文</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件澄清”菜单提交给本评标委员会。</w:t>
      </w:r>
    </w:p>
    <w:p w14:paraId="356D5C33">
      <w:pPr>
        <w:spacing w:line="235" w:lineRule="auto"/>
        <w:ind w:left="420"/>
        <w:rPr>
          <w:rFonts w:ascii="宋体" w:hAnsi="宋体" w:eastAsia="宋体" w:cs="宋体"/>
          <w:sz w:val="21"/>
          <w:szCs w:val="21"/>
          <w:highlight w:val="none"/>
        </w:rPr>
      </w:pPr>
      <w:r>
        <w:rPr>
          <w:rFonts w:ascii="宋体" w:hAnsi="宋体" w:eastAsia="宋体" w:cs="宋体"/>
          <w:spacing w:val="-13"/>
          <w:sz w:val="21"/>
          <w:szCs w:val="21"/>
          <w:highlight w:val="none"/>
        </w:rPr>
        <w:t>1、</w:t>
      </w:r>
      <w:r>
        <w:rPr>
          <w:rFonts w:ascii="宋体" w:hAnsi="宋体" w:eastAsia="宋体" w:cs="宋体"/>
          <w:spacing w:val="15"/>
          <w:sz w:val="21"/>
          <w:szCs w:val="21"/>
          <w:highlight w:val="none"/>
        </w:rPr>
        <w:t xml:space="preserve"> </w:t>
      </w:r>
      <w:r>
        <w:rPr>
          <w:rFonts w:ascii="宋体" w:hAnsi="宋体" w:eastAsia="宋体" w:cs="宋体"/>
          <w:spacing w:val="-13"/>
          <w:sz w:val="21"/>
          <w:szCs w:val="21"/>
          <w:highlight w:val="none"/>
        </w:rPr>
        <w:t>……</w:t>
      </w:r>
    </w:p>
    <w:p w14:paraId="0C75C166">
      <w:pPr>
        <w:spacing w:before="202" w:line="235" w:lineRule="auto"/>
        <w:ind w:left="410"/>
        <w:rPr>
          <w:rFonts w:ascii="宋体" w:hAnsi="宋体" w:eastAsia="宋体" w:cs="宋体"/>
          <w:sz w:val="21"/>
          <w:szCs w:val="21"/>
          <w:highlight w:val="none"/>
        </w:rPr>
      </w:pPr>
      <w:r>
        <w:rPr>
          <w:rFonts w:ascii="宋体" w:hAnsi="宋体" w:eastAsia="宋体" w:cs="宋体"/>
          <w:spacing w:val="-16"/>
          <w:sz w:val="21"/>
          <w:szCs w:val="21"/>
          <w:highlight w:val="none"/>
        </w:rPr>
        <w:t>2、……..</w:t>
      </w:r>
    </w:p>
    <w:p w14:paraId="336CF2E5">
      <w:pPr>
        <w:pStyle w:val="2"/>
        <w:tabs>
          <w:tab w:val="left" w:pos="890"/>
        </w:tabs>
        <w:spacing w:before="99"/>
        <w:ind w:left="529"/>
        <w:rPr>
          <w:highlight w:val="none"/>
        </w:rPr>
      </w:pPr>
      <w:r>
        <w:rPr>
          <w:highlight w:val="none"/>
          <w:u w:val="single" w:color="FEFEFE"/>
        </w:rPr>
        <w:tab/>
      </w:r>
    </w:p>
    <w:p w14:paraId="52A6AD7A">
      <w:pPr>
        <w:pStyle w:val="2"/>
        <w:spacing w:line="261" w:lineRule="auto"/>
        <w:rPr>
          <w:highlight w:val="none"/>
        </w:rPr>
      </w:pPr>
    </w:p>
    <w:p w14:paraId="56D9F1DC">
      <w:pPr>
        <w:pStyle w:val="2"/>
        <w:spacing w:line="261" w:lineRule="auto"/>
        <w:rPr>
          <w:highlight w:val="none"/>
        </w:rPr>
      </w:pPr>
    </w:p>
    <w:p w14:paraId="5EFF168D">
      <w:pPr>
        <w:pStyle w:val="2"/>
        <w:spacing w:line="261" w:lineRule="auto"/>
        <w:rPr>
          <w:highlight w:val="none"/>
        </w:rPr>
      </w:pPr>
    </w:p>
    <w:p w14:paraId="4BDC96C6">
      <w:pPr>
        <w:pStyle w:val="2"/>
        <w:spacing w:line="261" w:lineRule="auto"/>
        <w:rPr>
          <w:highlight w:val="none"/>
        </w:rPr>
      </w:pPr>
    </w:p>
    <w:p w14:paraId="739D682B">
      <w:pPr>
        <w:pStyle w:val="2"/>
        <w:spacing w:line="261" w:lineRule="auto"/>
        <w:rPr>
          <w:highlight w:val="none"/>
        </w:rPr>
      </w:pPr>
    </w:p>
    <w:p w14:paraId="4E6792ED">
      <w:pPr>
        <w:pStyle w:val="2"/>
        <w:spacing w:line="261" w:lineRule="auto"/>
        <w:rPr>
          <w:highlight w:val="none"/>
        </w:rPr>
      </w:pPr>
    </w:p>
    <w:p w14:paraId="6C832EED">
      <w:pPr>
        <w:pStyle w:val="2"/>
        <w:spacing w:line="261" w:lineRule="auto"/>
        <w:rPr>
          <w:highlight w:val="none"/>
        </w:rPr>
      </w:pPr>
    </w:p>
    <w:p w14:paraId="2834E2FF">
      <w:pPr>
        <w:pStyle w:val="2"/>
        <w:spacing w:line="261" w:lineRule="auto"/>
        <w:rPr>
          <w:highlight w:val="none"/>
        </w:rPr>
      </w:pPr>
    </w:p>
    <w:p w14:paraId="474527B4">
      <w:pPr>
        <w:pStyle w:val="2"/>
        <w:spacing w:line="262" w:lineRule="auto"/>
        <w:rPr>
          <w:highlight w:val="none"/>
        </w:rPr>
      </w:pPr>
    </w:p>
    <w:p w14:paraId="48A2C47E">
      <w:pPr>
        <w:tabs>
          <w:tab w:val="left" w:pos="2860"/>
        </w:tabs>
        <w:spacing w:before="69" w:line="219" w:lineRule="auto"/>
        <w:ind w:left="2070"/>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11"/>
          <w:sz w:val="21"/>
          <w:szCs w:val="21"/>
          <w:highlight w:val="none"/>
        </w:rPr>
        <w:t xml:space="preserve"> </w:t>
      </w:r>
      <w:r>
        <w:rPr>
          <w:rFonts w:ascii="宋体" w:hAnsi="宋体" w:eastAsia="宋体" w:cs="宋体"/>
          <w:spacing w:val="5"/>
          <w:sz w:val="21"/>
          <w:szCs w:val="21"/>
          <w:highlight w:val="none"/>
        </w:rPr>
        <w:t>(项目名称)</w:t>
      </w:r>
      <w:r>
        <w:rPr>
          <w:rFonts w:ascii="宋体" w:hAnsi="宋体" w:eastAsia="宋体" w:cs="宋体"/>
          <w:spacing w:val="-71"/>
          <w:sz w:val="21"/>
          <w:szCs w:val="21"/>
          <w:highlight w:val="none"/>
        </w:rPr>
        <w:t xml:space="preserve"> </w:t>
      </w:r>
      <w:r>
        <w:rPr>
          <w:rFonts w:ascii="宋体" w:hAnsi="宋体" w:eastAsia="宋体" w:cs="宋体"/>
          <w:spacing w:val="17"/>
          <w:sz w:val="21"/>
          <w:szCs w:val="21"/>
          <w:highlight w:val="none"/>
          <w:u w:val="single" w:color="auto"/>
        </w:rPr>
        <w:t xml:space="preserve">    </w:t>
      </w:r>
      <w:r>
        <w:rPr>
          <w:rFonts w:ascii="宋体" w:hAnsi="宋体" w:eastAsia="宋体" w:cs="宋体"/>
          <w:spacing w:val="-33"/>
          <w:sz w:val="21"/>
          <w:szCs w:val="21"/>
          <w:highlight w:val="none"/>
        </w:rPr>
        <w:t xml:space="preserve"> </w:t>
      </w:r>
      <w:r>
        <w:rPr>
          <w:rFonts w:ascii="宋体" w:hAnsi="宋体" w:eastAsia="宋体" w:cs="宋体"/>
          <w:spacing w:val="5"/>
          <w:sz w:val="21"/>
          <w:szCs w:val="21"/>
          <w:highlight w:val="none"/>
        </w:rPr>
        <w:t>(标段名称)工程总承包招标评标委员会</w:t>
      </w:r>
    </w:p>
    <w:p w14:paraId="5885F7B5">
      <w:pPr>
        <w:spacing w:before="242" w:line="224" w:lineRule="auto"/>
        <w:ind w:left="2969"/>
        <w:rPr>
          <w:rFonts w:ascii="宋体" w:hAnsi="宋体" w:eastAsia="宋体" w:cs="宋体"/>
          <w:sz w:val="21"/>
          <w:szCs w:val="21"/>
          <w:highlight w:val="none"/>
        </w:rPr>
      </w:pPr>
      <w:r>
        <w:rPr>
          <w:rFonts w:ascii="宋体" w:hAnsi="宋体" w:eastAsia="宋体" w:cs="宋体"/>
          <w:spacing w:val="-5"/>
          <w:sz w:val="21"/>
          <w:szCs w:val="21"/>
          <w:highlight w:val="none"/>
        </w:rPr>
        <w:t>评标委员会授权的代表：_</w:t>
      </w:r>
      <w:r>
        <w:rPr>
          <w:rFonts w:ascii="宋体" w:hAnsi="宋体" w:eastAsia="宋体" w:cs="宋体"/>
          <w:spacing w:val="-80"/>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20"/>
          <w:sz w:val="21"/>
          <w:szCs w:val="21"/>
          <w:highlight w:val="none"/>
        </w:rPr>
        <w:t xml:space="preserve"> </w:t>
      </w:r>
      <w:r>
        <w:rPr>
          <w:rFonts w:ascii="宋体" w:hAnsi="宋体" w:eastAsia="宋体" w:cs="宋体"/>
          <w:spacing w:val="-5"/>
          <w:position w:val="1"/>
          <w:sz w:val="21"/>
          <w:szCs w:val="21"/>
          <w:highlight w:val="none"/>
        </w:rPr>
        <w:t>(签字或盖章)</w:t>
      </w:r>
    </w:p>
    <w:p w14:paraId="01BB54CC">
      <w:pPr>
        <w:pStyle w:val="2"/>
        <w:spacing w:line="269" w:lineRule="auto"/>
        <w:rPr>
          <w:highlight w:val="none"/>
        </w:rPr>
      </w:pPr>
    </w:p>
    <w:p w14:paraId="51583B12">
      <w:pPr>
        <w:pStyle w:val="2"/>
        <w:spacing w:line="270" w:lineRule="auto"/>
        <w:rPr>
          <w:highlight w:val="none"/>
        </w:rPr>
      </w:pPr>
    </w:p>
    <w:p w14:paraId="6ADB6A15">
      <w:pPr>
        <w:tabs>
          <w:tab w:val="left" w:pos="5900"/>
        </w:tabs>
        <w:spacing w:before="68" w:line="228" w:lineRule="auto"/>
        <w:ind w:left="5010"/>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10"/>
          <w:sz w:val="21"/>
          <w:szCs w:val="21"/>
          <w:highlight w:val="none"/>
        </w:rPr>
        <w:t xml:space="preserve"> </w:t>
      </w:r>
      <w:r>
        <w:rPr>
          <w:rFonts w:ascii="宋体" w:hAnsi="宋体" w:eastAsia="宋体" w:cs="宋体"/>
          <w:spacing w:val="-29"/>
          <w:w w:val="96"/>
          <w:sz w:val="21"/>
          <w:szCs w:val="21"/>
          <w:highlight w:val="none"/>
        </w:rPr>
        <w:t>年</w:t>
      </w:r>
      <w:r>
        <w:rPr>
          <w:rFonts w:ascii="宋体" w:hAnsi="宋体" w:eastAsia="宋体" w:cs="宋体"/>
          <w:spacing w:val="14"/>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29"/>
          <w:w w:val="96"/>
          <w:sz w:val="21"/>
          <w:szCs w:val="21"/>
          <w:highlight w:val="none"/>
        </w:rPr>
        <w:t>_月</w:t>
      </w:r>
      <w:r>
        <w:rPr>
          <w:rFonts w:ascii="宋体" w:hAnsi="宋体" w:eastAsia="宋体" w:cs="宋体"/>
          <w:spacing w:val="14"/>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73"/>
          <w:sz w:val="21"/>
          <w:szCs w:val="21"/>
          <w:highlight w:val="none"/>
        </w:rPr>
        <w:t xml:space="preserve"> </w:t>
      </w:r>
      <w:r>
        <w:rPr>
          <w:rFonts w:ascii="宋体" w:hAnsi="宋体" w:eastAsia="宋体" w:cs="宋体"/>
          <w:spacing w:val="-29"/>
          <w:w w:val="96"/>
          <w:sz w:val="21"/>
          <w:szCs w:val="21"/>
          <w:highlight w:val="none"/>
        </w:rPr>
        <w:t>日</w:t>
      </w:r>
    </w:p>
    <w:p w14:paraId="10B214A9">
      <w:pPr>
        <w:pStyle w:val="2"/>
        <w:spacing w:line="473" w:lineRule="auto"/>
        <w:rPr>
          <w:highlight w:val="none"/>
        </w:rPr>
      </w:pPr>
    </w:p>
    <w:p w14:paraId="3D05BD78">
      <w:pPr>
        <w:spacing w:before="68" w:line="219" w:lineRule="auto"/>
        <w:ind w:left="30"/>
        <w:rPr>
          <w:rFonts w:ascii="宋体" w:hAnsi="宋体" w:eastAsia="宋体" w:cs="宋体"/>
          <w:sz w:val="21"/>
          <w:szCs w:val="21"/>
          <w:highlight w:val="none"/>
        </w:rPr>
      </w:pPr>
      <w:r>
        <w:rPr>
          <w:rFonts w:ascii="宋体" w:hAnsi="宋体" w:eastAsia="宋体" w:cs="宋体"/>
          <w:spacing w:val="-1"/>
          <w:sz w:val="21"/>
          <w:szCs w:val="21"/>
          <w:highlight w:val="none"/>
        </w:rPr>
        <w:t>备注：评标委员会要求投标人澄清投标文件有关问题</w:t>
      </w:r>
      <w:r>
        <w:rPr>
          <w:rFonts w:ascii="宋体" w:hAnsi="宋体" w:eastAsia="宋体" w:cs="宋体"/>
          <w:spacing w:val="-2"/>
          <w:sz w:val="21"/>
          <w:szCs w:val="21"/>
          <w:highlight w:val="none"/>
        </w:rPr>
        <w:t>时，适用于本格式。</w:t>
      </w:r>
    </w:p>
    <w:p w14:paraId="406A7D5D">
      <w:pPr>
        <w:spacing w:line="219" w:lineRule="auto"/>
        <w:rPr>
          <w:rFonts w:ascii="宋体" w:hAnsi="宋体" w:eastAsia="宋体" w:cs="宋体"/>
          <w:sz w:val="21"/>
          <w:szCs w:val="21"/>
          <w:highlight w:val="none"/>
        </w:rPr>
        <w:sectPr>
          <w:footerReference r:id="rId50" w:type="default"/>
          <w:pgSz w:w="11910" w:h="16840"/>
          <w:pgMar w:top="400" w:right="1786" w:bottom="1220" w:left="1779" w:header="0" w:footer="947" w:gutter="0"/>
          <w:cols w:space="720" w:num="1"/>
        </w:sectPr>
      </w:pPr>
    </w:p>
    <w:p w14:paraId="18AFC690">
      <w:pPr>
        <w:pStyle w:val="2"/>
        <w:spacing w:line="263" w:lineRule="auto"/>
        <w:rPr>
          <w:highlight w:val="none"/>
        </w:rPr>
      </w:pPr>
    </w:p>
    <w:p w14:paraId="33EAB125">
      <w:pPr>
        <w:pStyle w:val="2"/>
        <w:spacing w:line="263" w:lineRule="auto"/>
        <w:rPr>
          <w:highlight w:val="none"/>
        </w:rPr>
      </w:pPr>
    </w:p>
    <w:p w14:paraId="1B9A96F7">
      <w:pPr>
        <w:pStyle w:val="2"/>
        <w:spacing w:line="263" w:lineRule="auto"/>
        <w:rPr>
          <w:highlight w:val="none"/>
        </w:rPr>
      </w:pPr>
    </w:p>
    <w:p w14:paraId="3AD7AB63">
      <w:pPr>
        <w:pStyle w:val="2"/>
        <w:spacing w:line="264" w:lineRule="auto"/>
        <w:rPr>
          <w:highlight w:val="none"/>
        </w:rPr>
      </w:pPr>
    </w:p>
    <w:p w14:paraId="30560ABA">
      <w:pPr>
        <w:spacing w:before="78" w:line="222" w:lineRule="auto"/>
        <w:ind w:left="49"/>
        <w:outlineLvl w:val="1"/>
        <w:rPr>
          <w:rFonts w:ascii="黑体" w:hAnsi="黑体" w:eastAsia="黑体" w:cs="黑体"/>
          <w:sz w:val="24"/>
          <w:szCs w:val="24"/>
          <w:highlight w:val="none"/>
        </w:rPr>
      </w:pPr>
      <w:bookmarkStart w:id="55" w:name="bookmark24"/>
      <w:bookmarkEnd w:id="55"/>
      <w:r>
        <w:rPr>
          <w:rFonts w:ascii="黑体" w:hAnsi="黑体" w:eastAsia="黑体" w:cs="黑体"/>
          <w:spacing w:val="-2"/>
          <w:sz w:val="24"/>
          <w:szCs w:val="24"/>
          <w:highlight w:val="none"/>
        </w:rPr>
        <w:t>附表七：投标文件问题的澄清</w:t>
      </w:r>
    </w:p>
    <w:p w14:paraId="77A09B2B">
      <w:pPr>
        <w:pStyle w:val="2"/>
        <w:spacing w:line="249" w:lineRule="auto"/>
        <w:rPr>
          <w:highlight w:val="none"/>
        </w:rPr>
      </w:pPr>
    </w:p>
    <w:p w14:paraId="73232CDB">
      <w:pPr>
        <w:pStyle w:val="2"/>
        <w:spacing w:line="249" w:lineRule="auto"/>
        <w:rPr>
          <w:highlight w:val="none"/>
        </w:rPr>
      </w:pPr>
    </w:p>
    <w:p w14:paraId="2CD34A0A">
      <w:pPr>
        <w:pStyle w:val="2"/>
        <w:spacing w:line="249" w:lineRule="auto"/>
        <w:rPr>
          <w:highlight w:val="none"/>
        </w:rPr>
      </w:pPr>
    </w:p>
    <w:p w14:paraId="16F7F5C1">
      <w:pPr>
        <w:spacing w:before="91" w:line="222" w:lineRule="auto"/>
        <w:ind w:left="2899"/>
        <w:rPr>
          <w:rFonts w:ascii="黑体" w:hAnsi="黑体" w:eastAsia="黑体" w:cs="黑体"/>
          <w:sz w:val="28"/>
          <w:szCs w:val="28"/>
          <w:highlight w:val="none"/>
        </w:rPr>
      </w:pPr>
      <w:r>
        <w:rPr>
          <w:rFonts w:ascii="黑体" w:hAnsi="黑体" w:eastAsia="黑体" w:cs="黑体"/>
          <w:spacing w:val="1"/>
          <w:sz w:val="28"/>
          <w:szCs w:val="28"/>
          <w:highlight w:val="none"/>
        </w:rPr>
        <w:t>投标文件问题的澄清</w:t>
      </w:r>
    </w:p>
    <w:p w14:paraId="0260A3FF">
      <w:pPr>
        <w:pStyle w:val="2"/>
        <w:spacing w:line="383" w:lineRule="auto"/>
        <w:rPr>
          <w:highlight w:val="none"/>
        </w:rPr>
      </w:pPr>
    </w:p>
    <w:p w14:paraId="13061ECF">
      <w:pPr>
        <w:spacing w:before="78" w:line="219" w:lineRule="auto"/>
        <w:ind w:left="6969"/>
        <w:rPr>
          <w:rFonts w:ascii="宋体" w:hAnsi="宋体" w:eastAsia="宋体" w:cs="宋体"/>
          <w:sz w:val="24"/>
          <w:szCs w:val="24"/>
          <w:highlight w:val="none"/>
        </w:rPr>
      </w:pPr>
      <w:r>
        <w:rPr>
          <w:rFonts w:ascii="宋体" w:hAnsi="宋体" w:eastAsia="宋体" w:cs="宋体"/>
          <w:spacing w:val="-27"/>
          <w:sz w:val="24"/>
          <w:szCs w:val="24"/>
          <w:highlight w:val="none"/>
        </w:rPr>
        <w:t>编号：</w:t>
      </w:r>
      <w:r>
        <w:rPr>
          <w:rFonts w:ascii="宋体" w:hAnsi="宋体" w:eastAsia="宋体" w:cs="宋体"/>
          <w:sz w:val="24"/>
          <w:szCs w:val="24"/>
          <w:highlight w:val="none"/>
          <w:u w:val="single" w:color="auto"/>
        </w:rPr>
        <w:t xml:space="preserve">       </w:t>
      </w:r>
    </w:p>
    <w:p w14:paraId="55CD540B">
      <w:pPr>
        <w:pStyle w:val="2"/>
        <w:spacing w:line="274" w:lineRule="auto"/>
        <w:rPr>
          <w:highlight w:val="none"/>
        </w:rPr>
      </w:pPr>
    </w:p>
    <w:p w14:paraId="0A56BFEA">
      <w:pPr>
        <w:pStyle w:val="2"/>
        <w:spacing w:line="274" w:lineRule="auto"/>
        <w:rPr>
          <w:highlight w:val="none"/>
        </w:rPr>
      </w:pPr>
    </w:p>
    <w:p w14:paraId="5C741806">
      <w:pPr>
        <w:tabs>
          <w:tab w:val="left" w:pos="789"/>
        </w:tabs>
        <w:spacing w:before="71" w:line="220" w:lineRule="auto"/>
        <w:rPr>
          <w:rFonts w:ascii="宋体" w:hAnsi="宋体" w:eastAsia="宋体" w:cs="宋体"/>
          <w:sz w:val="22"/>
          <w:szCs w:val="22"/>
          <w:highlight w:val="none"/>
        </w:rPr>
      </w:pPr>
      <w:r>
        <w:rPr>
          <w:rFonts w:ascii="宋体" w:hAnsi="宋体" w:eastAsia="宋体" w:cs="宋体"/>
          <w:sz w:val="21"/>
          <w:szCs w:val="21"/>
          <w:highlight w:val="none"/>
          <w:u w:val="single" w:color="auto"/>
        </w:rPr>
        <w:tab/>
      </w:r>
      <w:r>
        <w:rPr>
          <w:rFonts w:ascii="宋体" w:hAnsi="宋体" w:eastAsia="宋体" w:cs="宋体"/>
          <w:spacing w:val="7"/>
          <w:sz w:val="21"/>
          <w:szCs w:val="21"/>
          <w:highlight w:val="none"/>
        </w:rPr>
        <w:t xml:space="preserve"> </w:t>
      </w:r>
      <w:r>
        <w:rPr>
          <w:rFonts w:ascii="宋体" w:hAnsi="宋体" w:eastAsia="宋体" w:cs="宋体"/>
          <w:spacing w:val="-4"/>
          <w:sz w:val="21"/>
          <w:szCs w:val="21"/>
          <w:highlight w:val="none"/>
        </w:rPr>
        <w:t>(项目名称)</w:t>
      </w:r>
      <w:r>
        <w:rPr>
          <w:rFonts w:ascii="宋体" w:hAnsi="宋体" w:eastAsia="宋体" w:cs="宋体"/>
          <w:spacing w:val="-71"/>
          <w:sz w:val="21"/>
          <w:szCs w:val="21"/>
          <w:highlight w:val="none"/>
        </w:rPr>
        <w:t xml:space="preserve"> </w:t>
      </w:r>
      <w:r>
        <w:rPr>
          <w:rFonts w:ascii="宋体" w:hAnsi="宋体" w:eastAsia="宋体" w:cs="宋体"/>
          <w:spacing w:val="15"/>
          <w:sz w:val="21"/>
          <w:szCs w:val="21"/>
          <w:highlight w:val="none"/>
          <w:u w:val="single" w:color="auto"/>
        </w:rPr>
        <w:t xml:space="preserve">    </w:t>
      </w:r>
      <w:r>
        <w:rPr>
          <w:rFonts w:ascii="宋体" w:hAnsi="宋体" w:eastAsia="宋体" w:cs="宋体"/>
          <w:spacing w:val="-35"/>
          <w:sz w:val="21"/>
          <w:szCs w:val="21"/>
          <w:highlight w:val="none"/>
        </w:rPr>
        <w:t xml:space="preserve"> </w:t>
      </w:r>
      <w:r>
        <w:rPr>
          <w:rFonts w:ascii="宋体" w:hAnsi="宋体" w:eastAsia="宋体" w:cs="宋体"/>
          <w:spacing w:val="-4"/>
          <w:sz w:val="22"/>
          <w:szCs w:val="22"/>
          <w:highlight w:val="none"/>
        </w:rPr>
        <w:t>(标段名称)工程总承包招标评标委员会：</w:t>
      </w:r>
    </w:p>
    <w:p w14:paraId="7B791BC5">
      <w:pPr>
        <w:pStyle w:val="2"/>
        <w:spacing w:line="267" w:lineRule="auto"/>
        <w:rPr>
          <w:highlight w:val="none"/>
        </w:rPr>
      </w:pPr>
    </w:p>
    <w:p w14:paraId="26695D0F">
      <w:pPr>
        <w:pStyle w:val="2"/>
        <w:spacing w:line="267" w:lineRule="auto"/>
        <w:rPr>
          <w:highlight w:val="none"/>
        </w:rPr>
      </w:pPr>
    </w:p>
    <w:p w14:paraId="1EB6305D">
      <w:pPr>
        <w:pStyle w:val="2"/>
        <w:spacing w:line="268" w:lineRule="auto"/>
        <w:rPr>
          <w:highlight w:val="none"/>
        </w:rPr>
      </w:pPr>
    </w:p>
    <w:p w14:paraId="787437EB">
      <w:pPr>
        <w:spacing w:before="72" w:line="219" w:lineRule="auto"/>
        <w:ind w:left="459"/>
        <w:rPr>
          <w:rFonts w:ascii="宋体" w:hAnsi="宋体" w:eastAsia="宋体" w:cs="宋体"/>
          <w:sz w:val="22"/>
          <w:szCs w:val="22"/>
          <w:highlight w:val="none"/>
        </w:rPr>
      </w:pPr>
      <w:r>
        <w:rPr>
          <w:rFonts w:ascii="宋体" w:hAnsi="宋体" w:eastAsia="宋体" w:cs="宋体"/>
          <w:spacing w:val="-5"/>
          <w:sz w:val="22"/>
          <w:szCs w:val="22"/>
          <w:highlight w:val="none"/>
        </w:rPr>
        <w:t>投标文件问题澄清通知(编号：</w:t>
      </w:r>
      <w:r>
        <w:rPr>
          <w:rFonts w:ascii="宋体" w:hAnsi="宋体" w:eastAsia="宋体" w:cs="宋体"/>
          <w:spacing w:val="13"/>
          <w:sz w:val="22"/>
          <w:szCs w:val="22"/>
          <w:highlight w:val="none"/>
          <w:u w:val="single" w:color="auto"/>
        </w:rPr>
        <w:t xml:space="preserve">       </w:t>
      </w:r>
      <w:r>
        <w:rPr>
          <w:rFonts w:ascii="宋体" w:hAnsi="宋体" w:eastAsia="宋体" w:cs="宋体"/>
          <w:spacing w:val="-97"/>
          <w:sz w:val="22"/>
          <w:szCs w:val="22"/>
          <w:highlight w:val="none"/>
        </w:rPr>
        <w:t xml:space="preserve"> </w:t>
      </w:r>
      <w:r>
        <w:rPr>
          <w:rFonts w:ascii="宋体" w:hAnsi="宋体" w:eastAsia="宋体" w:cs="宋体"/>
          <w:spacing w:val="-5"/>
          <w:sz w:val="22"/>
          <w:szCs w:val="22"/>
          <w:highlight w:val="none"/>
        </w:rPr>
        <w:t>)已收悉，现澄清、说明或者补正如下：</w:t>
      </w:r>
    </w:p>
    <w:p w14:paraId="11157E18">
      <w:pPr>
        <w:spacing w:before="180" w:line="188" w:lineRule="auto"/>
        <w:ind w:left="669"/>
        <w:rPr>
          <w:rFonts w:ascii="Times New Roman" w:hAnsi="Times New Roman" w:eastAsia="Times New Roman" w:cs="Times New Roman"/>
          <w:sz w:val="20"/>
          <w:szCs w:val="20"/>
          <w:highlight w:val="none"/>
        </w:rPr>
      </w:pPr>
      <w:r>
        <w:rPr>
          <w:rFonts w:ascii="Times New Roman" w:hAnsi="Times New Roman" w:eastAsia="Times New Roman" w:cs="Times New Roman"/>
          <w:b/>
          <w:bCs/>
          <w:spacing w:val="-5"/>
          <w:sz w:val="20"/>
          <w:szCs w:val="20"/>
          <w:highlight w:val="none"/>
        </w:rPr>
        <w:t>1.</w:t>
      </w:r>
    </w:p>
    <w:p w14:paraId="02140625">
      <w:pPr>
        <w:pStyle w:val="2"/>
        <w:spacing w:line="263" w:lineRule="auto"/>
        <w:rPr>
          <w:highlight w:val="none"/>
        </w:rPr>
      </w:pPr>
    </w:p>
    <w:p w14:paraId="4E06A774">
      <w:pPr>
        <w:pStyle w:val="2"/>
        <w:spacing w:before="56" w:line="197" w:lineRule="auto"/>
        <w:ind w:left="649"/>
        <w:rPr>
          <w:sz w:val="19"/>
          <w:szCs w:val="19"/>
          <w:highlight w:val="none"/>
        </w:rPr>
      </w:pPr>
      <w:r>
        <w:rPr>
          <w:spacing w:val="-2"/>
          <w:sz w:val="19"/>
          <w:szCs w:val="19"/>
          <w:highlight w:val="none"/>
        </w:rPr>
        <w:t>2.</w:t>
      </w:r>
    </w:p>
    <w:p w14:paraId="3AD39C4D">
      <w:pPr>
        <w:pStyle w:val="2"/>
        <w:tabs>
          <w:tab w:val="left" w:pos="959"/>
        </w:tabs>
        <w:spacing w:before="202"/>
        <w:ind w:left="669"/>
        <w:rPr>
          <w:highlight w:val="none"/>
        </w:rPr>
      </w:pPr>
      <w:r>
        <w:rPr>
          <w:highlight w:val="none"/>
          <w:u w:val="single" w:color="FFFFFF"/>
        </w:rPr>
        <w:tab/>
      </w:r>
    </w:p>
    <w:p w14:paraId="43878DCA">
      <w:pPr>
        <w:pStyle w:val="2"/>
        <w:spacing w:line="356" w:lineRule="auto"/>
        <w:rPr>
          <w:highlight w:val="none"/>
        </w:rPr>
      </w:pPr>
    </w:p>
    <w:p w14:paraId="015DEFDE">
      <w:pPr>
        <w:pStyle w:val="2"/>
        <w:spacing w:line="357" w:lineRule="auto"/>
        <w:rPr>
          <w:highlight w:val="none"/>
        </w:rPr>
      </w:pPr>
    </w:p>
    <w:p w14:paraId="0AD0A044">
      <w:pPr>
        <w:spacing w:before="66" w:line="219" w:lineRule="auto"/>
        <w:ind w:left="449"/>
        <w:rPr>
          <w:rFonts w:ascii="宋体" w:hAnsi="宋体" w:eastAsia="宋体" w:cs="宋体"/>
          <w:sz w:val="20"/>
          <w:szCs w:val="20"/>
          <w:highlight w:val="none"/>
        </w:rPr>
      </w:pPr>
      <w:r>
        <w:rPr>
          <w:rFonts w:ascii="宋体" w:hAnsi="宋体" w:eastAsia="宋体" w:cs="宋体"/>
          <w:spacing w:val="21"/>
          <w:sz w:val="20"/>
          <w:szCs w:val="20"/>
          <w:highlight w:val="none"/>
        </w:rPr>
        <w:t>附件(如有):</w:t>
      </w:r>
    </w:p>
    <w:p w14:paraId="064329B8">
      <w:pPr>
        <w:pStyle w:val="2"/>
        <w:spacing w:before="271" w:line="197" w:lineRule="auto"/>
        <w:ind w:left="769"/>
        <w:rPr>
          <w:sz w:val="17"/>
          <w:szCs w:val="17"/>
          <w:highlight w:val="none"/>
        </w:rPr>
      </w:pPr>
      <w:r>
        <w:rPr>
          <w:spacing w:val="-7"/>
          <w:sz w:val="17"/>
          <w:szCs w:val="17"/>
          <w:highlight w:val="none"/>
        </w:rPr>
        <w:t>1.</w:t>
      </w:r>
    </w:p>
    <w:p w14:paraId="3927DB04">
      <w:pPr>
        <w:pStyle w:val="2"/>
        <w:spacing w:before="295" w:line="197" w:lineRule="auto"/>
        <w:ind w:left="769"/>
        <w:rPr>
          <w:sz w:val="19"/>
          <w:szCs w:val="19"/>
          <w:highlight w:val="none"/>
        </w:rPr>
      </w:pPr>
      <w:r>
        <w:rPr>
          <w:spacing w:val="-2"/>
          <w:sz w:val="19"/>
          <w:szCs w:val="19"/>
          <w:highlight w:val="none"/>
        </w:rPr>
        <w:t>2.</w:t>
      </w:r>
    </w:p>
    <w:p w14:paraId="7F764222">
      <w:pPr>
        <w:pStyle w:val="2"/>
        <w:tabs>
          <w:tab w:val="left" w:pos="1069"/>
        </w:tabs>
        <w:spacing w:before="213"/>
        <w:ind w:left="769"/>
        <w:rPr>
          <w:highlight w:val="none"/>
        </w:rPr>
      </w:pPr>
      <w:r>
        <w:rPr>
          <w:highlight w:val="none"/>
          <w:u w:val="single" w:color="FFFFFF"/>
        </w:rPr>
        <w:tab/>
      </w:r>
    </w:p>
    <w:p w14:paraId="763A0EE8">
      <w:pPr>
        <w:pStyle w:val="2"/>
        <w:spacing w:line="244" w:lineRule="auto"/>
        <w:rPr>
          <w:highlight w:val="none"/>
        </w:rPr>
      </w:pPr>
    </w:p>
    <w:p w14:paraId="0C6D4877">
      <w:pPr>
        <w:pStyle w:val="2"/>
        <w:spacing w:line="245" w:lineRule="auto"/>
        <w:rPr>
          <w:highlight w:val="none"/>
        </w:rPr>
      </w:pPr>
    </w:p>
    <w:p w14:paraId="5C8ED759">
      <w:pPr>
        <w:pStyle w:val="2"/>
        <w:spacing w:line="245" w:lineRule="auto"/>
        <w:rPr>
          <w:highlight w:val="none"/>
        </w:rPr>
      </w:pPr>
    </w:p>
    <w:p w14:paraId="790AF83A">
      <w:pPr>
        <w:pStyle w:val="2"/>
        <w:spacing w:line="245" w:lineRule="auto"/>
        <w:rPr>
          <w:highlight w:val="none"/>
        </w:rPr>
      </w:pPr>
    </w:p>
    <w:p w14:paraId="7960A627">
      <w:pPr>
        <w:pStyle w:val="2"/>
        <w:spacing w:line="245" w:lineRule="auto"/>
        <w:rPr>
          <w:highlight w:val="none"/>
        </w:rPr>
      </w:pPr>
    </w:p>
    <w:p w14:paraId="02947A9B">
      <w:pPr>
        <w:pStyle w:val="2"/>
        <w:spacing w:line="245" w:lineRule="auto"/>
        <w:rPr>
          <w:highlight w:val="none"/>
        </w:rPr>
      </w:pPr>
    </w:p>
    <w:p w14:paraId="188FDFD6">
      <w:pPr>
        <w:pStyle w:val="2"/>
        <w:spacing w:line="245" w:lineRule="auto"/>
        <w:rPr>
          <w:highlight w:val="none"/>
        </w:rPr>
      </w:pPr>
    </w:p>
    <w:p w14:paraId="087EAED6">
      <w:pPr>
        <w:spacing w:before="71" w:line="213" w:lineRule="auto"/>
        <w:ind w:right="9"/>
        <w:jc w:val="right"/>
        <w:rPr>
          <w:rFonts w:ascii="宋体" w:hAnsi="宋体" w:eastAsia="宋体" w:cs="宋体"/>
          <w:sz w:val="20"/>
          <w:szCs w:val="20"/>
          <w:highlight w:val="none"/>
        </w:rPr>
      </w:pPr>
      <w:r>
        <w:rPr>
          <w:rFonts w:ascii="宋体" w:hAnsi="宋体" w:eastAsia="宋体" w:cs="宋体"/>
          <w:spacing w:val="-13"/>
          <w:sz w:val="22"/>
          <w:szCs w:val="22"/>
          <w:highlight w:val="none"/>
        </w:rPr>
        <w:t>投标人：_</w:t>
      </w:r>
      <w:r>
        <w:rPr>
          <w:rFonts w:ascii="宋体" w:hAnsi="宋体" w:eastAsia="宋体" w:cs="宋体"/>
          <w:spacing w:val="-91"/>
          <w:sz w:val="22"/>
          <w:szCs w:val="22"/>
          <w:highlight w:val="none"/>
        </w:rPr>
        <w:t xml:space="preserve"> </w:t>
      </w:r>
      <w:r>
        <w:rPr>
          <w:rFonts w:ascii="宋体" w:hAnsi="宋体" w:eastAsia="宋体" w:cs="宋体"/>
          <w:spacing w:val="-13"/>
          <w:sz w:val="22"/>
          <w:szCs w:val="22"/>
          <w:highlight w:val="none"/>
          <w:u w:val="single" w:color="auto"/>
        </w:rPr>
        <w:t xml:space="preserve">                  </w:t>
      </w:r>
      <w:r>
        <w:rPr>
          <w:rFonts w:ascii="宋体" w:hAnsi="宋体" w:eastAsia="宋体" w:cs="宋体"/>
          <w:spacing w:val="-14"/>
          <w:sz w:val="22"/>
          <w:szCs w:val="22"/>
          <w:highlight w:val="none"/>
          <w:u w:val="single" w:color="auto"/>
        </w:rPr>
        <w:t xml:space="preserve"> </w:t>
      </w:r>
      <w:r>
        <w:rPr>
          <w:rFonts w:ascii="宋体" w:hAnsi="宋体" w:eastAsia="宋体" w:cs="宋体"/>
          <w:spacing w:val="-14"/>
          <w:sz w:val="20"/>
          <w:szCs w:val="20"/>
          <w:highlight w:val="none"/>
        </w:rPr>
        <w:t>(盖单位章)</w:t>
      </w:r>
    </w:p>
    <w:p w14:paraId="5C49F10F">
      <w:pPr>
        <w:spacing w:before="184" w:line="228" w:lineRule="auto"/>
        <w:ind w:right="5"/>
        <w:jc w:val="right"/>
        <w:rPr>
          <w:rFonts w:ascii="宋体" w:hAnsi="宋体" w:eastAsia="宋体" w:cs="宋体"/>
          <w:sz w:val="22"/>
          <w:szCs w:val="22"/>
          <w:highlight w:val="none"/>
        </w:rPr>
      </w:pPr>
      <w:r>
        <w:rPr>
          <w:rFonts w:ascii="宋体" w:hAnsi="宋体" w:eastAsia="宋体" w:cs="宋体"/>
          <w:spacing w:val="-7"/>
          <w:sz w:val="22"/>
          <w:szCs w:val="22"/>
          <w:highlight w:val="none"/>
        </w:rPr>
        <w:t>法定代表人：</w:t>
      </w:r>
      <w:r>
        <w:rPr>
          <w:rFonts w:ascii="宋体" w:hAnsi="宋体" w:eastAsia="宋体" w:cs="宋体"/>
          <w:spacing w:val="2"/>
          <w:sz w:val="22"/>
          <w:szCs w:val="22"/>
          <w:highlight w:val="none"/>
          <w:u w:val="single" w:color="auto"/>
        </w:rPr>
        <w:t xml:space="preserve">               </w:t>
      </w:r>
      <w:r>
        <w:rPr>
          <w:rFonts w:ascii="宋体" w:hAnsi="宋体" w:eastAsia="宋体" w:cs="宋体"/>
          <w:spacing w:val="-7"/>
          <w:sz w:val="22"/>
          <w:szCs w:val="22"/>
          <w:highlight w:val="none"/>
        </w:rPr>
        <w:t xml:space="preserve"> </w:t>
      </w:r>
      <w:r>
        <w:rPr>
          <w:rFonts w:ascii="宋体" w:hAnsi="宋体" w:eastAsia="宋体" w:cs="宋体"/>
          <w:spacing w:val="-7"/>
          <w:position w:val="1"/>
          <w:sz w:val="22"/>
          <w:szCs w:val="22"/>
          <w:highlight w:val="none"/>
        </w:rPr>
        <w:t>(签字)</w:t>
      </w:r>
    </w:p>
    <w:p w14:paraId="1E797284">
      <w:pPr>
        <w:pStyle w:val="2"/>
        <w:spacing w:line="256" w:lineRule="auto"/>
        <w:rPr>
          <w:highlight w:val="none"/>
        </w:rPr>
      </w:pPr>
    </w:p>
    <w:p w14:paraId="34E0920B">
      <w:pPr>
        <w:pStyle w:val="2"/>
        <w:spacing w:line="257" w:lineRule="auto"/>
        <w:rPr>
          <w:highlight w:val="none"/>
        </w:rPr>
      </w:pPr>
    </w:p>
    <w:p w14:paraId="09F924CF">
      <w:pPr>
        <w:tabs>
          <w:tab w:val="left" w:pos="6439"/>
        </w:tabs>
        <w:spacing w:before="75" w:line="220" w:lineRule="auto"/>
        <w:ind w:left="5499"/>
        <w:rPr>
          <w:rFonts w:ascii="宋体" w:hAnsi="宋体" w:eastAsia="宋体" w:cs="宋体"/>
          <w:sz w:val="20"/>
          <w:szCs w:val="20"/>
          <w:highlight w:val="none"/>
        </w:rPr>
      </w:pPr>
      <w:r>
        <w:rPr>
          <w:rFonts w:ascii="宋体" w:hAnsi="宋体" w:eastAsia="宋体" w:cs="宋体"/>
          <w:sz w:val="23"/>
          <w:szCs w:val="23"/>
          <w:highlight w:val="none"/>
          <w:u w:val="single" w:color="auto"/>
        </w:rPr>
        <w:tab/>
      </w:r>
      <w:r>
        <w:rPr>
          <w:rFonts w:ascii="宋体" w:hAnsi="宋体" w:eastAsia="宋体" w:cs="宋体"/>
          <w:spacing w:val="-9"/>
          <w:w w:val="61"/>
          <w:sz w:val="23"/>
          <w:szCs w:val="23"/>
          <w:highlight w:val="none"/>
        </w:rPr>
        <w:t>年_</w:t>
      </w:r>
      <w:r>
        <w:rPr>
          <w:rFonts w:ascii="宋体" w:hAnsi="宋体" w:eastAsia="宋体" w:cs="宋体"/>
          <w:spacing w:val="-75"/>
          <w:sz w:val="23"/>
          <w:szCs w:val="23"/>
          <w:highlight w:val="none"/>
        </w:rPr>
        <w:t xml:space="preserve"> </w:t>
      </w:r>
      <w:r>
        <w:rPr>
          <w:rFonts w:ascii="宋体" w:hAnsi="宋体" w:eastAsia="宋体" w:cs="宋体"/>
          <w:spacing w:val="11"/>
          <w:sz w:val="23"/>
          <w:szCs w:val="23"/>
          <w:highlight w:val="none"/>
          <w:u w:val="single" w:color="auto"/>
        </w:rPr>
        <w:t xml:space="preserve">     </w:t>
      </w:r>
      <w:r>
        <w:rPr>
          <w:rFonts w:ascii="宋体" w:hAnsi="宋体" w:eastAsia="宋体" w:cs="宋体"/>
          <w:spacing w:val="-9"/>
          <w:w w:val="61"/>
          <w:position w:val="-1"/>
          <w:sz w:val="22"/>
          <w:szCs w:val="22"/>
          <w:highlight w:val="none"/>
        </w:rPr>
        <w:t>月</w:t>
      </w:r>
      <w:r>
        <w:rPr>
          <w:rFonts w:ascii="宋体" w:hAnsi="宋体" w:eastAsia="宋体" w:cs="宋体"/>
          <w:spacing w:val="8"/>
          <w:position w:val="-1"/>
          <w:sz w:val="22"/>
          <w:szCs w:val="22"/>
          <w:highlight w:val="none"/>
          <w:u w:val="single" w:color="auto"/>
        </w:rPr>
        <w:t xml:space="preserve">      </w:t>
      </w:r>
      <w:r>
        <w:rPr>
          <w:rFonts w:ascii="宋体" w:hAnsi="宋体" w:eastAsia="宋体" w:cs="宋体"/>
          <w:spacing w:val="-89"/>
          <w:position w:val="-1"/>
          <w:sz w:val="22"/>
          <w:szCs w:val="22"/>
          <w:highlight w:val="none"/>
        </w:rPr>
        <w:t xml:space="preserve"> </w:t>
      </w:r>
      <w:r>
        <w:rPr>
          <w:rFonts w:ascii="宋体" w:hAnsi="宋体" w:eastAsia="宋体" w:cs="宋体"/>
          <w:spacing w:val="3"/>
          <w:position w:val="1"/>
          <w:sz w:val="20"/>
          <w:szCs w:val="20"/>
          <w:highlight w:val="none"/>
        </w:rPr>
        <w:t>日</w:t>
      </w:r>
    </w:p>
    <w:p w14:paraId="4410E17E">
      <w:pPr>
        <w:pStyle w:val="2"/>
        <w:spacing w:line="456" w:lineRule="auto"/>
        <w:rPr>
          <w:highlight w:val="none"/>
        </w:rPr>
      </w:pPr>
    </w:p>
    <w:p w14:paraId="2A70EC27">
      <w:pPr>
        <w:spacing w:before="66" w:line="219" w:lineRule="auto"/>
        <w:ind w:left="29"/>
        <w:rPr>
          <w:rFonts w:ascii="宋体" w:hAnsi="宋体" w:eastAsia="宋体" w:cs="宋体"/>
          <w:sz w:val="20"/>
          <w:szCs w:val="20"/>
          <w:highlight w:val="none"/>
        </w:rPr>
      </w:pPr>
      <w:r>
        <w:rPr>
          <w:rFonts w:ascii="宋体" w:hAnsi="宋体" w:eastAsia="宋体" w:cs="宋体"/>
          <w:spacing w:val="10"/>
          <w:sz w:val="20"/>
          <w:szCs w:val="20"/>
          <w:highlight w:val="none"/>
        </w:rPr>
        <w:t>备注：投标人应评标委员会要求对投标文件有关</w:t>
      </w:r>
      <w:r>
        <w:rPr>
          <w:rFonts w:ascii="宋体" w:hAnsi="宋体" w:eastAsia="宋体" w:cs="宋体"/>
          <w:spacing w:val="9"/>
          <w:sz w:val="20"/>
          <w:szCs w:val="20"/>
          <w:highlight w:val="none"/>
        </w:rPr>
        <w:t>问题澄清时，适用本格式。</w:t>
      </w:r>
    </w:p>
    <w:p w14:paraId="484BE8DD">
      <w:pPr>
        <w:spacing w:line="219" w:lineRule="auto"/>
        <w:rPr>
          <w:rFonts w:ascii="宋体" w:hAnsi="宋体" w:eastAsia="宋体" w:cs="宋体"/>
          <w:sz w:val="20"/>
          <w:szCs w:val="20"/>
          <w:highlight w:val="none"/>
        </w:rPr>
        <w:sectPr>
          <w:footerReference r:id="rId51" w:type="default"/>
          <w:pgSz w:w="11910" w:h="16840"/>
          <w:pgMar w:top="400" w:right="1786" w:bottom="1196" w:left="1750" w:header="0" w:footer="1019" w:gutter="0"/>
          <w:cols w:space="720" w:num="1"/>
        </w:sectPr>
      </w:pPr>
    </w:p>
    <w:p w14:paraId="3F1B89F2">
      <w:pPr>
        <w:pStyle w:val="2"/>
        <w:spacing w:line="263" w:lineRule="auto"/>
        <w:rPr>
          <w:highlight w:val="none"/>
        </w:rPr>
      </w:pPr>
    </w:p>
    <w:p w14:paraId="5ABCF118">
      <w:pPr>
        <w:pStyle w:val="2"/>
        <w:spacing w:line="264" w:lineRule="auto"/>
        <w:rPr>
          <w:highlight w:val="none"/>
        </w:rPr>
      </w:pPr>
    </w:p>
    <w:p w14:paraId="3C5278A2">
      <w:pPr>
        <w:pStyle w:val="2"/>
        <w:spacing w:line="264" w:lineRule="auto"/>
        <w:rPr>
          <w:highlight w:val="none"/>
        </w:rPr>
      </w:pPr>
    </w:p>
    <w:p w14:paraId="1C97E789">
      <w:pPr>
        <w:pStyle w:val="2"/>
        <w:spacing w:line="264" w:lineRule="auto"/>
        <w:rPr>
          <w:highlight w:val="none"/>
        </w:rPr>
      </w:pPr>
    </w:p>
    <w:p w14:paraId="23A20EE6">
      <w:pPr>
        <w:spacing w:before="78" w:line="222" w:lineRule="auto"/>
        <w:outlineLvl w:val="1"/>
        <w:rPr>
          <w:rFonts w:ascii="黑体" w:hAnsi="黑体" w:eastAsia="黑体" w:cs="黑体"/>
          <w:sz w:val="24"/>
          <w:szCs w:val="24"/>
          <w:highlight w:val="none"/>
        </w:rPr>
      </w:pPr>
      <w:bookmarkStart w:id="56" w:name="bookmark25"/>
      <w:bookmarkEnd w:id="56"/>
      <w:r>
        <w:rPr>
          <w:rFonts w:ascii="黑体" w:hAnsi="黑体" w:eastAsia="黑体" w:cs="黑体"/>
          <w:sz w:val="24"/>
          <w:szCs w:val="24"/>
          <w:highlight w:val="none"/>
        </w:rPr>
        <w:t>附表八：中标通知书</w:t>
      </w:r>
    </w:p>
    <w:p w14:paraId="2CA80AC2">
      <w:pPr>
        <w:pStyle w:val="2"/>
        <w:spacing w:line="245" w:lineRule="auto"/>
        <w:rPr>
          <w:highlight w:val="none"/>
        </w:rPr>
      </w:pPr>
    </w:p>
    <w:p w14:paraId="699B87D6">
      <w:pPr>
        <w:pStyle w:val="2"/>
        <w:spacing w:line="246" w:lineRule="auto"/>
        <w:rPr>
          <w:highlight w:val="none"/>
        </w:rPr>
      </w:pPr>
    </w:p>
    <w:p w14:paraId="789FD9A2">
      <w:pPr>
        <w:pStyle w:val="2"/>
        <w:spacing w:line="246" w:lineRule="auto"/>
        <w:rPr>
          <w:highlight w:val="none"/>
        </w:rPr>
      </w:pPr>
    </w:p>
    <w:p w14:paraId="7E8E7935">
      <w:pPr>
        <w:spacing w:before="91" w:line="222" w:lineRule="auto"/>
        <w:ind w:left="3450"/>
        <w:rPr>
          <w:rFonts w:ascii="黑体" w:hAnsi="黑体" w:eastAsia="黑体" w:cs="黑体"/>
          <w:sz w:val="28"/>
          <w:szCs w:val="28"/>
          <w:highlight w:val="none"/>
        </w:rPr>
      </w:pPr>
      <w:r>
        <w:rPr>
          <w:rFonts w:ascii="黑体" w:hAnsi="黑体" w:eastAsia="黑体" w:cs="黑体"/>
          <w:spacing w:val="9"/>
          <w:sz w:val="28"/>
          <w:szCs w:val="28"/>
          <w:highlight w:val="none"/>
        </w:rPr>
        <w:t>中标通知书</w:t>
      </w:r>
    </w:p>
    <w:p w14:paraId="4D9BC6FC">
      <w:pPr>
        <w:pStyle w:val="2"/>
        <w:spacing w:line="368" w:lineRule="auto"/>
        <w:rPr>
          <w:highlight w:val="none"/>
        </w:rPr>
      </w:pPr>
    </w:p>
    <w:p w14:paraId="47814591">
      <w:pPr>
        <w:spacing w:before="81" w:line="219" w:lineRule="auto"/>
        <w:ind w:left="5850"/>
        <w:rPr>
          <w:rFonts w:ascii="宋体" w:hAnsi="宋体" w:eastAsia="宋体" w:cs="宋体"/>
          <w:sz w:val="25"/>
          <w:szCs w:val="25"/>
          <w:highlight w:val="none"/>
        </w:rPr>
      </w:pPr>
      <w:r>
        <w:rPr>
          <w:rFonts w:ascii="宋体" w:hAnsi="宋体" w:eastAsia="宋体" w:cs="宋体"/>
          <w:spacing w:val="-7"/>
          <w:sz w:val="25"/>
          <w:szCs w:val="25"/>
          <w:highlight w:val="none"/>
        </w:rPr>
        <w:t>编号</w:t>
      </w:r>
      <w:r>
        <w:rPr>
          <w:rFonts w:ascii="宋体" w:hAnsi="宋体" w:eastAsia="宋体" w:cs="宋体"/>
          <w:spacing w:val="-72"/>
          <w:sz w:val="25"/>
          <w:szCs w:val="25"/>
          <w:highlight w:val="none"/>
        </w:rPr>
        <w:t xml:space="preserve"> </w:t>
      </w:r>
      <w:r>
        <w:rPr>
          <w:rFonts w:ascii="宋体" w:hAnsi="宋体" w:eastAsia="宋体" w:cs="宋体"/>
          <w:spacing w:val="-7"/>
          <w:sz w:val="25"/>
          <w:szCs w:val="25"/>
          <w:highlight w:val="none"/>
          <w:u w:val="single" w:color="auto"/>
        </w:rPr>
        <w:t>：</w:t>
      </w:r>
      <w:r>
        <w:rPr>
          <w:rFonts w:ascii="宋体" w:hAnsi="宋体" w:eastAsia="宋体" w:cs="宋体"/>
          <w:sz w:val="25"/>
          <w:szCs w:val="25"/>
          <w:highlight w:val="none"/>
          <w:u w:val="single" w:color="auto"/>
        </w:rPr>
        <w:t xml:space="preserve">              </w:t>
      </w:r>
    </w:p>
    <w:p w14:paraId="37D9C574">
      <w:pPr>
        <w:pStyle w:val="2"/>
        <w:spacing w:line="296" w:lineRule="auto"/>
        <w:rPr>
          <w:highlight w:val="none"/>
        </w:rPr>
      </w:pPr>
    </w:p>
    <w:p w14:paraId="1E1EDE2D">
      <w:pPr>
        <w:pStyle w:val="2"/>
        <w:spacing w:line="297" w:lineRule="auto"/>
        <w:rPr>
          <w:highlight w:val="none"/>
        </w:rPr>
      </w:pPr>
    </w:p>
    <w:p w14:paraId="6F4E5799">
      <w:pPr>
        <w:tabs>
          <w:tab w:val="left" w:pos="2040"/>
        </w:tabs>
        <w:spacing w:before="65" w:line="220" w:lineRule="auto"/>
        <w:rPr>
          <w:rFonts w:ascii="宋体" w:hAnsi="宋体" w:eastAsia="宋体" w:cs="宋体"/>
          <w:sz w:val="20"/>
          <w:szCs w:val="20"/>
          <w:highlight w:val="none"/>
        </w:rPr>
      </w:pPr>
      <w:r>
        <w:rPr>
          <w:rFonts w:ascii="宋体" w:hAnsi="宋体" w:eastAsia="宋体" w:cs="宋体"/>
          <w:sz w:val="20"/>
          <w:szCs w:val="20"/>
          <w:highlight w:val="none"/>
          <w:u w:val="single" w:color="auto"/>
        </w:rPr>
        <w:tab/>
      </w:r>
      <w:r>
        <w:rPr>
          <w:rFonts w:ascii="宋体" w:hAnsi="宋体" w:eastAsia="宋体" w:cs="宋体"/>
          <w:spacing w:val="-30"/>
          <w:sz w:val="20"/>
          <w:szCs w:val="20"/>
          <w:highlight w:val="none"/>
        </w:rPr>
        <w:t xml:space="preserve"> </w:t>
      </w:r>
      <w:r>
        <w:rPr>
          <w:rFonts w:ascii="宋体" w:hAnsi="宋体" w:eastAsia="宋体" w:cs="宋体"/>
          <w:spacing w:val="10"/>
          <w:sz w:val="20"/>
          <w:szCs w:val="20"/>
          <w:highlight w:val="none"/>
        </w:rPr>
        <w:t>(中标人名称):</w:t>
      </w:r>
    </w:p>
    <w:p w14:paraId="3428882D">
      <w:pPr>
        <w:pStyle w:val="2"/>
        <w:spacing w:line="276" w:lineRule="auto"/>
        <w:rPr>
          <w:highlight w:val="none"/>
        </w:rPr>
      </w:pPr>
    </w:p>
    <w:p w14:paraId="72E0F317">
      <w:pPr>
        <w:pStyle w:val="2"/>
        <w:spacing w:line="277" w:lineRule="auto"/>
        <w:rPr>
          <w:highlight w:val="none"/>
        </w:rPr>
      </w:pPr>
    </w:p>
    <w:p w14:paraId="690D4645">
      <w:pPr>
        <w:pStyle w:val="2"/>
        <w:spacing w:line="277" w:lineRule="auto"/>
        <w:rPr>
          <w:highlight w:val="none"/>
        </w:rPr>
      </w:pPr>
    </w:p>
    <w:p w14:paraId="4CD7BD0C">
      <w:pPr>
        <w:spacing w:before="65" w:line="500" w:lineRule="auto"/>
        <w:ind w:right="46" w:firstLine="430"/>
        <w:rPr>
          <w:rFonts w:ascii="宋体" w:hAnsi="宋体" w:eastAsia="宋体" w:cs="宋体"/>
          <w:sz w:val="20"/>
          <w:szCs w:val="20"/>
          <w:highlight w:val="none"/>
        </w:rPr>
      </w:pPr>
      <w:r>
        <w:rPr>
          <w:rFonts w:ascii="宋体" w:hAnsi="宋体" w:eastAsia="宋体" w:cs="宋体"/>
          <w:spacing w:val="11"/>
          <w:sz w:val="20"/>
          <w:szCs w:val="20"/>
          <w:highlight w:val="none"/>
        </w:rPr>
        <w:t>你方于</w:t>
      </w:r>
      <w:r>
        <w:rPr>
          <w:rFonts w:ascii="宋体" w:hAnsi="宋体" w:eastAsia="宋体" w:cs="宋体"/>
          <w:spacing w:val="-74"/>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11"/>
          <w:sz w:val="20"/>
          <w:szCs w:val="20"/>
          <w:highlight w:val="none"/>
        </w:rPr>
        <w:t xml:space="preserve"> (投标日期)所递交的</w:t>
      </w:r>
      <w:r>
        <w:rPr>
          <w:rFonts w:ascii="宋体" w:hAnsi="宋体" w:eastAsia="宋体" w:cs="宋体"/>
          <w:spacing w:val="-90"/>
          <w:sz w:val="20"/>
          <w:szCs w:val="20"/>
          <w:highlight w:val="none"/>
        </w:rPr>
        <w:t xml:space="preserve"> </w:t>
      </w:r>
      <w:r>
        <w:rPr>
          <w:rFonts w:ascii="宋体" w:hAnsi="宋体" w:eastAsia="宋体" w:cs="宋体"/>
          <w:spacing w:val="6"/>
          <w:sz w:val="20"/>
          <w:szCs w:val="20"/>
          <w:highlight w:val="none"/>
          <w:u w:val="single" w:color="auto"/>
        </w:rPr>
        <w:t xml:space="preserve">        </w:t>
      </w:r>
      <w:r>
        <w:rPr>
          <w:rFonts w:ascii="宋体" w:hAnsi="宋体" w:eastAsia="宋体" w:cs="宋体"/>
          <w:spacing w:val="-18"/>
          <w:sz w:val="20"/>
          <w:szCs w:val="20"/>
          <w:highlight w:val="none"/>
        </w:rPr>
        <w:t xml:space="preserve"> </w:t>
      </w:r>
      <w:r>
        <w:rPr>
          <w:rFonts w:ascii="宋体" w:hAnsi="宋体" w:eastAsia="宋体" w:cs="宋体"/>
          <w:spacing w:val="11"/>
          <w:sz w:val="20"/>
          <w:szCs w:val="20"/>
          <w:highlight w:val="none"/>
        </w:rPr>
        <w:t>(项目名称)</w:t>
      </w:r>
      <w:r>
        <w:rPr>
          <w:rFonts w:ascii="宋体" w:hAnsi="宋体" w:eastAsia="宋体" w:cs="宋体"/>
          <w:spacing w:val="-54"/>
          <w:sz w:val="20"/>
          <w:szCs w:val="20"/>
          <w:highlight w:val="none"/>
        </w:rPr>
        <w:t xml:space="preserve"> </w:t>
      </w:r>
      <w:r>
        <w:rPr>
          <w:rFonts w:ascii="宋体" w:hAnsi="宋体" w:eastAsia="宋体" w:cs="宋体"/>
          <w:spacing w:val="20"/>
          <w:sz w:val="20"/>
          <w:szCs w:val="20"/>
          <w:highlight w:val="none"/>
          <w:u w:val="single" w:color="auto"/>
        </w:rPr>
        <w:t xml:space="preserve">    </w:t>
      </w:r>
      <w:r>
        <w:rPr>
          <w:rFonts w:ascii="宋体" w:hAnsi="宋体" w:eastAsia="宋体" w:cs="宋体"/>
          <w:spacing w:val="-80"/>
          <w:sz w:val="20"/>
          <w:szCs w:val="20"/>
          <w:highlight w:val="none"/>
        </w:rPr>
        <w:t xml:space="preserve"> </w:t>
      </w:r>
      <w:r>
        <w:rPr>
          <w:rFonts w:ascii="宋体" w:hAnsi="宋体" w:eastAsia="宋体" w:cs="宋体"/>
          <w:spacing w:val="11"/>
          <w:sz w:val="20"/>
          <w:szCs w:val="20"/>
          <w:highlight w:val="none"/>
        </w:rPr>
        <w:t>(标段名称)工程总</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承包招标的投标文件已被我方接受，被确定为中标人。</w:t>
      </w:r>
    </w:p>
    <w:p w14:paraId="4D1B7D58">
      <w:pPr>
        <w:spacing w:before="6" w:line="218" w:lineRule="auto"/>
        <w:ind w:left="430"/>
        <w:rPr>
          <w:rFonts w:ascii="宋体" w:hAnsi="宋体" w:eastAsia="宋体" w:cs="宋体"/>
          <w:sz w:val="21"/>
          <w:szCs w:val="21"/>
          <w:highlight w:val="none"/>
        </w:rPr>
      </w:pPr>
      <w:r>
        <w:rPr>
          <w:rFonts w:ascii="宋体" w:hAnsi="宋体" w:eastAsia="宋体" w:cs="宋体"/>
          <w:sz w:val="21"/>
          <w:szCs w:val="21"/>
          <w:highlight w:val="none"/>
        </w:rPr>
        <w:t>中标价：</w:t>
      </w:r>
      <w:r>
        <w:rPr>
          <w:rFonts w:ascii="宋体" w:hAnsi="宋体" w:eastAsia="宋体" w:cs="宋体"/>
          <w:sz w:val="21"/>
          <w:szCs w:val="21"/>
          <w:highlight w:val="none"/>
          <w:u w:val="single" w:color="auto"/>
        </w:rPr>
        <w:t xml:space="preserve">                      </w:t>
      </w:r>
      <w:r>
        <w:rPr>
          <w:rFonts w:ascii="宋体" w:hAnsi="宋体" w:eastAsia="宋体" w:cs="宋体"/>
          <w:spacing w:val="-85"/>
          <w:sz w:val="21"/>
          <w:szCs w:val="21"/>
          <w:highlight w:val="none"/>
        </w:rPr>
        <w:t xml:space="preserve"> </w:t>
      </w:r>
      <w:r>
        <w:rPr>
          <w:rFonts w:ascii="宋体" w:hAnsi="宋体" w:eastAsia="宋体" w:cs="宋体"/>
          <w:spacing w:val="-1"/>
          <w:sz w:val="21"/>
          <w:szCs w:val="21"/>
          <w:highlight w:val="none"/>
        </w:rPr>
        <w:t>元。</w:t>
      </w:r>
    </w:p>
    <w:p w14:paraId="53BBC7E9">
      <w:pPr>
        <w:spacing w:before="304" w:line="220" w:lineRule="auto"/>
        <w:ind w:left="430"/>
        <w:rPr>
          <w:rFonts w:ascii="宋体" w:hAnsi="宋体" w:eastAsia="宋体" w:cs="宋体"/>
          <w:sz w:val="21"/>
          <w:szCs w:val="21"/>
          <w:highlight w:val="none"/>
        </w:rPr>
      </w:pPr>
      <w:r>
        <w:rPr>
          <w:rFonts w:ascii="宋体" w:hAnsi="宋体" w:eastAsia="宋体" w:cs="宋体"/>
          <w:spacing w:val="-9"/>
          <w:sz w:val="21"/>
          <w:szCs w:val="21"/>
          <w:highlight w:val="none"/>
        </w:rPr>
        <w:t>工期：</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9"/>
          <w:sz w:val="21"/>
          <w:szCs w:val="21"/>
          <w:highlight w:val="none"/>
        </w:rPr>
        <w:t>日历天。</w:t>
      </w:r>
    </w:p>
    <w:p w14:paraId="5D153C36">
      <w:pPr>
        <w:spacing w:before="290" w:line="220" w:lineRule="auto"/>
        <w:ind w:left="430"/>
        <w:rPr>
          <w:rFonts w:ascii="Times New Roman" w:hAnsi="Times New Roman" w:eastAsia="Times New Roman" w:cs="Times New Roman"/>
          <w:sz w:val="22"/>
          <w:szCs w:val="22"/>
          <w:highlight w:val="none"/>
        </w:rPr>
      </w:pPr>
      <w:r>
        <w:rPr>
          <w:rFonts w:ascii="宋体" w:hAnsi="宋体" w:eastAsia="宋体" w:cs="宋体"/>
          <w:spacing w:val="-7"/>
          <w:sz w:val="22"/>
          <w:szCs w:val="22"/>
          <w:highlight w:val="none"/>
        </w:rPr>
        <w:t>质量标准：</w:t>
      </w:r>
      <w:r>
        <w:rPr>
          <w:rFonts w:ascii="宋体" w:hAnsi="宋体" w:eastAsia="宋体" w:cs="宋体"/>
          <w:spacing w:val="5"/>
          <w:sz w:val="22"/>
          <w:szCs w:val="22"/>
          <w:highlight w:val="none"/>
          <w:u w:val="single" w:color="auto"/>
        </w:rPr>
        <w:t xml:space="preserve">                    </w:t>
      </w:r>
      <w:r>
        <w:rPr>
          <w:rFonts w:ascii="Times New Roman" w:hAnsi="Times New Roman" w:eastAsia="Times New Roman" w:cs="Times New Roman"/>
          <w:spacing w:val="-7"/>
          <w:sz w:val="22"/>
          <w:szCs w:val="22"/>
          <w:highlight w:val="none"/>
        </w:rPr>
        <w:t>o</w:t>
      </w:r>
    </w:p>
    <w:p w14:paraId="6DE2AC7F">
      <w:pPr>
        <w:spacing w:before="307" w:line="219" w:lineRule="auto"/>
        <w:ind w:left="430"/>
        <w:rPr>
          <w:rFonts w:ascii="宋体" w:hAnsi="宋体" w:eastAsia="宋体" w:cs="宋体"/>
          <w:sz w:val="21"/>
          <w:szCs w:val="21"/>
          <w:highlight w:val="none"/>
        </w:rPr>
      </w:pPr>
      <w:r>
        <w:rPr>
          <w:rFonts w:ascii="宋体" w:hAnsi="宋体" w:eastAsia="宋体" w:cs="宋体"/>
          <w:spacing w:val="-4"/>
          <w:sz w:val="21"/>
          <w:szCs w:val="21"/>
          <w:highlight w:val="none"/>
        </w:rPr>
        <w:t>项目经理：</w:t>
      </w:r>
      <w:r>
        <w:rPr>
          <w:rFonts w:ascii="宋体" w:hAnsi="宋体" w:eastAsia="宋体" w:cs="宋体"/>
          <w:spacing w:val="-75"/>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15"/>
          <w:sz w:val="21"/>
          <w:szCs w:val="21"/>
          <w:highlight w:val="none"/>
        </w:rPr>
        <w:t xml:space="preserve"> </w:t>
      </w:r>
      <w:r>
        <w:rPr>
          <w:rFonts w:ascii="宋体" w:hAnsi="宋体" w:eastAsia="宋体" w:cs="宋体"/>
          <w:spacing w:val="-4"/>
          <w:sz w:val="21"/>
          <w:szCs w:val="21"/>
          <w:highlight w:val="none"/>
        </w:rPr>
        <w:t>(姓名)。</w:t>
      </w:r>
    </w:p>
    <w:p w14:paraId="39574E7A">
      <w:pPr>
        <w:spacing w:before="299" w:line="491" w:lineRule="auto"/>
        <w:ind w:right="16"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请你方在接到本通知书后的</w:t>
      </w:r>
      <w:r>
        <w:rPr>
          <w:rFonts w:ascii="宋体" w:hAnsi="宋体" w:eastAsia="宋体" w:cs="宋体"/>
          <w:spacing w:val="23"/>
          <w:sz w:val="21"/>
          <w:szCs w:val="21"/>
          <w:highlight w:val="none"/>
          <w:u w:val="single" w:color="auto"/>
        </w:rPr>
        <w:t xml:space="preserve">     </w:t>
      </w:r>
      <w:r>
        <w:rPr>
          <w:rFonts w:ascii="宋体" w:hAnsi="宋体" w:eastAsia="宋体" w:cs="宋体"/>
          <w:spacing w:val="-85"/>
          <w:sz w:val="21"/>
          <w:szCs w:val="21"/>
          <w:highlight w:val="none"/>
        </w:rPr>
        <w:t xml:space="preserve"> </w:t>
      </w:r>
      <w:r>
        <w:rPr>
          <w:rFonts w:ascii="宋体" w:hAnsi="宋体" w:eastAsia="宋体" w:cs="宋体"/>
          <w:spacing w:val="2"/>
          <w:sz w:val="21"/>
          <w:szCs w:val="21"/>
          <w:highlight w:val="none"/>
        </w:rPr>
        <w:t>日内到</w:t>
      </w:r>
      <w:r>
        <w:rPr>
          <w:rFonts w:ascii="宋体" w:hAnsi="宋体" w:eastAsia="宋体" w:cs="宋体"/>
          <w:spacing w:val="-99"/>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75"/>
          <w:sz w:val="21"/>
          <w:szCs w:val="21"/>
          <w:highlight w:val="none"/>
        </w:rPr>
        <w:t xml:space="preserve"> </w:t>
      </w:r>
      <w:r>
        <w:rPr>
          <w:rFonts w:ascii="宋体" w:hAnsi="宋体" w:eastAsia="宋体" w:cs="宋体"/>
          <w:spacing w:val="2"/>
          <w:sz w:val="21"/>
          <w:szCs w:val="21"/>
          <w:highlight w:val="none"/>
        </w:rPr>
        <w:t>(指定地点)与我方签订工</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程总承包合同，在此之前按招标文件第2章“投标人</w:t>
      </w:r>
      <w:r>
        <w:rPr>
          <w:rFonts w:ascii="宋体" w:hAnsi="宋体" w:eastAsia="宋体" w:cs="宋体"/>
          <w:spacing w:val="3"/>
          <w:sz w:val="21"/>
          <w:szCs w:val="21"/>
          <w:highlight w:val="none"/>
        </w:rPr>
        <w:t>须知”第7.3款规定向我方提交履约保</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证金。</w:t>
      </w:r>
    </w:p>
    <w:p w14:paraId="37EEB1CF">
      <w:pPr>
        <w:spacing w:before="45" w:line="219" w:lineRule="auto"/>
        <w:ind w:left="430"/>
        <w:rPr>
          <w:rFonts w:ascii="宋体" w:hAnsi="宋体" w:eastAsia="宋体" w:cs="宋体"/>
          <w:sz w:val="21"/>
          <w:szCs w:val="21"/>
          <w:highlight w:val="none"/>
        </w:rPr>
      </w:pPr>
      <w:r>
        <w:rPr>
          <w:rFonts w:ascii="宋体" w:hAnsi="宋体" w:eastAsia="宋体" w:cs="宋体"/>
          <w:spacing w:val="-1"/>
          <w:sz w:val="21"/>
          <w:szCs w:val="21"/>
          <w:highlight w:val="none"/>
        </w:rPr>
        <w:t>随附澄清、说明、补正事项纪要，是本中标通知书的组成部分。</w:t>
      </w:r>
    </w:p>
    <w:p w14:paraId="50CFB641">
      <w:pPr>
        <w:spacing w:before="303" w:line="219" w:lineRule="auto"/>
        <w:ind w:left="430"/>
        <w:rPr>
          <w:rFonts w:ascii="宋体" w:hAnsi="宋体" w:eastAsia="宋体" w:cs="宋体"/>
          <w:sz w:val="21"/>
          <w:szCs w:val="21"/>
          <w:highlight w:val="none"/>
        </w:rPr>
      </w:pPr>
      <w:r>
        <w:rPr>
          <w:rFonts w:ascii="宋体" w:hAnsi="宋体" w:eastAsia="宋体" w:cs="宋体"/>
          <w:spacing w:val="-7"/>
          <w:sz w:val="21"/>
          <w:szCs w:val="21"/>
          <w:highlight w:val="none"/>
        </w:rPr>
        <w:t>特此通知。</w:t>
      </w:r>
    </w:p>
    <w:p w14:paraId="09388E08">
      <w:pPr>
        <w:spacing w:before="299" w:line="219" w:lineRule="auto"/>
        <w:ind w:left="430"/>
        <w:rPr>
          <w:rFonts w:ascii="宋体" w:hAnsi="宋体" w:eastAsia="宋体" w:cs="宋体"/>
          <w:sz w:val="21"/>
          <w:szCs w:val="21"/>
          <w:highlight w:val="none"/>
        </w:rPr>
      </w:pPr>
      <w:r>
        <w:rPr>
          <w:rFonts w:ascii="宋体" w:hAnsi="宋体" w:eastAsia="宋体" w:cs="宋体"/>
          <w:sz w:val="21"/>
          <w:szCs w:val="21"/>
          <w:highlight w:val="none"/>
        </w:rPr>
        <w:t>附：澄清、说明、补正事项纪要</w:t>
      </w:r>
    </w:p>
    <w:p w14:paraId="203BA727">
      <w:pPr>
        <w:pStyle w:val="2"/>
        <w:spacing w:line="250" w:lineRule="auto"/>
        <w:rPr>
          <w:highlight w:val="none"/>
        </w:rPr>
      </w:pPr>
    </w:p>
    <w:p w14:paraId="49D532FB">
      <w:pPr>
        <w:spacing w:before="72" w:line="220" w:lineRule="auto"/>
        <w:ind w:left="4960"/>
        <w:rPr>
          <w:rFonts w:ascii="宋体" w:hAnsi="宋体" w:eastAsia="宋体" w:cs="宋体"/>
          <w:sz w:val="20"/>
          <w:szCs w:val="20"/>
          <w:highlight w:val="none"/>
        </w:rPr>
      </w:pPr>
      <w:r>
        <w:rPr>
          <w:rFonts w:ascii="宋体" w:hAnsi="宋体" w:eastAsia="宋体" w:cs="宋体"/>
          <w:spacing w:val="2"/>
          <w:sz w:val="22"/>
          <w:szCs w:val="22"/>
          <w:highlight w:val="none"/>
        </w:rPr>
        <w:t>招标人：</w:t>
      </w:r>
      <w:r>
        <w:rPr>
          <w:rFonts w:ascii="宋体" w:hAnsi="宋体" w:eastAsia="宋体" w:cs="宋体"/>
          <w:spacing w:val="5"/>
          <w:sz w:val="22"/>
          <w:szCs w:val="22"/>
          <w:highlight w:val="none"/>
          <w:u w:val="single" w:color="auto"/>
        </w:rPr>
        <w:t xml:space="preserve">           </w:t>
      </w:r>
      <w:r>
        <w:rPr>
          <w:rFonts w:ascii="宋体" w:hAnsi="宋体" w:eastAsia="宋体" w:cs="宋体"/>
          <w:spacing w:val="2"/>
          <w:sz w:val="22"/>
          <w:szCs w:val="22"/>
          <w:highlight w:val="none"/>
        </w:rPr>
        <w:t xml:space="preserve"> </w:t>
      </w:r>
      <w:r>
        <w:rPr>
          <w:rFonts w:ascii="宋体" w:hAnsi="宋体" w:eastAsia="宋体" w:cs="宋体"/>
          <w:spacing w:val="2"/>
          <w:sz w:val="20"/>
          <w:szCs w:val="20"/>
          <w:highlight w:val="none"/>
        </w:rPr>
        <w:t>(盖单位章)</w:t>
      </w:r>
    </w:p>
    <w:p w14:paraId="1B13110E">
      <w:pPr>
        <w:tabs>
          <w:tab w:val="left" w:pos="6320"/>
        </w:tabs>
        <w:spacing w:before="258" w:line="431" w:lineRule="auto"/>
        <w:ind w:left="5050" w:right="63" w:hanging="90"/>
        <w:rPr>
          <w:rFonts w:ascii="宋体" w:hAnsi="宋体" w:eastAsia="宋体" w:cs="宋体"/>
          <w:sz w:val="19"/>
          <w:szCs w:val="19"/>
          <w:highlight w:val="none"/>
        </w:rPr>
      </w:pPr>
      <w:r>
        <w:rPr>
          <w:rFonts w:ascii="宋体" w:hAnsi="宋体" w:eastAsia="宋体" w:cs="宋体"/>
          <w:spacing w:val="-1"/>
          <w:position w:val="-1"/>
          <w:sz w:val="22"/>
          <w:szCs w:val="22"/>
          <w:highlight w:val="none"/>
        </w:rPr>
        <w:t>法定代表人：</w:t>
      </w:r>
      <w:r>
        <w:rPr>
          <w:rFonts w:ascii="宋体" w:hAnsi="宋体" w:eastAsia="宋体" w:cs="宋体"/>
          <w:spacing w:val="-1"/>
          <w:position w:val="-1"/>
          <w:sz w:val="22"/>
          <w:szCs w:val="22"/>
          <w:highlight w:val="none"/>
          <w:u w:val="single" w:color="auto"/>
        </w:rPr>
        <w:t xml:space="preserve">           </w:t>
      </w:r>
      <w:r>
        <w:rPr>
          <w:rFonts w:ascii="宋体" w:hAnsi="宋体" w:eastAsia="宋体" w:cs="宋体"/>
          <w:spacing w:val="-1"/>
          <w:position w:val="-1"/>
          <w:sz w:val="22"/>
          <w:szCs w:val="22"/>
          <w:highlight w:val="none"/>
        </w:rPr>
        <w:t xml:space="preserve"> </w:t>
      </w:r>
      <w:r>
        <w:rPr>
          <w:rFonts w:ascii="宋体" w:hAnsi="宋体" w:eastAsia="宋体" w:cs="宋体"/>
          <w:spacing w:val="-1"/>
          <w:position w:val="1"/>
          <w:sz w:val="22"/>
          <w:szCs w:val="22"/>
          <w:highlight w:val="none"/>
        </w:rPr>
        <w:t>(签字)</w:t>
      </w:r>
      <w:r>
        <w:rPr>
          <w:rFonts w:ascii="宋体" w:hAnsi="宋体" w:eastAsia="宋体" w:cs="宋体"/>
          <w:spacing w:val="9"/>
          <w:position w:val="1"/>
          <w:sz w:val="22"/>
          <w:szCs w:val="22"/>
          <w:highlight w:val="none"/>
        </w:rPr>
        <w:t xml:space="preserve"> </w:t>
      </w:r>
      <w:r>
        <w:rPr>
          <w:rFonts w:ascii="宋体" w:hAnsi="宋体" w:eastAsia="宋体" w:cs="宋体"/>
          <w:sz w:val="22"/>
          <w:szCs w:val="22"/>
          <w:highlight w:val="none"/>
          <w:u w:val="single" w:color="auto"/>
        </w:rPr>
        <w:tab/>
      </w:r>
      <w:r>
        <w:rPr>
          <w:rFonts w:ascii="宋体" w:hAnsi="宋体" w:eastAsia="宋体" w:cs="宋体"/>
          <w:spacing w:val="-98"/>
          <w:sz w:val="22"/>
          <w:szCs w:val="22"/>
          <w:highlight w:val="none"/>
        </w:rPr>
        <w:t xml:space="preserve"> </w:t>
      </w:r>
      <w:r>
        <w:rPr>
          <w:rFonts w:ascii="宋体" w:hAnsi="宋体" w:eastAsia="宋体" w:cs="宋体"/>
          <w:spacing w:val="-36"/>
          <w:w w:val="94"/>
          <w:sz w:val="22"/>
          <w:szCs w:val="22"/>
          <w:highlight w:val="none"/>
        </w:rPr>
        <w:t>年</w:t>
      </w:r>
      <w:r>
        <w:rPr>
          <w:rFonts w:ascii="宋体" w:hAnsi="宋体" w:eastAsia="宋体" w:cs="宋体"/>
          <w:spacing w:val="6"/>
          <w:sz w:val="22"/>
          <w:szCs w:val="22"/>
          <w:highlight w:val="none"/>
          <w:u w:val="single" w:color="auto"/>
        </w:rPr>
        <w:t xml:space="preserve">      </w:t>
      </w:r>
      <w:r>
        <w:rPr>
          <w:rFonts w:ascii="宋体" w:hAnsi="宋体" w:eastAsia="宋体" w:cs="宋体"/>
          <w:spacing w:val="-36"/>
          <w:w w:val="94"/>
          <w:sz w:val="23"/>
          <w:szCs w:val="23"/>
          <w:highlight w:val="none"/>
        </w:rPr>
        <w:t>月</w:t>
      </w:r>
      <w:r>
        <w:rPr>
          <w:rFonts w:ascii="宋体" w:hAnsi="宋体" w:eastAsia="宋体" w:cs="宋体"/>
          <w:spacing w:val="-38"/>
          <w:sz w:val="23"/>
          <w:szCs w:val="23"/>
          <w:highlight w:val="none"/>
        </w:rPr>
        <w:t xml:space="preserve"> </w:t>
      </w:r>
      <w:r>
        <w:rPr>
          <w:rFonts w:ascii="宋体" w:hAnsi="宋体" w:eastAsia="宋体" w:cs="宋体"/>
          <w:spacing w:val="27"/>
          <w:sz w:val="23"/>
          <w:szCs w:val="23"/>
          <w:highlight w:val="none"/>
          <w:u w:val="single" w:color="auto"/>
        </w:rPr>
        <w:t xml:space="preserve">    </w:t>
      </w:r>
      <w:r>
        <w:rPr>
          <w:rFonts w:ascii="宋体" w:hAnsi="宋体" w:eastAsia="宋体" w:cs="宋体"/>
          <w:spacing w:val="7"/>
          <w:sz w:val="23"/>
          <w:szCs w:val="23"/>
          <w:highlight w:val="none"/>
        </w:rPr>
        <w:t xml:space="preserve"> </w:t>
      </w:r>
      <w:r>
        <w:rPr>
          <w:rFonts w:ascii="宋体" w:hAnsi="宋体" w:eastAsia="宋体" w:cs="宋体"/>
          <w:spacing w:val="-36"/>
          <w:w w:val="94"/>
          <w:position w:val="1"/>
          <w:sz w:val="19"/>
          <w:szCs w:val="19"/>
          <w:highlight w:val="none"/>
        </w:rPr>
        <w:t>日</w:t>
      </w:r>
    </w:p>
    <w:p w14:paraId="0B339557">
      <w:pPr>
        <w:spacing w:before="17" w:line="219" w:lineRule="auto"/>
        <w:rPr>
          <w:rFonts w:ascii="宋体" w:hAnsi="宋体" w:eastAsia="宋体" w:cs="宋体"/>
          <w:sz w:val="22"/>
          <w:szCs w:val="22"/>
          <w:highlight w:val="none"/>
        </w:rPr>
      </w:pPr>
      <w:r>
        <w:rPr>
          <w:rFonts w:ascii="宋体" w:hAnsi="宋体" w:eastAsia="宋体" w:cs="宋体"/>
          <w:spacing w:val="-11"/>
          <w:sz w:val="22"/>
          <w:szCs w:val="22"/>
          <w:highlight w:val="none"/>
        </w:rPr>
        <w:t>备注：行政主管部门对中标通知书有备案管理程序的，从其规定。</w:t>
      </w:r>
    </w:p>
    <w:p w14:paraId="4C5C4A26">
      <w:pPr>
        <w:spacing w:line="219" w:lineRule="auto"/>
        <w:rPr>
          <w:rFonts w:ascii="宋体" w:hAnsi="宋体" w:eastAsia="宋体" w:cs="宋体"/>
          <w:sz w:val="22"/>
          <w:szCs w:val="22"/>
          <w:highlight w:val="none"/>
        </w:rPr>
        <w:sectPr>
          <w:footerReference r:id="rId52" w:type="default"/>
          <w:pgSz w:w="11910" w:h="16840"/>
          <w:pgMar w:top="400" w:right="1786" w:bottom="1183" w:left="1769" w:header="0" w:footer="1024" w:gutter="0"/>
          <w:cols w:space="720" w:num="1"/>
        </w:sectPr>
      </w:pPr>
    </w:p>
    <w:p w14:paraId="062B3A0B">
      <w:pPr>
        <w:pStyle w:val="2"/>
        <w:spacing w:line="263" w:lineRule="auto"/>
        <w:rPr>
          <w:highlight w:val="none"/>
        </w:rPr>
      </w:pPr>
    </w:p>
    <w:p w14:paraId="78149EF6">
      <w:pPr>
        <w:pStyle w:val="2"/>
        <w:spacing w:line="264" w:lineRule="auto"/>
        <w:rPr>
          <w:highlight w:val="none"/>
        </w:rPr>
      </w:pPr>
    </w:p>
    <w:p w14:paraId="2F9506F7">
      <w:pPr>
        <w:pStyle w:val="2"/>
        <w:spacing w:line="264" w:lineRule="auto"/>
        <w:rPr>
          <w:highlight w:val="none"/>
        </w:rPr>
      </w:pPr>
    </w:p>
    <w:p w14:paraId="41F896A7">
      <w:pPr>
        <w:pStyle w:val="2"/>
        <w:spacing w:line="264" w:lineRule="auto"/>
        <w:rPr>
          <w:highlight w:val="none"/>
        </w:rPr>
      </w:pPr>
    </w:p>
    <w:p w14:paraId="5F4136F1">
      <w:pPr>
        <w:spacing w:before="78" w:line="222" w:lineRule="auto"/>
        <w:ind w:left="3"/>
        <w:outlineLvl w:val="1"/>
        <w:rPr>
          <w:rFonts w:ascii="黑体" w:hAnsi="黑体" w:eastAsia="黑体" w:cs="黑体"/>
          <w:sz w:val="24"/>
          <w:szCs w:val="24"/>
          <w:highlight w:val="none"/>
        </w:rPr>
      </w:pPr>
      <w:bookmarkStart w:id="57" w:name="bookmark26"/>
      <w:bookmarkEnd w:id="57"/>
      <w:r>
        <w:rPr>
          <w:rFonts w:ascii="黑体" w:hAnsi="黑体" w:eastAsia="黑体" w:cs="黑体"/>
          <w:sz w:val="24"/>
          <w:szCs w:val="24"/>
          <w:highlight w:val="none"/>
        </w:rPr>
        <w:t>附表九：中标结果通知书</w:t>
      </w:r>
    </w:p>
    <w:p w14:paraId="28740323">
      <w:pPr>
        <w:pStyle w:val="2"/>
        <w:spacing w:line="339" w:lineRule="auto"/>
        <w:rPr>
          <w:highlight w:val="none"/>
        </w:rPr>
      </w:pPr>
    </w:p>
    <w:p w14:paraId="6AE4CA52">
      <w:pPr>
        <w:spacing w:before="91" w:line="222" w:lineRule="auto"/>
        <w:ind w:left="3163"/>
        <w:rPr>
          <w:rFonts w:ascii="黑体" w:hAnsi="黑体" w:eastAsia="黑体" w:cs="黑体"/>
          <w:sz w:val="28"/>
          <w:szCs w:val="28"/>
          <w:highlight w:val="none"/>
        </w:rPr>
      </w:pPr>
      <w:r>
        <w:rPr>
          <w:rFonts w:ascii="黑体" w:hAnsi="黑体" w:eastAsia="黑体" w:cs="黑体"/>
          <w:spacing w:val="3"/>
          <w:sz w:val="28"/>
          <w:szCs w:val="28"/>
          <w:highlight w:val="none"/>
        </w:rPr>
        <w:t>中标结果通知书</w:t>
      </w:r>
    </w:p>
    <w:p w14:paraId="6DC542E3">
      <w:pPr>
        <w:pStyle w:val="2"/>
        <w:spacing w:line="358" w:lineRule="auto"/>
        <w:rPr>
          <w:highlight w:val="none"/>
        </w:rPr>
      </w:pPr>
    </w:p>
    <w:p w14:paraId="292988B4">
      <w:pPr>
        <w:spacing w:before="81" w:line="219" w:lineRule="auto"/>
        <w:ind w:left="6543"/>
        <w:rPr>
          <w:rFonts w:ascii="宋体" w:hAnsi="宋体" w:eastAsia="宋体" w:cs="宋体"/>
          <w:sz w:val="25"/>
          <w:szCs w:val="25"/>
          <w:highlight w:val="none"/>
        </w:rPr>
      </w:pPr>
      <w:r>
        <w:rPr>
          <w:rFonts w:ascii="宋体" w:hAnsi="宋体" w:eastAsia="宋体" w:cs="宋体"/>
          <w:spacing w:val="-7"/>
          <w:sz w:val="25"/>
          <w:szCs w:val="25"/>
          <w:highlight w:val="none"/>
        </w:rPr>
        <w:t>编号：</w:t>
      </w:r>
      <w:r>
        <w:rPr>
          <w:rFonts w:ascii="宋体" w:hAnsi="宋体" w:eastAsia="宋体" w:cs="宋体"/>
          <w:sz w:val="25"/>
          <w:szCs w:val="25"/>
          <w:highlight w:val="none"/>
          <w:u w:val="single" w:color="auto"/>
        </w:rPr>
        <w:t xml:space="preserve">         </w:t>
      </w:r>
    </w:p>
    <w:p w14:paraId="6F46E1E7">
      <w:pPr>
        <w:pStyle w:val="2"/>
        <w:spacing w:line="245" w:lineRule="auto"/>
        <w:rPr>
          <w:highlight w:val="none"/>
        </w:rPr>
      </w:pPr>
    </w:p>
    <w:p w14:paraId="3C7BF1E9">
      <w:pPr>
        <w:pStyle w:val="2"/>
        <w:spacing w:line="246" w:lineRule="auto"/>
        <w:rPr>
          <w:highlight w:val="none"/>
        </w:rPr>
      </w:pPr>
    </w:p>
    <w:p w14:paraId="59232017">
      <w:pPr>
        <w:tabs>
          <w:tab w:val="left" w:pos="1903"/>
        </w:tabs>
        <w:spacing w:before="68" w:line="220" w:lineRule="auto"/>
        <w:ind w:left="3"/>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8"/>
          <w:sz w:val="21"/>
          <w:szCs w:val="21"/>
          <w:highlight w:val="none"/>
        </w:rPr>
        <w:t xml:space="preserve"> </w:t>
      </w:r>
      <w:r>
        <w:rPr>
          <w:rFonts w:ascii="宋体" w:hAnsi="宋体" w:eastAsia="宋体" w:cs="宋体"/>
          <w:sz w:val="21"/>
          <w:szCs w:val="21"/>
          <w:highlight w:val="none"/>
        </w:rPr>
        <w:t>(未中标人名称):</w:t>
      </w:r>
    </w:p>
    <w:p w14:paraId="7265CC61">
      <w:pPr>
        <w:pStyle w:val="2"/>
        <w:spacing w:line="284" w:lineRule="auto"/>
        <w:rPr>
          <w:highlight w:val="none"/>
        </w:rPr>
      </w:pPr>
    </w:p>
    <w:p w14:paraId="6F6D1382">
      <w:pPr>
        <w:pStyle w:val="2"/>
        <w:spacing w:line="285" w:lineRule="auto"/>
        <w:rPr>
          <w:highlight w:val="none"/>
        </w:rPr>
      </w:pPr>
    </w:p>
    <w:p w14:paraId="5377E83D">
      <w:pPr>
        <w:spacing w:before="69" w:line="388" w:lineRule="auto"/>
        <w:ind w:left="3" w:right="24" w:firstLine="410"/>
        <w:jc w:val="both"/>
        <w:rPr>
          <w:rFonts w:ascii="宋体" w:hAnsi="宋体" w:eastAsia="宋体" w:cs="宋体"/>
          <w:sz w:val="21"/>
          <w:szCs w:val="21"/>
          <w:highlight w:val="none"/>
        </w:rPr>
      </w:pPr>
      <w:r>
        <w:rPr>
          <w:rFonts w:ascii="宋体" w:hAnsi="宋体" w:eastAsia="宋体" w:cs="宋体"/>
          <w:spacing w:val="4"/>
          <w:sz w:val="21"/>
          <w:szCs w:val="21"/>
          <w:highlight w:val="none"/>
        </w:rPr>
        <w:t>我方已接受</w:t>
      </w:r>
      <w:r>
        <w:rPr>
          <w:rFonts w:ascii="宋体" w:hAnsi="宋体" w:eastAsia="宋体" w:cs="宋体"/>
          <w:spacing w:val="-73"/>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70"/>
          <w:sz w:val="21"/>
          <w:szCs w:val="21"/>
          <w:highlight w:val="none"/>
        </w:rPr>
        <w:t xml:space="preserve"> </w:t>
      </w:r>
      <w:r>
        <w:rPr>
          <w:rFonts w:ascii="宋体" w:hAnsi="宋体" w:eastAsia="宋体" w:cs="宋体"/>
          <w:spacing w:val="4"/>
          <w:sz w:val="21"/>
          <w:szCs w:val="21"/>
          <w:highlight w:val="none"/>
        </w:rPr>
        <w:t>(中标人名称)于</w:t>
      </w:r>
      <w:r>
        <w:rPr>
          <w:rFonts w:ascii="宋体" w:hAnsi="宋体" w:eastAsia="宋体" w:cs="宋体"/>
          <w:spacing w:val="-97"/>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70"/>
          <w:sz w:val="21"/>
          <w:szCs w:val="21"/>
          <w:highlight w:val="none"/>
        </w:rPr>
        <w:t xml:space="preserve"> </w:t>
      </w:r>
      <w:r>
        <w:rPr>
          <w:rFonts w:ascii="宋体" w:hAnsi="宋体" w:eastAsia="宋体" w:cs="宋体"/>
          <w:spacing w:val="4"/>
          <w:sz w:val="21"/>
          <w:szCs w:val="21"/>
          <w:highlight w:val="none"/>
        </w:rPr>
        <w:t>(投标日期)所递交</w:t>
      </w:r>
      <w:r>
        <w:rPr>
          <w:rFonts w:ascii="宋体" w:hAnsi="宋体" w:eastAsia="宋体" w:cs="宋体"/>
          <w:sz w:val="21"/>
          <w:szCs w:val="21"/>
          <w:highlight w:val="none"/>
        </w:rPr>
        <w:t xml:space="preserve"> 的</w:t>
      </w:r>
      <w:r>
        <w:rPr>
          <w:rFonts w:ascii="宋体" w:hAnsi="宋体" w:eastAsia="宋体" w:cs="宋体"/>
          <w:spacing w:val="-75"/>
          <w:sz w:val="21"/>
          <w:szCs w:val="21"/>
          <w:highlight w:val="none"/>
        </w:rPr>
        <w:t xml:space="preserve"> </w:t>
      </w:r>
      <w:r>
        <w:rPr>
          <w:rFonts w:ascii="宋体" w:hAnsi="宋体" w:eastAsia="宋体" w:cs="宋体"/>
          <w:spacing w:val="5"/>
          <w:sz w:val="21"/>
          <w:szCs w:val="21"/>
          <w:highlight w:val="none"/>
          <w:u w:val="single" w:color="auto"/>
        </w:rPr>
        <w:t xml:space="preserve">                   </w:t>
      </w:r>
      <w:r>
        <w:rPr>
          <w:rFonts w:ascii="宋体" w:hAnsi="宋体" w:eastAsia="宋体" w:cs="宋体"/>
          <w:sz w:val="21"/>
          <w:szCs w:val="21"/>
          <w:highlight w:val="none"/>
        </w:rPr>
        <w:t xml:space="preserve"> (项目名称)</w:t>
      </w:r>
      <w:r>
        <w:rPr>
          <w:rFonts w:ascii="宋体" w:hAnsi="宋体" w:eastAsia="宋体" w:cs="宋体"/>
          <w:spacing w:val="28"/>
          <w:sz w:val="21"/>
          <w:szCs w:val="21"/>
          <w:highlight w:val="none"/>
          <w:u w:val="single" w:color="auto"/>
        </w:rPr>
        <w:t xml:space="preserve">    </w:t>
      </w:r>
      <w:r>
        <w:rPr>
          <w:rFonts w:ascii="宋体" w:hAnsi="宋体" w:eastAsia="宋体" w:cs="宋体"/>
          <w:spacing w:val="-33"/>
          <w:sz w:val="21"/>
          <w:szCs w:val="21"/>
          <w:highlight w:val="none"/>
        </w:rPr>
        <w:t xml:space="preserve"> </w:t>
      </w:r>
      <w:r>
        <w:rPr>
          <w:rFonts w:ascii="宋体" w:hAnsi="宋体" w:eastAsia="宋体" w:cs="宋体"/>
          <w:sz w:val="21"/>
          <w:szCs w:val="21"/>
          <w:highlight w:val="none"/>
        </w:rPr>
        <w:t xml:space="preserve">(标段名称)工程总承包的投标文件，确定其为 </w:t>
      </w:r>
      <w:r>
        <w:rPr>
          <w:rFonts w:ascii="宋体" w:hAnsi="宋体" w:eastAsia="宋体" w:cs="宋体"/>
          <w:spacing w:val="-11"/>
          <w:sz w:val="21"/>
          <w:szCs w:val="21"/>
          <w:highlight w:val="none"/>
        </w:rPr>
        <w:t>中标人。</w:t>
      </w:r>
    </w:p>
    <w:p w14:paraId="167564C7">
      <w:pPr>
        <w:pStyle w:val="2"/>
        <w:spacing w:line="350" w:lineRule="auto"/>
        <w:rPr>
          <w:highlight w:val="none"/>
        </w:rPr>
      </w:pPr>
    </w:p>
    <w:p w14:paraId="16D44572">
      <w:pPr>
        <w:spacing w:before="72" w:line="219" w:lineRule="auto"/>
        <w:ind w:left="423"/>
        <w:rPr>
          <w:rFonts w:ascii="宋体" w:hAnsi="宋体" w:eastAsia="宋体" w:cs="宋体"/>
          <w:sz w:val="22"/>
          <w:szCs w:val="22"/>
          <w:highlight w:val="none"/>
        </w:rPr>
      </w:pPr>
      <w:r>
        <w:rPr>
          <w:rFonts w:ascii="宋体" w:hAnsi="宋体" w:eastAsia="宋体" w:cs="宋体"/>
          <w:spacing w:val="-9"/>
          <w:sz w:val="22"/>
          <w:szCs w:val="22"/>
          <w:highlight w:val="none"/>
        </w:rPr>
        <w:t>感谢你单位对我们工作的大力支持!</w:t>
      </w:r>
    </w:p>
    <w:p w14:paraId="6048D647">
      <w:pPr>
        <w:pStyle w:val="2"/>
        <w:spacing w:line="271" w:lineRule="auto"/>
        <w:rPr>
          <w:highlight w:val="none"/>
        </w:rPr>
      </w:pPr>
    </w:p>
    <w:p w14:paraId="3C9E4B17">
      <w:pPr>
        <w:pStyle w:val="2"/>
        <w:spacing w:line="271" w:lineRule="auto"/>
        <w:rPr>
          <w:highlight w:val="none"/>
        </w:rPr>
      </w:pPr>
    </w:p>
    <w:p w14:paraId="07F749B6">
      <w:pPr>
        <w:pStyle w:val="2"/>
        <w:spacing w:line="271" w:lineRule="auto"/>
        <w:rPr>
          <w:highlight w:val="none"/>
        </w:rPr>
      </w:pPr>
    </w:p>
    <w:p w14:paraId="0958035E">
      <w:pPr>
        <w:pStyle w:val="2"/>
        <w:spacing w:line="272" w:lineRule="auto"/>
        <w:rPr>
          <w:highlight w:val="none"/>
        </w:rPr>
      </w:pPr>
    </w:p>
    <w:p w14:paraId="341DF344">
      <w:pPr>
        <w:pStyle w:val="2"/>
        <w:spacing w:line="272" w:lineRule="auto"/>
        <w:rPr>
          <w:highlight w:val="none"/>
        </w:rPr>
      </w:pPr>
    </w:p>
    <w:p w14:paraId="163D5B29">
      <w:pPr>
        <w:pStyle w:val="2"/>
        <w:spacing w:line="272" w:lineRule="auto"/>
        <w:rPr>
          <w:highlight w:val="none"/>
        </w:rPr>
      </w:pPr>
    </w:p>
    <w:p w14:paraId="5D3E2226">
      <w:pPr>
        <w:pStyle w:val="2"/>
        <w:spacing w:line="272" w:lineRule="auto"/>
        <w:rPr>
          <w:highlight w:val="none"/>
        </w:rPr>
      </w:pPr>
    </w:p>
    <w:p w14:paraId="05F3B0BF">
      <w:pPr>
        <w:spacing w:before="66" w:line="220" w:lineRule="auto"/>
        <w:ind w:left="4523"/>
        <w:rPr>
          <w:rFonts w:ascii="宋体" w:hAnsi="宋体" w:eastAsia="宋体" w:cs="宋体"/>
          <w:sz w:val="17"/>
          <w:szCs w:val="17"/>
          <w:highlight w:val="none"/>
        </w:rPr>
      </w:pPr>
      <w:r>
        <w:rPr>
          <w:rFonts w:ascii="宋体" w:hAnsi="宋体" w:eastAsia="宋体" w:cs="宋体"/>
          <w:spacing w:val="-7"/>
          <w:sz w:val="20"/>
          <w:szCs w:val="20"/>
          <w:highlight w:val="none"/>
        </w:rPr>
        <w:t>招标人：</w:t>
      </w:r>
      <w:r>
        <w:rPr>
          <w:rFonts w:ascii="宋体" w:hAnsi="宋体" w:eastAsia="宋体" w:cs="宋体"/>
          <w:spacing w:val="-66"/>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7"/>
          <w:sz w:val="20"/>
          <w:szCs w:val="20"/>
          <w:highlight w:val="none"/>
        </w:rPr>
        <w:t xml:space="preserve"> </w:t>
      </w:r>
      <w:r>
        <w:rPr>
          <w:rFonts w:ascii="宋体" w:hAnsi="宋体" w:eastAsia="宋体" w:cs="宋体"/>
          <w:spacing w:val="-7"/>
          <w:sz w:val="17"/>
          <w:szCs w:val="17"/>
          <w:highlight w:val="none"/>
        </w:rPr>
        <w:t>(</w:t>
      </w:r>
      <w:r>
        <w:rPr>
          <w:rFonts w:ascii="宋体" w:hAnsi="宋体" w:eastAsia="宋体" w:cs="宋体"/>
          <w:spacing w:val="-15"/>
          <w:sz w:val="17"/>
          <w:szCs w:val="17"/>
          <w:highlight w:val="none"/>
        </w:rPr>
        <w:t xml:space="preserve"> </w:t>
      </w:r>
      <w:r>
        <w:rPr>
          <w:rFonts w:ascii="宋体" w:hAnsi="宋体" w:eastAsia="宋体" w:cs="宋体"/>
          <w:spacing w:val="-7"/>
          <w:sz w:val="17"/>
          <w:szCs w:val="17"/>
          <w:highlight w:val="none"/>
        </w:rPr>
        <w:t>盖</w:t>
      </w:r>
      <w:r>
        <w:rPr>
          <w:rFonts w:ascii="宋体" w:hAnsi="宋体" w:eastAsia="宋体" w:cs="宋体"/>
          <w:spacing w:val="-24"/>
          <w:sz w:val="17"/>
          <w:szCs w:val="17"/>
          <w:highlight w:val="none"/>
        </w:rPr>
        <w:t xml:space="preserve"> </w:t>
      </w:r>
      <w:r>
        <w:rPr>
          <w:rFonts w:ascii="宋体" w:hAnsi="宋体" w:eastAsia="宋体" w:cs="宋体"/>
          <w:spacing w:val="-7"/>
          <w:sz w:val="17"/>
          <w:szCs w:val="17"/>
          <w:highlight w:val="none"/>
        </w:rPr>
        <w:t>单</w:t>
      </w:r>
      <w:r>
        <w:rPr>
          <w:rFonts w:ascii="宋体" w:hAnsi="宋体" w:eastAsia="宋体" w:cs="宋体"/>
          <w:spacing w:val="-25"/>
          <w:sz w:val="17"/>
          <w:szCs w:val="17"/>
          <w:highlight w:val="none"/>
        </w:rPr>
        <w:t xml:space="preserve"> </w:t>
      </w:r>
      <w:r>
        <w:rPr>
          <w:rFonts w:ascii="宋体" w:hAnsi="宋体" w:eastAsia="宋体" w:cs="宋体"/>
          <w:spacing w:val="-7"/>
          <w:sz w:val="17"/>
          <w:szCs w:val="17"/>
          <w:highlight w:val="none"/>
        </w:rPr>
        <w:t>位</w:t>
      </w:r>
      <w:r>
        <w:rPr>
          <w:rFonts w:ascii="宋体" w:hAnsi="宋体" w:eastAsia="宋体" w:cs="宋体"/>
          <w:spacing w:val="-20"/>
          <w:sz w:val="17"/>
          <w:szCs w:val="17"/>
          <w:highlight w:val="none"/>
        </w:rPr>
        <w:t xml:space="preserve"> </w:t>
      </w:r>
      <w:r>
        <w:rPr>
          <w:rFonts w:ascii="宋体" w:hAnsi="宋体" w:eastAsia="宋体" w:cs="宋体"/>
          <w:spacing w:val="-7"/>
          <w:sz w:val="17"/>
          <w:szCs w:val="17"/>
          <w:highlight w:val="none"/>
        </w:rPr>
        <w:t>章</w:t>
      </w:r>
      <w:r>
        <w:rPr>
          <w:rFonts w:ascii="宋体" w:hAnsi="宋体" w:eastAsia="宋体" w:cs="宋体"/>
          <w:spacing w:val="-25"/>
          <w:sz w:val="17"/>
          <w:szCs w:val="17"/>
          <w:highlight w:val="none"/>
        </w:rPr>
        <w:t xml:space="preserve"> </w:t>
      </w:r>
      <w:r>
        <w:rPr>
          <w:rFonts w:ascii="宋体" w:hAnsi="宋体" w:eastAsia="宋体" w:cs="宋体"/>
          <w:spacing w:val="-7"/>
          <w:sz w:val="17"/>
          <w:szCs w:val="17"/>
          <w:highlight w:val="none"/>
        </w:rPr>
        <w:t>)</w:t>
      </w:r>
    </w:p>
    <w:p w14:paraId="7F41A207">
      <w:pPr>
        <w:tabs>
          <w:tab w:val="left" w:pos="6542"/>
        </w:tabs>
        <w:spacing w:before="162" w:line="371" w:lineRule="auto"/>
        <w:ind w:left="5122" w:right="32" w:hanging="599"/>
        <w:rPr>
          <w:rFonts w:ascii="宋体" w:hAnsi="宋体" w:eastAsia="宋体" w:cs="宋体"/>
          <w:sz w:val="20"/>
          <w:szCs w:val="20"/>
          <w:highlight w:val="none"/>
        </w:rPr>
      </w:pPr>
      <w:r>
        <w:rPr>
          <w:rFonts w:ascii="宋体" w:hAnsi="宋体" w:eastAsia="宋体" w:cs="宋体"/>
          <w:spacing w:val="-5"/>
          <w:position w:val="-1"/>
          <w:sz w:val="22"/>
          <w:szCs w:val="22"/>
          <w:highlight w:val="none"/>
        </w:rPr>
        <w:t>法定代表人：</w:t>
      </w:r>
      <w:r>
        <w:rPr>
          <w:rFonts w:ascii="宋体" w:hAnsi="宋体" w:eastAsia="宋体" w:cs="宋体"/>
          <w:spacing w:val="3"/>
          <w:position w:val="-1"/>
          <w:sz w:val="22"/>
          <w:szCs w:val="22"/>
          <w:highlight w:val="none"/>
          <w:u w:val="single" w:color="auto"/>
        </w:rPr>
        <w:t xml:space="preserve">               </w:t>
      </w:r>
      <w:r>
        <w:rPr>
          <w:rFonts w:ascii="宋体" w:hAnsi="宋体" w:eastAsia="宋体" w:cs="宋体"/>
          <w:spacing w:val="-5"/>
          <w:position w:val="-1"/>
          <w:sz w:val="22"/>
          <w:szCs w:val="22"/>
          <w:highlight w:val="none"/>
        </w:rPr>
        <w:t xml:space="preserve"> </w:t>
      </w:r>
      <w:r>
        <w:rPr>
          <w:rFonts w:ascii="宋体" w:hAnsi="宋体" w:eastAsia="宋体" w:cs="宋体"/>
          <w:spacing w:val="-5"/>
          <w:position w:val="2"/>
          <w:sz w:val="21"/>
          <w:szCs w:val="21"/>
          <w:highlight w:val="none"/>
        </w:rPr>
        <w:t>(签字)</w:t>
      </w:r>
      <w:r>
        <w:rPr>
          <w:rFonts w:ascii="宋体" w:hAnsi="宋体" w:eastAsia="宋体" w:cs="宋体"/>
          <w:spacing w:val="4"/>
          <w:position w:val="2"/>
          <w:sz w:val="21"/>
          <w:szCs w:val="21"/>
          <w:highlight w:val="none"/>
        </w:rPr>
        <w:t xml:space="preserve"> </w:t>
      </w:r>
      <w:r>
        <w:rPr>
          <w:rFonts w:ascii="宋体" w:hAnsi="宋体" w:eastAsia="宋体" w:cs="宋体"/>
          <w:position w:val="-1"/>
          <w:sz w:val="20"/>
          <w:szCs w:val="20"/>
          <w:highlight w:val="none"/>
          <w:u w:val="single" w:color="auto"/>
        </w:rPr>
        <w:tab/>
      </w:r>
      <w:r>
        <w:rPr>
          <w:rFonts w:ascii="宋体" w:hAnsi="宋体" w:eastAsia="宋体" w:cs="宋体"/>
          <w:spacing w:val="-38"/>
          <w:position w:val="-1"/>
          <w:sz w:val="20"/>
          <w:szCs w:val="20"/>
          <w:highlight w:val="none"/>
        </w:rPr>
        <w:t xml:space="preserve"> </w:t>
      </w:r>
      <w:r>
        <w:rPr>
          <w:rFonts w:ascii="宋体" w:hAnsi="宋体" w:eastAsia="宋体" w:cs="宋体"/>
          <w:spacing w:val="-21"/>
          <w:position w:val="-1"/>
          <w:sz w:val="20"/>
          <w:szCs w:val="20"/>
          <w:highlight w:val="none"/>
        </w:rPr>
        <w:t>年</w:t>
      </w:r>
      <w:r>
        <w:rPr>
          <w:rFonts w:ascii="宋体" w:hAnsi="宋体" w:eastAsia="宋体" w:cs="宋体"/>
          <w:spacing w:val="-81"/>
          <w:position w:val="-1"/>
          <w:sz w:val="20"/>
          <w:szCs w:val="20"/>
          <w:highlight w:val="none"/>
        </w:rPr>
        <w:t xml:space="preserve"> </w:t>
      </w:r>
      <w:r>
        <w:rPr>
          <w:rFonts w:ascii="宋体" w:hAnsi="宋体" w:eastAsia="宋体" w:cs="宋体"/>
          <w:spacing w:val="14"/>
          <w:position w:val="-1"/>
          <w:sz w:val="20"/>
          <w:szCs w:val="20"/>
          <w:highlight w:val="none"/>
          <w:u w:val="single" w:color="auto"/>
        </w:rPr>
        <w:t xml:space="preserve">     </w:t>
      </w:r>
      <w:r>
        <w:rPr>
          <w:rFonts w:ascii="宋体" w:hAnsi="宋体" w:eastAsia="宋体" w:cs="宋体"/>
          <w:spacing w:val="-21"/>
          <w:sz w:val="20"/>
          <w:szCs w:val="20"/>
          <w:highlight w:val="none"/>
        </w:rPr>
        <w:t>月</w:t>
      </w:r>
      <w:r>
        <w:rPr>
          <w:rFonts w:ascii="宋体" w:hAnsi="宋体" w:eastAsia="宋体" w:cs="宋体"/>
          <w:spacing w:val="-83"/>
          <w:sz w:val="20"/>
          <w:szCs w:val="20"/>
          <w:highlight w:val="none"/>
        </w:rPr>
        <w:t xml:space="preserve"> </w:t>
      </w:r>
      <w:r>
        <w:rPr>
          <w:rFonts w:ascii="宋体" w:hAnsi="宋体" w:eastAsia="宋体" w:cs="宋体"/>
          <w:spacing w:val="-21"/>
          <w:sz w:val="20"/>
          <w:szCs w:val="20"/>
          <w:highlight w:val="none"/>
          <w:u w:val="single" w:color="auto"/>
        </w:rPr>
        <w:t xml:space="preserve">       </w:t>
      </w:r>
      <w:r>
        <w:rPr>
          <w:rFonts w:ascii="宋体" w:hAnsi="宋体" w:eastAsia="宋体" w:cs="宋体"/>
          <w:b/>
          <w:bCs/>
          <w:spacing w:val="-21"/>
          <w:sz w:val="20"/>
          <w:szCs w:val="20"/>
          <w:highlight w:val="none"/>
        </w:rPr>
        <w:t>日</w:t>
      </w:r>
    </w:p>
    <w:p w14:paraId="4DDB7269">
      <w:pPr>
        <w:spacing w:line="371" w:lineRule="auto"/>
        <w:rPr>
          <w:rFonts w:ascii="宋体" w:hAnsi="宋体" w:eastAsia="宋体" w:cs="宋体"/>
          <w:sz w:val="20"/>
          <w:szCs w:val="20"/>
          <w:highlight w:val="none"/>
        </w:rPr>
        <w:sectPr>
          <w:footerReference r:id="rId53" w:type="default"/>
          <w:pgSz w:w="11910" w:h="16840"/>
          <w:pgMar w:top="400" w:right="1786" w:bottom="1217" w:left="1786" w:header="0" w:footer="1013" w:gutter="0"/>
          <w:cols w:space="720" w:num="1"/>
        </w:sectPr>
      </w:pPr>
    </w:p>
    <w:p w14:paraId="570263C1">
      <w:pPr>
        <w:pStyle w:val="2"/>
        <w:spacing w:line="257" w:lineRule="auto"/>
        <w:rPr>
          <w:highlight w:val="none"/>
        </w:rPr>
      </w:pPr>
    </w:p>
    <w:p w14:paraId="396C7D23">
      <w:pPr>
        <w:pStyle w:val="2"/>
        <w:spacing w:line="258" w:lineRule="auto"/>
        <w:rPr>
          <w:highlight w:val="none"/>
        </w:rPr>
      </w:pPr>
    </w:p>
    <w:p w14:paraId="1EE4B139">
      <w:pPr>
        <w:pStyle w:val="2"/>
        <w:spacing w:line="258" w:lineRule="auto"/>
        <w:rPr>
          <w:highlight w:val="none"/>
        </w:rPr>
      </w:pPr>
    </w:p>
    <w:p w14:paraId="6448BB05">
      <w:pPr>
        <w:pStyle w:val="2"/>
        <w:spacing w:line="258" w:lineRule="auto"/>
        <w:rPr>
          <w:highlight w:val="none"/>
        </w:rPr>
      </w:pPr>
    </w:p>
    <w:p w14:paraId="683550D7">
      <w:pPr>
        <w:spacing w:before="81" w:line="222" w:lineRule="auto"/>
        <w:outlineLvl w:val="1"/>
        <w:rPr>
          <w:rFonts w:ascii="黑体" w:hAnsi="黑体" w:eastAsia="黑体" w:cs="黑体"/>
          <w:sz w:val="25"/>
          <w:szCs w:val="25"/>
          <w:highlight w:val="none"/>
        </w:rPr>
      </w:pPr>
      <w:bookmarkStart w:id="58" w:name="bookmark27"/>
      <w:bookmarkEnd w:id="58"/>
      <w:r>
        <w:rPr>
          <w:rFonts w:ascii="黑体" w:hAnsi="黑体" w:eastAsia="黑体" w:cs="黑体"/>
          <w:spacing w:val="-10"/>
          <w:sz w:val="25"/>
          <w:szCs w:val="25"/>
          <w:highlight w:val="none"/>
        </w:rPr>
        <w:t>附表十：异议函</w:t>
      </w:r>
    </w:p>
    <w:p w14:paraId="1EBA7E36">
      <w:pPr>
        <w:pStyle w:val="2"/>
        <w:spacing w:line="277" w:lineRule="auto"/>
        <w:rPr>
          <w:highlight w:val="none"/>
        </w:rPr>
      </w:pPr>
    </w:p>
    <w:p w14:paraId="11FB9295">
      <w:pPr>
        <w:pStyle w:val="2"/>
        <w:spacing w:line="277" w:lineRule="auto"/>
        <w:rPr>
          <w:highlight w:val="none"/>
        </w:rPr>
      </w:pPr>
    </w:p>
    <w:p w14:paraId="394EE87D">
      <w:pPr>
        <w:pStyle w:val="2"/>
        <w:spacing w:line="278" w:lineRule="auto"/>
        <w:rPr>
          <w:highlight w:val="none"/>
        </w:rPr>
      </w:pPr>
    </w:p>
    <w:p w14:paraId="5099F1EC">
      <w:pPr>
        <w:pStyle w:val="2"/>
        <w:spacing w:line="278" w:lineRule="auto"/>
        <w:rPr>
          <w:highlight w:val="none"/>
        </w:rPr>
      </w:pPr>
    </w:p>
    <w:p w14:paraId="10092B11">
      <w:pPr>
        <w:pStyle w:val="2"/>
        <w:spacing w:line="278" w:lineRule="auto"/>
        <w:rPr>
          <w:highlight w:val="none"/>
        </w:rPr>
      </w:pPr>
    </w:p>
    <w:p w14:paraId="677A69AE">
      <w:pPr>
        <w:spacing w:before="71" w:line="222" w:lineRule="auto"/>
        <w:ind w:left="3710"/>
        <w:rPr>
          <w:rFonts w:ascii="黑体" w:hAnsi="黑体" w:eastAsia="黑体" w:cs="黑体"/>
          <w:sz w:val="22"/>
          <w:szCs w:val="22"/>
          <w:highlight w:val="none"/>
        </w:rPr>
      </w:pPr>
      <w:r>
        <w:rPr>
          <w:rFonts w:ascii="黑体" w:hAnsi="黑体" w:eastAsia="黑体" w:cs="黑体"/>
          <w:spacing w:val="-8"/>
          <w:sz w:val="22"/>
          <w:szCs w:val="22"/>
          <w:highlight w:val="none"/>
        </w:rPr>
        <w:t>异</w:t>
      </w:r>
      <w:r>
        <w:rPr>
          <w:rFonts w:ascii="黑体" w:hAnsi="黑体" w:eastAsia="黑体" w:cs="黑体"/>
          <w:spacing w:val="13"/>
          <w:sz w:val="22"/>
          <w:szCs w:val="22"/>
          <w:highlight w:val="none"/>
        </w:rPr>
        <w:t xml:space="preserve"> </w:t>
      </w:r>
      <w:r>
        <w:rPr>
          <w:rFonts w:ascii="黑体" w:hAnsi="黑体" w:eastAsia="黑体" w:cs="黑体"/>
          <w:spacing w:val="-8"/>
          <w:sz w:val="22"/>
          <w:szCs w:val="22"/>
          <w:highlight w:val="none"/>
        </w:rPr>
        <w:t>议</w:t>
      </w:r>
      <w:r>
        <w:rPr>
          <w:rFonts w:ascii="黑体" w:hAnsi="黑体" w:eastAsia="黑体" w:cs="黑体"/>
          <w:spacing w:val="27"/>
          <w:sz w:val="22"/>
          <w:szCs w:val="22"/>
          <w:highlight w:val="none"/>
        </w:rPr>
        <w:t xml:space="preserve"> </w:t>
      </w:r>
      <w:r>
        <w:rPr>
          <w:rFonts w:ascii="黑体" w:hAnsi="黑体" w:eastAsia="黑体" w:cs="黑体"/>
          <w:spacing w:val="-8"/>
          <w:sz w:val="22"/>
          <w:szCs w:val="22"/>
          <w:highlight w:val="none"/>
        </w:rPr>
        <w:t>函</w:t>
      </w:r>
    </w:p>
    <w:p w14:paraId="45264D63">
      <w:pPr>
        <w:pStyle w:val="2"/>
        <w:spacing w:line="290" w:lineRule="auto"/>
        <w:rPr>
          <w:highlight w:val="none"/>
        </w:rPr>
      </w:pPr>
    </w:p>
    <w:p w14:paraId="559294D3">
      <w:pPr>
        <w:pStyle w:val="2"/>
        <w:spacing w:line="290" w:lineRule="auto"/>
        <w:rPr>
          <w:highlight w:val="none"/>
        </w:rPr>
      </w:pPr>
    </w:p>
    <w:p w14:paraId="11C2A5A3">
      <w:pPr>
        <w:pStyle w:val="2"/>
        <w:spacing w:line="290" w:lineRule="auto"/>
        <w:rPr>
          <w:highlight w:val="none"/>
        </w:rPr>
      </w:pPr>
    </w:p>
    <w:p w14:paraId="3B1651D5">
      <w:pPr>
        <w:spacing w:before="71" w:line="219" w:lineRule="auto"/>
        <w:ind w:left="6940"/>
        <w:rPr>
          <w:rFonts w:ascii="宋体" w:hAnsi="宋体" w:eastAsia="宋体" w:cs="宋体"/>
          <w:sz w:val="22"/>
          <w:szCs w:val="22"/>
          <w:highlight w:val="none"/>
        </w:rPr>
      </w:pPr>
      <w:r>
        <w:rPr>
          <w:rFonts w:ascii="宋体" w:hAnsi="宋体" w:eastAsia="宋体" w:cs="宋体"/>
          <w:spacing w:val="-14"/>
          <w:sz w:val="22"/>
          <w:szCs w:val="22"/>
          <w:highlight w:val="none"/>
        </w:rPr>
        <w:t>编号：</w:t>
      </w:r>
      <w:r>
        <w:rPr>
          <w:rFonts w:ascii="宋体" w:hAnsi="宋体" w:eastAsia="宋体" w:cs="宋体"/>
          <w:sz w:val="22"/>
          <w:szCs w:val="22"/>
          <w:highlight w:val="none"/>
          <w:u w:val="single" w:color="auto"/>
        </w:rPr>
        <w:t xml:space="preserve">        </w:t>
      </w:r>
    </w:p>
    <w:p w14:paraId="27B99C71">
      <w:pPr>
        <w:tabs>
          <w:tab w:val="left" w:pos="2010"/>
        </w:tabs>
        <w:spacing w:before="209" w:line="220" w:lineRule="auto"/>
        <w:ind w:left="10"/>
        <w:rPr>
          <w:rFonts w:ascii="宋体" w:hAnsi="宋体" w:eastAsia="宋体" w:cs="宋体"/>
          <w:sz w:val="22"/>
          <w:szCs w:val="22"/>
          <w:highlight w:val="none"/>
        </w:rPr>
      </w:pPr>
      <w:r>
        <w:rPr>
          <w:rFonts w:ascii="宋体" w:hAnsi="宋体" w:eastAsia="宋体" w:cs="宋体"/>
          <w:sz w:val="22"/>
          <w:szCs w:val="22"/>
          <w:highlight w:val="none"/>
          <w:u w:val="single" w:color="auto"/>
        </w:rPr>
        <w:tab/>
      </w:r>
      <w:r>
        <w:rPr>
          <w:rFonts w:ascii="宋体" w:hAnsi="宋体" w:eastAsia="宋体" w:cs="宋体"/>
          <w:spacing w:val="-100"/>
          <w:sz w:val="22"/>
          <w:szCs w:val="22"/>
          <w:highlight w:val="none"/>
        </w:rPr>
        <w:t xml:space="preserve"> </w:t>
      </w:r>
      <w:r>
        <w:rPr>
          <w:rFonts w:ascii="宋体" w:hAnsi="宋体" w:eastAsia="宋体" w:cs="宋体"/>
          <w:spacing w:val="-10"/>
          <w:sz w:val="22"/>
          <w:szCs w:val="22"/>
          <w:highlight w:val="none"/>
        </w:rPr>
        <w:t>(招标人名称):</w:t>
      </w:r>
    </w:p>
    <w:p w14:paraId="17D27A0B">
      <w:pPr>
        <w:spacing w:before="206" w:line="383" w:lineRule="auto"/>
        <w:ind w:left="10" w:right="25" w:firstLine="400"/>
        <w:rPr>
          <w:rFonts w:ascii="宋体" w:hAnsi="宋体" w:eastAsia="宋体" w:cs="宋体"/>
          <w:sz w:val="22"/>
          <w:szCs w:val="22"/>
          <w:highlight w:val="none"/>
        </w:rPr>
      </w:pPr>
      <w:r>
        <w:rPr>
          <w:rFonts w:ascii="宋体" w:hAnsi="宋体" w:eastAsia="宋体" w:cs="宋体"/>
          <w:spacing w:val="4"/>
          <w:position w:val="-1"/>
          <w:sz w:val="22"/>
          <w:szCs w:val="22"/>
          <w:highlight w:val="none"/>
        </w:rPr>
        <w:t>我方已研究(看到)你方发出的</w:t>
      </w:r>
      <w:r>
        <w:rPr>
          <w:rFonts w:ascii="宋体" w:hAnsi="宋体" w:eastAsia="宋体" w:cs="宋体"/>
          <w:spacing w:val="-101"/>
          <w:position w:val="-1"/>
          <w:sz w:val="22"/>
          <w:szCs w:val="22"/>
          <w:highlight w:val="none"/>
        </w:rPr>
        <w:t xml:space="preserve"> </w:t>
      </w:r>
      <w:r>
        <w:rPr>
          <w:rFonts w:ascii="宋体" w:hAnsi="宋体" w:eastAsia="宋体" w:cs="宋体"/>
          <w:spacing w:val="4"/>
          <w:position w:val="-1"/>
          <w:sz w:val="22"/>
          <w:szCs w:val="22"/>
          <w:highlight w:val="none"/>
          <w:u w:val="single" w:color="auto"/>
        </w:rPr>
        <w:t xml:space="preserve">      </w:t>
      </w:r>
      <w:r>
        <w:rPr>
          <w:rFonts w:ascii="宋体" w:hAnsi="宋体" w:eastAsia="宋体" w:cs="宋体"/>
          <w:spacing w:val="4"/>
          <w:position w:val="-1"/>
          <w:sz w:val="22"/>
          <w:szCs w:val="22"/>
          <w:highlight w:val="none"/>
        </w:rPr>
        <w:t xml:space="preserve"> </w:t>
      </w:r>
      <w:r>
        <w:rPr>
          <w:rFonts w:ascii="宋体" w:hAnsi="宋体" w:eastAsia="宋体" w:cs="宋体"/>
          <w:spacing w:val="4"/>
          <w:sz w:val="22"/>
          <w:szCs w:val="22"/>
          <w:highlight w:val="none"/>
        </w:rPr>
        <w:t>(项目名称)</w:t>
      </w:r>
      <w:r>
        <w:rPr>
          <w:rFonts w:ascii="宋体" w:hAnsi="宋体" w:eastAsia="宋体" w:cs="宋体"/>
          <w:spacing w:val="-79"/>
          <w:sz w:val="22"/>
          <w:szCs w:val="22"/>
          <w:highlight w:val="none"/>
        </w:rPr>
        <w:t xml:space="preserve"> </w:t>
      </w:r>
      <w:r>
        <w:rPr>
          <w:rFonts w:ascii="宋体" w:hAnsi="宋体" w:eastAsia="宋体" w:cs="宋体"/>
          <w:spacing w:val="12"/>
          <w:sz w:val="22"/>
          <w:szCs w:val="22"/>
          <w:highlight w:val="none"/>
          <w:u w:val="single" w:color="auto"/>
        </w:rPr>
        <w:t xml:space="preserve">    </w:t>
      </w:r>
      <w:r>
        <w:rPr>
          <w:rFonts w:ascii="宋体" w:hAnsi="宋体" w:eastAsia="宋体" w:cs="宋体"/>
          <w:spacing w:val="-38"/>
          <w:sz w:val="22"/>
          <w:szCs w:val="22"/>
          <w:highlight w:val="none"/>
        </w:rPr>
        <w:t xml:space="preserve"> </w:t>
      </w:r>
      <w:r>
        <w:rPr>
          <w:rFonts w:ascii="宋体" w:hAnsi="宋体" w:eastAsia="宋体" w:cs="宋体"/>
          <w:spacing w:val="4"/>
          <w:sz w:val="22"/>
          <w:szCs w:val="22"/>
          <w:highlight w:val="none"/>
        </w:rPr>
        <w:t>(标段名称)工程总承包招</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标文件(或评标结果公示),现对下列问题提出异议，请予以解释：</w:t>
      </w:r>
    </w:p>
    <w:p w14:paraId="7D130AF2">
      <w:pPr>
        <w:spacing w:before="30" w:line="239" w:lineRule="auto"/>
        <w:ind w:left="850"/>
        <w:rPr>
          <w:rFonts w:ascii="宋体" w:hAnsi="宋体" w:eastAsia="宋体" w:cs="宋体"/>
          <w:sz w:val="22"/>
          <w:szCs w:val="22"/>
          <w:highlight w:val="none"/>
        </w:rPr>
      </w:pPr>
      <w:r>
        <w:rPr>
          <w:rFonts w:ascii="宋体" w:hAnsi="宋体" w:eastAsia="宋体" w:cs="宋体"/>
          <w:spacing w:val="-16"/>
          <w:sz w:val="22"/>
          <w:szCs w:val="22"/>
          <w:highlight w:val="none"/>
        </w:rPr>
        <w:t>1.……</w:t>
      </w:r>
    </w:p>
    <w:p w14:paraId="40C04A28">
      <w:pPr>
        <w:spacing w:before="195" w:line="239" w:lineRule="auto"/>
        <w:ind w:left="830"/>
        <w:rPr>
          <w:rFonts w:ascii="宋体" w:hAnsi="宋体" w:eastAsia="宋体" w:cs="宋体"/>
          <w:sz w:val="22"/>
          <w:szCs w:val="22"/>
          <w:highlight w:val="none"/>
        </w:rPr>
      </w:pPr>
      <w:r>
        <w:rPr>
          <w:rFonts w:ascii="宋体" w:hAnsi="宋体" w:eastAsia="宋体" w:cs="宋体"/>
          <w:spacing w:val="-13"/>
          <w:sz w:val="22"/>
          <w:szCs w:val="22"/>
          <w:highlight w:val="none"/>
        </w:rPr>
        <w:t>2.……</w:t>
      </w:r>
    </w:p>
    <w:p w14:paraId="21C0D29F">
      <w:pPr>
        <w:pStyle w:val="2"/>
        <w:spacing w:line="260" w:lineRule="auto"/>
        <w:rPr>
          <w:highlight w:val="none"/>
        </w:rPr>
      </w:pPr>
    </w:p>
    <w:p w14:paraId="3180778F">
      <w:pPr>
        <w:pStyle w:val="2"/>
        <w:spacing w:line="260" w:lineRule="auto"/>
        <w:rPr>
          <w:highlight w:val="none"/>
        </w:rPr>
      </w:pPr>
    </w:p>
    <w:p w14:paraId="31B7BDDF">
      <w:pPr>
        <w:pStyle w:val="2"/>
        <w:spacing w:line="260" w:lineRule="auto"/>
        <w:rPr>
          <w:highlight w:val="none"/>
        </w:rPr>
      </w:pPr>
    </w:p>
    <w:p w14:paraId="2DDF2616">
      <w:pPr>
        <w:pStyle w:val="2"/>
        <w:spacing w:line="260" w:lineRule="auto"/>
        <w:rPr>
          <w:highlight w:val="none"/>
        </w:rPr>
      </w:pPr>
    </w:p>
    <w:p w14:paraId="6A065925">
      <w:pPr>
        <w:pStyle w:val="2"/>
        <w:spacing w:line="260" w:lineRule="auto"/>
        <w:rPr>
          <w:highlight w:val="none"/>
        </w:rPr>
      </w:pPr>
    </w:p>
    <w:p w14:paraId="1D52A66F">
      <w:pPr>
        <w:pStyle w:val="2"/>
        <w:spacing w:line="261" w:lineRule="auto"/>
        <w:rPr>
          <w:highlight w:val="none"/>
        </w:rPr>
      </w:pPr>
    </w:p>
    <w:p w14:paraId="005CD0C2">
      <w:pPr>
        <w:spacing w:before="72" w:line="224" w:lineRule="auto"/>
        <w:ind w:right="19"/>
        <w:jc w:val="right"/>
        <w:rPr>
          <w:rFonts w:ascii="宋体" w:hAnsi="宋体" w:eastAsia="宋体" w:cs="宋体"/>
          <w:sz w:val="22"/>
          <w:szCs w:val="22"/>
          <w:highlight w:val="none"/>
        </w:rPr>
      </w:pPr>
      <w:r>
        <w:rPr>
          <w:rFonts w:ascii="宋体" w:hAnsi="宋体" w:eastAsia="宋体" w:cs="宋体"/>
          <w:spacing w:val="-20"/>
          <w:w w:val="98"/>
          <w:sz w:val="22"/>
          <w:szCs w:val="22"/>
          <w:highlight w:val="none"/>
        </w:rPr>
        <w:t>投标人或利害关系人：_</w:t>
      </w:r>
      <w:r>
        <w:rPr>
          <w:rFonts w:ascii="宋体" w:hAnsi="宋体" w:eastAsia="宋体" w:cs="宋体"/>
          <w:spacing w:val="-89"/>
          <w:sz w:val="22"/>
          <w:szCs w:val="22"/>
          <w:highlight w:val="none"/>
        </w:rPr>
        <w:t xml:space="preserve"> </w:t>
      </w:r>
      <w:r>
        <w:rPr>
          <w:rFonts w:ascii="宋体" w:hAnsi="宋体" w:eastAsia="宋体" w:cs="宋体"/>
          <w:spacing w:val="2"/>
          <w:sz w:val="22"/>
          <w:szCs w:val="22"/>
          <w:highlight w:val="none"/>
          <w:u w:val="single" w:color="auto"/>
        </w:rPr>
        <w:t xml:space="preserve">               </w:t>
      </w:r>
      <w:r>
        <w:rPr>
          <w:rFonts w:ascii="宋体" w:hAnsi="宋体" w:eastAsia="宋体" w:cs="宋体"/>
          <w:spacing w:val="-70"/>
          <w:sz w:val="22"/>
          <w:szCs w:val="22"/>
          <w:highlight w:val="none"/>
        </w:rPr>
        <w:t xml:space="preserve"> </w:t>
      </w:r>
      <w:r>
        <w:rPr>
          <w:rFonts w:ascii="宋体" w:hAnsi="宋体" w:eastAsia="宋体" w:cs="宋体"/>
          <w:spacing w:val="-20"/>
          <w:w w:val="98"/>
          <w:sz w:val="22"/>
          <w:szCs w:val="22"/>
          <w:highlight w:val="none"/>
        </w:rPr>
        <w:t>(盖单位章)</w:t>
      </w:r>
    </w:p>
    <w:p w14:paraId="799A550D">
      <w:pPr>
        <w:spacing w:before="213" w:line="211" w:lineRule="auto"/>
        <w:ind w:right="12"/>
        <w:jc w:val="right"/>
        <w:rPr>
          <w:rFonts w:ascii="宋体" w:hAnsi="宋体" w:eastAsia="宋体" w:cs="宋体"/>
          <w:sz w:val="22"/>
          <w:szCs w:val="22"/>
          <w:highlight w:val="none"/>
        </w:rPr>
      </w:pPr>
      <w:r>
        <w:rPr>
          <w:rFonts w:ascii="宋体" w:hAnsi="宋体" w:eastAsia="宋体" w:cs="宋体"/>
          <w:spacing w:val="-11"/>
          <w:sz w:val="22"/>
          <w:szCs w:val="22"/>
          <w:highlight w:val="none"/>
        </w:rPr>
        <w:t>法定代表人：_</w:t>
      </w:r>
      <w:r>
        <w:rPr>
          <w:rFonts w:ascii="宋体" w:hAnsi="宋体" w:eastAsia="宋体" w:cs="宋体"/>
          <w:spacing w:val="1"/>
          <w:sz w:val="22"/>
          <w:szCs w:val="22"/>
          <w:highlight w:val="none"/>
        </w:rPr>
        <w:t xml:space="preserve">                         </w:t>
      </w:r>
      <w:r>
        <w:rPr>
          <w:rFonts w:ascii="宋体" w:hAnsi="宋体" w:eastAsia="宋体" w:cs="宋体"/>
          <w:spacing w:val="-11"/>
          <w:sz w:val="22"/>
          <w:szCs w:val="22"/>
          <w:highlight w:val="none"/>
        </w:rPr>
        <w:t>(签字)</w:t>
      </w:r>
    </w:p>
    <w:p w14:paraId="485EBCF0">
      <w:pPr>
        <w:spacing w:line="11" w:lineRule="exact"/>
        <w:ind w:left="4830"/>
        <w:rPr>
          <w:highlight w:val="none"/>
        </w:rPr>
      </w:pPr>
      <w:r>
        <w:rPr>
          <w:highlight w:val="none"/>
        </w:rPr>
        <w:drawing>
          <wp:inline distT="0" distB="0" distL="0" distR="0">
            <wp:extent cx="1809115" cy="635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309"/>
                    <a:stretch>
                      <a:fillRect/>
                    </a:stretch>
                  </pic:blipFill>
                  <pic:spPr>
                    <a:xfrm>
                      <a:off x="0" y="0"/>
                      <a:ext cx="1809714" cy="6984"/>
                    </a:xfrm>
                    <a:prstGeom prst="rect">
                      <a:avLst/>
                    </a:prstGeom>
                  </pic:spPr>
                </pic:pic>
              </a:graphicData>
            </a:graphic>
          </wp:inline>
        </w:drawing>
      </w:r>
    </w:p>
    <w:p w14:paraId="62EF9D43">
      <w:pPr>
        <w:tabs>
          <w:tab w:val="left" w:pos="6830"/>
        </w:tabs>
        <w:spacing w:before="208" w:line="236" w:lineRule="auto"/>
        <w:ind w:left="5790"/>
        <w:rPr>
          <w:rFonts w:ascii="宋体" w:hAnsi="宋体" w:eastAsia="宋体" w:cs="宋体"/>
          <w:sz w:val="22"/>
          <w:szCs w:val="22"/>
          <w:highlight w:val="none"/>
        </w:rPr>
      </w:pPr>
      <w:r>
        <w:rPr>
          <w:rFonts w:ascii="宋体" w:hAnsi="宋体" w:eastAsia="宋体" w:cs="宋体"/>
          <w:position w:val="-1"/>
          <w:sz w:val="22"/>
          <w:szCs w:val="22"/>
          <w:highlight w:val="none"/>
          <w:u w:val="single" w:color="auto"/>
        </w:rPr>
        <w:tab/>
      </w:r>
      <w:r>
        <w:rPr>
          <w:rFonts w:ascii="宋体" w:hAnsi="宋体" w:eastAsia="宋体" w:cs="宋体"/>
          <w:spacing w:val="-36"/>
          <w:w w:val="86"/>
          <w:position w:val="-1"/>
          <w:sz w:val="22"/>
          <w:szCs w:val="22"/>
          <w:highlight w:val="none"/>
        </w:rPr>
        <w:t>年</w:t>
      </w:r>
      <w:r>
        <w:rPr>
          <w:rFonts w:ascii="宋体" w:hAnsi="宋体" w:eastAsia="宋体" w:cs="宋体"/>
          <w:spacing w:val="-108"/>
          <w:position w:val="-1"/>
          <w:sz w:val="22"/>
          <w:szCs w:val="22"/>
          <w:highlight w:val="none"/>
        </w:rPr>
        <w:t xml:space="preserve"> </w:t>
      </w:r>
      <w:r>
        <w:rPr>
          <w:rFonts w:ascii="宋体" w:hAnsi="宋体" w:eastAsia="宋体" w:cs="宋体"/>
          <w:spacing w:val="12"/>
          <w:position w:val="-1"/>
          <w:sz w:val="22"/>
          <w:szCs w:val="22"/>
          <w:highlight w:val="none"/>
          <w:u w:val="single" w:color="auto"/>
        </w:rPr>
        <w:t xml:space="preserve">    </w:t>
      </w:r>
      <w:r>
        <w:rPr>
          <w:rFonts w:ascii="宋体" w:hAnsi="宋体" w:eastAsia="宋体" w:cs="宋体"/>
          <w:spacing w:val="-98"/>
          <w:position w:val="-1"/>
          <w:sz w:val="22"/>
          <w:szCs w:val="22"/>
          <w:highlight w:val="none"/>
        </w:rPr>
        <w:t xml:space="preserve"> </w:t>
      </w:r>
      <w:r>
        <w:rPr>
          <w:rFonts w:ascii="宋体" w:hAnsi="宋体" w:eastAsia="宋体" w:cs="宋体"/>
          <w:spacing w:val="-36"/>
          <w:w w:val="86"/>
          <w:sz w:val="22"/>
          <w:szCs w:val="22"/>
          <w:highlight w:val="none"/>
        </w:rPr>
        <w:t>月</w:t>
      </w:r>
      <w:r>
        <w:rPr>
          <w:rFonts w:ascii="宋体" w:hAnsi="宋体" w:eastAsia="宋体" w:cs="宋体"/>
          <w:spacing w:val="14"/>
          <w:sz w:val="22"/>
          <w:szCs w:val="22"/>
          <w:highlight w:val="none"/>
          <w:u w:val="single" w:color="auto"/>
        </w:rPr>
        <w:t xml:space="preserve">    </w:t>
      </w:r>
      <w:r>
        <w:rPr>
          <w:rFonts w:ascii="宋体" w:hAnsi="宋体" w:eastAsia="宋体" w:cs="宋体"/>
          <w:spacing w:val="-36"/>
          <w:w w:val="86"/>
          <w:sz w:val="22"/>
          <w:szCs w:val="22"/>
          <w:highlight w:val="none"/>
          <w:u w:val="single" w:color="auto"/>
        </w:rPr>
        <w:t>日</w:t>
      </w:r>
    </w:p>
    <w:p w14:paraId="47C600E1">
      <w:pPr>
        <w:pStyle w:val="2"/>
        <w:spacing w:line="243" w:lineRule="auto"/>
        <w:rPr>
          <w:highlight w:val="none"/>
        </w:rPr>
      </w:pPr>
    </w:p>
    <w:p w14:paraId="5D9247F8">
      <w:pPr>
        <w:pStyle w:val="2"/>
        <w:spacing w:line="243" w:lineRule="auto"/>
        <w:rPr>
          <w:highlight w:val="none"/>
        </w:rPr>
      </w:pPr>
    </w:p>
    <w:p w14:paraId="7192BE29">
      <w:pPr>
        <w:pStyle w:val="2"/>
        <w:spacing w:line="244" w:lineRule="auto"/>
        <w:rPr>
          <w:highlight w:val="none"/>
        </w:rPr>
      </w:pPr>
    </w:p>
    <w:p w14:paraId="219961F6">
      <w:pPr>
        <w:pStyle w:val="2"/>
        <w:spacing w:line="244" w:lineRule="auto"/>
        <w:rPr>
          <w:highlight w:val="none"/>
        </w:rPr>
      </w:pPr>
    </w:p>
    <w:p w14:paraId="44F4B13B">
      <w:pPr>
        <w:pStyle w:val="2"/>
        <w:spacing w:line="244" w:lineRule="auto"/>
        <w:rPr>
          <w:highlight w:val="none"/>
        </w:rPr>
      </w:pPr>
    </w:p>
    <w:p w14:paraId="15C18FE4">
      <w:pPr>
        <w:pStyle w:val="2"/>
        <w:spacing w:line="244" w:lineRule="auto"/>
        <w:rPr>
          <w:highlight w:val="none"/>
        </w:rPr>
      </w:pPr>
    </w:p>
    <w:p w14:paraId="7467805C">
      <w:pPr>
        <w:pStyle w:val="2"/>
        <w:spacing w:line="244" w:lineRule="auto"/>
        <w:rPr>
          <w:highlight w:val="none"/>
        </w:rPr>
      </w:pPr>
    </w:p>
    <w:p w14:paraId="1E490C6F">
      <w:pPr>
        <w:pStyle w:val="2"/>
        <w:spacing w:line="244" w:lineRule="auto"/>
        <w:rPr>
          <w:highlight w:val="none"/>
        </w:rPr>
      </w:pPr>
    </w:p>
    <w:p w14:paraId="7EA83980">
      <w:pPr>
        <w:pStyle w:val="2"/>
        <w:spacing w:line="244" w:lineRule="auto"/>
        <w:rPr>
          <w:highlight w:val="none"/>
        </w:rPr>
      </w:pPr>
    </w:p>
    <w:p w14:paraId="60385B95">
      <w:pPr>
        <w:spacing w:before="72" w:line="261" w:lineRule="auto"/>
        <w:ind w:left="630" w:right="15" w:hanging="610"/>
        <w:rPr>
          <w:rFonts w:ascii="宋体" w:hAnsi="宋体" w:eastAsia="宋体" w:cs="宋体"/>
          <w:sz w:val="22"/>
          <w:szCs w:val="22"/>
          <w:highlight w:val="none"/>
        </w:rPr>
      </w:pPr>
      <w:r>
        <w:rPr>
          <w:rFonts w:ascii="宋体" w:hAnsi="宋体" w:eastAsia="宋体" w:cs="宋体"/>
          <w:spacing w:val="-12"/>
          <w:sz w:val="22"/>
          <w:szCs w:val="22"/>
          <w:highlight w:val="none"/>
        </w:rPr>
        <w:t>备注：投标人或利害关系人对招标文件的内容或对评标结果有</w:t>
      </w:r>
      <w:r>
        <w:rPr>
          <w:rFonts w:ascii="宋体" w:hAnsi="宋体" w:eastAsia="宋体" w:cs="宋体"/>
          <w:spacing w:val="-13"/>
          <w:sz w:val="22"/>
          <w:szCs w:val="22"/>
          <w:highlight w:val="none"/>
        </w:rPr>
        <w:t>异议，要求招标人解释的，适</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用本格式。</w:t>
      </w:r>
    </w:p>
    <w:p w14:paraId="77B17821">
      <w:pPr>
        <w:spacing w:line="261" w:lineRule="auto"/>
        <w:rPr>
          <w:rFonts w:ascii="宋体" w:hAnsi="宋体" w:eastAsia="宋体" w:cs="宋体"/>
          <w:sz w:val="22"/>
          <w:szCs w:val="22"/>
          <w:highlight w:val="none"/>
        </w:rPr>
        <w:sectPr>
          <w:footerReference r:id="rId54" w:type="default"/>
          <w:pgSz w:w="11910" w:h="16840"/>
          <w:pgMar w:top="400" w:right="1786" w:bottom="1229" w:left="1779" w:header="0" w:footer="943" w:gutter="0"/>
          <w:cols w:space="720" w:num="1"/>
        </w:sectPr>
      </w:pPr>
    </w:p>
    <w:p w14:paraId="28AD6E3E">
      <w:pPr>
        <w:pStyle w:val="2"/>
        <w:spacing w:line="273" w:lineRule="auto"/>
        <w:rPr>
          <w:highlight w:val="none"/>
        </w:rPr>
      </w:pPr>
    </w:p>
    <w:p w14:paraId="22746197">
      <w:pPr>
        <w:pStyle w:val="2"/>
        <w:spacing w:line="274" w:lineRule="auto"/>
        <w:rPr>
          <w:highlight w:val="none"/>
        </w:rPr>
      </w:pPr>
    </w:p>
    <w:p w14:paraId="1A9E9059">
      <w:pPr>
        <w:pStyle w:val="2"/>
        <w:spacing w:line="274" w:lineRule="auto"/>
        <w:rPr>
          <w:highlight w:val="none"/>
        </w:rPr>
      </w:pPr>
    </w:p>
    <w:p w14:paraId="38D4DFDB">
      <w:pPr>
        <w:pStyle w:val="2"/>
        <w:spacing w:line="274" w:lineRule="auto"/>
        <w:rPr>
          <w:highlight w:val="none"/>
        </w:rPr>
      </w:pPr>
    </w:p>
    <w:p w14:paraId="66F7F8F2">
      <w:pPr>
        <w:spacing w:before="65" w:line="222" w:lineRule="auto"/>
        <w:ind w:left="10"/>
        <w:outlineLvl w:val="1"/>
        <w:rPr>
          <w:rFonts w:ascii="黑体" w:hAnsi="黑体" w:eastAsia="黑体" w:cs="黑体"/>
          <w:sz w:val="20"/>
          <w:szCs w:val="20"/>
          <w:highlight w:val="none"/>
        </w:rPr>
      </w:pPr>
      <w:bookmarkStart w:id="59" w:name="bookmark28"/>
      <w:bookmarkEnd w:id="59"/>
      <w:r>
        <w:rPr>
          <w:rFonts w:ascii="黑体" w:hAnsi="黑体" w:eastAsia="黑体" w:cs="黑体"/>
          <w:spacing w:val="31"/>
          <w:sz w:val="20"/>
          <w:szCs w:val="20"/>
          <w:highlight w:val="none"/>
        </w:rPr>
        <w:t>附表十一</w:t>
      </w:r>
      <w:r>
        <w:rPr>
          <w:rFonts w:ascii="黑体" w:hAnsi="黑体" w:eastAsia="黑体" w:cs="黑体"/>
          <w:spacing w:val="-46"/>
          <w:sz w:val="20"/>
          <w:szCs w:val="20"/>
          <w:highlight w:val="none"/>
        </w:rPr>
        <w:t xml:space="preserve"> </w:t>
      </w:r>
      <w:r>
        <w:rPr>
          <w:rFonts w:ascii="黑体" w:hAnsi="黑体" w:eastAsia="黑体" w:cs="黑体"/>
          <w:spacing w:val="31"/>
          <w:sz w:val="20"/>
          <w:szCs w:val="20"/>
          <w:highlight w:val="none"/>
        </w:rPr>
        <w:t>：</w:t>
      </w:r>
      <w:r>
        <w:rPr>
          <w:rFonts w:ascii="黑体" w:hAnsi="黑体" w:eastAsia="黑体" w:cs="黑体"/>
          <w:spacing w:val="-42"/>
          <w:sz w:val="20"/>
          <w:szCs w:val="20"/>
          <w:highlight w:val="none"/>
        </w:rPr>
        <w:t xml:space="preserve"> </w:t>
      </w:r>
      <w:r>
        <w:rPr>
          <w:rFonts w:ascii="黑体" w:hAnsi="黑体" w:eastAsia="黑体" w:cs="黑体"/>
          <w:spacing w:val="31"/>
          <w:sz w:val="20"/>
          <w:szCs w:val="20"/>
          <w:highlight w:val="none"/>
        </w:rPr>
        <w:t>异议答复函</w:t>
      </w:r>
    </w:p>
    <w:p w14:paraId="529AFB0A">
      <w:pPr>
        <w:pStyle w:val="2"/>
        <w:spacing w:line="251" w:lineRule="auto"/>
        <w:rPr>
          <w:highlight w:val="none"/>
        </w:rPr>
      </w:pPr>
    </w:p>
    <w:p w14:paraId="12D12691">
      <w:pPr>
        <w:pStyle w:val="2"/>
        <w:spacing w:line="252" w:lineRule="auto"/>
        <w:rPr>
          <w:highlight w:val="none"/>
        </w:rPr>
      </w:pPr>
    </w:p>
    <w:p w14:paraId="53D86403">
      <w:pPr>
        <w:pStyle w:val="2"/>
        <w:spacing w:line="252" w:lineRule="auto"/>
        <w:rPr>
          <w:highlight w:val="none"/>
        </w:rPr>
      </w:pPr>
    </w:p>
    <w:p w14:paraId="634AC0CF">
      <w:pPr>
        <w:pStyle w:val="2"/>
        <w:spacing w:line="252" w:lineRule="auto"/>
        <w:rPr>
          <w:highlight w:val="none"/>
        </w:rPr>
      </w:pPr>
    </w:p>
    <w:p w14:paraId="65B80FF2">
      <w:pPr>
        <w:pStyle w:val="2"/>
        <w:spacing w:line="252" w:lineRule="auto"/>
        <w:rPr>
          <w:highlight w:val="none"/>
        </w:rPr>
      </w:pPr>
    </w:p>
    <w:p w14:paraId="0F754816">
      <w:pPr>
        <w:pStyle w:val="2"/>
        <w:spacing w:line="252" w:lineRule="auto"/>
        <w:rPr>
          <w:highlight w:val="none"/>
        </w:rPr>
      </w:pPr>
    </w:p>
    <w:p w14:paraId="196A18E8">
      <w:pPr>
        <w:pStyle w:val="2"/>
        <w:spacing w:line="252" w:lineRule="auto"/>
        <w:rPr>
          <w:highlight w:val="none"/>
        </w:rPr>
      </w:pPr>
    </w:p>
    <w:p w14:paraId="0C3828AD">
      <w:pPr>
        <w:pStyle w:val="2"/>
        <w:spacing w:line="252" w:lineRule="auto"/>
        <w:rPr>
          <w:highlight w:val="none"/>
        </w:rPr>
      </w:pPr>
    </w:p>
    <w:p w14:paraId="44A45DDF">
      <w:pPr>
        <w:pStyle w:val="2"/>
        <w:spacing w:line="252" w:lineRule="auto"/>
        <w:rPr>
          <w:highlight w:val="none"/>
        </w:rPr>
      </w:pPr>
    </w:p>
    <w:p w14:paraId="19A19A4B">
      <w:pPr>
        <w:spacing w:before="91" w:line="222" w:lineRule="auto"/>
        <w:ind w:left="3440"/>
        <w:rPr>
          <w:rFonts w:ascii="黑体" w:hAnsi="黑体" w:eastAsia="黑体" w:cs="黑体"/>
          <w:sz w:val="28"/>
          <w:szCs w:val="28"/>
          <w:highlight w:val="none"/>
        </w:rPr>
      </w:pPr>
      <w:r>
        <w:rPr>
          <w:rFonts w:ascii="黑体" w:hAnsi="黑体" w:eastAsia="黑体" w:cs="黑体"/>
          <w:spacing w:val="10"/>
          <w:sz w:val="28"/>
          <w:szCs w:val="28"/>
          <w:highlight w:val="none"/>
        </w:rPr>
        <w:t>异议答复函</w:t>
      </w:r>
    </w:p>
    <w:p w14:paraId="784B9518">
      <w:pPr>
        <w:pStyle w:val="2"/>
        <w:spacing w:line="290" w:lineRule="auto"/>
        <w:rPr>
          <w:highlight w:val="none"/>
        </w:rPr>
      </w:pPr>
    </w:p>
    <w:p w14:paraId="744820B3">
      <w:pPr>
        <w:pStyle w:val="2"/>
        <w:spacing w:line="290" w:lineRule="auto"/>
        <w:rPr>
          <w:highlight w:val="none"/>
        </w:rPr>
      </w:pPr>
    </w:p>
    <w:p w14:paraId="62342CE2">
      <w:pPr>
        <w:pStyle w:val="2"/>
        <w:spacing w:line="291" w:lineRule="auto"/>
        <w:rPr>
          <w:highlight w:val="none"/>
        </w:rPr>
      </w:pPr>
    </w:p>
    <w:p w14:paraId="2C2379DD">
      <w:pPr>
        <w:spacing w:before="65" w:line="219" w:lineRule="auto"/>
        <w:ind w:left="6520"/>
        <w:rPr>
          <w:rFonts w:ascii="宋体" w:hAnsi="宋体" w:eastAsia="宋体" w:cs="宋体"/>
          <w:sz w:val="20"/>
          <w:szCs w:val="20"/>
          <w:highlight w:val="none"/>
        </w:rPr>
      </w:pPr>
      <w:r>
        <w:rPr>
          <w:rFonts w:ascii="宋体" w:hAnsi="宋体" w:eastAsia="宋体" w:cs="宋体"/>
          <w:sz w:val="20"/>
          <w:szCs w:val="20"/>
          <w:highlight w:val="none"/>
        </w:rPr>
        <w:t>编号：</w:t>
      </w:r>
      <w:r>
        <w:rPr>
          <w:rFonts w:ascii="宋体" w:hAnsi="宋体" w:eastAsia="宋体" w:cs="宋体"/>
          <w:spacing w:val="-80"/>
          <w:sz w:val="20"/>
          <w:szCs w:val="20"/>
          <w:highlight w:val="none"/>
        </w:rPr>
        <w:t xml:space="preserve"> </w:t>
      </w:r>
      <w:r>
        <w:rPr>
          <w:rFonts w:ascii="宋体" w:hAnsi="宋体" w:eastAsia="宋体" w:cs="宋体"/>
          <w:sz w:val="20"/>
          <w:szCs w:val="20"/>
          <w:highlight w:val="none"/>
          <w:u w:val="single" w:color="auto"/>
        </w:rPr>
        <w:t xml:space="preserve">             </w:t>
      </w:r>
    </w:p>
    <w:p w14:paraId="4F32D71C">
      <w:pPr>
        <w:tabs>
          <w:tab w:val="left" w:pos="2010"/>
        </w:tabs>
        <w:spacing w:before="243" w:line="220" w:lineRule="auto"/>
        <w:ind w:left="10"/>
        <w:rPr>
          <w:rFonts w:ascii="宋体" w:hAnsi="宋体" w:eastAsia="宋体" w:cs="宋体"/>
          <w:sz w:val="20"/>
          <w:szCs w:val="20"/>
          <w:highlight w:val="none"/>
        </w:rPr>
      </w:pPr>
      <w:r>
        <w:rPr>
          <w:rFonts w:ascii="宋体" w:hAnsi="宋体" w:eastAsia="宋体" w:cs="宋体"/>
          <w:sz w:val="20"/>
          <w:szCs w:val="20"/>
          <w:highlight w:val="none"/>
          <w:u w:val="single" w:color="auto"/>
        </w:rPr>
        <w:tab/>
      </w:r>
      <w:r>
        <w:rPr>
          <w:rFonts w:ascii="宋体" w:hAnsi="宋体" w:eastAsia="宋体" w:cs="宋体"/>
          <w:spacing w:val="-89"/>
          <w:sz w:val="20"/>
          <w:szCs w:val="20"/>
          <w:highlight w:val="none"/>
        </w:rPr>
        <w:t xml:space="preserve"> </w:t>
      </w:r>
      <w:r>
        <w:rPr>
          <w:rFonts w:ascii="宋体" w:hAnsi="宋体" w:eastAsia="宋体" w:cs="宋体"/>
          <w:spacing w:val="7"/>
          <w:sz w:val="20"/>
          <w:szCs w:val="20"/>
          <w:highlight w:val="none"/>
        </w:rPr>
        <w:t>(投标人或利害关系人名称):</w:t>
      </w:r>
    </w:p>
    <w:p w14:paraId="284B3244">
      <w:pPr>
        <w:spacing w:before="240" w:line="423" w:lineRule="auto"/>
        <w:ind w:right="45" w:firstLine="410"/>
        <w:rPr>
          <w:rFonts w:ascii="宋体" w:hAnsi="宋体" w:eastAsia="宋体" w:cs="宋体"/>
          <w:sz w:val="20"/>
          <w:szCs w:val="20"/>
          <w:highlight w:val="none"/>
        </w:rPr>
      </w:pPr>
      <w:r>
        <w:rPr>
          <w:rFonts w:ascii="宋体" w:hAnsi="宋体" w:eastAsia="宋体" w:cs="宋体"/>
          <w:spacing w:val="16"/>
          <w:position w:val="-1"/>
          <w:sz w:val="20"/>
          <w:szCs w:val="20"/>
          <w:highlight w:val="none"/>
        </w:rPr>
        <w:t>你方提出的有关</w:t>
      </w:r>
      <w:r>
        <w:rPr>
          <w:rFonts w:ascii="宋体" w:hAnsi="宋体" w:eastAsia="宋体" w:cs="宋体"/>
          <w:spacing w:val="-68"/>
          <w:position w:val="-1"/>
          <w:sz w:val="20"/>
          <w:szCs w:val="20"/>
          <w:highlight w:val="none"/>
        </w:rPr>
        <w:t xml:space="preserve"> </w:t>
      </w:r>
      <w:r>
        <w:rPr>
          <w:rFonts w:ascii="宋体" w:hAnsi="宋体" w:eastAsia="宋体" w:cs="宋体"/>
          <w:spacing w:val="5"/>
          <w:position w:val="-1"/>
          <w:sz w:val="20"/>
          <w:szCs w:val="20"/>
          <w:highlight w:val="none"/>
          <w:u w:val="single" w:color="auto"/>
        </w:rPr>
        <w:t xml:space="preserve">       </w:t>
      </w:r>
      <w:r>
        <w:rPr>
          <w:rFonts w:ascii="宋体" w:hAnsi="宋体" w:eastAsia="宋体" w:cs="宋体"/>
          <w:spacing w:val="16"/>
          <w:position w:val="-1"/>
          <w:sz w:val="20"/>
          <w:szCs w:val="20"/>
          <w:highlight w:val="none"/>
        </w:rPr>
        <w:t xml:space="preserve"> </w:t>
      </w:r>
      <w:r>
        <w:rPr>
          <w:rFonts w:ascii="宋体" w:hAnsi="宋体" w:eastAsia="宋体" w:cs="宋体"/>
          <w:spacing w:val="16"/>
          <w:sz w:val="20"/>
          <w:szCs w:val="20"/>
          <w:highlight w:val="none"/>
        </w:rPr>
        <w:t>(项目名称)</w:t>
      </w:r>
      <w:r>
        <w:rPr>
          <w:rFonts w:ascii="宋体" w:hAnsi="宋体" w:eastAsia="宋体" w:cs="宋体"/>
          <w:spacing w:val="-49"/>
          <w:sz w:val="20"/>
          <w:szCs w:val="20"/>
          <w:highlight w:val="none"/>
        </w:rPr>
        <w:t xml:space="preserve"> </w:t>
      </w:r>
      <w:r>
        <w:rPr>
          <w:rFonts w:ascii="宋体" w:hAnsi="宋体" w:eastAsia="宋体" w:cs="宋体"/>
          <w:spacing w:val="20"/>
          <w:sz w:val="20"/>
          <w:szCs w:val="20"/>
          <w:highlight w:val="none"/>
          <w:u w:val="single" w:color="auto"/>
        </w:rPr>
        <w:t xml:space="preserve">    </w:t>
      </w:r>
      <w:r>
        <w:rPr>
          <w:rFonts w:ascii="宋体" w:hAnsi="宋体" w:eastAsia="宋体" w:cs="宋体"/>
          <w:spacing w:val="-40"/>
          <w:sz w:val="20"/>
          <w:szCs w:val="20"/>
          <w:highlight w:val="none"/>
        </w:rPr>
        <w:t xml:space="preserve"> </w:t>
      </w:r>
      <w:r>
        <w:rPr>
          <w:rFonts w:ascii="宋体" w:hAnsi="宋体" w:eastAsia="宋体" w:cs="宋体"/>
          <w:spacing w:val="16"/>
          <w:sz w:val="20"/>
          <w:szCs w:val="20"/>
          <w:highlight w:val="none"/>
        </w:rPr>
        <w:t>(标段名称)工程总承包招标文件(或评标</w:t>
      </w:r>
      <w:r>
        <w:rPr>
          <w:rFonts w:ascii="宋体" w:hAnsi="宋体" w:eastAsia="宋体" w:cs="宋体"/>
          <w:sz w:val="20"/>
          <w:szCs w:val="20"/>
          <w:highlight w:val="none"/>
        </w:rPr>
        <w:t xml:space="preserve"> </w:t>
      </w:r>
      <w:r>
        <w:rPr>
          <w:rFonts w:ascii="宋体" w:hAnsi="宋体" w:eastAsia="宋体" w:cs="宋体"/>
          <w:spacing w:val="13"/>
          <w:sz w:val="20"/>
          <w:szCs w:val="20"/>
          <w:highlight w:val="none"/>
        </w:rPr>
        <w:t>结果公示)的异议已收悉，现答复如下：</w:t>
      </w:r>
    </w:p>
    <w:p w14:paraId="5150D938">
      <w:pPr>
        <w:spacing w:before="24" w:line="239" w:lineRule="auto"/>
        <w:ind w:left="420"/>
        <w:rPr>
          <w:rFonts w:ascii="宋体" w:hAnsi="宋体" w:eastAsia="宋体" w:cs="宋体"/>
          <w:sz w:val="20"/>
          <w:szCs w:val="20"/>
          <w:highlight w:val="none"/>
        </w:rPr>
      </w:pPr>
      <w:r>
        <w:rPr>
          <w:rFonts w:ascii="宋体" w:hAnsi="宋体" w:eastAsia="宋体" w:cs="宋体"/>
          <w:spacing w:val="-6"/>
          <w:sz w:val="20"/>
          <w:szCs w:val="20"/>
          <w:highlight w:val="none"/>
        </w:rPr>
        <w:t>1.……</w:t>
      </w:r>
    </w:p>
    <w:p w14:paraId="7D84D78D">
      <w:pPr>
        <w:spacing w:before="241" w:line="239" w:lineRule="auto"/>
        <w:ind w:left="410"/>
        <w:rPr>
          <w:rFonts w:ascii="宋体" w:hAnsi="宋体" w:eastAsia="宋体" w:cs="宋体"/>
          <w:sz w:val="20"/>
          <w:szCs w:val="20"/>
          <w:highlight w:val="none"/>
        </w:rPr>
      </w:pPr>
      <w:r>
        <w:rPr>
          <w:rFonts w:ascii="宋体" w:hAnsi="宋体" w:eastAsia="宋体" w:cs="宋体"/>
          <w:spacing w:val="-3"/>
          <w:sz w:val="20"/>
          <w:szCs w:val="20"/>
          <w:highlight w:val="none"/>
        </w:rPr>
        <w:t>2.……</w:t>
      </w:r>
    </w:p>
    <w:p w14:paraId="2D4A3127">
      <w:pPr>
        <w:pStyle w:val="2"/>
        <w:tabs>
          <w:tab w:val="left" w:pos="850"/>
        </w:tabs>
        <w:spacing w:before="86"/>
        <w:ind w:left="430"/>
        <w:rPr>
          <w:highlight w:val="none"/>
        </w:rPr>
      </w:pPr>
      <w:r>
        <w:rPr>
          <w:highlight w:val="none"/>
          <w:u w:val="single" w:color="FFFFFF"/>
        </w:rPr>
        <w:tab/>
      </w:r>
    </w:p>
    <w:p w14:paraId="4C61F570">
      <w:pPr>
        <w:pStyle w:val="2"/>
        <w:spacing w:line="242" w:lineRule="auto"/>
        <w:rPr>
          <w:highlight w:val="none"/>
        </w:rPr>
      </w:pPr>
    </w:p>
    <w:p w14:paraId="2427C1DD">
      <w:pPr>
        <w:pStyle w:val="2"/>
        <w:spacing w:line="242" w:lineRule="auto"/>
        <w:rPr>
          <w:highlight w:val="none"/>
        </w:rPr>
      </w:pPr>
    </w:p>
    <w:p w14:paraId="2C216FDD">
      <w:pPr>
        <w:pStyle w:val="2"/>
        <w:spacing w:line="242" w:lineRule="auto"/>
        <w:rPr>
          <w:highlight w:val="none"/>
        </w:rPr>
      </w:pPr>
    </w:p>
    <w:p w14:paraId="2DB177FE">
      <w:pPr>
        <w:pStyle w:val="2"/>
        <w:spacing w:line="242" w:lineRule="auto"/>
        <w:rPr>
          <w:highlight w:val="none"/>
        </w:rPr>
      </w:pPr>
    </w:p>
    <w:p w14:paraId="2AD6C99C">
      <w:pPr>
        <w:pStyle w:val="2"/>
        <w:spacing w:line="242" w:lineRule="auto"/>
        <w:rPr>
          <w:highlight w:val="none"/>
        </w:rPr>
      </w:pPr>
    </w:p>
    <w:p w14:paraId="1718C3C2">
      <w:pPr>
        <w:pStyle w:val="2"/>
        <w:spacing w:line="242" w:lineRule="auto"/>
        <w:rPr>
          <w:highlight w:val="none"/>
        </w:rPr>
      </w:pPr>
    </w:p>
    <w:p w14:paraId="5BBF897A">
      <w:pPr>
        <w:pStyle w:val="2"/>
        <w:spacing w:line="242" w:lineRule="auto"/>
        <w:rPr>
          <w:highlight w:val="none"/>
        </w:rPr>
      </w:pPr>
    </w:p>
    <w:p w14:paraId="015E6FD9">
      <w:pPr>
        <w:pStyle w:val="2"/>
        <w:spacing w:line="242" w:lineRule="auto"/>
        <w:rPr>
          <w:highlight w:val="none"/>
        </w:rPr>
      </w:pPr>
    </w:p>
    <w:p w14:paraId="6AD8BA0D">
      <w:pPr>
        <w:pStyle w:val="2"/>
        <w:spacing w:line="242" w:lineRule="auto"/>
        <w:rPr>
          <w:highlight w:val="none"/>
        </w:rPr>
      </w:pPr>
    </w:p>
    <w:p w14:paraId="605DFC17">
      <w:pPr>
        <w:pStyle w:val="2"/>
        <w:spacing w:line="242" w:lineRule="auto"/>
        <w:rPr>
          <w:highlight w:val="none"/>
        </w:rPr>
      </w:pPr>
    </w:p>
    <w:p w14:paraId="0B415CDE">
      <w:pPr>
        <w:pStyle w:val="2"/>
        <w:spacing w:line="242" w:lineRule="auto"/>
        <w:rPr>
          <w:highlight w:val="none"/>
        </w:rPr>
      </w:pPr>
    </w:p>
    <w:p w14:paraId="06358B84">
      <w:pPr>
        <w:pStyle w:val="2"/>
        <w:spacing w:line="243" w:lineRule="auto"/>
        <w:rPr>
          <w:highlight w:val="none"/>
        </w:rPr>
      </w:pPr>
    </w:p>
    <w:p w14:paraId="7E72CC40">
      <w:pPr>
        <w:pStyle w:val="2"/>
        <w:spacing w:line="243" w:lineRule="auto"/>
        <w:rPr>
          <w:highlight w:val="none"/>
        </w:rPr>
      </w:pPr>
    </w:p>
    <w:p w14:paraId="2EFEF3D0">
      <w:pPr>
        <w:spacing w:before="65" w:line="220" w:lineRule="auto"/>
        <w:jc w:val="right"/>
        <w:rPr>
          <w:rFonts w:ascii="宋体" w:hAnsi="宋体" w:eastAsia="宋体" w:cs="宋体"/>
          <w:sz w:val="20"/>
          <w:szCs w:val="20"/>
          <w:highlight w:val="none"/>
        </w:rPr>
      </w:pPr>
      <w:r>
        <w:rPr>
          <w:rFonts w:ascii="宋体" w:hAnsi="宋体" w:eastAsia="宋体" w:cs="宋体"/>
          <w:spacing w:val="6"/>
          <w:sz w:val="20"/>
          <w:szCs w:val="20"/>
          <w:highlight w:val="none"/>
        </w:rPr>
        <w:t>招标人：</w:t>
      </w:r>
      <w:r>
        <w:rPr>
          <w:rFonts w:ascii="宋体" w:hAnsi="宋体" w:eastAsia="宋体" w:cs="宋体"/>
          <w:spacing w:val="-58"/>
          <w:sz w:val="20"/>
          <w:szCs w:val="20"/>
          <w:highlight w:val="none"/>
        </w:rPr>
        <w:t xml:space="preserve"> </w:t>
      </w:r>
      <w:r>
        <w:rPr>
          <w:rFonts w:ascii="宋体" w:hAnsi="宋体" w:eastAsia="宋体" w:cs="宋体"/>
          <w:spacing w:val="6"/>
          <w:sz w:val="20"/>
          <w:szCs w:val="20"/>
          <w:highlight w:val="none"/>
          <w:u w:val="single" w:color="auto"/>
        </w:rPr>
        <w:t xml:space="preserve">              </w:t>
      </w:r>
      <w:r>
        <w:rPr>
          <w:rFonts w:ascii="宋体" w:hAnsi="宋体" w:eastAsia="宋体" w:cs="宋体"/>
          <w:spacing w:val="6"/>
          <w:sz w:val="20"/>
          <w:szCs w:val="20"/>
          <w:highlight w:val="none"/>
        </w:rPr>
        <w:t xml:space="preserve"> (盖单位章)</w:t>
      </w:r>
    </w:p>
    <w:p w14:paraId="28503DE5">
      <w:pPr>
        <w:pStyle w:val="2"/>
        <w:spacing w:line="324" w:lineRule="auto"/>
        <w:rPr>
          <w:highlight w:val="none"/>
        </w:rPr>
      </w:pPr>
    </w:p>
    <w:p w14:paraId="1985E9F1">
      <w:pPr>
        <w:pStyle w:val="2"/>
        <w:spacing w:line="324" w:lineRule="auto"/>
        <w:rPr>
          <w:highlight w:val="none"/>
        </w:rPr>
      </w:pPr>
    </w:p>
    <w:p w14:paraId="383CD203">
      <w:pPr>
        <w:tabs>
          <w:tab w:val="left" w:pos="6640"/>
        </w:tabs>
        <w:spacing w:before="65" w:line="220" w:lineRule="auto"/>
        <w:ind w:left="5679"/>
        <w:rPr>
          <w:rFonts w:ascii="宋体" w:hAnsi="宋体" w:eastAsia="宋体" w:cs="宋体"/>
          <w:sz w:val="20"/>
          <w:szCs w:val="20"/>
          <w:highlight w:val="none"/>
        </w:rPr>
      </w:pPr>
      <w:r>
        <w:rPr>
          <w:rFonts w:ascii="宋体" w:hAnsi="宋体" w:eastAsia="宋体" w:cs="宋体"/>
          <w:sz w:val="20"/>
          <w:szCs w:val="20"/>
          <w:highlight w:val="none"/>
          <w:u w:val="single" w:color="auto"/>
        </w:rPr>
        <w:tab/>
      </w:r>
      <w:r>
        <w:rPr>
          <w:rFonts w:ascii="宋体" w:hAnsi="宋体" w:eastAsia="宋体" w:cs="宋体"/>
          <w:spacing w:val="-22"/>
          <w:w w:val="81"/>
          <w:sz w:val="20"/>
          <w:szCs w:val="20"/>
          <w:highlight w:val="none"/>
        </w:rPr>
        <w:t>年</w:t>
      </w:r>
      <w:r>
        <w:rPr>
          <w:rFonts w:ascii="宋体" w:hAnsi="宋体" w:eastAsia="宋体" w:cs="宋体"/>
          <w:spacing w:val="14"/>
          <w:sz w:val="20"/>
          <w:szCs w:val="20"/>
          <w:highlight w:val="none"/>
          <w:u w:val="single" w:color="auto"/>
        </w:rPr>
        <w:t xml:space="preserve">     </w:t>
      </w:r>
      <w:r>
        <w:rPr>
          <w:rFonts w:ascii="宋体" w:hAnsi="宋体" w:eastAsia="宋体" w:cs="宋体"/>
          <w:spacing w:val="-22"/>
          <w:w w:val="81"/>
          <w:sz w:val="20"/>
          <w:szCs w:val="20"/>
          <w:highlight w:val="none"/>
        </w:rPr>
        <w:t>月_</w:t>
      </w:r>
      <w:r>
        <w:rPr>
          <w:rFonts w:ascii="宋体" w:hAnsi="宋体" w:eastAsia="宋体" w:cs="宋体"/>
          <w:spacing w:val="19"/>
          <w:sz w:val="20"/>
          <w:szCs w:val="20"/>
          <w:highlight w:val="none"/>
          <w:u w:val="single" w:color="auto"/>
        </w:rPr>
        <w:t xml:space="preserve">     </w:t>
      </w:r>
      <w:r>
        <w:rPr>
          <w:rFonts w:ascii="宋体" w:hAnsi="宋体" w:eastAsia="宋体" w:cs="宋体"/>
          <w:spacing w:val="-22"/>
          <w:w w:val="81"/>
          <w:sz w:val="20"/>
          <w:szCs w:val="20"/>
          <w:highlight w:val="none"/>
        </w:rPr>
        <w:t>日</w:t>
      </w:r>
    </w:p>
    <w:p w14:paraId="27545EEB">
      <w:pPr>
        <w:spacing w:line="220" w:lineRule="auto"/>
        <w:rPr>
          <w:rFonts w:ascii="宋体" w:hAnsi="宋体" w:eastAsia="宋体" w:cs="宋体"/>
          <w:sz w:val="20"/>
          <w:szCs w:val="20"/>
          <w:highlight w:val="none"/>
        </w:rPr>
        <w:sectPr>
          <w:footerReference r:id="rId55" w:type="default"/>
          <w:pgSz w:w="11910" w:h="16840"/>
          <w:pgMar w:top="400" w:right="1786" w:bottom="1231" w:left="1779" w:header="0" w:footer="972" w:gutter="0"/>
          <w:cols w:space="720" w:num="1"/>
        </w:sectPr>
      </w:pPr>
    </w:p>
    <w:p w14:paraId="5276F5A1">
      <w:pPr>
        <w:pStyle w:val="2"/>
        <w:spacing w:line="261" w:lineRule="auto"/>
        <w:rPr>
          <w:highlight w:val="none"/>
        </w:rPr>
      </w:pPr>
    </w:p>
    <w:p w14:paraId="35C6F707">
      <w:pPr>
        <w:pStyle w:val="2"/>
        <w:spacing w:line="261" w:lineRule="auto"/>
        <w:rPr>
          <w:highlight w:val="none"/>
        </w:rPr>
      </w:pPr>
    </w:p>
    <w:p w14:paraId="4FDD8A2C">
      <w:pPr>
        <w:pStyle w:val="2"/>
        <w:spacing w:line="261" w:lineRule="auto"/>
        <w:rPr>
          <w:highlight w:val="none"/>
        </w:rPr>
      </w:pPr>
    </w:p>
    <w:p w14:paraId="3458DFD4">
      <w:pPr>
        <w:pStyle w:val="2"/>
        <w:spacing w:line="262" w:lineRule="auto"/>
        <w:rPr>
          <w:highlight w:val="none"/>
        </w:rPr>
      </w:pPr>
    </w:p>
    <w:p w14:paraId="269F703C">
      <w:pPr>
        <w:spacing w:before="78" w:line="222" w:lineRule="auto"/>
        <w:ind w:left="10"/>
        <w:outlineLvl w:val="1"/>
        <w:rPr>
          <w:rFonts w:ascii="黑体" w:hAnsi="黑体" w:eastAsia="黑体" w:cs="黑体"/>
          <w:sz w:val="24"/>
          <w:szCs w:val="24"/>
          <w:highlight w:val="none"/>
        </w:rPr>
      </w:pPr>
      <w:bookmarkStart w:id="60" w:name="bookmark29"/>
      <w:bookmarkEnd w:id="60"/>
      <w:r>
        <w:rPr>
          <w:rFonts w:ascii="黑体" w:hAnsi="黑体" w:eastAsia="黑体" w:cs="黑体"/>
          <w:sz w:val="24"/>
          <w:szCs w:val="24"/>
          <w:highlight w:val="none"/>
        </w:rPr>
        <w:t>附表十二：授权委托书</w:t>
      </w:r>
    </w:p>
    <w:p w14:paraId="6FE162B3">
      <w:pPr>
        <w:pStyle w:val="2"/>
        <w:spacing w:line="259" w:lineRule="auto"/>
        <w:rPr>
          <w:highlight w:val="none"/>
        </w:rPr>
      </w:pPr>
    </w:p>
    <w:p w14:paraId="0FDA4D35">
      <w:pPr>
        <w:pStyle w:val="2"/>
        <w:spacing w:line="259" w:lineRule="auto"/>
        <w:rPr>
          <w:highlight w:val="none"/>
        </w:rPr>
      </w:pPr>
    </w:p>
    <w:p w14:paraId="23C254BC">
      <w:pPr>
        <w:pStyle w:val="2"/>
        <w:spacing w:line="259" w:lineRule="auto"/>
        <w:rPr>
          <w:highlight w:val="none"/>
        </w:rPr>
      </w:pPr>
    </w:p>
    <w:p w14:paraId="4264EF82">
      <w:pPr>
        <w:spacing w:before="91" w:line="222" w:lineRule="auto"/>
        <w:ind w:left="3420"/>
        <w:rPr>
          <w:rFonts w:ascii="黑体" w:hAnsi="黑体" w:eastAsia="黑体" w:cs="黑体"/>
          <w:sz w:val="28"/>
          <w:szCs w:val="28"/>
          <w:highlight w:val="none"/>
        </w:rPr>
      </w:pPr>
      <w:r>
        <w:rPr>
          <w:rFonts w:ascii="黑体" w:hAnsi="黑体" w:eastAsia="黑体" w:cs="黑体"/>
          <w:spacing w:val="11"/>
          <w:sz w:val="28"/>
          <w:szCs w:val="28"/>
          <w:highlight w:val="none"/>
        </w:rPr>
        <w:t>授权委托书</w:t>
      </w:r>
    </w:p>
    <w:p w14:paraId="049DDA60">
      <w:pPr>
        <w:pStyle w:val="2"/>
        <w:spacing w:line="251" w:lineRule="auto"/>
        <w:rPr>
          <w:highlight w:val="none"/>
        </w:rPr>
      </w:pPr>
    </w:p>
    <w:p w14:paraId="4D9B0E8A">
      <w:pPr>
        <w:pStyle w:val="2"/>
        <w:spacing w:line="251" w:lineRule="auto"/>
        <w:rPr>
          <w:highlight w:val="none"/>
        </w:rPr>
      </w:pPr>
    </w:p>
    <w:p w14:paraId="0EEBC6CD">
      <w:pPr>
        <w:pStyle w:val="2"/>
        <w:spacing w:line="252" w:lineRule="auto"/>
        <w:rPr>
          <w:highlight w:val="none"/>
        </w:rPr>
      </w:pPr>
    </w:p>
    <w:p w14:paraId="5131363F">
      <w:pPr>
        <w:pStyle w:val="2"/>
        <w:spacing w:line="252" w:lineRule="auto"/>
        <w:rPr>
          <w:highlight w:val="none"/>
        </w:rPr>
      </w:pPr>
    </w:p>
    <w:p w14:paraId="431DA408">
      <w:pPr>
        <w:pStyle w:val="2"/>
        <w:spacing w:line="252" w:lineRule="auto"/>
        <w:rPr>
          <w:highlight w:val="none"/>
        </w:rPr>
      </w:pPr>
    </w:p>
    <w:p w14:paraId="623CE67D">
      <w:pPr>
        <w:spacing w:before="68" w:line="435" w:lineRule="auto"/>
        <w:ind w:right="27" w:firstLine="450"/>
        <w:jc w:val="both"/>
        <w:rPr>
          <w:rFonts w:ascii="宋体" w:hAnsi="宋体" w:eastAsia="宋体" w:cs="宋体"/>
          <w:sz w:val="21"/>
          <w:szCs w:val="21"/>
          <w:highlight w:val="none"/>
        </w:rPr>
      </w:pPr>
      <w:r>
        <w:rPr>
          <w:rFonts w:ascii="宋体" w:hAnsi="宋体" w:eastAsia="宋体" w:cs="宋体"/>
          <w:spacing w:val="2"/>
          <w:position w:val="-2"/>
          <w:sz w:val="21"/>
          <w:szCs w:val="21"/>
          <w:highlight w:val="none"/>
        </w:rPr>
        <w:t>本人</w:t>
      </w:r>
      <w:r>
        <w:rPr>
          <w:rFonts w:ascii="宋体" w:hAnsi="宋体" w:eastAsia="宋体" w:cs="宋体"/>
          <w:spacing w:val="-83"/>
          <w:position w:val="-2"/>
          <w:sz w:val="21"/>
          <w:szCs w:val="21"/>
          <w:highlight w:val="none"/>
        </w:rPr>
        <w:t xml:space="preserve"> </w:t>
      </w:r>
      <w:r>
        <w:rPr>
          <w:rFonts w:ascii="宋体" w:hAnsi="宋体" w:eastAsia="宋体" w:cs="宋体"/>
          <w:spacing w:val="15"/>
          <w:position w:val="-2"/>
          <w:sz w:val="21"/>
          <w:szCs w:val="21"/>
          <w:highlight w:val="none"/>
          <w:u w:val="single" w:color="auto"/>
        </w:rPr>
        <w:t xml:space="preserve">     </w:t>
      </w:r>
      <w:r>
        <w:rPr>
          <w:rFonts w:ascii="宋体" w:hAnsi="宋体" w:eastAsia="宋体" w:cs="宋体"/>
          <w:spacing w:val="-55"/>
          <w:position w:val="-2"/>
          <w:sz w:val="21"/>
          <w:szCs w:val="21"/>
          <w:highlight w:val="none"/>
        </w:rPr>
        <w:t xml:space="preserve"> </w:t>
      </w:r>
      <w:r>
        <w:rPr>
          <w:rFonts w:ascii="宋体" w:hAnsi="宋体" w:eastAsia="宋体" w:cs="宋体"/>
          <w:spacing w:val="2"/>
          <w:position w:val="-2"/>
          <w:sz w:val="21"/>
          <w:szCs w:val="21"/>
          <w:highlight w:val="none"/>
        </w:rPr>
        <w:t>(姓名)系</w:t>
      </w:r>
      <w:r>
        <w:rPr>
          <w:rFonts w:ascii="宋体" w:hAnsi="宋体" w:eastAsia="宋体" w:cs="宋体"/>
          <w:spacing w:val="-104"/>
          <w:position w:val="-2"/>
          <w:sz w:val="21"/>
          <w:szCs w:val="21"/>
          <w:highlight w:val="none"/>
        </w:rPr>
        <w:t xml:space="preserve"> </w:t>
      </w:r>
      <w:r>
        <w:rPr>
          <w:rFonts w:ascii="宋体" w:hAnsi="宋体" w:eastAsia="宋体" w:cs="宋体"/>
          <w:spacing w:val="1"/>
          <w:position w:val="-2"/>
          <w:sz w:val="21"/>
          <w:szCs w:val="21"/>
          <w:highlight w:val="none"/>
          <w:u w:val="single" w:color="auto"/>
        </w:rPr>
        <w:t xml:space="preserve">      </w:t>
      </w:r>
      <w:r>
        <w:rPr>
          <w:rFonts w:ascii="宋体" w:hAnsi="宋体" w:eastAsia="宋体" w:cs="宋体"/>
          <w:spacing w:val="-31"/>
          <w:position w:val="-2"/>
          <w:sz w:val="21"/>
          <w:szCs w:val="21"/>
          <w:highlight w:val="none"/>
        </w:rPr>
        <w:t xml:space="preserve"> </w:t>
      </w:r>
      <w:r>
        <w:rPr>
          <w:rFonts w:ascii="宋体" w:hAnsi="宋体" w:eastAsia="宋体" w:cs="宋体"/>
          <w:spacing w:val="2"/>
          <w:sz w:val="21"/>
          <w:szCs w:val="21"/>
          <w:highlight w:val="none"/>
        </w:rPr>
        <w:t>(投标人名称)的法定代表人，现委托_</w:t>
      </w:r>
      <w:r>
        <w:rPr>
          <w:rFonts w:ascii="宋体" w:hAnsi="宋体" w:eastAsia="宋体" w:cs="宋体"/>
          <w:spacing w:val="13"/>
          <w:sz w:val="21"/>
          <w:szCs w:val="21"/>
          <w:highlight w:val="none"/>
          <w:u w:val="single" w:color="auto"/>
        </w:rPr>
        <w:t xml:space="preserve">     </w:t>
      </w:r>
      <w:r>
        <w:rPr>
          <w:rFonts w:ascii="宋体" w:hAnsi="宋体" w:eastAsia="宋体" w:cs="宋体"/>
          <w:spacing w:val="-65"/>
          <w:sz w:val="21"/>
          <w:szCs w:val="21"/>
          <w:highlight w:val="none"/>
        </w:rPr>
        <w:t xml:space="preserve"> </w:t>
      </w:r>
      <w:r>
        <w:rPr>
          <w:rFonts w:ascii="宋体" w:hAnsi="宋体" w:eastAsia="宋体" w:cs="宋体"/>
          <w:spacing w:val="2"/>
          <w:sz w:val="21"/>
          <w:szCs w:val="21"/>
          <w:highlight w:val="none"/>
        </w:rPr>
        <w:t>(姓名</w:t>
      </w:r>
      <w:r>
        <w:rPr>
          <w:rFonts w:ascii="宋体" w:hAnsi="宋体" w:eastAsia="宋体" w:cs="宋体"/>
          <w:spacing w:val="1"/>
          <w:sz w:val="21"/>
          <w:szCs w:val="21"/>
          <w:highlight w:val="none"/>
        </w:rPr>
        <w:t>)为我</w:t>
      </w:r>
      <w:r>
        <w:rPr>
          <w:rFonts w:ascii="宋体" w:hAnsi="宋体" w:eastAsia="宋体" w:cs="宋体"/>
          <w:sz w:val="21"/>
          <w:szCs w:val="21"/>
          <w:highlight w:val="none"/>
        </w:rPr>
        <w:t xml:space="preserve"> </w:t>
      </w:r>
      <w:r>
        <w:rPr>
          <w:rFonts w:ascii="宋体" w:hAnsi="宋体" w:eastAsia="宋体" w:cs="宋体"/>
          <w:spacing w:val="-13"/>
          <w:sz w:val="21"/>
          <w:szCs w:val="21"/>
          <w:highlight w:val="none"/>
        </w:rPr>
        <w:t>方代理人。代理人根据授权，以我方名义签署、澄清、说明、补正、递交、撤回、修改</w:t>
      </w:r>
      <w:r>
        <w:rPr>
          <w:rFonts w:ascii="宋体" w:hAnsi="宋体" w:eastAsia="宋体" w:cs="宋体"/>
          <w:spacing w:val="-13"/>
          <w:sz w:val="21"/>
          <w:szCs w:val="21"/>
          <w:highlight w:val="none"/>
          <w:u w:val="single" w:color="auto"/>
        </w:rPr>
        <w:t xml:space="preserve">     </w:t>
      </w:r>
      <w:r>
        <w:rPr>
          <w:rFonts w:ascii="宋体" w:hAnsi="宋体" w:eastAsia="宋体" w:cs="宋体"/>
          <w:spacing w:val="-13"/>
          <w:sz w:val="21"/>
          <w:szCs w:val="21"/>
          <w:highlight w:val="none"/>
        </w:rPr>
        <w:t>(</w:t>
      </w:r>
      <w:r>
        <w:rPr>
          <w:rFonts w:ascii="宋体" w:hAnsi="宋体" w:eastAsia="宋体" w:cs="宋体"/>
          <w:spacing w:val="-38"/>
          <w:sz w:val="21"/>
          <w:szCs w:val="21"/>
          <w:highlight w:val="none"/>
        </w:rPr>
        <w:t xml:space="preserve"> </w:t>
      </w:r>
      <w:r>
        <w:rPr>
          <w:rFonts w:ascii="宋体" w:hAnsi="宋体" w:eastAsia="宋体" w:cs="宋体"/>
          <w:spacing w:val="-13"/>
          <w:sz w:val="21"/>
          <w:szCs w:val="21"/>
          <w:highlight w:val="none"/>
        </w:rPr>
        <w:t>项</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目名称)</w:t>
      </w:r>
      <w:r>
        <w:rPr>
          <w:rFonts w:ascii="宋体" w:hAnsi="宋体" w:eastAsia="宋体" w:cs="宋体"/>
          <w:spacing w:val="-44"/>
          <w:sz w:val="21"/>
          <w:szCs w:val="21"/>
          <w:highlight w:val="none"/>
        </w:rPr>
        <w:t xml:space="preserve"> </w:t>
      </w:r>
      <w:r>
        <w:rPr>
          <w:rFonts w:ascii="宋体" w:hAnsi="宋体" w:eastAsia="宋体" w:cs="宋体"/>
          <w:spacing w:val="11"/>
          <w:sz w:val="21"/>
          <w:szCs w:val="21"/>
          <w:highlight w:val="none"/>
          <w:u w:val="single" w:color="auto"/>
        </w:rPr>
        <w:t xml:space="preserve">     </w:t>
      </w:r>
      <w:r>
        <w:rPr>
          <w:rFonts w:ascii="宋体" w:hAnsi="宋体" w:eastAsia="宋体" w:cs="宋体"/>
          <w:spacing w:val="-35"/>
          <w:sz w:val="21"/>
          <w:szCs w:val="21"/>
          <w:highlight w:val="none"/>
        </w:rPr>
        <w:t xml:space="preserve"> </w:t>
      </w:r>
      <w:r>
        <w:rPr>
          <w:rFonts w:ascii="宋体" w:hAnsi="宋体" w:eastAsia="宋体" w:cs="宋体"/>
          <w:spacing w:val="4"/>
          <w:sz w:val="21"/>
          <w:szCs w:val="21"/>
          <w:highlight w:val="none"/>
        </w:rPr>
        <w:t>(标段名称)工程总承包的投标文件、签订合同和处理有关事宜，其法律后</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果由我方承担。</w:t>
      </w:r>
    </w:p>
    <w:p w14:paraId="519F75C5">
      <w:pPr>
        <w:spacing w:before="167" w:line="220" w:lineRule="auto"/>
        <w:ind w:left="420"/>
        <w:rPr>
          <w:rFonts w:ascii="宋体" w:hAnsi="宋体" w:eastAsia="宋体" w:cs="宋体"/>
          <w:sz w:val="21"/>
          <w:szCs w:val="21"/>
          <w:highlight w:val="none"/>
        </w:rPr>
      </w:pPr>
      <w:r>
        <w:rPr>
          <w:rFonts w:ascii="宋体" w:hAnsi="宋体" w:eastAsia="宋体" w:cs="宋体"/>
          <w:spacing w:val="-3"/>
          <w:sz w:val="21"/>
          <w:szCs w:val="21"/>
          <w:highlight w:val="none"/>
        </w:rPr>
        <w:t>委托期限：</w:t>
      </w:r>
      <w:r>
        <w:rPr>
          <w:rFonts w:ascii="宋体" w:hAnsi="宋体" w:eastAsia="宋体" w:cs="宋体"/>
          <w:spacing w:val="-3"/>
          <w:sz w:val="21"/>
          <w:szCs w:val="21"/>
          <w:highlight w:val="none"/>
          <w:u w:val="single" w:color="auto"/>
        </w:rPr>
        <w:t xml:space="preserve">                                                            </w:t>
      </w:r>
    </w:p>
    <w:p w14:paraId="14EA6B82">
      <w:pPr>
        <w:pStyle w:val="2"/>
        <w:spacing w:line="251" w:lineRule="auto"/>
        <w:rPr>
          <w:highlight w:val="none"/>
        </w:rPr>
      </w:pPr>
    </w:p>
    <w:p w14:paraId="03D7A162">
      <w:pPr>
        <w:pStyle w:val="2"/>
        <w:spacing w:line="251" w:lineRule="auto"/>
        <w:rPr>
          <w:highlight w:val="none"/>
        </w:rPr>
      </w:pPr>
      <w:r>
        <w:rPr>
          <w:highlight w:val="none"/>
        </w:rPr>
        <w:drawing>
          <wp:anchor distT="0" distB="0" distL="0" distR="0" simplePos="0" relativeHeight="251661312" behindDoc="0" locked="0" layoutInCell="1" allowOverlap="1">
            <wp:simplePos x="0" y="0"/>
            <wp:positionH relativeFrom="column">
              <wp:posOffset>920750</wp:posOffset>
            </wp:positionH>
            <wp:positionV relativeFrom="paragraph">
              <wp:posOffset>138430</wp:posOffset>
            </wp:positionV>
            <wp:extent cx="3841750" cy="635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310"/>
                    <a:stretch>
                      <a:fillRect/>
                    </a:stretch>
                  </pic:blipFill>
                  <pic:spPr>
                    <a:xfrm>
                      <a:off x="0" y="0"/>
                      <a:ext cx="3841777" cy="6415"/>
                    </a:xfrm>
                    <a:prstGeom prst="rect">
                      <a:avLst/>
                    </a:prstGeom>
                  </pic:spPr>
                </pic:pic>
              </a:graphicData>
            </a:graphic>
          </wp:anchor>
        </w:drawing>
      </w:r>
    </w:p>
    <w:p w14:paraId="200F57E3">
      <w:pPr>
        <w:pStyle w:val="2"/>
        <w:spacing w:line="251" w:lineRule="auto"/>
        <w:rPr>
          <w:highlight w:val="none"/>
        </w:rPr>
      </w:pPr>
    </w:p>
    <w:p w14:paraId="61650067">
      <w:pPr>
        <w:pStyle w:val="2"/>
        <w:spacing w:line="251" w:lineRule="auto"/>
        <w:rPr>
          <w:highlight w:val="none"/>
        </w:rPr>
      </w:pPr>
    </w:p>
    <w:p w14:paraId="05EF4737">
      <w:pPr>
        <w:spacing w:before="69" w:line="219" w:lineRule="auto"/>
        <w:ind w:left="430"/>
        <w:rPr>
          <w:rFonts w:ascii="宋体" w:hAnsi="宋体" w:eastAsia="宋体" w:cs="宋体"/>
          <w:sz w:val="21"/>
          <w:szCs w:val="21"/>
          <w:highlight w:val="none"/>
        </w:rPr>
      </w:pPr>
      <w:r>
        <w:rPr>
          <w:rFonts w:ascii="宋体" w:hAnsi="宋体" w:eastAsia="宋体" w:cs="宋体"/>
          <w:spacing w:val="-4"/>
          <w:sz w:val="21"/>
          <w:szCs w:val="21"/>
          <w:highlight w:val="none"/>
        </w:rPr>
        <w:t>代理人无转委托权。</w:t>
      </w:r>
    </w:p>
    <w:p w14:paraId="4588C7E1">
      <w:pPr>
        <w:pStyle w:val="2"/>
        <w:spacing w:line="249" w:lineRule="auto"/>
        <w:rPr>
          <w:highlight w:val="none"/>
        </w:rPr>
      </w:pPr>
    </w:p>
    <w:p w14:paraId="2406845C">
      <w:pPr>
        <w:pStyle w:val="2"/>
        <w:spacing w:line="249" w:lineRule="auto"/>
        <w:rPr>
          <w:highlight w:val="none"/>
        </w:rPr>
      </w:pPr>
    </w:p>
    <w:p w14:paraId="4C46D00A">
      <w:pPr>
        <w:spacing w:before="68" w:line="219" w:lineRule="auto"/>
        <w:ind w:left="420"/>
        <w:rPr>
          <w:rFonts w:ascii="宋体" w:hAnsi="宋体" w:eastAsia="宋体" w:cs="宋体"/>
          <w:sz w:val="21"/>
          <w:szCs w:val="21"/>
          <w:highlight w:val="none"/>
        </w:rPr>
      </w:pPr>
      <w:r>
        <w:rPr>
          <w:rFonts w:ascii="宋体" w:hAnsi="宋体" w:eastAsia="宋体" w:cs="宋体"/>
          <w:spacing w:val="1"/>
          <w:sz w:val="21"/>
          <w:szCs w:val="21"/>
          <w:highlight w:val="none"/>
        </w:rPr>
        <w:t>附：法定代表人身份证明</w:t>
      </w:r>
    </w:p>
    <w:p w14:paraId="7A2FCB69">
      <w:pPr>
        <w:pStyle w:val="2"/>
        <w:spacing w:line="272" w:lineRule="auto"/>
        <w:rPr>
          <w:highlight w:val="none"/>
        </w:rPr>
      </w:pPr>
    </w:p>
    <w:p w14:paraId="21214B37">
      <w:pPr>
        <w:pStyle w:val="2"/>
        <w:spacing w:line="272" w:lineRule="auto"/>
        <w:rPr>
          <w:highlight w:val="none"/>
        </w:rPr>
      </w:pPr>
    </w:p>
    <w:p w14:paraId="6BCB9014">
      <w:pPr>
        <w:pStyle w:val="2"/>
        <w:spacing w:line="273" w:lineRule="auto"/>
        <w:rPr>
          <w:highlight w:val="none"/>
        </w:rPr>
      </w:pPr>
    </w:p>
    <w:p w14:paraId="004EAF2B">
      <w:pPr>
        <w:spacing w:before="68" w:line="219" w:lineRule="auto"/>
        <w:ind w:right="7"/>
        <w:jc w:val="right"/>
        <w:rPr>
          <w:rFonts w:ascii="宋体" w:hAnsi="宋体" w:eastAsia="宋体" w:cs="宋体"/>
          <w:sz w:val="21"/>
          <w:szCs w:val="21"/>
          <w:highlight w:val="none"/>
        </w:rPr>
      </w:pPr>
      <w:r>
        <w:rPr>
          <w:rFonts w:ascii="宋体" w:hAnsi="宋体" w:eastAsia="宋体" w:cs="宋体"/>
          <w:spacing w:val="-10"/>
          <w:sz w:val="21"/>
          <w:szCs w:val="21"/>
          <w:highlight w:val="none"/>
        </w:rPr>
        <w:t>投  标</w:t>
      </w:r>
      <w:r>
        <w:rPr>
          <w:rFonts w:ascii="宋体" w:hAnsi="宋体" w:eastAsia="宋体" w:cs="宋体"/>
          <w:spacing w:val="7"/>
          <w:sz w:val="21"/>
          <w:szCs w:val="21"/>
          <w:highlight w:val="none"/>
        </w:rPr>
        <w:t xml:space="preserve">  </w:t>
      </w:r>
      <w:r>
        <w:rPr>
          <w:rFonts w:ascii="宋体" w:hAnsi="宋体" w:eastAsia="宋体" w:cs="宋体"/>
          <w:spacing w:val="-10"/>
          <w:sz w:val="21"/>
          <w:szCs w:val="21"/>
          <w:highlight w:val="none"/>
        </w:rPr>
        <w:t>人：</w:t>
      </w:r>
      <w:r>
        <w:rPr>
          <w:rFonts w:ascii="宋体" w:hAnsi="宋体" w:eastAsia="宋体" w:cs="宋体"/>
          <w:sz w:val="21"/>
          <w:szCs w:val="21"/>
          <w:highlight w:val="none"/>
          <w:u w:val="single" w:color="auto"/>
        </w:rPr>
        <w:t xml:space="preserve">                        </w:t>
      </w:r>
      <w:r>
        <w:rPr>
          <w:rFonts w:ascii="宋体" w:hAnsi="宋体" w:eastAsia="宋体" w:cs="宋体"/>
          <w:spacing w:val="-10"/>
          <w:sz w:val="21"/>
          <w:szCs w:val="21"/>
          <w:highlight w:val="none"/>
        </w:rPr>
        <w:t>(盖单位章)</w:t>
      </w:r>
    </w:p>
    <w:p w14:paraId="5D043508">
      <w:pPr>
        <w:pStyle w:val="2"/>
        <w:spacing w:line="241" w:lineRule="auto"/>
        <w:rPr>
          <w:highlight w:val="none"/>
        </w:rPr>
      </w:pPr>
    </w:p>
    <w:p w14:paraId="4B333613">
      <w:pPr>
        <w:pStyle w:val="2"/>
        <w:spacing w:line="242" w:lineRule="auto"/>
        <w:rPr>
          <w:highlight w:val="none"/>
        </w:rPr>
      </w:pPr>
    </w:p>
    <w:p w14:paraId="4E251595">
      <w:pPr>
        <w:spacing w:before="69" w:line="213" w:lineRule="auto"/>
        <w:ind w:right="7"/>
        <w:jc w:val="right"/>
        <w:rPr>
          <w:rFonts w:ascii="宋体" w:hAnsi="宋体" w:eastAsia="宋体" w:cs="宋体"/>
          <w:sz w:val="21"/>
          <w:szCs w:val="21"/>
          <w:highlight w:val="none"/>
        </w:rPr>
      </w:pPr>
      <w:r>
        <w:rPr>
          <w:rFonts w:ascii="宋体" w:hAnsi="宋体" w:eastAsia="宋体" w:cs="宋体"/>
          <w:spacing w:val="-9"/>
          <w:sz w:val="21"/>
          <w:szCs w:val="21"/>
          <w:highlight w:val="none"/>
        </w:rPr>
        <w:t>法定代表人：_</w:t>
      </w:r>
      <w:r>
        <w:rPr>
          <w:rFonts w:ascii="宋体" w:hAnsi="宋体" w:eastAsia="宋体" w:cs="宋体"/>
          <w:spacing w:val="-9"/>
          <w:sz w:val="21"/>
          <w:szCs w:val="21"/>
          <w:highlight w:val="none"/>
          <w:u w:val="single" w:color="auto"/>
        </w:rPr>
        <w:t xml:space="preserve">             </w:t>
      </w:r>
      <w:r>
        <w:rPr>
          <w:rFonts w:ascii="宋体" w:hAnsi="宋体" w:eastAsia="宋体" w:cs="宋体"/>
          <w:spacing w:val="-10"/>
          <w:sz w:val="21"/>
          <w:szCs w:val="21"/>
          <w:highlight w:val="none"/>
          <w:u w:val="single" w:color="auto"/>
        </w:rPr>
        <w:t xml:space="preserve">                 </w:t>
      </w:r>
      <w:r>
        <w:rPr>
          <w:rFonts w:ascii="宋体" w:hAnsi="宋体" w:eastAsia="宋体" w:cs="宋体"/>
          <w:spacing w:val="-10"/>
          <w:sz w:val="21"/>
          <w:szCs w:val="21"/>
          <w:highlight w:val="none"/>
        </w:rPr>
        <w:t>(签字)</w:t>
      </w:r>
    </w:p>
    <w:p w14:paraId="70CBB5DE">
      <w:pPr>
        <w:pStyle w:val="2"/>
        <w:spacing w:line="476" w:lineRule="auto"/>
        <w:rPr>
          <w:highlight w:val="none"/>
        </w:rPr>
      </w:pPr>
    </w:p>
    <w:p w14:paraId="7F1DF526">
      <w:pPr>
        <w:spacing w:before="69" w:line="213" w:lineRule="auto"/>
        <w:ind w:left="3600"/>
        <w:rPr>
          <w:rFonts w:ascii="宋体" w:hAnsi="宋体" w:eastAsia="宋体" w:cs="宋体"/>
          <w:sz w:val="21"/>
          <w:szCs w:val="21"/>
          <w:highlight w:val="none"/>
        </w:rPr>
      </w:pPr>
      <w:r>
        <w:rPr>
          <w:rFonts w:ascii="宋体" w:hAnsi="宋体" w:eastAsia="宋体" w:cs="宋体"/>
          <w:spacing w:val="-21"/>
          <w:sz w:val="21"/>
          <w:szCs w:val="21"/>
          <w:highlight w:val="none"/>
        </w:rPr>
        <w:t>身份证号码：_</w:t>
      </w:r>
      <w:r>
        <w:rPr>
          <w:rFonts w:ascii="宋体" w:hAnsi="宋体" w:eastAsia="宋体" w:cs="宋体"/>
          <w:spacing w:val="-84"/>
          <w:sz w:val="21"/>
          <w:szCs w:val="21"/>
          <w:highlight w:val="none"/>
        </w:rPr>
        <w:t xml:space="preserve"> </w:t>
      </w:r>
      <w:r>
        <w:rPr>
          <w:rFonts w:ascii="宋体" w:hAnsi="宋体" w:eastAsia="宋体" w:cs="宋体"/>
          <w:sz w:val="21"/>
          <w:szCs w:val="21"/>
          <w:highlight w:val="none"/>
          <w:u w:val="single" w:color="auto"/>
        </w:rPr>
        <w:t xml:space="preserve">                                  </w:t>
      </w:r>
    </w:p>
    <w:p w14:paraId="6230EA8C">
      <w:pPr>
        <w:pStyle w:val="2"/>
        <w:spacing w:line="243" w:lineRule="auto"/>
        <w:rPr>
          <w:highlight w:val="none"/>
        </w:rPr>
      </w:pPr>
    </w:p>
    <w:p w14:paraId="688C32B4">
      <w:pPr>
        <w:pStyle w:val="2"/>
        <w:spacing w:line="243" w:lineRule="auto"/>
        <w:rPr>
          <w:highlight w:val="none"/>
        </w:rPr>
      </w:pPr>
    </w:p>
    <w:p w14:paraId="501EC3BD">
      <w:pPr>
        <w:spacing w:before="68" w:line="213" w:lineRule="auto"/>
        <w:ind w:right="7"/>
        <w:jc w:val="right"/>
        <w:rPr>
          <w:rFonts w:ascii="宋体" w:hAnsi="宋体" w:eastAsia="宋体" w:cs="宋体"/>
          <w:sz w:val="21"/>
          <w:szCs w:val="21"/>
          <w:highlight w:val="none"/>
        </w:rPr>
      </w:pPr>
      <w:r>
        <w:rPr>
          <w:rFonts w:ascii="宋体" w:hAnsi="宋体" w:eastAsia="宋体" w:cs="宋体"/>
          <w:spacing w:val="-19"/>
          <w:sz w:val="21"/>
          <w:szCs w:val="21"/>
          <w:highlight w:val="none"/>
        </w:rPr>
        <w:t>委托代理人：_</w:t>
      </w:r>
      <w:r>
        <w:rPr>
          <w:rFonts w:ascii="宋体" w:hAnsi="宋体" w:eastAsia="宋体" w:cs="宋体"/>
          <w:spacing w:val="-86"/>
          <w:sz w:val="21"/>
          <w:szCs w:val="21"/>
          <w:highlight w:val="none"/>
        </w:rPr>
        <w:t xml:space="preserve"> </w:t>
      </w:r>
      <w:r>
        <w:rPr>
          <w:rFonts w:ascii="宋体" w:hAnsi="宋体" w:eastAsia="宋体" w:cs="宋体"/>
          <w:spacing w:val="3"/>
          <w:sz w:val="21"/>
          <w:szCs w:val="21"/>
          <w:highlight w:val="none"/>
          <w:u w:val="single" w:color="auto"/>
        </w:rPr>
        <w:t xml:space="preserve">                           </w:t>
      </w:r>
      <w:r>
        <w:rPr>
          <w:rFonts w:ascii="宋体" w:hAnsi="宋体" w:eastAsia="宋体" w:cs="宋体"/>
          <w:spacing w:val="-19"/>
          <w:sz w:val="21"/>
          <w:szCs w:val="21"/>
          <w:highlight w:val="none"/>
        </w:rPr>
        <w:t>(签字)</w:t>
      </w:r>
    </w:p>
    <w:p w14:paraId="2619FFA4">
      <w:pPr>
        <w:pStyle w:val="2"/>
        <w:spacing w:line="247" w:lineRule="auto"/>
        <w:rPr>
          <w:highlight w:val="none"/>
        </w:rPr>
      </w:pPr>
    </w:p>
    <w:p w14:paraId="47D6BCD6">
      <w:pPr>
        <w:pStyle w:val="2"/>
        <w:spacing w:line="247" w:lineRule="auto"/>
        <w:rPr>
          <w:highlight w:val="none"/>
        </w:rPr>
      </w:pPr>
    </w:p>
    <w:p w14:paraId="73DFED43">
      <w:pPr>
        <w:spacing w:before="69" w:line="219" w:lineRule="auto"/>
        <w:ind w:left="3590"/>
        <w:rPr>
          <w:rFonts w:ascii="宋体" w:hAnsi="宋体" w:eastAsia="宋体" w:cs="宋体"/>
          <w:sz w:val="21"/>
          <w:szCs w:val="21"/>
          <w:highlight w:val="none"/>
        </w:rPr>
      </w:pPr>
      <w:r>
        <w:rPr>
          <w:rFonts w:ascii="宋体" w:hAnsi="宋体" w:eastAsia="宋体" w:cs="宋体"/>
          <w:spacing w:val="-2"/>
          <w:sz w:val="21"/>
          <w:szCs w:val="21"/>
          <w:highlight w:val="none"/>
        </w:rPr>
        <w:t>身份证号码：</w:t>
      </w:r>
      <w:r>
        <w:rPr>
          <w:rFonts w:ascii="宋体" w:hAnsi="宋体" w:eastAsia="宋体" w:cs="宋体"/>
          <w:sz w:val="21"/>
          <w:szCs w:val="21"/>
          <w:highlight w:val="none"/>
          <w:u w:val="single" w:color="auto"/>
        </w:rPr>
        <w:t xml:space="preserve">                                  </w:t>
      </w:r>
    </w:p>
    <w:p w14:paraId="3481C73F">
      <w:pPr>
        <w:pStyle w:val="2"/>
        <w:spacing w:line="455" w:lineRule="auto"/>
        <w:rPr>
          <w:highlight w:val="none"/>
        </w:rPr>
      </w:pPr>
    </w:p>
    <w:p w14:paraId="3BF391E2">
      <w:pPr>
        <w:tabs>
          <w:tab w:val="left" w:pos="5679"/>
        </w:tabs>
        <w:spacing w:before="69" w:line="223" w:lineRule="auto"/>
        <w:ind w:left="4830"/>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93"/>
          <w:sz w:val="21"/>
          <w:szCs w:val="21"/>
          <w:highlight w:val="none"/>
        </w:rPr>
        <w:t xml:space="preserve"> </w:t>
      </w:r>
      <w:r>
        <w:rPr>
          <w:rFonts w:ascii="宋体" w:hAnsi="宋体" w:eastAsia="宋体" w:cs="宋体"/>
          <w:spacing w:val="-6"/>
          <w:w w:val="67"/>
          <w:sz w:val="21"/>
          <w:szCs w:val="21"/>
          <w:highlight w:val="none"/>
        </w:rPr>
        <w:t>年_</w:t>
      </w:r>
      <w:r>
        <w:rPr>
          <w:rFonts w:ascii="宋体" w:hAnsi="宋体" w:eastAsia="宋体" w:cs="宋体"/>
          <w:spacing w:val="14"/>
          <w:sz w:val="21"/>
          <w:szCs w:val="21"/>
          <w:highlight w:val="none"/>
          <w:u w:val="single" w:color="auto"/>
        </w:rPr>
        <w:t xml:space="preserve">       </w:t>
      </w:r>
      <w:r>
        <w:rPr>
          <w:rFonts w:ascii="宋体" w:hAnsi="宋体" w:eastAsia="宋体" w:cs="宋体"/>
          <w:spacing w:val="-7"/>
          <w:position w:val="-2"/>
          <w:sz w:val="21"/>
          <w:szCs w:val="21"/>
          <w:highlight w:val="none"/>
        </w:rPr>
        <w:t>月</w:t>
      </w:r>
      <w:r>
        <w:rPr>
          <w:rFonts w:ascii="宋体" w:hAnsi="宋体" w:eastAsia="宋体" w:cs="宋体"/>
          <w:spacing w:val="-85"/>
          <w:position w:val="-2"/>
          <w:sz w:val="21"/>
          <w:szCs w:val="21"/>
          <w:highlight w:val="none"/>
        </w:rPr>
        <w:t xml:space="preserve"> </w:t>
      </w:r>
      <w:r>
        <w:rPr>
          <w:rFonts w:ascii="宋体" w:hAnsi="宋体" w:eastAsia="宋体" w:cs="宋体"/>
          <w:spacing w:val="1"/>
          <w:position w:val="-2"/>
          <w:sz w:val="21"/>
          <w:szCs w:val="21"/>
          <w:highlight w:val="none"/>
          <w:u w:val="single" w:color="auto"/>
        </w:rPr>
        <w:t xml:space="preserve">        </w:t>
      </w:r>
      <w:r>
        <w:rPr>
          <w:rFonts w:ascii="宋体" w:hAnsi="宋体" w:eastAsia="宋体" w:cs="宋体"/>
          <w:spacing w:val="-83"/>
          <w:position w:val="-2"/>
          <w:sz w:val="21"/>
          <w:szCs w:val="21"/>
          <w:highlight w:val="none"/>
        </w:rPr>
        <w:t xml:space="preserve"> </w:t>
      </w:r>
      <w:r>
        <w:rPr>
          <w:rFonts w:ascii="宋体" w:hAnsi="宋体" w:eastAsia="宋体" w:cs="宋体"/>
          <w:spacing w:val="-7"/>
          <w:position w:val="2"/>
          <w:sz w:val="21"/>
          <w:szCs w:val="21"/>
          <w:highlight w:val="none"/>
        </w:rPr>
        <w:t>日</w:t>
      </w:r>
    </w:p>
    <w:p w14:paraId="271F3B05">
      <w:pPr>
        <w:spacing w:line="223" w:lineRule="auto"/>
        <w:rPr>
          <w:rFonts w:ascii="宋体" w:hAnsi="宋体" w:eastAsia="宋体" w:cs="宋体"/>
          <w:sz w:val="21"/>
          <w:szCs w:val="21"/>
          <w:highlight w:val="none"/>
        </w:rPr>
        <w:sectPr>
          <w:footerReference r:id="rId56" w:type="default"/>
          <w:pgSz w:w="11910" w:h="16840"/>
          <w:pgMar w:top="400" w:right="1786" w:bottom="1220" w:left="1779" w:header="0" w:footer="947" w:gutter="0"/>
          <w:cols w:space="720" w:num="1"/>
        </w:sectPr>
      </w:pPr>
    </w:p>
    <w:p w14:paraId="615E1CFC">
      <w:pPr>
        <w:pStyle w:val="2"/>
        <w:spacing w:line="277" w:lineRule="auto"/>
        <w:rPr>
          <w:highlight w:val="none"/>
        </w:rPr>
      </w:pPr>
    </w:p>
    <w:p w14:paraId="33F04C71">
      <w:pPr>
        <w:pStyle w:val="2"/>
        <w:spacing w:line="277" w:lineRule="auto"/>
        <w:rPr>
          <w:highlight w:val="none"/>
        </w:rPr>
      </w:pPr>
    </w:p>
    <w:p w14:paraId="40650F4F">
      <w:pPr>
        <w:pStyle w:val="2"/>
        <w:spacing w:line="277" w:lineRule="auto"/>
        <w:rPr>
          <w:highlight w:val="none"/>
        </w:rPr>
      </w:pPr>
    </w:p>
    <w:p w14:paraId="6083A992">
      <w:pPr>
        <w:pStyle w:val="2"/>
        <w:spacing w:line="278" w:lineRule="auto"/>
        <w:rPr>
          <w:highlight w:val="none"/>
        </w:rPr>
      </w:pPr>
    </w:p>
    <w:p w14:paraId="37B80FFD">
      <w:pPr>
        <w:pStyle w:val="2"/>
        <w:spacing w:line="278" w:lineRule="auto"/>
        <w:rPr>
          <w:highlight w:val="none"/>
        </w:rPr>
      </w:pPr>
    </w:p>
    <w:p w14:paraId="0687CD8E">
      <w:pPr>
        <w:spacing w:before="104" w:line="221" w:lineRule="auto"/>
        <w:ind w:left="1854"/>
        <w:outlineLvl w:val="0"/>
        <w:rPr>
          <w:rFonts w:ascii="黑体" w:hAnsi="黑体" w:eastAsia="黑体" w:cs="黑体"/>
          <w:sz w:val="32"/>
          <w:szCs w:val="32"/>
          <w:highlight w:val="none"/>
        </w:rPr>
      </w:pPr>
      <w:bookmarkStart w:id="61" w:name="bookmark30"/>
      <w:bookmarkEnd w:id="61"/>
      <w:bookmarkStart w:id="62" w:name="bookmark214"/>
      <w:bookmarkEnd w:id="62"/>
      <w:r>
        <w:rPr>
          <w:rFonts w:ascii="黑体" w:hAnsi="黑体" w:eastAsia="黑体" w:cs="黑体"/>
          <w:spacing w:val="40"/>
          <w:sz w:val="32"/>
          <w:szCs w:val="32"/>
          <w:highlight w:val="none"/>
        </w:rPr>
        <w:t>第三章评标办法(综合评估法)</w:t>
      </w:r>
    </w:p>
    <w:p w14:paraId="2585CA27">
      <w:pPr>
        <w:spacing w:before="175" w:line="221" w:lineRule="auto"/>
        <w:ind w:left="134"/>
        <w:outlineLvl w:val="1"/>
        <w:rPr>
          <w:rFonts w:ascii="黑体" w:hAnsi="黑体" w:eastAsia="黑体" w:cs="黑体"/>
          <w:sz w:val="28"/>
          <w:szCs w:val="28"/>
          <w:highlight w:val="none"/>
        </w:rPr>
      </w:pPr>
      <w:bookmarkStart w:id="63" w:name="bookmark31"/>
      <w:bookmarkEnd w:id="63"/>
      <w:r>
        <w:rPr>
          <w:rFonts w:ascii="黑体" w:hAnsi="黑体" w:eastAsia="黑体" w:cs="黑体"/>
          <w:spacing w:val="4"/>
          <w:sz w:val="28"/>
          <w:szCs w:val="28"/>
          <w:highlight w:val="none"/>
        </w:rPr>
        <w:t>评标办法前附表</w:t>
      </w:r>
    </w:p>
    <w:p w14:paraId="7EA12910">
      <w:pPr>
        <w:spacing w:before="79"/>
        <w:rPr>
          <w:highlight w:val="none"/>
        </w:rPr>
      </w:pPr>
    </w:p>
    <w:tbl>
      <w:tblPr>
        <w:tblStyle w:val="5"/>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03"/>
        <w:gridCol w:w="1199"/>
        <w:gridCol w:w="1348"/>
        <w:gridCol w:w="1348"/>
        <w:gridCol w:w="3411"/>
      </w:tblGrid>
      <w:tr w14:paraId="67F69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1203" w:type="dxa"/>
            <w:vMerge w:val="restart"/>
            <w:tcBorders>
              <w:bottom w:val="nil"/>
            </w:tcBorders>
            <w:vAlign w:val="top"/>
          </w:tcPr>
          <w:p w14:paraId="3D839BA4">
            <w:pPr>
              <w:spacing w:line="242" w:lineRule="auto"/>
              <w:rPr>
                <w:rFonts w:ascii="Arial"/>
                <w:sz w:val="21"/>
                <w:highlight w:val="none"/>
              </w:rPr>
            </w:pPr>
          </w:p>
          <w:p w14:paraId="1F345349">
            <w:pPr>
              <w:spacing w:line="242" w:lineRule="auto"/>
              <w:rPr>
                <w:rFonts w:ascii="Arial"/>
                <w:sz w:val="21"/>
                <w:highlight w:val="none"/>
              </w:rPr>
            </w:pPr>
          </w:p>
          <w:p w14:paraId="5DDD2F79">
            <w:pPr>
              <w:spacing w:line="242" w:lineRule="auto"/>
              <w:rPr>
                <w:rFonts w:ascii="Arial"/>
                <w:sz w:val="21"/>
                <w:highlight w:val="none"/>
              </w:rPr>
            </w:pPr>
          </w:p>
          <w:p w14:paraId="5E762361">
            <w:pPr>
              <w:spacing w:line="242" w:lineRule="auto"/>
              <w:rPr>
                <w:rFonts w:ascii="Arial"/>
                <w:sz w:val="21"/>
                <w:highlight w:val="none"/>
              </w:rPr>
            </w:pPr>
          </w:p>
          <w:p w14:paraId="64ADF62D">
            <w:pPr>
              <w:spacing w:line="242" w:lineRule="auto"/>
              <w:rPr>
                <w:rFonts w:ascii="Arial"/>
                <w:sz w:val="21"/>
                <w:highlight w:val="none"/>
              </w:rPr>
            </w:pPr>
          </w:p>
          <w:p w14:paraId="0B1C708B">
            <w:pPr>
              <w:spacing w:line="242" w:lineRule="auto"/>
              <w:rPr>
                <w:rFonts w:ascii="Arial"/>
                <w:sz w:val="21"/>
                <w:highlight w:val="none"/>
              </w:rPr>
            </w:pPr>
          </w:p>
          <w:p w14:paraId="7664BDA5">
            <w:pPr>
              <w:spacing w:line="242" w:lineRule="auto"/>
              <w:rPr>
                <w:rFonts w:ascii="Arial"/>
                <w:sz w:val="21"/>
                <w:highlight w:val="none"/>
              </w:rPr>
            </w:pPr>
          </w:p>
          <w:p w14:paraId="06E4E323">
            <w:pPr>
              <w:spacing w:line="242" w:lineRule="auto"/>
              <w:rPr>
                <w:rFonts w:ascii="Arial"/>
                <w:sz w:val="21"/>
                <w:highlight w:val="none"/>
              </w:rPr>
            </w:pPr>
          </w:p>
          <w:p w14:paraId="52CACA3D">
            <w:pPr>
              <w:spacing w:line="242" w:lineRule="auto"/>
              <w:rPr>
                <w:rFonts w:ascii="Arial"/>
                <w:sz w:val="21"/>
                <w:highlight w:val="none"/>
              </w:rPr>
            </w:pPr>
          </w:p>
          <w:p w14:paraId="06C9CA86">
            <w:pPr>
              <w:spacing w:line="242" w:lineRule="auto"/>
              <w:rPr>
                <w:rFonts w:ascii="Arial"/>
                <w:sz w:val="21"/>
                <w:highlight w:val="none"/>
              </w:rPr>
            </w:pPr>
          </w:p>
          <w:p w14:paraId="65EB9453">
            <w:pPr>
              <w:spacing w:line="242" w:lineRule="auto"/>
              <w:rPr>
                <w:rFonts w:ascii="Arial"/>
                <w:sz w:val="21"/>
                <w:highlight w:val="none"/>
              </w:rPr>
            </w:pPr>
          </w:p>
          <w:p w14:paraId="5E6A8BE2">
            <w:pPr>
              <w:spacing w:line="242" w:lineRule="auto"/>
              <w:rPr>
                <w:rFonts w:ascii="Arial"/>
                <w:sz w:val="21"/>
                <w:highlight w:val="none"/>
              </w:rPr>
            </w:pPr>
          </w:p>
          <w:p w14:paraId="285A5E0A">
            <w:pPr>
              <w:spacing w:line="242" w:lineRule="auto"/>
              <w:rPr>
                <w:rFonts w:ascii="Arial"/>
                <w:sz w:val="21"/>
                <w:highlight w:val="none"/>
              </w:rPr>
            </w:pPr>
          </w:p>
          <w:p w14:paraId="204794FD">
            <w:pPr>
              <w:spacing w:line="242" w:lineRule="auto"/>
              <w:rPr>
                <w:rFonts w:ascii="Arial"/>
                <w:sz w:val="21"/>
                <w:highlight w:val="none"/>
              </w:rPr>
            </w:pPr>
          </w:p>
          <w:p w14:paraId="30482231">
            <w:pPr>
              <w:spacing w:line="242" w:lineRule="auto"/>
              <w:rPr>
                <w:rFonts w:ascii="Arial"/>
                <w:sz w:val="21"/>
                <w:highlight w:val="none"/>
              </w:rPr>
            </w:pPr>
          </w:p>
          <w:p w14:paraId="68B2BEFF">
            <w:pPr>
              <w:spacing w:line="242" w:lineRule="auto"/>
              <w:rPr>
                <w:rFonts w:ascii="Arial"/>
                <w:sz w:val="21"/>
                <w:highlight w:val="none"/>
              </w:rPr>
            </w:pPr>
          </w:p>
          <w:p w14:paraId="4DBF18BA">
            <w:pPr>
              <w:spacing w:line="242" w:lineRule="auto"/>
              <w:rPr>
                <w:rFonts w:ascii="Arial"/>
                <w:sz w:val="21"/>
                <w:highlight w:val="none"/>
              </w:rPr>
            </w:pPr>
          </w:p>
          <w:p w14:paraId="5EA4D28A">
            <w:pPr>
              <w:spacing w:line="242" w:lineRule="auto"/>
              <w:rPr>
                <w:rFonts w:ascii="Arial"/>
                <w:sz w:val="21"/>
                <w:highlight w:val="none"/>
              </w:rPr>
            </w:pPr>
          </w:p>
          <w:p w14:paraId="7D200C2E">
            <w:pPr>
              <w:spacing w:line="242" w:lineRule="auto"/>
              <w:rPr>
                <w:rFonts w:ascii="Arial"/>
                <w:sz w:val="21"/>
                <w:highlight w:val="none"/>
              </w:rPr>
            </w:pPr>
          </w:p>
          <w:p w14:paraId="4F83A44E">
            <w:pPr>
              <w:spacing w:line="242" w:lineRule="auto"/>
              <w:rPr>
                <w:rFonts w:ascii="Arial"/>
                <w:sz w:val="21"/>
                <w:highlight w:val="none"/>
              </w:rPr>
            </w:pPr>
          </w:p>
          <w:p w14:paraId="0B760DF1">
            <w:pPr>
              <w:spacing w:line="242" w:lineRule="auto"/>
              <w:rPr>
                <w:rFonts w:ascii="Arial"/>
                <w:sz w:val="21"/>
                <w:highlight w:val="none"/>
              </w:rPr>
            </w:pPr>
          </w:p>
          <w:p w14:paraId="6C9B9FAE">
            <w:pPr>
              <w:spacing w:line="242" w:lineRule="auto"/>
              <w:rPr>
                <w:rFonts w:ascii="Arial"/>
                <w:sz w:val="21"/>
                <w:highlight w:val="none"/>
              </w:rPr>
            </w:pPr>
          </w:p>
          <w:p w14:paraId="275C0C41">
            <w:pPr>
              <w:spacing w:line="243" w:lineRule="auto"/>
              <w:rPr>
                <w:rFonts w:ascii="Arial"/>
                <w:sz w:val="21"/>
                <w:highlight w:val="none"/>
              </w:rPr>
            </w:pPr>
          </w:p>
          <w:p w14:paraId="5DB6065B">
            <w:pPr>
              <w:spacing w:line="243" w:lineRule="auto"/>
              <w:rPr>
                <w:rFonts w:ascii="Arial"/>
                <w:sz w:val="21"/>
                <w:highlight w:val="none"/>
              </w:rPr>
            </w:pPr>
          </w:p>
          <w:p w14:paraId="484F01BC">
            <w:pPr>
              <w:pStyle w:val="6"/>
              <w:spacing w:before="68" w:line="239" w:lineRule="auto"/>
              <w:ind w:left="444"/>
              <w:rPr>
                <w:highlight w:val="none"/>
              </w:rPr>
            </w:pPr>
            <w:r>
              <w:rPr>
                <w:spacing w:val="-3"/>
                <w:highlight w:val="none"/>
              </w:rPr>
              <w:t>2.1</w:t>
            </w:r>
          </w:p>
        </w:tc>
        <w:tc>
          <w:tcPr>
            <w:tcW w:w="1199" w:type="dxa"/>
            <w:vMerge w:val="restart"/>
            <w:tcBorders>
              <w:bottom w:val="nil"/>
            </w:tcBorders>
            <w:vAlign w:val="top"/>
          </w:tcPr>
          <w:p w14:paraId="52E879E4">
            <w:pPr>
              <w:spacing w:line="241" w:lineRule="auto"/>
              <w:rPr>
                <w:rFonts w:ascii="Arial"/>
                <w:sz w:val="21"/>
                <w:highlight w:val="none"/>
              </w:rPr>
            </w:pPr>
          </w:p>
          <w:p w14:paraId="2A30FD76">
            <w:pPr>
              <w:spacing w:line="241" w:lineRule="auto"/>
              <w:rPr>
                <w:rFonts w:ascii="Arial"/>
                <w:sz w:val="21"/>
                <w:highlight w:val="none"/>
              </w:rPr>
            </w:pPr>
          </w:p>
          <w:p w14:paraId="1E95B025">
            <w:pPr>
              <w:spacing w:line="241" w:lineRule="auto"/>
              <w:rPr>
                <w:rFonts w:ascii="Arial"/>
                <w:sz w:val="21"/>
                <w:highlight w:val="none"/>
              </w:rPr>
            </w:pPr>
          </w:p>
          <w:p w14:paraId="5F9CB4B2">
            <w:pPr>
              <w:spacing w:line="241" w:lineRule="auto"/>
              <w:rPr>
                <w:rFonts w:ascii="Arial"/>
                <w:sz w:val="21"/>
                <w:highlight w:val="none"/>
              </w:rPr>
            </w:pPr>
          </w:p>
          <w:p w14:paraId="50F65F5C">
            <w:pPr>
              <w:spacing w:line="241" w:lineRule="auto"/>
              <w:rPr>
                <w:rFonts w:ascii="Arial"/>
                <w:sz w:val="21"/>
                <w:highlight w:val="none"/>
              </w:rPr>
            </w:pPr>
          </w:p>
          <w:p w14:paraId="654F19B6">
            <w:pPr>
              <w:spacing w:line="241" w:lineRule="auto"/>
              <w:rPr>
                <w:rFonts w:ascii="Arial"/>
                <w:sz w:val="21"/>
                <w:highlight w:val="none"/>
              </w:rPr>
            </w:pPr>
          </w:p>
          <w:p w14:paraId="7A3279FC">
            <w:pPr>
              <w:spacing w:line="241" w:lineRule="auto"/>
              <w:rPr>
                <w:rFonts w:ascii="Arial"/>
                <w:sz w:val="21"/>
                <w:highlight w:val="none"/>
              </w:rPr>
            </w:pPr>
          </w:p>
          <w:p w14:paraId="0EA1F25D">
            <w:pPr>
              <w:spacing w:line="241" w:lineRule="auto"/>
              <w:rPr>
                <w:rFonts w:ascii="Arial"/>
                <w:sz w:val="21"/>
                <w:highlight w:val="none"/>
              </w:rPr>
            </w:pPr>
          </w:p>
          <w:p w14:paraId="334E6094">
            <w:pPr>
              <w:spacing w:line="241" w:lineRule="auto"/>
              <w:rPr>
                <w:rFonts w:ascii="Arial"/>
                <w:sz w:val="21"/>
                <w:highlight w:val="none"/>
              </w:rPr>
            </w:pPr>
          </w:p>
          <w:p w14:paraId="75067C19">
            <w:pPr>
              <w:spacing w:line="241" w:lineRule="auto"/>
              <w:rPr>
                <w:rFonts w:ascii="Arial"/>
                <w:sz w:val="21"/>
                <w:highlight w:val="none"/>
              </w:rPr>
            </w:pPr>
          </w:p>
          <w:p w14:paraId="5B4A6698">
            <w:pPr>
              <w:spacing w:line="241" w:lineRule="auto"/>
              <w:rPr>
                <w:rFonts w:ascii="Arial"/>
                <w:sz w:val="21"/>
                <w:highlight w:val="none"/>
              </w:rPr>
            </w:pPr>
          </w:p>
          <w:p w14:paraId="4D00D03F">
            <w:pPr>
              <w:spacing w:line="241" w:lineRule="auto"/>
              <w:rPr>
                <w:rFonts w:ascii="Arial"/>
                <w:sz w:val="21"/>
                <w:highlight w:val="none"/>
              </w:rPr>
            </w:pPr>
          </w:p>
          <w:p w14:paraId="500C68BB">
            <w:pPr>
              <w:spacing w:line="241" w:lineRule="auto"/>
              <w:rPr>
                <w:rFonts w:ascii="Arial"/>
                <w:sz w:val="21"/>
                <w:highlight w:val="none"/>
              </w:rPr>
            </w:pPr>
          </w:p>
          <w:p w14:paraId="38F38219">
            <w:pPr>
              <w:spacing w:line="241" w:lineRule="auto"/>
              <w:rPr>
                <w:rFonts w:ascii="Arial"/>
                <w:sz w:val="21"/>
                <w:highlight w:val="none"/>
              </w:rPr>
            </w:pPr>
          </w:p>
          <w:p w14:paraId="3DD476AD">
            <w:pPr>
              <w:spacing w:line="241" w:lineRule="auto"/>
              <w:rPr>
                <w:rFonts w:ascii="Arial"/>
                <w:sz w:val="21"/>
                <w:highlight w:val="none"/>
              </w:rPr>
            </w:pPr>
          </w:p>
          <w:p w14:paraId="4B959144">
            <w:pPr>
              <w:spacing w:line="241" w:lineRule="auto"/>
              <w:rPr>
                <w:rFonts w:ascii="Arial"/>
                <w:sz w:val="21"/>
                <w:highlight w:val="none"/>
              </w:rPr>
            </w:pPr>
          </w:p>
          <w:p w14:paraId="2585BDEA">
            <w:pPr>
              <w:spacing w:line="241" w:lineRule="auto"/>
              <w:rPr>
                <w:rFonts w:ascii="Arial"/>
                <w:sz w:val="21"/>
                <w:highlight w:val="none"/>
              </w:rPr>
            </w:pPr>
          </w:p>
          <w:p w14:paraId="263B6515">
            <w:pPr>
              <w:spacing w:line="241" w:lineRule="auto"/>
              <w:rPr>
                <w:rFonts w:ascii="Arial"/>
                <w:sz w:val="21"/>
                <w:highlight w:val="none"/>
              </w:rPr>
            </w:pPr>
          </w:p>
          <w:p w14:paraId="5BDD48D8">
            <w:pPr>
              <w:spacing w:line="241" w:lineRule="auto"/>
              <w:rPr>
                <w:rFonts w:ascii="Arial"/>
                <w:sz w:val="21"/>
                <w:highlight w:val="none"/>
              </w:rPr>
            </w:pPr>
          </w:p>
          <w:p w14:paraId="6613876E">
            <w:pPr>
              <w:spacing w:line="242" w:lineRule="auto"/>
              <w:rPr>
                <w:rFonts w:ascii="Arial"/>
                <w:sz w:val="21"/>
                <w:highlight w:val="none"/>
              </w:rPr>
            </w:pPr>
          </w:p>
          <w:p w14:paraId="5B4B9F83">
            <w:pPr>
              <w:spacing w:line="242" w:lineRule="auto"/>
              <w:rPr>
                <w:rFonts w:ascii="Arial"/>
                <w:sz w:val="21"/>
                <w:highlight w:val="none"/>
              </w:rPr>
            </w:pPr>
          </w:p>
          <w:p w14:paraId="70D34BD0">
            <w:pPr>
              <w:spacing w:line="242" w:lineRule="auto"/>
              <w:rPr>
                <w:rFonts w:ascii="Arial"/>
                <w:sz w:val="21"/>
                <w:highlight w:val="none"/>
              </w:rPr>
            </w:pPr>
          </w:p>
          <w:p w14:paraId="2D34F2A9">
            <w:pPr>
              <w:spacing w:line="242" w:lineRule="auto"/>
              <w:rPr>
                <w:rFonts w:ascii="Arial"/>
                <w:sz w:val="21"/>
                <w:highlight w:val="none"/>
              </w:rPr>
            </w:pPr>
          </w:p>
          <w:p w14:paraId="6E591A0C">
            <w:pPr>
              <w:spacing w:line="242" w:lineRule="auto"/>
              <w:rPr>
                <w:rFonts w:ascii="Arial"/>
                <w:sz w:val="21"/>
                <w:highlight w:val="none"/>
              </w:rPr>
            </w:pPr>
          </w:p>
          <w:p w14:paraId="5523B724">
            <w:pPr>
              <w:pStyle w:val="6"/>
              <w:spacing w:before="69" w:line="219" w:lineRule="auto"/>
              <w:ind w:left="162"/>
              <w:rPr>
                <w:highlight w:val="none"/>
              </w:rPr>
            </w:pPr>
            <w:r>
              <w:rPr>
                <w:spacing w:val="4"/>
                <w:highlight w:val="none"/>
              </w:rPr>
              <w:t>初步评审</w:t>
            </w:r>
          </w:p>
        </w:tc>
        <w:tc>
          <w:tcPr>
            <w:tcW w:w="1348" w:type="dxa"/>
            <w:vMerge w:val="restart"/>
            <w:tcBorders>
              <w:bottom w:val="nil"/>
            </w:tcBorders>
            <w:vAlign w:val="top"/>
          </w:tcPr>
          <w:p w14:paraId="37CE9CF1">
            <w:pPr>
              <w:spacing w:line="260" w:lineRule="auto"/>
              <w:rPr>
                <w:rFonts w:ascii="Arial"/>
                <w:sz w:val="21"/>
                <w:highlight w:val="none"/>
              </w:rPr>
            </w:pPr>
          </w:p>
          <w:p w14:paraId="486E04E7">
            <w:pPr>
              <w:spacing w:line="260" w:lineRule="auto"/>
              <w:rPr>
                <w:rFonts w:ascii="Arial"/>
                <w:sz w:val="21"/>
                <w:highlight w:val="none"/>
              </w:rPr>
            </w:pPr>
          </w:p>
          <w:p w14:paraId="061F6C1C">
            <w:pPr>
              <w:spacing w:line="260" w:lineRule="auto"/>
              <w:rPr>
                <w:rFonts w:ascii="Arial"/>
                <w:sz w:val="21"/>
                <w:highlight w:val="none"/>
              </w:rPr>
            </w:pPr>
          </w:p>
          <w:p w14:paraId="1D9B9FC7">
            <w:pPr>
              <w:spacing w:line="260" w:lineRule="auto"/>
              <w:rPr>
                <w:rFonts w:ascii="Arial"/>
                <w:sz w:val="21"/>
                <w:highlight w:val="none"/>
              </w:rPr>
            </w:pPr>
          </w:p>
          <w:p w14:paraId="14CE2BDC">
            <w:pPr>
              <w:spacing w:line="260" w:lineRule="auto"/>
              <w:rPr>
                <w:rFonts w:ascii="Arial"/>
                <w:sz w:val="21"/>
                <w:highlight w:val="none"/>
              </w:rPr>
            </w:pPr>
          </w:p>
          <w:p w14:paraId="1C3D6B84">
            <w:pPr>
              <w:spacing w:line="260" w:lineRule="auto"/>
              <w:rPr>
                <w:rFonts w:ascii="Arial"/>
                <w:sz w:val="21"/>
                <w:highlight w:val="none"/>
              </w:rPr>
            </w:pPr>
          </w:p>
          <w:p w14:paraId="1356D589">
            <w:pPr>
              <w:spacing w:line="260" w:lineRule="auto"/>
              <w:rPr>
                <w:rFonts w:ascii="Arial"/>
                <w:sz w:val="21"/>
                <w:highlight w:val="none"/>
              </w:rPr>
            </w:pPr>
          </w:p>
          <w:p w14:paraId="7CE0EE22">
            <w:pPr>
              <w:spacing w:line="260" w:lineRule="auto"/>
              <w:rPr>
                <w:rFonts w:ascii="Arial"/>
                <w:sz w:val="21"/>
                <w:highlight w:val="none"/>
              </w:rPr>
            </w:pPr>
          </w:p>
          <w:p w14:paraId="54FABCCA">
            <w:pPr>
              <w:spacing w:line="260" w:lineRule="auto"/>
              <w:rPr>
                <w:rFonts w:ascii="Arial"/>
                <w:sz w:val="21"/>
                <w:highlight w:val="none"/>
              </w:rPr>
            </w:pPr>
          </w:p>
          <w:p w14:paraId="56EB1784">
            <w:pPr>
              <w:spacing w:line="260" w:lineRule="auto"/>
              <w:rPr>
                <w:rFonts w:ascii="Arial"/>
                <w:sz w:val="21"/>
                <w:highlight w:val="none"/>
              </w:rPr>
            </w:pPr>
          </w:p>
          <w:p w14:paraId="05A455AB">
            <w:pPr>
              <w:pStyle w:val="6"/>
              <w:spacing w:before="68" w:line="220" w:lineRule="auto"/>
              <w:ind w:left="242"/>
              <w:rPr>
                <w:highlight w:val="none"/>
              </w:rPr>
            </w:pPr>
            <w:r>
              <w:rPr>
                <w:spacing w:val="4"/>
                <w:highlight w:val="none"/>
              </w:rPr>
              <w:t>形式评审</w:t>
            </w:r>
          </w:p>
        </w:tc>
        <w:tc>
          <w:tcPr>
            <w:tcW w:w="1348" w:type="dxa"/>
            <w:vAlign w:val="top"/>
          </w:tcPr>
          <w:p w14:paraId="69886AED">
            <w:pPr>
              <w:pStyle w:val="6"/>
              <w:spacing w:before="153" w:line="219" w:lineRule="auto"/>
              <w:ind w:left="244"/>
              <w:rPr>
                <w:highlight w:val="none"/>
              </w:rPr>
            </w:pPr>
            <w:r>
              <w:rPr>
                <w:spacing w:val="-3"/>
                <w:highlight w:val="none"/>
              </w:rPr>
              <w:t>投标文件</w:t>
            </w:r>
          </w:p>
        </w:tc>
        <w:tc>
          <w:tcPr>
            <w:tcW w:w="3411" w:type="dxa"/>
            <w:vAlign w:val="top"/>
          </w:tcPr>
          <w:p w14:paraId="31C60361">
            <w:pPr>
              <w:pStyle w:val="6"/>
              <w:spacing w:before="153" w:line="219" w:lineRule="auto"/>
              <w:ind w:left="136"/>
              <w:rPr>
                <w:highlight w:val="none"/>
              </w:rPr>
            </w:pPr>
            <w:r>
              <w:rPr>
                <w:spacing w:val="-2"/>
                <w:highlight w:val="none"/>
              </w:rPr>
              <w:t>投标文件能正常打开</w:t>
            </w:r>
          </w:p>
        </w:tc>
      </w:tr>
      <w:tr w14:paraId="29AEC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1203" w:type="dxa"/>
            <w:vMerge w:val="continue"/>
            <w:tcBorders>
              <w:top w:val="nil"/>
              <w:bottom w:val="nil"/>
            </w:tcBorders>
            <w:vAlign w:val="top"/>
          </w:tcPr>
          <w:p w14:paraId="2CB58914">
            <w:pPr>
              <w:rPr>
                <w:rFonts w:ascii="Arial"/>
                <w:sz w:val="21"/>
                <w:highlight w:val="none"/>
              </w:rPr>
            </w:pPr>
          </w:p>
        </w:tc>
        <w:tc>
          <w:tcPr>
            <w:tcW w:w="1199" w:type="dxa"/>
            <w:vMerge w:val="continue"/>
            <w:tcBorders>
              <w:top w:val="nil"/>
              <w:bottom w:val="nil"/>
            </w:tcBorders>
            <w:vAlign w:val="top"/>
          </w:tcPr>
          <w:p w14:paraId="7ACF60AD">
            <w:pPr>
              <w:rPr>
                <w:rFonts w:ascii="Arial"/>
                <w:sz w:val="21"/>
                <w:highlight w:val="none"/>
              </w:rPr>
            </w:pPr>
          </w:p>
        </w:tc>
        <w:tc>
          <w:tcPr>
            <w:tcW w:w="1348" w:type="dxa"/>
            <w:vMerge w:val="continue"/>
            <w:tcBorders>
              <w:top w:val="nil"/>
              <w:bottom w:val="nil"/>
            </w:tcBorders>
            <w:vAlign w:val="top"/>
          </w:tcPr>
          <w:p w14:paraId="0E0E0671">
            <w:pPr>
              <w:rPr>
                <w:rFonts w:ascii="Arial"/>
                <w:sz w:val="21"/>
                <w:highlight w:val="none"/>
              </w:rPr>
            </w:pPr>
          </w:p>
        </w:tc>
        <w:tc>
          <w:tcPr>
            <w:tcW w:w="1348" w:type="dxa"/>
            <w:vAlign w:val="top"/>
          </w:tcPr>
          <w:p w14:paraId="2C7D417B">
            <w:pPr>
              <w:pStyle w:val="6"/>
              <w:spacing w:before="299" w:line="220" w:lineRule="auto"/>
              <w:ind w:left="144"/>
              <w:rPr>
                <w:highlight w:val="none"/>
              </w:rPr>
            </w:pPr>
            <w:r>
              <w:rPr>
                <w:spacing w:val="2"/>
                <w:highlight w:val="none"/>
              </w:rPr>
              <w:t>投标人名称</w:t>
            </w:r>
          </w:p>
        </w:tc>
        <w:tc>
          <w:tcPr>
            <w:tcW w:w="3411" w:type="dxa"/>
            <w:vAlign w:val="top"/>
          </w:tcPr>
          <w:p w14:paraId="216F18B7">
            <w:pPr>
              <w:pStyle w:val="6"/>
              <w:spacing w:before="158" w:line="276" w:lineRule="auto"/>
              <w:ind w:left="136" w:right="100"/>
              <w:rPr>
                <w:highlight w:val="none"/>
              </w:rPr>
            </w:pPr>
            <w:r>
              <w:rPr>
                <w:highlight w:val="none"/>
              </w:rPr>
              <w:t>与营业执照、资质证书、安全生产</w:t>
            </w:r>
            <w:r>
              <w:rPr>
                <w:spacing w:val="12"/>
                <w:highlight w:val="none"/>
              </w:rPr>
              <w:t xml:space="preserve"> </w:t>
            </w:r>
            <w:r>
              <w:rPr>
                <w:spacing w:val="-2"/>
                <w:highlight w:val="none"/>
              </w:rPr>
              <w:t>许可证(如有)一致</w:t>
            </w:r>
          </w:p>
        </w:tc>
      </w:tr>
      <w:tr w14:paraId="581AD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203" w:type="dxa"/>
            <w:vMerge w:val="continue"/>
            <w:tcBorders>
              <w:top w:val="nil"/>
              <w:bottom w:val="nil"/>
            </w:tcBorders>
            <w:vAlign w:val="top"/>
          </w:tcPr>
          <w:p w14:paraId="4A47D760">
            <w:pPr>
              <w:rPr>
                <w:rFonts w:ascii="Arial"/>
                <w:sz w:val="21"/>
                <w:highlight w:val="none"/>
              </w:rPr>
            </w:pPr>
          </w:p>
        </w:tc>
        <w:tc>
          <w:tcPr>
            <w:tcW w:w="1199" w:type="dxa"/>
            <w:vMerge w:val="continue"/>
            <w:tcBorders>
              <w:top w:val="nil"/>
              <w:bottom w:val="nil"/>
            </w:tcBorders>
            <w:vAlign w:val="top"/>
          </w:tcPr>
          <w:p w14:paraId="76423B0C">
            <w:pPr>
              <w:rPr>
                <w:rFonts w:ascii="Arial"/>
                <w:sz w:val="21"/>
                <w:highlight w:val="none"/>
              </w:rPr>
            </w:pPr>
          </w:p>
        </w:tc>
        <w:tc>
          <w:tcPr>
            <w:tcW w:w="1348" w:type="dxa"/>
            <w:vMerge w:val="continue"/>
            <w:tcBorders>
              <w:top w:val="nil"/>
              <w:bottom w:val="nil"/>
            </w:tcBorders>
            <w:vAlign w:val="top"/>
          </w:tcPr>
          <w:p w14:paraId="1C5AC529">
            <w:pPr>
              <w:rPr>
                <w:rFonts w:ascii="Arial"/>
                <w:sz w:val="21"/>
                <w:highlight w:val="none"/>
              </w:rPr>
            </w:pPr>
          </w:p>
        </w:tc>
        <w:tc>
          <w:tcPr>
            <w:tcW w:w="1348" w:type="dxa"/>
            <w:vAlign w:val="top"/>
          </w:tcPr>
          <w:p w14:paraId="5D47086A">
            <w:pPr>
              <w:pStyle w:val="6"/>
              <w:spacing w:before="167" w:line="274" w:lineRule="auto"/>
              <w:ind w:left="354" w:right="153" w:hanging="210"/>
              <w:rPr>
                <w:highlight w:val="none"/>
              </w:rPr>
            </w:pPr>
            <w:r>
              <w:rPr>
                <w:spacing w:val="-3"/>
                <w:highlight w:val="none"/>
              </w:rPr>
              <w:t>投标文件签</w:t>
            </w:r>
            <w:r>
              <w:rPr>
                <w:spacing w:val="3"/>
                <w:highlight w:val="none"/>
              </w:rPr>
              <w:t xml:space="preserve"> </w:t>
            </w:r>
            <w:r>
              <w:rPr>
                <w:spacing w:val="5"/>
                <w:highlight w:val="none"/>
              </w:rPr>
              <w:t>字盖章</w:t>
            </w:r>
          </w:p>
        </w:tc>
        <w:tc>
          <w:tcPr>
            <w:tcW w:w="3411" w:type="dxa"/>
            <w:vAlign w:val="top"/>
          </w:tcPr>
          <w:p w14:paraId="498E7049">
            <w:pPr>
              <w:pStyle w:val="6"/>
              <w:spacing w:before="167" w:line="285" w:lineRule="auto"/>
              <w:ind w:left="136" w:right="520"/>
              <w:rPr>
                <w:highlight w:val="none"/>
              </w:rPr>
            </w:pPr>
            <w:r>
              <w:rPr>
                <w:spacing w:val="1"/>
                <w:highlight w:val="none"/>
              </w:rPr>
              <w:t>符合第二章“投标人须知”第</w:t>
            </w:r>
            <w:r>
              <w:rPr>
                <w:highlight w:val="none"/>
              </w:rPr>
              <w:t xml:space="preserve"> </w:t>
            </w:r>
            <w:r>
              <w:rPr>
                <w:spacing w:val="1"/>
                <w:highlight w:val="none"/>
              </w:rPr>
              <w:t>3.7.3(4)目规定</w:t>
            </w:r>
          </w:p>
        </w:tc>
      </w:tr>
      <w:tr w14:paraId="02906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9" w:hRule="atLeast"/>
        </w:trPr>
        <w:tc>
          <w:tcPr>
            <w:tcW w:w="1203" w:type="dxa"/>
            <w:vMerge w:val="continue"/>
            <w:tcBorders>
              <w:top w:val="nil"/>
              <w:bottom w:val="nil"/>
            </w:tcBorders>
            <w:vAlign w:val="top"/>
          </w:tcPr>
          <w:p w14:paraId="749B7D11">
            <w:pPr>
              <w:rPr>
                <w:rFonts w:ascii="Arial"/>
                <w:sz w:val="21"/>
                <w:highlight w:val="none"/>
              </w:rPr>
            </w:pPr>
          </w:p>
        </w:tc>
        <w:tc>
          <w:tcPr>
            <w:tcW w:w="1199" w:type="dxa"/>
            <w:vMerge w:val="continue"/>
            <w:tcBorders>
              <w:top w:val="nil"/>
              <w:bottom w:val="nil"/>
            </w:tcBorders>
            <w:vAlign w:val="top"/>
          </w:tcPr>
          <w:p w14:paraId="733F974D">
            <w:pPr>
              <w:rPr>
                <w:rFonts w:ascii="Arial"/>
                <w:sz w:val="21"/>
                <w:highlight w:val="none"/>
              </w:rPr>
            </w:pPr>
          </w:p>
        </w:tc>
        <w:tc>
          <w:tcPr>
            <w:tcW w:w="1348" w:type="dxa"/>
            <w:vMerge w:val="continue"/>
            <w:tcBorders>
              <w:top w:val="nil"/>
              <w:bottom w:val="nil"/>
            </w:tcBorders>
            <w:vAlign w:val="top"/>
          </w:tcPr>
          <w:p w14:paraId="04AB8F93">
            <w:pPr>
              <w:rPr>
                <w:rFonts w:ascii="Arial"/>
                <w:sz w:val="21"/>
                <w:highlight w:val="none"/>
              </w:rPr>
            </w:pPr>
          </w:p>
        </w:tc>
        <w:tc>
          <w:tcPr>
            <w:tcW w:w="1348" w:type="dxa"/>
            <w:vAlign w:val="top"/>
          </w:tcPr>
          <w:p w14:paraId="725EEADA">
            <w:pPr>
              <w:spacing w:line="268" w:lineRule="auto"/>
              <w:rPr>
                <w:rFonts w:ascii="Arial"/>
                <w:sz w:val="21"/>
                <w:highlight w:val="none"/>
              </w:rPr>
            </w:pPr>
          </w:p>
          <w:p w14:paraId="4E0C7E7F">
            <w:pPr>
              <w:pStyle w:val="6"/>
              <w:spacing w:before="69" w:line="275" w:lineRule="auto"/>
              <w:ind w:left="244" w:right="153" w:hanging="100"/>
              <w:rPr>
                <w:highlight w:val="none"/>
              </w:rPr>
            </w:pPr>
            <w:r>
              <w:rPr>
                <w:spacing w:val="-3"/>
                <w:highlight w:val="none"/>
              </w:rPr>
              <w:t>投标文件格</w:t>
            </w:r>
            <w:r>
              <w:rPr>
                <w:spacing w:val="3"/>
                <w:highlight w:val="none"/>
              </w:rPr>
              <w:t xml:space="preserve"> </w:t>
            </w:r>
            <w:r>
              <w:rPr>
                <w:spacing w:val="2"/>
                <w:highlight w:val="none"/>
              </w:rPr>
              <w:t>式、内容</w:t>
            </w:r>
          </w:p>
        </w:tc>
        <w:tc>
          <w:tcPr>
            <w:tcW w:w="3411" w:type="dxa"/>
            <w:vAlign w:val="top"/>
          </w:tcPr>
          <w:p w14:paraId="7EAE8113">
            <w:pPr>
              <w:pStyle w:val="6"/>
              <w:spacing w:before="187" w:line="279" w:lineRule="auto"/>
              <w:ind w:left="136" w:right="103"/>
              <w:jc w:val="both"/>
              <w:rPr>
                <w:highlight w:val="none"/>
              </w:rPr>
            </w:pPr>
            <w:r>
              <w:rPr>
                <w:highlight w:val="none"/>
              </w:rPr>
              <w:t>符合第七章“投标文件格式”的要</w:t>
            </w:r>
            <w:r>
              <w:rPr>
                <w:spacing w:val="9"/>
                <w:highlight w:val="none"/>
              </w:rPr>
              <w:t xml:space="preserve"> </w:t>
            </w:r>
            <w:r>
              <w:rPr>
                <w:highlight w:val="none"/>
              </w:rPr>
              <w:t>求，实质性内容齐全、关键字迹清</w:t>
            </w:r>
            <w:r>
              <w:rPr>
                <w:spacing w:val="9"/>
                <w:highlight w:val="none"/>
              </w:rPr>
              <w:t xml:space="preserve"> </w:t>
            </w:r>
            <w:r>
              <w:rPr>
                <w:spacing w:val="3"/>
                <w:highlight w:val="none"/>
              </w:rPr>
              <w:t>晰可辨</w:t>
            </w:r>
          </w:p>
        </w:tc>
      </w:tr>
      <w:tr w14:paraId="02E61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203" w:type="dxa"/>
            <w:vMerge w:val="continue"/>
            <w:tcBorders>
              <w:top w:val="nil"/>
              <w:bottom w:val="nil"/>
            </w:tcBorders>
            <w:vAlign w:val="top"/>
          </w:tcPr>
          <w:p w14:paraId="5D3153EC">
            <w:pPr>
              <w:rPr>
                <w:rFonts w:ascii="Arial"/>
                <w:sz w:val="21"/>
                <w:highlight w:val="none"/>
              </w:rPr>
            </w:pPr>
          </w:p>
        </w:tc>
        <w:tc>
          <w:tcPr>
            <w:tcW w:w="1199" w:type="dxa"/>
            <w:vMerge w:val="continue"/>
            <w:tcBorders>
              <w:top w:val="nil"/>
              <w:bottom w:val="nil"/>
            </w:tcBorders>
            <w:vAlign w:val="top"/>
          </w:tcPr>
          <w:p w14:paraId="426AE0A4">
            <w:pPr>
              <w:rPr>
                <w:rFonts w:ascii="Arial"/>
                <w:sz w:val="21"/>
                <w:highlight w:val="none"/>
              </w:rPr>
            </w:pPr>
          </w:p>
        </w:tc>
        <w:tc>
          <w:tcPr>
            <w:tcW w:w="1348" w:type="dxa"/>
            <w:vMerge w:val="continue"/>
            <w:tcBorders>
              <w:top w:val="nil"/>
              <w:bottom w:val="nil"/>
            </w:tcBorders>
            <w:vAlign w:val="top"/>
          </w:tcPr>
          <w:p w14:paraId="15E9BF7A">
            <w:pPr>
              <w:rPr>
                <w:rFonts w:ascii="Arial"/>
                <w:sz w:val="21"/>
                <w:highlight w:val="none"/>
              </w:rPr>
            </w:pPr>
          </w:p>
        </w:tc>
        <w:tc>
          <w:tcPr>
            <w:tcW w:w="1348" w:type="dxa"/>
            <w:vAlign w:val="top"/>
          </w:tcPr>
          <w:p w14:paraId="51FD75B7">
            <w:pPr>
              <w:pStyle w:val="6"/>
              <w:spacing w:before="160" w:line="293" w:lineRule="auto"/>
              <w:ind w:left="244" w:right="152" w:hanging="100"/>
              <w:rPr>
                <w:highlight w:val="none"/>
              </w:rPr>
            </w:pPr>
            <w:r>
              <w:rPr>
                <w:spacing w:val="-2"/>
                <w:highlight w:val="none"/>
              </w:rPr>
              <w:t>联合体投标</w:t>
            </w:r>
            <w:r>
              <w:rPr>
                <w:highlight w:val="none"/>
              </w:rPr>
              <w:t xml:space="preserve"> </w:t>
            </w:r>
            <w:r>
              <w:rPr>
                <w:spacing w:val="9"/>
                <w:highlight w:val="none"/>
              </w:rPr>
              <w:t>人(如有)</w:t>
            </w:r>
          </w:p>
        </w:tc>
        <w:tc>
          <w:tcPr>
            <w:tcW w:w="3411" w:type="dxa"/>
            <w:vAlign w:val="top"/>
          </w:tcPr>
          <w:p w14:paraId="70582DE8">
            <w:pPr>
              <w:pStyle w:val="6"/>
              <w:spacing w:before="170" w:line="283" w:lineRule="auto"/>
              <w:ind w:left="136" w:right="123"/>
              <w:rPr>
                <w:highlight w:val="none"/>
              </w:rPr>
            </w:pPr>
            <w:r>
              <w:rPr>
                <w:spacing w:val="-1"/>
                <w:highlight w:val="none"/>
              </w:rPr>
              <w:t>提交联合体协议书，并明确联合体</w:t>
            </w:r>
            <w:r>
              <w:rPr>
                <w:spacing w:val="4"/>
                <w:highlight w:val="none"/>
              </w:rPr>
              <w:t xml:space="preserve"> </w:t>
            </w:r>
            <w:r>
              <w:rPr>
                <w:spacing w:val="-3"/>
                <w:highlight w:val="none"/>
              </w:rPr>
              <w:t>牵头人</w:t>
            </w:r>
          </w:p>
        </w:tc>
      </w:tr>
      <w:tr w14:paraId="4FBF8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03" w:type="dxa"/>
            <w:vMerge w:val="continue"/>
            <w:tcBorders>
              <w:top w:val="nil"/>
              <w:bottom w:val="nil"/>
            </w:tcBorders>
            <w:vAlign w:val="top"/>
          </w:tcPr>
          <w:p w14:paraId="257A2D0D">
            <w:pPr>
              <w:rPr>
                <w:rFonts w:ascii="Arial"/>
                <w:sz w:val="21"/>
                <w:highlight w:val="none"/>
              </w:rPr>
            </w:pPr>
          </w:p>
        </w:tc>
        <w:tc>
          <w:tcPr>
            <w:tcW w:w="1199" w:type="dxa"/>
            <w:vMerge w:val="continue"/>
            <w:tcBorders>
              <w:top w:val="nil"/>
              <w:bottom w:val="nil"/>
            </w:tcBorders>
            <w:vAlign w:val="top"/>
          </w:tcPr>
          <w:p w14:paraId="50858E5A">
            <w:pPr>
              <w:rPr>
                <w:rFonts w:ascii="Arial"/>
                <w:sz w:val="21"/>
                <w:highlight w:val="none"/>
              </w:rPr>
            </w:pPr>
          </w:p>
        </w:tc>
        <w:tc>
          <w:tcPr>
            <w:tcW w:w="1348" w:type="dxa"/>
            <w:vMerge w:val="continue"/>
            <w:tcBorders>
              <w:top w:val="nil"/>
              <w:bottom w:val="nil"/>
            </w:tcBorders>
            <w:vAlign w:val="top"/>
          </w:tcPr>
          <w:p w14:paraId="0B70F881">
            <w:pPr>
              <w:rPr>
                <w:rFonts w:ascii="Arial"/>
                <w:sz w:val="21"/>
                <w:highlight w:val="none"/>
              </w:rPr>
            </w:pPr>
          </w:p>
        </w:tc>
        <w:tc>
          <w:tcPr>
            <w:tcW w:w="1348" w:type="dxa"/>
            <w:vAlign w:val="top"/>
          </w:tcPr>
          <w:p w14:paraId="191D6BE8">
            <w:pPr>
              <w:pStyle w:val="6"/>
              <w:spacing w:before="159" w:line="218" w:lineRule="auto"/>
              <w:ind w:left="244"/>
              <w:rPr>
                <w:highlight w:val="none"/>
              </w:rPr>
            </w:pPr>
            <w:r>
              <w:rPr>
                <w:spacing w:val="1"/>
                <w:highlight w:val="none"/>
              </w:rPr>
              <w:t>报价唯一</w:t>
            </w:r>
          </w:p>
        </w:tc>
        <w:tc>
          <w:tcPr>
            <w:tcW w:w="3411" w:type="dxa"/>
            <w:vAlign w:val="top"/>
          </w:tcPr>
          <w:p w14:paraId="37338007">
            <w:pPr>
              <w:pStyle w:val="6"/>
              <w:spacing w:before="159" w:line="218" w:lineRule="auto"/>
              <w:ind w:left="136"/>
              <w:rPr>
                <w:highlight w:val="none"/>
              </w:rPr>
            </w:pPr>
            <w:r>
              <w:rPr>
                <w:spacing w:val="1"/>
                <w:highlight w:val="none"/>
              </w:rPr>
              <w:t>只能有一个有效报价</w:t>
            </w:r>
          </w:p>
        </w:tc>
      </w:tr>
      <w:tr w14:paraId="53DBB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203" w:type="dxa"/>
            <w:vMerge w:val="continue"/>
            <w:tcBorders>
              <w:top w:val="nil"/>
              <w:bottom w:val="nil"/>
            </w:tcBorders>
            <w:vAlign w:val="top"/>
          </w:tcPr>
          <w:p w14:paraId="3D0829EB">
            <w:pPr>
              <w:rPr>
                <w:rFonts w:ascii="Arial"/>
                <w:sz w:val="21"/>
                <w:highlight w:val="none"/>
              </w:rPr>
            </w:pPr>
          </w:p>
        </w:tc>
        <w:tc>
          <w:tcPr>
            <w:tcW w:w="1199" w:type="dxa"/>
            <w:vMerge w:val="continue"/>
            <w:tcBorders>
              <w:top w:val="nil"/>
              <w:bottom w:val="nil"/>
            </w:tcBorders>
            <w:vAlign w:val="top"/>
          </w:tcPr>
          <w:p w14:paraId="1541DC38">
            <w:pPr>
              <w:rPr>
                <w:rFonts w:ascii="Arial"/>
                <w:sz w:val="21"/>
                <w:highlight w:val="none"/>
              </w:rPr>
            </w:pPr>
          </w:p>
        </w:tc>
        <w:tc>
          <w:tcPr>
            <w:tcW w:w="1348" w:type="dxa"/>
            <w:vMerge w:val="continue"/>
            <w:tcBorders>
              <w:top w:val="nil"/>
            </w:tcBorders>
            <w:vAlign w:val="top"/>
          </w:tcPr>
          <w:p w14:paraId="177EF4F9">
            <w:pPr>
              <w:rPr>
                <w:rFonts w:ascii="Arial"/>
                <w:sz w:val="21"/>
                <w:highlight w:val="none"/>
              </w:rPr>
            </w:pPr>
          </w:p>
        </w:tc>
        <w:tc>
          <w:tcPr>
            <w:tcW w:w="1348" w:type="dxa"/>
            <w:vAlign w:val="top"/>
          </w:tcPr>
          <w:p w14:paraId="1CF7182D">
            <w:pPr>
              <w:spacing w:line="242" w:lineRule="auto"/>
              <w:rPr>
                <w:rFonts w:ascii="Arial"/>
                <w:sz w:val="21"/>
                <w:highlight w:val="none"/>
              </w:rPr>
            </w:pPr>
          </w:p>
          <w:p w14:paraId="06AFD761">
            <w:pPr>
              <w:pStyle w:val="6"/>
              <w:spacing w:before="68" w:line="220" w:lineRule="auto"/>
              <w:ind w:left="144"/>
              <w:rPr>
                <w:highlight w:val="none"/>
              </w:rPr>
            </w:pPr>
            <w:r>
              <w:rPr>
                <w:spacing w:val="1"/>
                <w:highlight w:val="none"/>
              </w:rPr>
              <w:t>多标段投标</w:t>
            </w:r>
          </w:p>
        </w:tc>
        <w:tc>
          <w:tcPr>
            <w:tcW w:w="3411" w:type="dxa"/>
            <w:vAlign w:val="top"/>
          </w:tcPr>
          <w:p w14:paraId="384E8A22">
            <w:pPr>
              <w:pStyle w:val="6"/>
              <w:spacing w:before="171" w:line="276" w:lineRule="auto"/>
              <w:ind w:left="136" w:right="92"/>
              <w:rPr>
                <w:highlight w:val="none"/>
              </w:rPr>
            </w:pPr>
            <w:r>
              <w:rPr>
                <w:spacing w:val="1"/>
                <w:highlight w:val="none"/>
              </w:rPr>
              <w:t>符合第二章“投标人须知”第10.1</w:t>
            </w:r>
            <w:r>
              <w:rPr>
                <w:spacing w:val="3"/>
                <w:highlight w:val="none"/>
              </w:rPr>
              <w:t xml:space="preserve"> </w:t>
            </w:r>
            <w:r>
              <w:rPr>
                <w:spacing w:val="4"/>
                <w:highlight w:val="none"/>
              </w:rPr>
              <w:t>款规定</w:t>
            </w:r>
          </w:p>
        </w:tc>
      </w:tr>
      <w:tr w14:paraId="5C3BC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03" w:type="dxa"/>
            <w:vMerge w:val="continue"/>
            <w:tcBorders>
              <w:top w:val="nil"/>
              <w:bottom w:val="nil"/>
            </w:tcBorders>
            <w:vAlign w:val="top"/>
          </w:tcPr>
          <w:p w14:paraId="04ACD037">
            <w:pPr>
              <w:rPr>
                <w:rFonts w:ascii="Arial"/>
                <w:sz w:val="21"/>
                <w:highlight w:val="none"/>
              </w:rPr>
            </w:pPr>
          </w:p>
        </w:tc>
        <w:tc>
          <w:tcPr>
            <w:tcW w:w="1199" w:type="dxa"/>
            <w:vMerge w:val="continue"/>
            <w:tcBorders>
              <w:top w:val="nil"/>
              <w:bottom w:val="nil"/>
            </w:tcBorders>
            <w:vAlign w:val="top"/>
          </w:tcPr>
          <w:p w14:paraId="489FB14C">
            <w:pPr>
              <w:rPr>
                <w:rFonts w:ascii="Arial"/>
                <w:sz w:val="21"/>
                <w:highlight w:val="none"/>
              </w:rPr>
            </w:pPr>
          </w:p>
        </w:tc>
        <w:tc>
          <w:tcPr>
            <w:tcW w:w="1348" w:type="dxa"/>
            <w:vMerge w:val="restart"/>
            <w:tcBorders>
              <w:bottom w:val="nil"/>
            </w:tcBorders>
            <w:vAlign w:val="top"/>
          </w:tcPr>
          <w:p w14:paraId="1B984F72">
            <w:pPr>
              <w:spacing w:line="251" w:lineRule="auto"/>
              <w:rPr>
                <w:rFonts w:ascii="Arial"/>
                <w:sz w:val="21"/>
                <w:highlight w:val="none"/>
              </w:rPr>
            </w:pPr>
          </w:p>
          <w:p w14:paraId="288A2B44">
            <w:pPr>
              <w:spacing w:line="251" w:lineRule="auto"/>
              <w:rPr>
                <w:rFonts w:ascii="Arial"/>
                <w:sz w:val="21"/>
                <w:highlight w:val="none"/>
              </w:rPr>
            </w:pPr>
          </w:p>
          <w:p w14:paraId="04C70F16">
            <w:pPr>
              <w:spacing w:line="251" w:lineRule="auto"/>
              <w:rPr>
                <w:rFonts w:ascii="Arial"/>
                <w:sz w:val="21"/>
                <w:highlight w:val="none"/>
              </w:rPr>
            </w:pPr>
          </w:p>
          <w:p w14:paraId="472B11BB">
            <w:pPr>
              <w:spacing w:line="251" w:lineRule="auto"/>
              <w:rPr>
                <w:rFonts w:ascii="Arial"/>
                <w:sz w:val="21"/>
                <w:highlight w:val="none"/>
              </w:rPr>
            </w:pPr>
          </w:p>
          <w:p w14:paraId="790A2422">
            <w:pPr>
              <w:spacing w:line="251" w:lineRule="auto"/>
              <w:rPr>
                <w:rFonts w:ascii="Arial"/>
                <w:sz w:val="21"/>
                <w:highlight w:val="none"/>
              </w:rPr>
            </w:pPr>
          </w:p>
          <w:p w14:paraId="2A77D1B6">
            <w:pPr>
              <w:spacing w:line="251" w:lineRule="auto"/>
              <w:rPr>
                <w:rFonts w:ascii="Arial"/>
                <w:sz w:val="21"/>
                <w:highlight w:val="none"/>
              </w:rPr>
            </w:pPr>
          </w:p>
          <w:p w14:paraId="32405006">
            <w:pPr>
              <w:spacing w:line="251" w:lineRule="auto"/>
              <w:rPr>
                <w:rFonts w:ascii="Arial"/>
                <w:sz w:val="21"/>
                <w:highlight w:val="none"/>
              </w:rPr>
            </w:pPr>
          </w:p>
          <w:p w14:paraId="26159C72">
            <w:pPr>
              <w:spacing w:line="251" w:lineRule="auto"/>
              <w:rPr>
                <w:rFonts w:ascii="Arial"/>
                <w:sz w:val="21"/>
                <w:highlight w:val="none"/>
              </w:rPr>
            </w:pPr>
          </w:p>
          <w:p w14:paraId="0275FB3C">
            <w:pPr>
              <w:spacing w:line="251" w:lineRule="auto"/>
              <w:rPr>
                <w:rFonts w:ascii="Arial"/>
                <w:sz w:val="21"/>
                <w:highlight w:val="none"/>
              </w:rPr>
            </w:pPr>
          </w:p>
          <w:p w14:paraId="2F816EC4">
            <w:pPr>
              <w:spacing w:line="252" w:lineRule="auto"/>
              <w:rPr>
                <w:rFonts w:ascii="Arial"/>
                <w:sz w:val="21"/>
                <w:highlight w:val="none"/>
              </w:rPr>
            </w:pPr>
          </w:p>
          <w:p w14:paraId="3492CF0A">
            <w:pPr>
              <w:spacing w:line="252" w:lineRule="auto"/>
              <w:rPr>
                <w:rFonts w:ascii="Arial"/>
                <w:sz w:val="21"/>
                <w:highlight w:val="none"/>
              </w:rPr>
            </w:pPr>
          </w:p>
          <w:p w14:paraId="3117BC37">
            <w:pPr>
              <w:spacing w:line="252" w:lineRule="auto"/>
              <w:rPr>
                <w:rFonts w:ascii="Arial"/>
                <w:sz w:val="21"/>
                <w:highlight w:val="none"/>
              </w:rPr>
            </w:pPr>
          </w:p>
          <w:p w14:paraId="737F81A3">
            <w:pPr>
              <w:pStyle w:val="6"/>
              <w:spacing w:before="69" w:line="219" w:lineRule="auto"/>
              <w:ind w:left="242"/>
              <w:rPr>
                <w:highlight w:val="none"/>
              </w:rPr>
            </w:pPr>
            <w:r>
              <w:rPr>
                <w:spacing w:val="4"/>
                <w:highlight w:val="none"/>
              </w:rPr>
              <w:t>资格评审</w:t>
            </w:r>
          </w:p>
        </w:tc>
        <w:tc>
          <w:tcPr>
            <w:tcW w:w="1348" w:type="dxa"/>
            <w:vAlign w:val="top"/>
          </w:tcPr>
          <w:p w14:paraId="3E4AEC13">
            <w:pPr>
              <w:pStyle w:val="6"/>
              <w:spacing w:before="162" w:line="219" w:lineRule="auto"/>
              <w:ind w:left="244"/>
              <w:rPr>
                <w:highlight w:val="none"/>
              </w:rPr>
            </w:pPr>
            <w:r>
              <w:rPr>
                <w:spacing w:val="4"/>
                <w:highlight w:val="none"/>
              </w:rPr>
              <w:t>营业执照</w:t>
            </w:r>
          </w:p>
        </w:tc>
        <w:tc>
          <w:tcPr>
            <w:tcW w:w="3411" w:type="dxa"/>
            <w:vAlign w:val="top"/>
          </w:tcPr>
          <w:p w14:paraId="48271BD9">
            <w:pPr>
              <w:pStyle w:val="6"/>
              <w:spacing w:before="162" w:line="219" w:lineRule="auto"/>
              <w:ind w:left="136"/>
              <w:rPr>
                <w:highlight w:val="none"/>
              </w:rPr>
            </w:pPr>
            <w:r>
              <w:rPr>
                <w:spacing w:val="1"/>
                <w:highlight w:val="none"/>
              </w:rPr>
              <w:t>具备有效的营业执照</w:t>
            </w:r>
          </w:p>
        </w:tc>
      </w:tr>
      <w:tr w14:paraId="7AD25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203" w:type="dxa"/>
            <w:vMerge w:val="continue"/>
            <w:tcBorders>
              <w:top w:val="nil"/>
              <w:bottom w:val="nil"/>
            </w:tcBorders>
            <w:vAlign w:val="top"/>
          </w:tcPr>
          <w:p w14:paraId="1E59111E">
            <w:pPr>
              <w:rPr>
                <w:rFonts w:ascii="Arial"/>
                <w:sz w:val="21"/>
                <w:highlight w:val="none"/>
              </w:rPr>
            </w:pPr>
          </w:p>
        </w:tc>
        <w:tc>
          <w:tcPr>
            <w:tcW w:w="1199" w:type="dxa"/>
            <w:vMerge w:val="continue"/>
            <w:tcBorders>
              <w:top w:val="nil"/>
              <w:bottom w:val="nil"/>
            </w:tcBorders>
            <w:vAlign w:val="top"/>
          </w:tcPr>
          <w:p w14:paraId="68B4E542">
            <w:pPr>
              <w:rPr>
                <w:rFonts w:ascii="Arial"/>
                <w:sz w:val="21"/>
                <w:highlight w:val="none"/>
              </w:rPr>
            </w:pPr>
          </w:p>
        </w:tc>
        <w:tc>
          <w:tcPr>
            <w:tcW w:w="1348" w:type="dxa"/>
            <w:vMerge w:val="continue"/>
            <w:tcBorders>
              <w:top w:val="nil"/>
              <w:bottom w:val="nil"/>
            </w:tcBorders>
            <w:vAlign w:val="top"/>
          </w:tcPr>
          <w:p w14:paraId="3E98D6C5">
            <w:pPr>
              <w:rPr>
                <w:rFonts w:ascii="Arial"/>
                <w:sz w:val="21"/>
                <w:highlight w:val="none"/>
              </w:rPr>
            </w:pPr>
          </w:p>
        </w:tc>
        <w:tc>
          <w:tcPr>
            <w:tcW w:w="1348" w:type="dxa"/>
            <w:vAlign w:val="top"/>
          </w:tcPr>
          <w:p w14:paraId="77052089">
            <w:pPr>
              <w:spacing w:line="243" w:lineRule="auto"/>
              <w:rPr>
                <w:rFonts w:ascii="Arial"/>
                <w:sz w:val="21"/>
                <w:highlight w:val="none"/>
              </w:rPr>
            </w:pPr>
          </w:p>
          <w:p w14:paraId="7D0A18AF">
            <w:pPr>
              <w:pStyle w:val="6"/>
              <w:spacing w:before="68" w:line="219" w:lineRule="auto"/>
              <w:ind w:left="244"/>
              <w:rPr>
                <w:highlight w:val="none"/>
              </w:rPr>
            </w:pPr>
            <w:r>
              <w:rPr>
                <w:spacing w:val="3"/>
                <w:highlight w:val="none"/>
              </w:rPr>
              <w:t>资质等级</w:t>
            </w:r>
          </w:p>
        </w:tc>
        <w:tc>
          <w:tcPr>
            <w:tcW w:w="3411" w:type="dxa"/>
            <w:vAlign w:val="top"/>
          </w:tcPr>
          <w:p w14:paraId="68D2AA1F">
            <w:pPr>
              <w:pStyle w:val="6"/>
              <w:spacing w:before="151" w:line="285" w:lineRule="auto"/>
              <w:ind w:left="136" w:right="520"/>
              <w:rPr>
                <w:highlight w:val="none"/>
              </w:rPr>
            </w:pPr>
            <w:r>
              <w:rPr>
                <w:spacing w:val="1"/>
                <w:highlight w:val="none"/>
              </w:rPr>
              <w:t>符合第二章“投标人须知”第</w:t>
            </w:r>
            <w:r>
              <w:rPr>
                <w:highlight w:val="none"/>
              </w:rPr>
              <w:t xml:space="preserve"> </w:t>
            </w:r>
            <w:r>
              <w:rPr>
                <w:spacing w:val="1"/>
                <w:highlight w:val="none"/>
              </w:rPr>
              <w:t>1.4.1项规定</w:t>
            </w:r>
          </w:p>
        </w:tc>
      </w:tr>
      <w:tr w14:paraId="3DA23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203" w:type="dxa"/>
            <w:vMerge w:val="continue"/>
            <w:tcBorders>
              <w:top w:val="nil"/>
              <w:bottom w:val="nil"/>
            </w:tcBorders>
            <w:vAlign w:val="top"/>
          </w:tcPr>
          <w:p w14:paraId="3651F2CA">
            <w:pPr>
              <w:rPr>
                <w:rFonts w:ascii="Arial"/>
                <w:sz w:val="21"/>
                <w:highlight w:val="none"/>
              </w:rPr>
            </w:pPr>
          </w:p>
        </w:tc>
        <w:tc>
          <w:tcPr>
            <w:tcW w:w="1199" w:type="dxa"/>
            <w:vMerge w:val="continue"/>
            <w:tcBorders>
              <w:top w:val="nil"/>
              <w:bottom w:val="nil"/>
            </w:tcBorders>
            <w:vAlign w:val="top"/>
          </w:tcPr>
          <w:p w14:paraId="45924C90">
            <w:pPr>
              <w:rPr>
                <w:rFonts w:ascii="Arial"/>
                <w:sz w:val="21"/>
                <w:highlight w:val="none"/>
              </w:rPr>
            </w:pPr>
          </w:p>
        </w:tc>
        <w:tc>
          <w:tcPr>
            <w:tcW w:w="1348" w:type="dxa"/>
            <w:vMerge w:val="continue"/>
            <w:tcBorders>
              <w:top w:val="nil"/>
              <w:bottom w:val="nil"/>
            </w:tcBorders>
            <w:vAlign w:val="top"/>
          </w:tcPr>
          <w:p w14:paraId="336FD477">
            <w:pPr>
              <w:rPr>
                <w:rFonts w:ascii="Arial"/>
                <w:sz w:val="21"/>
                <w:highlight w:val="none"/>
              </w:rPr>
            </w:pPr>
          </w:p>
        </w:tc>
        <w:tc>
          <w:tcPr>
            <w:tcW w:w="1348" w:type="dxa"/>
            <w:vAlign w:val="top"/>
          </w:tcPr>
          <w:p w14:paraId="3030B07B">
            <w:pPr>
              <w:spacing w:line="244" w:lineRule="auto"/>
              <w:rPr>
                <w:rFonts w:ascii="Arial"/>
                <w:sz w:val="21"/>
                <w:highlight w:val="none"/>
              </w:rPr>
            </w:pPr>
          </w:p>
          <w:p w14:paraId="6359C5DC">
            <w:pPr>
              <w:pStyle w:val="6"/>
              <w:spacing w:before="68" w:line="219" w:lineRule="auto"/>
              <w:ind w:left="244"/>
              <w:rPr>
                <w:highlight w:val="none"/>
              </w:rPr>
            </w:pPr>
            <w:r>
              <w:rPr>
                <w:spacing w:val="-2"/>
                <w:highlight w:val="none"/>
              </w:rPr>
              <w:t>财务状况</w:t>
            </w:r>
          </w:p>
        </w:tc>
        <w:tc>
          <w:tcPr>
            <w:tcW w:w="3411" w:type="dxa"/>
            <w:vAlign w:val="top"/>
          </w:tcPr>
          <w:p w14:paraId="7275DCA9">
            <w:pPr>
              <w:pStyle w:val="6"/>
              <w:spacing w:before="172" w:line="250" w:lineRule="auto"/>
              <w:ind w:left="136" w:right="520"/>
              <w:rPr>
                <w:highlight w:val="none"/>
              </w:rPr>
            </w:pPr>
            <w:r>
              <w:rPr>
                <w:spacing w:val="1"/>
                <w:highlight w:val="none"/>
              </w:rPr>
              <w:t>符合第二章“投标人须知”第</w:t>
            </w:r>
            <w:r>
              <w:rPr>
                <w:highlight w:val="none"/>
              </w:rPr>
              <w:t xml:space="preserve"> </w:t>
            </w:r>
            <w:r>
              <w:rPr>
                <w:spacing w:val="1"/>
                <w:highlight w:val="none"/>
              </w:rPr>
              <w:t>1.4.1项规定</w:t>
            </w:r>
          </w:p>
        </w:tc>
      </w:tr>
      <w:tr w14:paraId="193C4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203" w:type="dxa"/>
            <w:vMerge w:val="continue"/>
            <w:tcBorders>
              <w:top w:val="nil"/>
              <w:bottom w:val="nil"/>
            </w:tcBorders>
            <w:vAlign w:val="top"/>
          </w:tcPr>
          <w:p w14:paraId="7B356F04">
            <w:pPr>
              <w:rPr>
                <w:rFonts w:ascii="Arial"/>
                <w:sz w:val="21"/>
                <w:highlight w:val="none"/>
              </w:rPr>
            </w:pPr>
          </w:p>
        </w:tc>
        <w:tc>
          <w:tcPr>
            <w:tcW w:w="1199" w:type="dxa"/>
            <w:vMerge w:val="continue"/>
            <w:tcBorders>
              <w:top w:val="nil"/>
              <w:bottom w:val="nil"/>
            </w:tcBorders>
            <w:vAlign w:val="top"/>
          </w:tcPr>
          <w:p w14:paraId="007EC608">
            <w:pPr>
              <w:rPr>
                <w:rFonts w:ascii="Arial"/>
                <w:sz w:val="21"/>
                <w:highlight w:val="none"/>
              </w:rPr>
            </w:pPr>
          </w:p>
        </w:tc>
        <w:tc>
          <w:tcPr>
            <w:tcW w:w="1348" w:type="dxa"/>
            <w:vMerge w:val="continue"/>
            <w:tcBorders>
              <w:top w:val="nil"/>
              <w:bottom w:val="nil"/>
            </w:tcBorders>
            <w:vAlign w:val="top"/>
          </w:tcPr>
          <w:p w14:paraId="38A96628">
            <w:pPr>
              <w:rPr>
                <w:rFonts w:ascii="Arial"/>
                <w:sz w:val="21"/>
                <w:highlight w:val="none"/>
              </w:rPr>
            </w:pPr>
          </w:p>
        </w:tc>
        <w:tc>
          <w:tcPr>
            <w:tcW w:w="1348" w:type="dxa"/>
            <w:vAlign w:val="top"/>
          </w:tcPr>
          <w:p w14:paraId="40CBB6C5">
            <w:pPr>
              <w:spacing w:line="245" w:lineRule="auto"/>
              <w:rPr>
                <w:rFonts w:ascii="Arial"/>
                <w:sz w:val="21"/>
                <w:highlight w:val="none"/>
              </w:rPr>
            </w:pPr>
          </w:p>
          <w:p w14:paraId="21C24ED2">
            <w:pPr>
              <w:pStyle w:val="6"/>
              <w:spacing w:before="68" w:line="219" w:lineRule="auto"/>
              <w:ind w:left="244"/>
              <w:rPr>
                <w:highlight w:val="none"/>
              </w:rPr>
            </w:pPr>
            <w:r>
              <w:rPr>
                <w:spacing w:val="-2"/>
                <w:highlight w:val="none"/>
              </w:rPr>
              <w:t>类似业绩</w:t>
            </w:r>
          </w:p>
        </w:tc>
        <w:tc>
          <w:tcPr>
            <w:tcW w:w="3411" w:type="dxa"/>
            <w:vAlign w:val="top"/>
          </w:tcPr>
          <w:p w14:paraId="010A3152">
            <w:pPr>
              <w:pStyle w:val="6"/>
              <w:spacing w:before="154" w:line="292" w:lineRule="auto"/>
              <w:ind w:left="136" w:right="520"/>
              <w:rPr>
                <w:highlight w:val="none"/>
              </w:rPr>
            </w:pPr>
            <w:r>
              <w:rPr>
                <w:spacing w:val="1"/>
                <w:highlight w:val="none"/>
              </w:rPr>
              <w:t>符合第二章“投标人须知”第</w:t>
            </w:r>
            <w:r>
              <w:rPr>
                <w:highlight w:val="none"/>
              </w:rPr>
              <w:t xml:space="preserve"> </w:t>
            </w:r>
            <w:r>
              <w:rPr>
                <w:spacing w:val="1"/>
                <w:highlight w:val="none"/>
              </w:rPr>
              <w:t>1.4.1项规定</w:t>
            </w:r>
          </w:p>
        </w:tc>
      </w:tr>
      <w:tr w14:paraId="632B3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1203" w:type="dxa"/>
            <w:vMerge w:val="continue"/>
            <w:tcBorders>
              <w:top w:val="nil"/>
              <w:bottom w:val="nil"/>
            </w:tcBorders>
            <w:vAlign w:val="top"/>
          </w:tcPr>
          <w:p w14:paraId="18F97CF7">
            <w:pPr>
              <w:rPr>
                <w:rFonts w:ascii="Arial"/>
                <w:sz w:val="21"/>
                <w:highlight w:val="none"/>
              </w:rPr>
            </w:pPr>
          </w:p>
        </w:tc>
        <w:tc>
          <w:tcPr>
            <w:tcW w:w="1199" w:type="dxa"/>
            <w:vMerge w:val="continue"/>
            <w:tcBorders>
              <w:top w:val="nil"/>
              <w:bottom w:val="nil"/>
            </w:tcBorders>
            <w:vAlign w:val="top"/>
          </w:tcPr>
          <w:p w14:paraId="4504EB55">
            <w:pPr>
              <w:rPr>
                <w:rFonts w:ascii="Arial"/>
                <w:sz w:val="21"/>
                <w:highlight w:val="none"/>
              </w:rPr>
            </w:pPr>
          </w:p>
        </w:tc>
        <w:tc>
          <w:tcPr>
            <w:tcW w:w="1348" w:type="dxa"/>
            <w:vMerge w:val="continue"/>
            <w:tcBorders>
              <w:top w:val="nil"/>
              <w:bottom w:val="nil"/>
            </w:tcBorders>
            <w:vAlign w:val="top"/>
          </w:tcPr>
          <w:p w14:paraId="4259E92B">
            <w:pPr>
              <w:rPr>
                <w:rFonts w:ascii="Arial"/>
                <w:sz w:val="21"/>
                <w:highlight w:val="none"/>
              </w:rPr>
            </w:pPr>
          </w:p>
        </w:tc>
        <w:tc>
          <w:tcPr>
            <w:tcW w:w="1348" w:type="dxa"/>
            <w:vAlign w:val="top"/>
          </w:tcPr>
          <w:p w14:paraId="26F3970C">
            <w:pPr>
              <w:spacing w:line="254" w:lineRule="auto"/>
              <w:rPr>
                <w:rFonts w:ascii="Arial"/>
                <w:sz w:val="21"/>
                <w:highlight w:val="none"/>
              </w:rPr>
            </w:pPr>
          </w:p>
          <w:p w14:paraId="03E534DB">
            <w:pPr>
              <w:pStyle w:val="6"/>
              <w:spacing w:before="68" w:line="219" w:lineRule="auto"/>
              <w:ind w:left="454"/>
              <w:rPr>
                <w:highlight w:val="none"/>
              </w:rPr>
            </w:pPr>
            <w:r>
              <w:rPr>
                <w:spacing w:val="-3"/>
                <w:highlight w:val="none"/>
              </w:rPr>
              <w:t>信誉</w:t>
            </w:r>
          </w:p>
        </w:tc>
        <w:tc>
          <w:tcPr>
            <w:tcW w:w="3411" w:type="dxa"/>
            <w:vAlign w:val="top"/>
          </w:tcPr>
          <w:p w14:paraId="1302A54E">
            <w:pPr>
              <w:pStyle w:val="6"/>
              <w:spacing w:before="165" w:line="285" w:lineRule="auto"/>
              <w:ind w:left="136" w:right="520"/>
              <w:rPr>
                <w:highlight w:val="none"/>
              </w:rPr>
            </w:pPr>
            <w:r>
              <w:rPr>
                <w:spacing w:val="1"/>
                <w:highlight w:val="none"/>
              </w:rPr>
              <w:t>符合第二章“投标人须知”第</w:t>
            </w:r>
            <w:r>
              <w:rPr>
                <w:highlight w:val="none"/>
              </w:rPr>
              <w:t xml:space="preserve"> </w:t>
            </w:r>
            <w:r>
              <w:rPr>
                <w:spacing w:val="1"/>
                <w:highlight w:val="none"/>
              </w:rPr>
              <w:t>1.4.1项规定</w:t>
            </w:r>
          </w:p>
        </w:tc>
      </w:tr>
      <w:tr w14:paraId="71ECF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203" w:type="dxa"/>
            <w:vMerge w:val="continue"/>
            <w:tcBorders>
              <w:top w:val="nil"/>
              <w:bottom w:val="nil"/>
            </w:tcBorders>
            <w:vAlign w:val="top"/>
          </w:tcPr>
          <w:p w14:paraId="0127C383">
            <w:pPr>
              <w:rPr>
                <w:rFonts w:ascii="Arial"/>
                <w:sz w:val="21"/>
                <w:highlight w:val="none"/>
              </w:rPr>
            </w:pPr>
          </w:p>
        </w:tc>
        <w:tc>
          <w:tcPr>
            <w:tcW w:w="1199" w:type="dxa"/>
            <w:vMerge w:val="continue"/>
            <w:tcBorders>
              <w:top w:val="nil"/>
              <w:bottom w:val="nil"/>
            </w:tcBorders>
            <w:vAlign w:val="top"/>
          </w:tcPr>
          <w:p w14:paraId="14B866DD">
            <w:pPr>
              <w:rPr>
                <w:rFonts w:ascii="Arial"/>
                <w:sz w:val="21"/>
                <w:highlight w:val="none"/>
              </w:rPr>
            </w:pPr>
          </w:p>
        </w:tc>
        <w:tc>
          <w:tcPr>
            <w:tcW w:w="1348" w:type="dxa"/>
            <w:vMerge w:val="continue"/>
            <w:tcBorders>
              <w:top w:val="nil"/>
              <w:bottom w:val="nil"/>
            </w:tcBorders>
            <w:vAlign w:val="top"/>
          </w:tcPr>
          <w:p w14:paraId="476755ED">
            <w:pPr>
              <w:rPr>
                <w:rFonts w:ascii="Arial"/>
                <w:sz w:val="21"/>
                <w:highlight w:val="none"/>
              </w:rPr>
            </w:pPr>
          </w:p>
        </w:tc>
        <w:tc>
          <w:tcPr>
            <w:tcW w:w="1348" w:type="dxa"/>
            <w:vAlign w:val="top"/>
          </w:tcPr>
          <w:p w14:paraId="248A6B6D">
            <w:pPr>
              <w:pStyle w:val="6"/>
              <w:spacing w:before="156" w:line="291" w:lineRule="auto"/>
              <w:ind w:left="564" w:right="127" w:hanging="420"/>
              <w:rPr>
                <w:highlight w:val="none"/>
              </w:rPr>
            </w:pPr>
            <w:r>
              <w:rPr>
                <w:spacing w:val="3"/>
                <w:highlight w:val="none"/>
              </w:rPr>
              <w:t>项目经理资</w:t>
            </w:r>
            <w:r>
              <w:rPr>
                <w:highlight w:val="none"/>
              </w:rPr>
              <w:t xml:space="preserve"> 格</w:t>
            </w:r>
          </w:p>
        </w:tc>
        <w:tc>
          <w:tcPr>
            <w:tcW w:w="3411" w:type="dxa"/>
            <w:vAlign w:val="top"/>
          </w:tcPr>
          <w:p w14:paraId="25FA2CE2">
            <w:pPr>
              <w:pStyle w:val="6"/>
              <w:spacing w:before="184" w:line="259" w:lineRule="auto"/>
              <w:ind w:left="136" w:right="520"/>
              <w:rPr>
                <w:highlight w:val="none"/>
              </w:rPr>
            </w:pPr>
            <w:r>
              <w:rPr>
                <w:spacing w:val="1"/>
                <w:highlight w:val="none"/>
              </w:rPr>
              <w:t>符合第二章“投标人须知”第</w:t>
            </w:r>
            <w:r>
              <w:rPr>
                <w:highlight w:val="none"/>
              </w:rPr>
              <w:t xml:space="preserve"> </w:t>
            </w:r>
            <w:r>
              <w:rPr>
                <w:spacing w:val="1"/>
                <w:highlight w:val="none"/>
              </w:rPr>
              <w:t>1.4.1项规定</w:t>
            </w:r>
          </w:p>
        </w:tc>
      </w:tr>
      <w:tr w14:paraId="4640C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203" w:type="dxa"/>
            <w:vMerge w:val="continue"/>
            <w:tcBorders>
              <w:top w:val="nil"/>
              <w:bottom w:val="nil"/>
            </w:tcBorders>
            <w:vAlign w:val="top"/>
          </w:tcPr>
          <w:p w14:paraId="7F5D4312">
            <w:pPr>
              <w:rPr>
                <w:rFonts w:ascii="Arial"/>
                <w:sz w:val="21"/>
                <w:highlight w:val="none"/>
              </w:rPr>
            </w:pPr>
          </w:p>
        </w:tc>
        <w:tc>
          <w:tcPr>
            <w:tcW w:w="1199" w:type="dxa"/>
            <w:vMerge w:val="continue"/>
            <w:tcBorders>
              <w:top w:val="nil"/>
              <w:bottom w:val="nil"/>
            </w:tcBorders>
            <w:vAlign w:val="top"/>
          </w:tcPr>
          <w:p w14:paraId="770BFE3E">
            <w:pPr>
              <w:rPr>
                <w:rFonts w:ascii="Arial"/>
                <w:sz w:val="21"/>
                <w:highlight w:val="none"/>
              </w:rPr>
            </w:pPr>
          </w:p>
        </w:tc>
        <w:tc>
          <w:tcPr>
            <w:tcW w:w="1348" w:type="dxa"/>
            <w:vMerge w:val="continue"/>
            <w:tcBorders>
              <w:top w:val="nil"/>
              <w:bottom w:val="nil"/>
            </w:tcBorders>
            <w:vAlign w:val="top"/>
          </w:tcPr>
          <w:p w14:paraId="5E9ECC75">
            <w:pPr>
              <w:rPr>
                <w:rFonts w:ascii="Arial"/>
                <w:sz w:val="21"/>
                <w:highlight w:val="none"/>
              </w:rPr>
            </w:pPr>
          </w:p>
        </w:tc>
        <w:tc>
          <w:tcPr>
            <w:tcW w:w="1348" w:type="dxa"/>
            <w:vAlign w:val="top"/>
          </w:tcPr>
          <w:p w14:paraId="78827DB8">
            <w:pPr>
              <w:pStyle w:val="6"/>
              <w:spacing w:before="166" w:line="219" w:lineRule="auto"/>
              <w:ind w:left="144"/>
              <w:rPr>
                <w:highlight w:val="none"/>
              </w:rPr>
            </w:pPr>
            <w:r>
              <w:rPr>
                <w:spacing w:val="1"/>
                <w:highlight w:val="none"/>
              </w:rPr>
              <w:t>设计负责人</w:t>
            </w:r>
          </w:p>
          <w:p w14:paraId="20B69272">
            <w:pPr>
              <w:pStyle w:val="6"/>
              <w:spacing w:before="60" w:line="219" w:lineRule="auto"/>
              <w:ind w:left="454"/>
              <w:rPr>
                <w:highlight w:val="none"/>
              </w:rPr>
            </w:pPr>
            <w:r>
              <w:rPr>
                <w:spacing w:val="4"/>
                <w:highlight w:val="none"/>
              </w:rPr>
              <w:t>资格</w:t>
            </w:r>
          </w:p>
        </w:tc>
        <w:tc>
          <w:tcPr>
            <w:tcW w:w="3411" w:type="dxa"/>
            <w:vAlign w:val="top"/>
          </w:tcPr>
          <w:p w14:paraId="1D4D2381">
            <w:pPr>
              <w:pStyle w:val="6"/>
              <w:spacing w:before="166" w:line="276" w:lineRule="auto"/>
              <w:ind w:left="136" w:right="520"/>
              <w:rPr>
                <w:highlight w:val="none"/>
              </w:rPr>
            </w:pPr>
            <w:r>
              <w:rPr>
                <w:spacing w:val="1"/>
                <w:highlight w:val="none"/>
              </w:rPr>
              <w:t>符合第二章“投标人须知”第</w:t>
            </w:r>
            <w:r>
              <w:rPr>
                <w:highlight w:val="none"/>
              </w:rPr>
              <w:t xml:space="preserve"> </w:t>
            </w:r>
            <w:r>
              <w:rPr>
                <w:spacing w:val="1"/>
                <w:highlight w:val="none"/>
              </w:rPr>
              <w:t>1.4.1项规定</w:t>
            </w:r>
          </w:p>
        </w:tc>
      </w:tr>
      <w:tr w14:paraId="41B25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4" w:hRule="atLeast"/>
        </w:trPr>
        <w:tc>
          <w:tcPr>
            <w:tcW w:w="1203" w:type="dxa"/>
            <w:vMerge w:val="continue"/>
            <w:tcBorders>
              <w:top w:val="nil"/>
            </w:tcBorders>
            <w:vAlign w:val="top"/>
          </w:tcPr>
          <w:p w14:paraId="163A3366">
            <w:pPr>
              <w:rPr>
                <w:rFonts w:ascii="Arial"/>
                <w:sz w:val="21"/>
                <w:highlight w:val="none"/>
              </w:rPr>
            </w:pPr>
          </w:p>
        </w:tc>
        <w:tc>
          <w:tcPr>
            <w:tcW w:w="1199" w:type="dxa"/>
            <w:vMerge w:val="continue"/>
            <w:tcBorders>
              <w:top w:val="nil"/>
            </w:tcBorders>
            <w:vAlign w:val="top"/>
          </w:tcPr>
          <w:p w14:paraId="624A3DDC">
            <w:pPr>
              <w:rPr>
                <w:rFonts w:ascii="Arial"/>
                <w:sz w:val="21"/>
                <w:highlight w:val="none"/>
              </w:rPr>
            </w:pPr>
          </w:p>
        </w:tc>
        <w:tc>
          <w:tcPr>
            <w:tcW w:w="1348" w:type="dxa"/>
            <w:vMerge w:val="continue"/>
            <w:tcBorders>
              <w:top w:val="nil"/>
            </w:tcBorders>
            <w:vAlign w:val="top"/>
          </w:tcPr>
          <w:p w14:paraId="1BC5466A">
            <w:pPr>
              <w:rPr>
                <w:rFonts w:ascii="Arial"/>
                <w:sz w:val="21"/>
                <w:highlight w:val="none"/>
              </w:rPr>
            </w:pPr>
          </w:p>
        </w:tc>
        <w:tc>
          <w:tcPr>
            <w:tcW w:w="1348" w:type="dxa"/>
            <w:vAlign w:val="top"/>
          </w:tcPr>
          <w:p w14:paraId="627067EF">
            <w:pPr>
              <w:pStyle w:val="6"/>
              <w:spacing w:before="157" w:line="219" w:lineRule="auto"/>
              <w:ind w:left="144"/>
              <w:rPr>
                <w:highlight w:val="none"/>
              </w:rPr>
            </w:pPr>
            <w:r>
              <w:rPr>
                <w:spacing w:val="-2"/>
                <w:highlight w:val="none"/>
              </w:rPr>
              <w:t>施工负责人</w:t>
            </w:r>
          </w:p>
          <w:p w14:paraId="358AC67B">
            <w:pPr>
              <w:pStyle w:val="6"/>
              <w:spacing w:before="50" w:line="219" w:lineRule="auto"/>
              <w:ind w:left="454"/>
              <w:rPr>
                <w:highlight w:val="none"/>
              </w:rPr>
            </w:pPr>
            <w:r>
              <w:rPr>
                <w:spacing w:val="4"/>
                <w:highlight w:val="none"/>
              </w:rPr>
              <w:t>资格</w:t>
            </w:r>
          </w:p>
        </w:tc>
        <w:tc>
          <w:tcPr>
            <w:tcW w:w="3411" w:type="dxa"/>
            <w:vAlign w:val="top"/>
          </w:tcPr>
          <w:p w14:paraId="5A4D790A">
            <w:pPr>
              <w:pStyle w:val="6"/>
              <w:spacing w:before="167" w:line="276" w:lineRule="auto"/>
              <w:ind w:left="136" w:right="520"/>
              <w:rPr>
                <w:highlight w:val="none"/>
              </w:rPr>
            </w:pPr>
            <w:r>
              <w:rPr>
                <w:spacing w:val="1"/>
                <w:highlight w:val="none"/>
              </w:rPr>
              <w:t>符合第二章“投标人须知”第</w:t>
            </w:r>
            <w:r>
              <w:rPr>
                <w:highlight w:val="none"/>
              </w:rPr>
              <w:t xml:space="preserve"> </w:t>
            </w:r>
            <w:r>
              <w:rPr>
                <w:spacing w:val="1"/>
                <w:highlight w:val="none"/>
              </w:rPr>
              <w:t>1.4.1项规定</w:t>
            </w:r>
          </w:p>
        </w:tc>
      </w:tr>
    </w:tbl>
    <w:p w14:paraId="2C698CB6">
      <w:pPr>
        <w:pStyle w:val="2"/>
        <w:rPr>
          <w:highlight w:val="none"/>
        </w:rPr>
      </w:pPr>
    </w:p>
    <w:p w14:paraId="5E3DDCF1">
      <w:pPr>
        <w:rPr>
          <w:highlight w:val="none"/>
        </w:rPr>
        <w:sectPr>
          <w:footerReference r:id="rId57" w:type="default"/>
          <w:pgSz w:w="11910" w:h="16840"/>
          <w:pgMar w:top="400" w:right="1725" w:bottom="1217" w:left="1665" w:header="0" w:footer="1013" w:gutter="0"/>
          <w:cols w:space="720" w:num="1"/>
        </w:sectPr>
      </w:pPr>
    </w:p>
    <w:p w14:paraId="79061F34">
      <w:pPr>
        <w:spacing w:before="15"/>
        <w:rPr>
          <w:highlight w:val="none"/>
        </w:rPr>
      </w:pPr>
    </w:p>
    <w:p w14:paraId="2F07C5DF">
      <w:pPr>
        <w:spacing w:before="15"/>
        <w:rPr>
          <w:highlight w:val="none"/>
        </w:rPr>
      </w:pPr>
    </w:p>
    <w:p w14:paraId="03BA3DBA">
      <w:pPr>
        <w:spacing w:before="15"/>
        <w:rPr>
          <w:highlight w:val="none"/>
        </w:rPr>
      </w:pPr>
    </w:p>
    <w:p w14:paraId="31CBD1A6">
      <w:pPr>
        <w:spacing w:before="14"/>
        <w:rPr>
          <w:highlight w:val="none"/>
        </w:rPr>
      </w:pPr>
    </w:p>
    <w:tbl>
      <w:tblPr>
        <w:tblStyle w:val="5"/>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3"/>
        <w:gridCol w:w="1189"/>
        <w:gridCol w:w="1358"/>
        <w:gridCol w:w="1358"/>
        <w:gridCol w:w="3421"/>
      </w:tblGrid>
      <w:tr w14:paraId="5083C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4" w:hRule="atLeast"/>
        </w:trPr>
        <w:tc>
          <w:tcPr>
            <w:tcW w:w="1183" w:type="dxa"/>
            <w:vMerge w:val="restart"/>
            <w:tcBorders>
              <w:bottom w:val="nil"/>
            </w:tcBorders>
            <w:vAlign w:val="top"/>
          </w:tcPr>
          <w:p w14:paraId="2FA87C5B">
            <w:pPr>
              <w:rPr>
                <w:rFonts w:ascii="Arial"/>
                <w:sz w:val="21"/>
                <w:highlight w:val="none"/>
              </w:rPr>
            </w:pPr>
          </w:p>
        </w:tc>
        <w:tc>
          <w:tcPr>
            <w:tcW w:w="1189" w:type="dxa"/>
            <w:vMerge w:val="restart"/>
            <w:tcBorders>
              <w:bottom w:val="nil"/>
            </w:tcBorders>
            <w:vAlign w:val="top"/>
          </w:tcPr>
          <w:p w14:paraId="1B77B103">
            <w:pPr>
              <w:rPr>
                <w:rFonts w:ascii="Arial"/>
                <w:sz w:val="21"/>
                <w:highlight w:val="none"/>
              </w:rPr>
            </w:pPr>
          </w:p>
        </w:tc>
        <w:tc>
          <w:tcPr>
            <w:tcW w:w="1358" w:type="dxa"/>
            <w:vMerge w:val="restart"/>
            <w:tcBorders>
              <w:bottom w:val="nil"/>
            </w:tcBorders>
            <w:vAlign w:val="top"/>
          </w:tcPr>
          <w:p w14:paraId="7D6DCA6E">
            <w:pPr>
              <w:rPr>
                <w:rFonts w:ascii="Arial"/>
                <w:sz w:val="21"/>
                <w:highlight w:val="none"/>
              </w:rPr>
            </w:pPr>
          </w:p>
        </w:tc>
        <w:tc>
          <w:tcPr>
            <w:tcW w:w="1358" w:type="dxa"/>
            <w:vAlign w:val="top"/>
          </w:tcPr>
          <w:p w14:paraId="3C018F07">
            <w:pPr>
              <w:pStyle w:val="6"/>
              <w:spacing w:before="162" w:line="219" w:lineRule="auto"/>
              <w:ind w:left="144"/>
              <w:rPr>
                <w:highlight w:val="none"/>
              </w:rPr>
            </w:pPr>
            <w:r>
              <w:rPr>
                <w:spacing w:val="-2"/>
                <w:highlight w:val="none"/>
              </w:rPr>
              <w:t>施工机械设</w:t>
            </w:r>
          </w:p>
          <w:p w14:paraId="7F5DC32E">
            <w:pPr>
              <w:pStyle w:val="6"/>
              <w:spacing w:before="73" w:line="221" w:lineRule="auto"/>
              <w:ind w:left="564"/>
              <w:rPr>
                <w:highlight w:val="none"/>
              </w:rPr>
            </w:pPr>
            <w:r>
              <w:rPr>
                <w:highlight w:val="none"/>
              </w:rPr>
              <w:t>备</w:t>
            </w:r>
          </w:p>
        </w:tc>
        <w:tc>
          <w:tcPr>
            <w:tcW w:w="3421" w:type="dxa"/>
            <w:vAlign w:val="top"/>
          </w:tcPr>
          <w:p w14:paraId="727A3001">
            <w:pPr>
              <w:pStyle w:val="6"/>
              <w:spacing w:before="152" w:line="294" w:lineRule="auto"/>
              <w:ind w:left="126" w:right="540"/>
              <w:rPr>
                <w:highlight w:val="none"/>
              </w:rPr>
            </w:pPr>
            <w:r>
              <w:rPr>
                <w:spacing w:val="1"/>
                <w:highlight w:val="none"/>
              </w:rPr>
              <w:t>符合第二章“投标人须知”第</w:t>
            </w:r>
            <w:r>
              <w:rPr>
                <w:highlight w:val="none"/>
              </w:rPr>
              <w:t xml:space="preserve"> </w:t>
            </w:r>
            <w:r>
              <w:rPr>
                <w:spacing w:val="1"/>
                <w:highlight w:val="none"/>
              </w:rPr>
              <w:t>1.4.1项规定</w:t>
            </w:r>
          </w:p>
        </w:tc>
      </w:tr>
      <w:tr w14:paraId="40A6B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183" w:type="dxa"/>
            <w:vMerge w:val="continue"/>
            <w:tcBorders>
              <w:top w:val="nil"/>
              <w:bottom w:val="nil"/>
            </w:tcBorders>
            <w:vAlign w:val="top"/>
          </w:tcPr>
          <w:p w14:paraId="6102CE14">
            <w:pPr>
              <w:rPr>
                <w:rFonts w:ascii="Arial"/>
                <w:sz w:val="21"/>
                <w:highlight w:val="none"/>
              </w:rPr>
            </w:pPr>
          </w:p>
        </w:tc>
        <w:tc>
          <w:tcPr>
            <w:tcW w:w="1189" w:type="dxa"/>
            <w:vMerge w:val="continue"/>
            <w:tcBorders>
              <w:top w:val="nil"/>
              <w:bottom w:val="nil"/>
            </w:tcBorders>
            <w:vAlign w:val="top"/>
          </w:tcPr>
          <w:p w14:paraId="6C14A3C9">
            <w:pPr>
              <w:rPr>
                <w:rFonts w:ascii="Arial"/>
                <w:sz w:val="21"/>
                <w:highlight w:val="none"/>
              </w:rPr>
            </w:pPr>
          </w:p>
        </w:tc>
        <w:tc>
          <w:tcPr>
            <w:tcW w:w="1358" w:type="dxa"/>
            <w:vMerge w:val="continue"/>
            <w:tcBorders>
              <w:top w:val="nil"/>
              <w:bottom w:val="nil"/>
            </w:tcBorders>
            <w:vAlign w:val="top"/>
          </w:tcPr>
          <w:p w14:paraId="707DC27E">
            <w:pPr>
              <w:rPr>
                <w:rFonts w:ascii="Arial"/>
                <w:sz w:val="21"/>
                <w:highlight w:val="none"/>
              </w:rPr>
            </w:pPr>
          </w:p>
        </w:tc>
        <w:tc>
          <w:tcPr>
            <w:tcW w:w="1358" w:type="dxa"/>
            <w:vAlign w:val="top"/>
          </w:tcPr>
          <w:p w14:paraId="62AF977B">
            <w:pPr>
              <w:pStyle w:val="6"/>
              <w:spacing w:before="169" w:line="276" w:lineRule="auto"/>
              <w:ind w:left="254" w:right="164" w:hanging="110"/>
              <w:rPr>
                <w:highlight w:val="none"/>
              </w:rPr>
            </w:pPr>
            <w:r>
              <w:rPr>
                <w:spacing w:val="-3"/>
                <w:highlight w:val="none"/>
              </w:rPr>
              <w:t>项目管理机</w:t>
            </w:r>
            <w:r>
              <w:rPr>
                <w:spacing w:val="2"/>
                <w:highlight w:val="none"/>
              </w:rPr>
              <w:t xml:space="preserve"> </w:t>
            </w:r>
            <w:r>
              <w:rPr>
                <w:spacing w:val="7"/>
                <w:highlight w:val="none"/>
              </w:rPr>
              <w:t>构及人员</w:t>
            </w:r>
          </w:p>
        </w:tc>
        <w:tc>
          <w:tcPr>
            <w:tcW w:w="3421" w:type="dxa"/>
            <w:vAlign w:val="top"/>
          </w:tcPr>
          <w:p w14:paraId="5A482A4B">
            <w:pPr>
              <w:pStyle w:val="6"/>
              <w:spacing w:before="167" w:line="268" w:lineRule="auto"/>
              <w:ind w:left="126" w:right="540"/>
              <w:rPr>
                <w:highlight w:val="none"/>
              </w:rPr>
            </w:pPr>
            <w:r>
              <w:rPr>
                <w:spacing w:val="1"/>
                <w:highlight w:val="none"/>
              </w:rPr>
              <w:t>符合第二章“投标人须知”第</w:t>
            </w:r>
            <w:r>
              <w:rPr>
                <w:highlight w:val="none"/>
              </w:rPr>
              <w:t xml:space="preserve"> </w:t>
            </w:r>
            <w:r>
              <w:rPr>
                <w:spacing w:val="1"/>
                <w:highlight w:val="none"/>
              </w:rPr>
              <w:t>1.4.1项规定</w:t>
            </w:r>
          </w:p>
        </w:tc>
      </w:tr>
      <w:tr w14:paraId="14376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183" w:type="dxa"/>
            <w:vMerge w:val="continue"/>
            <w:tcBorders>
              <w:top w:val="nil"/>
              <w:bottom w:val="nil"/>
            </w:tcBorders>
            <w:vAlign w:val="top"/>
          </w:tcPr>
          <w:p w14:paraId="43E91684">
            <w:pPr>
              <w:rPr>
                <w:rFonts w:ascii="Arial"/>
                <w:sz w:val="21"/>
                <w:highlight w:val="none"/>
              </w:rPr>
            </w:pPr>
          </w:p>
        </w:tc>
        <w:tc>
          <w:tcPr>
            <w:tcW w:w="1189" w:type="dxa"/>
            <w:vMerge w:val="continue"/>
            <w:tcBorders>
              <w:top w:val="nil"/>
              <w:bottom w:val="nil"/>
            </w:tcBorders>
            <w:vAlign w:val="top"/>
          </w:tcPr>
          <w:p w14:paraId="3B0925C0">
            <w:pPr>
              <w:rPr>
                <w:rFonts w:ascii="Arial"/>
                <w:sz w:val="21"/>
                <w:highlight w:val="none"/>
              </w:rPr>
            </w:pPr>
          </w:p>
        </w:tc>
        <w:tc>
          <w:tcPr>
            <w:tcW w:w="1358" w:type="dxa"/>
            <w:vMerge w:val="continue"/>
            <w:tcBorders>
              <w:top w:val="nil"/>
              <w:bottom w:val="nil"/>
            </w:tcBorders>
            <w:vAlign w:val="top"/>
          </w:tcPr>
          <w:p w14:paraId="650C3C3E">
            <w:pPr>
              <w:rPr>
                <w:rFonts w:ascii="Arial"/>
                <w:sz w:val="21"/>
                <w:highlight w:val="none"/>
              </w:rPr>
            </w:pPr>
          </w:p>
        </w:tc>
        <w:tc>
          <w:tcPr>
            <w:tcW w:w="1358" w:type="dxa"/>
            <w:vAlign w:val="top"/>
          </w:tcPr>
          <w:p w14:paraId="4C331833">
            <w:pPr>
              <w:spacing w:line="241" w:lineRule="auto"/>
              <w:rPr>
                <w:rFonts w:ascii="Arial"/>
                <w:sz w:val="21"/>
                <w:highlight w:val="none"/>
              </w:rPr>
            </w:pPr>
          </w:p>
          <w:p w14:paraId="53A60797">
            <w:pPr>
              <w:pStyle w:val="6"/>
              <w:spacing w:before="68" w:line="220" w:lineRule="auto"/>
              <w:ind w:left="254"/>
              <w:rPr>
                <w:highlight w:val="none"/>
              </w:rPr>
            </w:pPr>
            <w:r>
              <w:rPr>
                <w:spacing w:val="-2"/>
                <w:highlight w:val="none"/>
              </w:rPr>
              <w:t>其他要求</w:t>
            </w:r>
          </w:p>
        </w:tc>
        <w:tc>
          <w:tcPr>
            <w:tcW w:w="3421" w:type="dxa"/>
            <w:vAlign w:val="top"/>
          </w:tcPr>
          <w:p w14:paraId="26CF31F5">
            <w:pPr>
              <w:pStyle w:val="6"/>
              <w:spacing w:before="138" w:line="299" w:lineRule="auto"/>
              <w:ind w:left="126" w:right="540"/>
              <w:rPr>
                <w:highlight w:val="none"/>
              </w:rPr>
            </w:pPr>
            <w:r>
              <w:rPr>
                <w:spacing w:val="1"/>
                <w:highlight w:val="none"/>
              </w:rPr>
              <w:t>符合第二章“投标人须知”第</w:t>
            </w:r>
            <w:r>
              <w:rPr>
                <w:highlight w:val="none"/>
              </w:rPr>
              <w:t xml:space="preserve"> </w:t>
            </w:r>
            <w:r>
              <w:rPr>
                <w:spacing w:val="1"/>
                <w:highlight w:val="none"/>
              </w:rPr>
              <w:t>1.4.1项规定</w:t>
            </w:r>
          </w:p>
        </w:tc>
      </w:tr>
      <w:tr w14:paraId="2DA34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9" w:hRule="atLeast"/>
        </w:trPr>
        <w:tc>
          <w:tcPr>
            <w:tcW w:w="1183" w:type="dxa"/>
            <w:vMerge w:val="continue"/>
            <w:tcBorders>
              <w:top w:val="nil"/>
              <w:bottom w:val="nil"/>
            </w:tcBorders>
            <w:vAlign w:val="top"/>
          </w:tcPr>
          <w:p w14:paraId="51DB99A3">
            <w:pPr>
              <w:rPr>
                <w:rFonts w:ascii="Arial"/>
                <w:sz w:val="21"/>
                <w:highlight w:val="none"/>
              </w:rPr>
            </w:pPr>
          </w:p>
        </w:tc>
        <w:tc>
          <w:tcPr>
            <w:tcW w:w="1189" w:type="dxa"/>
            <w:vMerge w:val="continue"/>
            <w:tcBorders>
              <w:top w:val="nil"/>
              <w:bottom w:val="nil"/>
            </w:tcBorders>
            <w:vAlign w:val="top"/>
          </w:tcPr>
          <w:p w14:paraId="233EBD47">
            <w:pPr>
              <w:rPr>
                <w:rFonts w:ascii="Arial"/>
                <w:sz w:val="21"/>
                <w:highlight w:val="none"/>
              </w:rPr>
            </w:pPr>
          </w:p>
        </w:tc>
        <w:tc>
          <w:tcPr>
            <w:tcW w:w="1358" w:type="dxa"/>
            <w:vMerge w:val="continue"/>
            <w:tcBorders>
              <w:top w:val="nil"/>
              <w:bottom w:val="nil"/>
            </w:tcBorders>
            <w:vAlign w:val="top"/>
          </w:tcPr>
          <w:p w14:paraId="735F2C0A">
            <w:pPr>
              <w:rPr>
                <w:rFonts w:ascii="Arial"/>
                <w:sz w:val="21"/>
                <w:highlight w:val="none"/>
              </w:rPr>
            </w:pPr>
          </w:p>
        </w:tc>
        <w:tc>
          <w:tcPr>
            <w:tcW w:w="1358" w:type="dxa"/>
            <w:vAlign w:val="top"/>
          </w:tcPr>
          <w:p w14:paraId="52FE6F22">
            <w:pPr>
              <w:spacing w:line="262" w:lineRule="auto"/>
              <w:rPr>
                <w:rFonts w:ascii="Arial"/>
                <w:sz w:val="21"/>
                <w:highlight w:val="none"/>
              </w:rPr>
            </w:pPr>
          </w:p>
          <w:p w14:paraId="3DE71320">
            <w:pPr>
              <w:pStyle w:val="6"/>
              <w:spacing w:before="68" w:line="275" w:lineRule="auto"/>
              <w:ind w:left="254" w:right="162" w:hanging="110"/>
              <w:rPr>
                <w:highlight w:val="none"/>
              </w:rPr>
            </w:pPr>
            <w:r>
              <w:rPr>
                <w:spacing w:val="-2"/>
                <w:highlight w:val="none"/>
              </w:rPr>
              <w:t>联合体投标</w:t>
            </w:r>
            <w:r>
              <w:rPr>
                <w:highlight w:val="none"/>
              </w:rPr>
              <w:t xml:space="preserve"> </w:t>
            </w:r>
            <w:r>
              <w:rPr>
                <w:spacing w:val="9"/>
                <w:highlight w:val="none"/>
              </w:rPr>
              <w:t>人(如有)</w:t>
            </w:r>
          </w:p>
        </w:tc>
        <w:tc>
          <w:tcPr>
            <w:tcW w:w="3421" w:type="dxa"/>
            <w:vAlign w:val="top"/>
          </w:tcPr>
          <w:p w14:paraId="75232960">
            <w:pPr>
              <w:pStyle w:val="6"/>
              <w:spacing w:before="181" w:line="276" w:lineRule="auto"/>
              <w:ind w:left="126" w:right="540"/>
              <w:rPr>
                <w:highlight w:val="none"/>
              </w:rPr>
            </w:pPr>
            <w:r>
              <w:rPr>
                <w:spacing w:val="1"/>
                <w:highlight w:val="none"/>
              </w:rPr>
              <w:t>符合第二章“投标人须知”第</w:t>
            </w:r>
            <w:r>
              <w:rPr>
                <w:highlight w:val="none"/>
              </w:rPr>
              <w:t xml:space="preserve"> </w:t>
            </w:r>
            <w:r>
              <w:rPr>
                <w:spacing w:val="1"/>
                <w:highlight w:val="none"/>
              </w:rPr>
              <w:t>1.4.2项规定</w:t>
            </w:r>
          </w:p>
        </w:tc>
      </w:tr>
      <w:tr w14:paraId="3904D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183" w:type="dxa"/>
            <w:vMerge w:val="continue"/>
            <w:tcBorders>
              <w:top w:val="nil"/>
              <w:bottom w:val="nil"/>
            </w:tcBorders>
            <w:vAlign w:val="top"/>
          </w:tcPr>
          <w:p w14:paraId="2635655B">
            <w:pPr>
              <w:rPr>
                <w:rFonts w:ascii="Arial"/>
                <w:sz w:val="21"/>
                <w:highlight w:val="none"/>
              </w:rPr>
            </w:pPr>
          </w:p>
        </w:tc>
        <w:tc>
          <w:tcPr>
            <w:tcW w:w="1189" w:type="dxa"/>
            <w:vMerge w:val="continue"/>
            <w:tcBorders>
              <w:top w:val="nil"/>
              <w:bottom w:val="nil"/>
            </w:tcBorders>
            <w:vAlign w:val="top"/>
          </w:tcPr>
          <w:p w14:paraId="2632E4B8">
            <w:pPr>
              <w:rPr>
                <w:rFonts w:ascii="Arial"/>
                <w:sz w:val="21"/>
                <w:highlight w:val="none"/>
              </w:rPr>
            </w:pPr>
          </w:p>
        </w:tc>
        <w:tc>
          <w:tcPr>
            <w:tcW w:w="1358" w:type="dxa"/>
            <w:vMerge w:val="continue"/>
            <w:tcBorders>
              <w:top w:val="nil"/>
            </w:tcBorders>
            <w:vAlign w:val="top"/>
          </w:tcPr>
          <w:p w14:paraId="2A3938B0">
            <w:pPr>
              <w:rPr>
                <w:rFonts w:ascii="Arial"/>
                <w:sz w:val="21"/>
                <w:highlight w:val="none"/>
              </w:rPr>
            </w:pPr>
          </w:p>
        </w:tc>
        <w:tc>
          <w:tcPr>
            <w:tcW w:w="1358" w:type="dxa"/>
            <w:vAlign w:val="top"/>
          </w:tcPr>
          <w:p w14:paraId="2A61D625">
            <w:pPr>
              <w:pStyle w:val="6"/>
              <w:spacing w:before="172" w:line="219" w:lineRule="auto"/>
              <w:ind w:left="144"/>
              <w:rPr>
                <w:highlight w:val="none"/>
              </w:rPr>
            </w:pPr>
            <w:r>
              <w:rPr>
                <w:spacing w:val="1"/>
                <w:highlight w:val="none"/>
              </w:rPr>
              <w:t>不存在禁止</w:t>
            </w:r>
          </w:p>
          <w:p w14:paraId="18D0C9BE">
            <w:pPr>
              <w:pStyle w:val="6"/>
              <w:spacing w:before="61" w:line="220" w:lineRule="auto"/>
              <w:ind w:left="144"/>
              <w:rPr>
                <w:highlight w:val="none"/>
              </w:rPr>
            </w:pPr>
            <w:r>
              <w:rPr>
                <w:spacing w:val="2"/>
                <w:highlight w:val="none"/>
              </w:rPr>
              <w:t>投标的情形</w:t>
            </w:r>
          </w:p>
        </w:tc>
        <w:tc>
          <w:tcPr>
            <w:tcW w:w="3421" w:type="dxa"/>
            <w:vAlign w:val="top"/>
          </w:tcPr>
          <w:p w14:paraId="22A6096D">
            <w:pPr>
              <w:pStyle w:val="6"/>
              <w:spacing w:before="161" w:line="289" w:lineRule="auto"/>
              <w:ind w:left="126" w:right="330"/>
              <w:rPr>
                <w:highlight w:val="none"/>
              </w:rPr>
            </w:pPr>
            <w:r>
              <w:rPr>
                <w:highlight w:val="none"/>
              </w:rPr>
              <w:t>不存在第二章“投标人须知”第</w:t>
            </w:r>
            <w:r>
              <w:rPr>
                <w:spacing w:val="12"/>
                <w:highlight w:val="none"/>
              </w:rPr>
              <w:t xml:space="preserve"> </w:t>
            </w:r>
            <w:r>
              <w:rPr>
                <w:highlight w:val="none"/>
              </w:rPr>
              <w:t>1.4.3项规定的任何一种情形</w:t>
            </w:r>
          </w:p>
        </w:tc>
      </w:tr>
      <w:tr w14:paraId="00F5A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183" w:type="dxa"/>
            <w:vMerge w:val="continue"/>
            <w:tcBorders>
              <w:top w:val="nil"/>
              <w:bottom w:val="nil"/>
            </w:tcBorders>
            <w:vAlign w:val="top"/>
          </w:tcPr>
          <w:p w14:paraId="2051CB2B">
            <w:pPr>
              <w:rPr>
                <w:rFonts w:ascii="Arial"/>
                <w:sz w:val="21"/>
                <w:highlight w:val="none"/>
              </w:rPr>
            </w:pPr>
          </w:p>
        </w:tc>
        <w:tc>
          <w:tcPr>
            <w:tcW w:w="1189" w:type="dxa"/>
            <w:vMerge w:val="continue"/>
            <w:tcBorders>
              <w:top w:val="nil"/>
              <w:bottom w:val="nil"/>
            </w:tcBorders>
            <w:vAlign w:val="top"/>
          </w:tcPr>
          <w:p w14:paraId="74C8D8FE">
            <w:pPr>
              <w:rPr>
                <w:rFonts w:ascii="Arial"/>
                <w:sz w:val="21"/>
                <w:highlight w:val="none"/>
              </w:rPr>
            </w:pPr>
          </w:p>
        </w:tc>
        <w:tc>
          <w:tcPr>
            <w:tcW w:w="1358" w:type="dxa"/>
            <w:vMerge w:val="restart"/>
            <w:tcBorders>
              <w:bottom w:val="nil"/>
            </w:tcBorders>
            <w:vAlign w:val="top"/>
          </w:tcPr>
          <w:p w14:paraId="58912D1F">
            <w:pPr>
              <w:spacing w:line="252" w:lineRule="auto"/>
              <w:rPr>
                <w:rFonts w:ascii="Arial"/>
                <w:sz w:val="21"/>
                <w:highlight w:val="none"/>
              </w:rPr>
            </w:pPr>
          </w:p>
          <w:p w14:paraId="61FE2E1C">
            <w:pPr>
              <w:spacing w:line="252" w:lineRule="auto"/>
              <w:rPr>
                <w:rFonts w:ascii="Arial"/>
                <w:sz w:val="21"/>
                <w:highlight w:val="none"/>
              </w:rPr>
            </w:pPr>
          </w:p>
          <w:p w14:paraId="5501E294">
            <w:pPr>
              <w:spacing w:line="252" w:lineRule="auto"/>
              <w:rPr>
                <w:rFonts w:ascii="Arial"/>
                <w:sz w:val="21"/>
                <w:highlight w:val="none"/>
              </w:rPr>
            </w:pPr>
          </w:p>
          <w:p w14:paraId="461BAF77">
            <w:pPr>
              <w:spacing w:line="252" w:lineRule="auto"/>
              <w:rPr>
                <w:rFonts w:ascii="Arial"/>
                <w:sz w:val="21"/>
                <w:highlight w:val="none"/>
              </w:rPr>
            </w:pPr>
          </w:p>
          <w:p w14:paraId="7E82121A">
            <w:pPr>
              <w:spacing w:line="252" w:lineRule="auto"/>
              <w:rPr>
                <w:rFonts w:ascii="Arial"/>
                <w:sz w:val="21"/>
                <w:highlight w:val="none"/>
              </w:rPr>
            </w:pPr>
          </w:p>
          <w:p w14:paraId="24C664D3">
            <w:pPr>
              <w:spacing w:line="252" w:lineRule="auto"/>
              <w:rPr>
                <w:rFonts w:ascii="Arial"/>
                <w:sz w:val="21"/>
                <w:highlight w:val="none"/>
              </w:rPr>
            </w:pPr>
          </w:p>
          <w:p w14:paraId="56D5642F">
            <w:pPr>
              <w:spacing w:line="252" w:lineRule="auto"/>
              <w:rPr>
                <w:rFonts w:ascii="Arial"/>
                <w:sz w:val="21"/>
                <w:highlight w:val="none"/>
              </w:rPr>
            </w:pPr>
          </w:p>
          <w:p w14:paraId="501C5AC6">
            <w:pPr>
              <w:spacing w:line="252" w:lineRule="auto"/>
              <w:rPr>
                <w:rFonts w:ascii="Arial"/>
                <w:sz w:val="21"/>
                <w:highlight w:val="none"/>
              </w:rPr>
            </w:pPr>
          </w:p>
          <w:p w14:paraId="7C0046FD">
            <w:pPr>
              <w:spacing w:line="252" w:lineRule="auto"/>
              <w:rPr>
                <w:rFonts w:ascii="Arial"/>
                <w:sz w:val="21"/>
                <w:highlight w:val="none"/>
              </w:rPr>
            </w:pPr>
          </w:p>
          <w:p w14:paraId="21B81C08">
            <w:pPr>
              <w:spacing w:line="253" w:lineRule="auto"/>
              <w:rPr>
                <w:rFonts w:ascii="Arial"/>
                <w:sz w:val="21"/>
                <w:highlight w:val="none"/>
              </w:rPr>
            </w:pPr>
          </w:p>
          <w:p w14:paraId="250B20A5">
            <w:pPr>
              <w:spacing w:line="253" w:lineRule="auto"/>
              <w:rPr>
                <w:rFonts w:ascii="Arial"/>
                <w:sz w:val="21"/>
                <w:highlight w:val="none"/>
              </w:rPr>
            </w:pPr>
          </w:p>
          <w:p w14:paraId="043FFBCF">
            <w:pPr>
              <w:spacing w:line="253" w:lineRule="auto"/>
              <w:rPr>
                <w:rFonts w:ascii="Arial"/>
                <w:sz w:val="21"/>
                <w:highlight w:val="none"/>
              </w:rPr>
            </w:pPr>
          </w:p>
          <w:p w14:paraId="7148704D">
            <w:pPr>
              <w:pStyle w:val="6"/>
              <w:spacing w:before="68" w:line="220" w:lineRule="auto"/>
              <w:ind w:left="172"/>
              <w:rPr>
                <w:highlight w:val="none"/>
              </w:rPr>
            </w:pPr>
            <w:r>
              <w:rPr>
                <w:spacing w:val="3"/>
                <w:highlight w:val="none"/>
              </w:rPr>
              <w:t>响应性评审</w:t>
            </w:r>
          </w:p>
        </w:tc>
        <w:tc>
          <w:tcPr>
            <w:tcW w:w="1358" w:type="dxa"/>
            <w:vAlign w:val="top"/>
          </w:tcPr>
          <w:p w14:paraId="460312E3">
            <w:pPr>
              <w:spacing w:line="251" w:lineRule="auto"/>
              <w:rPr>
                <w:rFonts w:ascii="Arial"/>
                <w:sz w:val="21"/>
                <w:highlight w:val="none"/>
              </w:rPr>
            </w:pPr>
          </w:p>
          <w:p w14:paraId="4C487DC9">
            <w:pPr>
              <w:pStyle w:val="6"/>
              <w:spacing w:before="69" w:line="218" w:lineRule="auto"/>
              <w:ind w:left="254"/>
              <w:rPr>
                <w:highlight w:val="none"/>
              </w:rPr>
            </w:pPr>
            <w:r>
              <w:rPr>
                <w:spacing w:val="-3"/>
                <w:highlight w:val="none"/>
              </w:rPr>
              <w:t>投标报价</w:t>
            </w:r>
          </w:p>
        </w:tc>
        <w:tc>
          <w:tcPr>
            <w:tcW w:w="3421" w:type="dxa"/>
            <w:vAlign w:val="top"/>
          </w:tcPr>
          <w:p w14:paraId="11D135CF">
            <w:pPr>
              <w:pStyle w:val="6"/>
              <w:spacing w:before="173" w:line="285" w:lineRule="auto"/>
              <w:ind w:left="126" w:right="540"/>
              <w:rPr>
                <w:highlight w:val="none"/>
              </w:rPr>
            </w:pPr>
            <w:r>
              <w:rPr>
                <w:spacing w:val="1"/>
                <w:highlight w:val="none"/>
              </w:rPr>
              <w:t>符合第二章“投标人须知”第</w:t>
            </w:r>
            <w:r>
              <w:rPr>
                <w:highlight w:val="none"/>
              </w:rPr>
              <w:t xml:space="preserve"> </w:t>
            </w:r>
            <w:r>
              <w:rPr>
                <w:spacing w:val="1"/>
                <w:highlight w:val="none"/>
              </w:rPr>
              <w:t>3.2.4项规定</w:t>
            </w:r>
          </w:p>
        </w:tc>
      </w:tr>
      <w:tr w14:paraId="68643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1183" w:type="dxa"/>
            <w:vMerge w:val="continue"/>
            <w:tcBorders>
              <w:top w:val="nil"/>
              <w:bottom w:val="nil"/>
            </w:tcBorders>
            <w:vAlign w:val="top"/>
          </w:tcPr>
          <w:p w14:paraId="42B8C559">
            <w:pPr>
              <w:rPr>
                <w:rFonts w:ascii="Arial"/>
                <w:sz w:val="21"/>
                <w:highlight w:val="none"/>
              </w:rPr>
            </w:pPr>
          </w:p>
        </w:tc>
        <w:tc>
          <w:tcPr>
            <w:tcW w:w="1189" w:type="dxa"/>
            <w:vMerge w:val="continue"/>
            <w:tcBorders>
              <w:top w:val="nil"/>
              <w:bottom w:val="nil"/>
            </w:tcBorders>
            <w:vAlign w:val="top"/>
          </w:tcPr>
          <w:p w14:paraId="0A59CFF6">
            <w:pPr>
              <w:rPr>
                <w:rFonts w:ascii="Arial"/>
                <w:sz w:val="21"/>
                <w:highlight w:val="none"/>
              </w:rPr>
            </w:pPr>
          </w:p>
        </w:tc>
        <w:tc>
          <w:tcPr>
            <w:tcW w:w="1358" w:type="dxa"/>
            <w:vMerge w:val="continue"/>
            <w:tcBorders>
              <w:top w:val="nil"/>
              <w:bottom w:val="nil"/>
            </w:tcBorders>
            <w:vAlign w:val="top"/>
          </w:tcPr>
          <w:p w14:paraId="4730044A">
            <w:pPr>
              <w:rPr>
                <w:rFonts w:ascii="Arial"/>
                <w:sz w:val="21"/>
                <w:highlight w:val="none"/>
              </w:rPr>
            </w:pPr>
          </w:p>
        </w:tc>
        <w:tc>
          <w:tcPr>
            <w:tcW w:w="1358" w:type="dxa"/>
            <w:vAlign w:val="top"/>
          </w:tcPr>
          <w:p w14:paraId="665ED801">
            <w:pPr>
              <w:spacing w:line="254" w:lineRule="auto"/>
              <w:rPr>
                <w:rFonts w:ascii="Arial"/>
                <w:sz w:val="21"/>
                <w:highlight w:val="none"/>
              </w:rPr>
            </w:pPr>
          </w:p>
          <w:p w14:paraId="150F1878">
            <w:pPr>
              <w:pStyle w:val="6"/>
              <w:spacing w:before="69" w:line="219" w:lineRule="auto"/>
              <w:ind w:left="254"/>
              <w:rPr>
                <w:highlight w:val="none"/>
              </w:rPr>
            </w:pPr>
            <w:r>
              <w:rPr>
                <w:spacing w:val="2"/>
                <w:highlight w:val="none"/>
              </w:rPr>
              <w:t>投标内容</w:t>
            </w:r>
          </w:p>
        </w:tc>
        <w:tc>
          <w:tcPr>
            <w:tcW w:w="3421" w:type="dxa"/>
            <w:vAlign w:val="top"/>
          </w:tcPr>
          <w:p w14:paraId="12A4A072">
            <w:pPr>
              <w:pStyle w:val="6"/>
              <w:spacing w:before="142" w:line="306" w:lineRule="auto"/>
              <w:ind w:left="126" w:right="540"/>
              <w:rPr>
                <w:highlight w:val="none"/>
              </w:rPr>
            </w:pPr>
            <w:r>
              <w:rPr>
                <w:spacing w:val="1"/>
                <w:highlight w:val="none"/>
              </w:rPr>
              <w:t>符合第二章“投标人须知”第</w:t>
            </w:r>
            <w:r>
              <w:rPr>
                <w:highlight w:val="none"/>
              </w:rPr>
              <w:t xml:space="preserve"> </w:t>
            </w:r>
            <w:r>
              <w:rPr>
                <w:spacing w:val="1"/>
                <w:highlight w:val="none"/>
              </w:rPr>
              <w:t>1.3.1项规定</w:t>
            </w:r>
          </w:p>
        </w:tc>
      </w:tr>
      <w:tr w14:paraId="3B9DD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183" w:type="dxa"/>
            <w:vMerge w:val="continue"/>
            <w:tcBorders>
              <w:top w:val="nil"/>
              <w:bottom w:val="nil"/>
            </w:tcBorders>
            <w:vAlign w:val="top"/>
          </w:tcPr>
          <w:p w14:paraId="7EB6EFFE">
            <w:pPr>
              <w:rPr>
                <w:rFonts w:ascii="Arial"/>
                <w:sz w:val="21"/>
                <w:highlight w:val="none"/>
              </w:rPr>
            </w:pPr>
          </w:p>
        </w:tc>
        <w:tc>
          <w:tcPr>
            <w:tcW w:w="1189" w:type="dxa"/>
            <w:vMerge w:val="continue"/>
            <w:tcBorders>
              <w:top w:val="nil"/>
              <w:bottom w:val="nil"/>
            </w:tcBorders>
            <w:vAlign w:val="top"/>
          </w:tcPr>
          <w:p w14:paraId="1C6D97A8">
            <w:pPr>
              <w:rPr>
                <w:rFonts w:ascii="Arial"/>
                <w:sz w:val="21"/>
                <w:highlight w:val="none"/>
              </w:rPr>
            </w:pPr>
          </w:p>
        </w:tc>
        <w:tc>
          <w:tcPr>
            <w:tcW w:w="1358" w:type="dxa"/>
            <w:vMerge w:val="continue"/>
            <w:tcBorders>
              <w:top w:val="nil"/>
              <w:bottom w:val="nil"/>
            </w:tcBorders>
            <w:vAlign w:val="top"/>
          </w:tcPr>
          <w:p w14:paraId="4DCDD406">
            <w:pPr>
              <w:rPr>
                <w:rFonts w:ascii="Arial"/>
                <w:sz w:val="21"/>
                <w:highlight w:val="none"/>
              </w:rPr>
            </w:pPr>
          </w:p>
        </w:tc>
        <w:tc>
          <w:tcPr>
            <w:tcW w:w="1358" w:type="dxa"/>
            <w:vAlign w:val="top"/>
          </w:tcPr>
          <w:p w14:paraId="42D98DA0">
            <w:pPr>
              <w:spacing w:line="246" w:lineRule="auto"/>
              <w:rPr>
                <w:rFonts w:ascii="Arial"/>
                <w:sz w:val="21"/>
                <w:highlight w:val="none"/>
              </w:rPr>
            </w:pPr>
          </w:p>
          <w:p w14:paraId="46FD8789">
            <w:pPr>
              <w:pStyle w:val="6"/>
              <w:spacing w:before="68" w:line="220" w:lineRule="auto"/>
              <w:ind w:left="464"/>
              <w:rPr>
                <w:highlight w:val="none"/>
              </w:rPr>
            </w:pPr>
            <w:r>
              <w:rPr>
                <w:spacing w:val="6"/>
                <w:highlight w:val="none"/>
              </w:rPr>
              <w:t>工期</w:t>
            </w:r>
          </w:p>
        </w:tc>
        <w:tc>
          <w:tcPr>
            <w:tcW w:w="3421" w:type="dxa"/>
            <w:vAlign w:val="top"/>
          </w:tcPr>
          <w:p w14:paraId="32EF160C">
            <w:pPr>
              <w:pStyle w:val="6"/>
              <w:spacing w:before="163" w:line="268" w:lineRule="auto"/>
              <w:ind w:left="126" w:right="540"/>
              <w:rPr>
                <w:highlight w:val="none"/>
              </w:rPr>
            </w:pPr>
            <w:r>
              <w:rPr>
                <w:spacing w:val="1"/>
                <w:highlight w:val="none"/>
              </w:rPr>
              <w:t>符合第二章“投标人须知”第</w:t>
            </w:r>
            <w:r>
              <w:rPr>
                <w:highlight w:val="none"/>
              </w:rPr>
              <w:t xml:space="preserve"> </w:t>
            </w:r>
            <w:r>
              <w:rPr>
                <w:spacing w:val="1"/>
                <w:highlight w:val="none"/>
              </w:rPr>
              <w:t>1.3.2项规定</w:t>
            </w:r>
          </w:p>
        </w:tc>
      </w:tr>
      <w:tr w14:paraId="01ECA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183" w:type="dxa"/>
            <w:vMerge w:val="continue"/>
            <w:tcBorders>
              <w:top w:val="nil"/>
              <w:bottom w:val="nil"/>
            </w:tcBorders>
            <w:vAlign w:val="top"/>
          </w:tcPr>
          <w:p w14:paraId="5719F707">
            <w:pPr>
              <w:rPr>
                <w:rFonts w:ascii="Arial"/>
                <w:sz w:val="21"/>
                <w:highlight w:val="none"/>
              </w:rPr>
            </w:pPr>
          </w:p>
        </w:tc>
        <w:tc>
          <w:tcPr>
            <w:tcW w:w="1189" w:type="dxa"/>
            <w:vMerge w:val="continue"/>
            <w:tcBorders>
              <w:top w:val="nil"/>
              <w:bottom w:val="nil"/>
            </w:tcBorders>
            <w:vAlign w:val="top"/>
          </w:tcPr>
          <w:p w14:paraId="4A13116F">
            <w:pPr>
              <w:rPr>
                <w:rFonts w:ascii="Arial"/>
                <w:sz w:val="21"/>
                <w:highlight w:val="none"/>
              </w:rPr>
            </w:pPr>
          </w:p>
        </w:tc>
        <w:tc>
          <w:tcPr>
            <w:tcW w:w="1358" w:type="dxa"/>
            <w:vMerge w:val="continue"/>
            <w:tcBorders>
              <w:top w:val="nil"/>
              <w:bottom w:val="nil"/>
            </w:tcBorders>
            <w:vAlign w:val="top"/>
          </w:tcPr>
          <w:p w14:paraId="40724A3A">
            <w:pPr>
              <w:rPr>
                <w:rFonts w:ascii="Arial"/>
                <w:sz w:val="21"/>
                <w:highlight w:val="none"/>
              </w:rPr>
            </w:pPr>
          </w:p>
        </w:tc>
        <w:tc>
          <w:tcPr>
            <w:tcW w:w="1358" w:type="dxa"/>
            <w:vAlign w:val="top"/>
          </w:tcPr>
          <w:p w14:paraId="2779CCC8">
            <w:pPr>
              <w:spacing w:line="247" w:lineRule="auto"/>
              <w:rPr>
                <w:rFonts w:ascii="Arial"/>
                <w:sz w:val="21"/>
                <w:highlight w:val="none"/>
              </w:rPr>
            </w:pPr>
          </w:p>
          <w:p w14:paraId="5E5FF2A0">
            <w:pPr>
              <w:pStyle w:val="6"/>
              <w:spacing w:before="68" w:line="220" w:lineRule="auto"/>
              <w:ind w:left="254"/>
              <w:rPr>
                <w:highlight w:val="none"/>
              </w:rPr>
            </w:pPr>
            <w:r>
              <w:rPr>
                <w:spacing w:val="-2"/>
                <w:highlight w:val="none"/>
              </w:rPr>
              <w:t>质量标准</w:t>
            </w:r>
          </w:p>
        </w:tc>
        <w:tc>
          <w:tcPr>
            <w:tcW w:w="3421" w:type="dxa"/>
            <w:vAlign w:val="top"/>
          </w:tcPr>
          <w:p w14:paraId="438520F5">
            <w:pPr>
              <w:pStyle w:val="6"/>
              <w:spacing w:before="165" w:line="285" w:lineRule="auto"/>
              <w:ind w:left="126" w:right="540"/>
              <w:rPr>
                <w:highlight w:val="none"/>
              </w:rPr>
            </w:pPr>
            <w:r>
              <w:rPr>
                <w:spacing w:val="1"/>
                <w:highlight w:val="none"/>
              </w:rPr>
              <w:t>符合第二章“投标人须知”第</w:t>
            </w:r>
            <w:r>
              <w:rPr>
                <w:highlight w:val="none"/>
              </w:rPr>
              <w:t xml:space="preserve"> </w:t>
            </w:r>
            <w:r>
              <w:rPr>
                <w:spacing w:val="1"/>
                <w:highlight w:val="none"/>
              </w:rPr>
              <w:t>1.3.3项规定</w:t>
            </w:r>
          </w:p>
        </w:tc>
      </w:tr>
      <w:tr w14:paraId="5608F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1183" w:type="dxa"/>
            <w:vMerge w:val="continue"/>
            <w:tcBorders>
              <w:top w:val="nil"/>
              <w:bottom w:val="nil"/>
            </w:tcBorders>
            <w:vAlign w:val="top"/>
          </w:tcPr>
          <w:p w14:paraId="492B0190">
            <w:pPr>
              <w:rPr>
                <w:rFonts w:ascii="Arial"/>
                <w:sz w:val="21"/>
                <w:highlight w:val="none"/>
              </w:rPr>
            </w:pPr>
          </w:p>
        </w:tc>
        <w:tc>
          <w:tcPr>
            <w:tcW w:w="1189" w:type="dxa"/>
            <w:vMerge w:val="continue"/>
            <w:tcBorders>
              <w:top w:val="nil"/>
              <w:bottom w:val="nil"/>
            </w:tcBorders>
            <w:vAlign w:val="top"/>
          </w:tcPr>
          <w:p w14:paraId="5DBBFAAC">
            <w:pPr>
              <w:rPr>
                <w:rFonts w:ascii="Arial"/>
                <w:sz w:val="21"/>
                <w:highlight w:val="none"/>
              </w:rPr>
            </w:pPr>
          </w:p>
        </w:tc>
        <w:tc>
          <w:tcPr>
            <w:tcW w:w="1358" w:type="dxa"/>
            <w:vMerge w:val="continue"/>
            <w:tcBorders>
              <w:top w:val="nil"/>
              <w:bottom w:val="nil"/>
            </w:tcBorders>
            <w:vAlign w:val="top"/>
          </w:tcPr>
          <w:p w14:paraId="14FC6DAC">
            <w:pPr>
              <w:rPr>
                <w:rFonts w:ascii="Arial"/>
                <w:sz w:val="21"/>
                <w:highlight w:val="none"/>
              </w:rPr>
            </w:pPr>
          </w:p>
        </w:tc>
        <w:tc>
          <w:tcPr>
            <w:tcW w:w="1358" w:type="dxa"/>
            <w:vAlign w:val="top"/>
          </w:tcPr>
          <w:p w14:paraId="7BE0C2C4">
            <w:pPr>
              <w:spacing w:line="258" w:lineRule="auto"/>
              <w:rPr>
                <w:rFonts w:ascii="Arial"/>
                <w:sz w:val="21"/>
                <w:highlight w:val="none"/>
              </w:rPr>
            </w:pPr>
          </w:p>
          <w:p w14:paraId="7EA8D14C">
            <w:pPr>
              <w:pStyle w:val="6"/>
              <w:spacing w:before="68" w:line="220" w:lineRule="auto"/>
              <w:ind w:left="144"/>
              <w:rPr>
                <w:highlight w:val="none"/>
              </w:rPr>
            </w:pPr>
            <w:r>
              <w:rPr>
                <w:spacing w:val="2"/>
                <w:highlight w:val="none"/>
              </w:rPr>
              <w:t>投标有效期</w:t>
            </w:r>
          </w:p>
        </w:tc>
        <w:tc>
          <w:tcPr>
            <w:tcW w:w="3421" w:type="dxa"/>
            <w:vAlign w:val="top"/>
          </w:tcPr>
          <w:p w14:paraId="27986E64">
            <w:pPr>
              <w:pStyle w:val="6"/>
              <w:spacing w:before="177" w:line="267" w:lineRule="auto"/>
              <w:ind w:left="126" w:right="540"/>
              <w:rPr>
                <w:highlight w:val="none"/>
              </w:rPr>
            </w:pPr>
            <w:r>
              <w:rPr>
                <w:spacing w:val="1"/>
                <w:highlight w:val="none"/>
              </w:rPr>
              <w:t>符合第二章“投标人须知”第</w:t>
            </w:r>
            <w:r>
              <w:rPr>
                <w:highlight w:val="none"/>
              </w:rPr>
              <w:t xml:space="preserve"> </w:t>
            </w:r>
            <w:r>
              <w:rPr>
                <w:spacing w:val="1"/>
                <w:highlight w:val="none"/>
              </w:rPr>
              <w:t>3.3.1项规定</w:t>
            </w:r>
          </w:p>
        </w:tc>
      </w:tr>
      <w:tr w14:paraId="4AEF7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183" w:type="dxa"/>
            <w:vMerge w:val="continue"/>
            <w:tcBorders>
              <w:top w:val="nil"/>
              <w:bottom w:val="nil"/>
            </w:tcBorders>
            <w:vAlign w:val="top"/>
          </w:tcPr>
          <w:p w14:paraId="0F000B09">
            <w:pPr>
              <w:rPr>
                <w:rFonts w:ascii="Arial"/>
                <w:sz w:val="21"/>
                <w:highlight w:val="none"/>
              </w:rPr>
            </w:pPr>
          </w:p>
        </w:tc>
        <w:tc>
          <w:tcPr>
            <w:tcW w:w="1189" w:type="dxa"/>
            <w:vMerge w:val="continue"/>
            <w:tcBorders>
              <w:top w:val="nil"/>
              <w:bottom w:val="nil"/>
            </w:tcBorders>
            <w:vAlign w:val="top"/>
          </w:tcPr>
          <w:p w14:paraId="297727D8">
            <w:pPr>
              <w:rPr>
                <w:rFonts w:ascii="Arial"/>
                <w:sz w:val="21"/>
                <w:highlight w:val="none"/>
              </w:rPr>
            </w:pPr>
          </w:p>
        </w:tc>
        <w:tc>
          <w:tcPr>
            <w:tcW w:w="1358" w:type="dxa"/>
            <w:vMerge w:val="continue"/>
            <w:tcBorders>
              <w:top w:val="nil"/>
              <w:bottom w:val="nil"/>
            </w:tcBorders>
            <w:vAlign w:val="top"/>
          </w:tcPr>
          <w:p w14:paraId="0C20C274">
            <w:pPr>
              <w:rPr>
                <w:rFonts w:ascii="Arial"/>
                <w:sz w:val="21"/>
                <w:highlight w:val="none"/>
              </w:rPr>
            </w:pPr>
          </w:p>
        </w:tc>
        <w:tc>
          <w:tcPr>
            <w:tcW w:w="1358" w:type="dxa"/>
            <w:vAlign w:val="top"/>
          </w:tcPr>
          <w:p w14:paraId="21858014">
            <w:pPr>
              <w:spacing w:line="248" w:lineRule="auto"/>
              <w:rPr>
                <w:rFonts w:ascii="Arial"/>
                <w:sz w:val="21"/>
                <w:highlight w:val="none"/>
              </w:rPr>
            </w:pPr>
          </w:p>
          <w:p w14:paraId="2E8AD058">
            <w:pPr>
              <w:pStyle w:val="6"/>
              <w:spacing w:before="68" w:line="220" w:lineRule="auto"/>
              <w:ind w:left="144"/>
              <w:rPr>
                <w:highlight w:val="none"/>
              </w:rPr>
            </w:pPr>
            <w:r>
              <w:rPr>
                <w:spacing w:val="-2"/>
                <w:highlight w:val="none"/>
              </w:rPr>
              <w:t>投标保证金</w:t>
            </w:r>
          </w:p>
        </w:tc>
        <w:tc>
          <w:tcPr>
            <w:tcW w:w="3421" w:type="dxa"/>
            <w:vAlign w:val="top"/>
          </w:tcPr>
          <w:p w14:paraId="5548F252">
            <w:pPr>
              <w:pStyle w:val="6"/>
              <w:spacing w:before="156" w:line="291" w:lineRule="auto"/>
              <w:ind w:left="126" w:right="248"/>
              <w:rPr>
                <w:highlight w:val="none"/>
              </w:rPr>
            </w:pPr>
            <w:r>
              <w:rPr>
                <w:spacing w:val="-1"/>
                <w:highlight w:val="none"/>
              </w:rPr>
              <w:t>符合第二章“投标人须知”第3.4</w:t>
            </w:r>
            <w:r>
              <w:rPr>
                <w:spacing w:val="5"/>
                <w:highlight w:val="none"/>
              </w:rPr>
              <w:t xml:space="preserve"> </w:t>
            </w:r>
            <w:r>
              <w:rPr>
                <w:spacing w:val="4"/>
                <w:highlight w:val="none"/>
              </w:rPr>
              <w:t>款规定</w:t>
            </w:r>
          </w:p>
        </w:tc>
      </w:tr>
      <w:tr w14:paraId="451E3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183" w:type="dxa"/>
            <w:vMerge w:val="continue"/>
            <w:tcBorders>
              <w:top w:val="nil"/>
              <w:bottom w:val="nil"/>
            </w:tcBorders>
            <w:vAlign w:val="top"/>
          </w:tcPr>
          <w:p w14:paraId="76D1B9A0">
            <w:pPr>
              <w:rPr>
                <w:rFonts w:ascii="Arial"/>
                <w:sz w:val="21"/>
                <w:highlight w:val="none"/>
              </w:rPr>
            </w:pPr>
          </w:p>
        </w:tc>
        <w:tc>
          <w:tcPr>
            <w:tcW w:w="1189" w:type="dxa"/>
            <w:vMerge w:val="continue"/>
            <w:tcBorders>
              <w:top w:val="nil"/>
              <w:bottom w:val="nil"/>
            </w:tcBorders>
            <w:vAlign w:val="top"/>
          </w:tcPr>
          <w:p w14:paraId="7C7C09A5">
            <w:pPr>
              <w:rPr>
                <w:rFonts w:ascii="Arial"/>
                <w:sz w:val="21"/>
                <w:highlight w:val="none"/>
              </w:rPr>
            </w:pPr>
          </w:p>
        </w:tc>
        <w:tc>
          <w:tcPr>
            <w:tcW w:w="1358" w:type="dxa"/>
            <w:vMerge w:val="continue"/>
            <w:tcBorders>
              <w:top w:val="nil"/>
              <w:bottom w:val="nil"/>
            </w:tcBorders>
            <w:vAlign w:val="top"/>
          </w:tcPr>
          <w:p w14:paraId="56DE350C">
            <w:pPr>
              <w:rPr>
                <w:rFonts w:ascii="Arial"/>
                <w:sz w:val="21"/>
                <w:highlight w:val="none"/>
              </w:rPr>
            </w:pPr>
          </w:p>
        </w:tc>
        <w:tc>
          <w:tcPr>
            <w:tcW w:w="1358" w:type="dxa"/>
            <w:vAlign w:val="top"/>
          </w:tcPr>
          <w:p w14:paraId="4109C859">
            <w:pPr>
              <w:spacing w:line="258" w:lineRule="auto"/>
              <w:rPr>
                <w:rFonts w:ascii="Arial"/>
                <w:sz w:val="21"/>
                <w:highlight w:val="none"/>
              </w:rPr>
            </w:pPr>
          </w:p>
          <w:p w14:paraId="4B002405">
            <w:pPr>
              <w:pStyle w:val="6"/>
              <w:spacing w:before="69" w:line="219" w:lineRule="auto"/>
              <w:ind w:left="254"/>
              <w:rPr>
                <w:highlight w:val="none"/>
              </w:rPr>
            </w:pPr>
            <w:r>
              <w:rPr>
                <w:spacing w:val="-2"/>
                <w:highlight w:val="none"/>
              </w:rPr>
              <w:t>权利义务</w:t>
            </w:r>
          </w:p>
        </w:tc>
        <w:tc>
          <w:tcPr>
            <w:tcW w:w="3421" w:type="dxa"/>
            <w:vAlign w:val="top"/>
          </w:tcPr>
          <w:p w14:paraId="2825A6F8">
            <w:pPr>
              <w:pStyle w:val="6"/>
              <w:spacing w:before="157" w:line="293" w:lineRule="auto"/>
              <w:ind w:left="126" w:right="143"/>
              <w:rPr>
                <w:highlight w:val="none"/>
              </w:rPr>
            </w:pPr>
            <w:r>
              <w:rPr>
                <w:spacing w:val="-1"/>
                <w:highlight w:val="none"/>
              </w:rPr>
              <w:t>符合第四章“合同条款及格式”规</w:t>
            </w:r>
            <w:r>
              <w:rPr>
                <w:spacing w:val="4"/>
                <w:highlight w:val="none"/>
              </w:rPr>
              <w:t xml:space="preserve"> </w:t>
            </w:r>
            <w:r>
              <w:rPr>
                <w:spacing w:val="1"/>
                <w:highlight w:val="none"/>
              </w:rPr>
              <w:t>定的权利义务</w:t>
            </w:r>
          </w:p>
        </w:tc>
      </w:tr>
      <w:tr w14:paraId="1B751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183" w:type="dxa"/>
            <w:vMerge w:val="continue"/>
            <w:tcBorders>
              <w:top w:val="nil"/>
            </w:tcBorders>
            <w:vAlign w:val="top"/>
          </w:tcPr>
          <w:p w14:paraId="5994C87F">
            <w:pPr>
              <w:rPr>
                <w:rFonts w:ascii="Arial"/>
                <w:sz w:val="21"/>
                <w:highlight w:val="none"/>
              </w:rPr>
            </w:pPr>
          </w:p>
        </w:tc>
        <w:tc>
          <w:tcPr>
            <w:tcW w:w="1189" w:type="dxa"/>
            <w:vMerge w:val="continue"/>
            <w:tcBorders>
              <w:top w:val="nil"/>
            </w:tcBorders>
            <w:vAlign w:val="top"/>
          </w:tcPr>
          <w:p w14:paraId="5A4AA3F2">
            <w:pPr>
              <w:rPr>
                <w:rFonts w:ascii="Arial"/>
                <w:sz w:val="21"/>
                <w:highlight w:val="none"/>
              </w:rPr>
            </w:pPr>
          </w:p>
        </w:tc>
        <w:tc>
          <w:tcPr>
            <w:tcW w:w="1358" w:type="dxa"/>
            <w:vMerge w:val="continue"/>
            <w:tcBorders>
              <w:top w:val="nil"/>
            </w:tcBorders>
            <w:vAlign w:val="top"/>
          </w:tcPr>
          <w:p w14:paraId="4AE897E7">
            <w:pPr>
              <w:rPr>
                <w:rFonts w:ascii="Arial"/>
                <w:sz w:val="21"/>
                <w:highlight w:val="none"/>
              </w:rPr>
            </w:pPr>
          </w:p>
        </w:tc>
        <w:tc>
          <w:tcPr>
            <w:tcW w:w="1358" w:type="dxa"/>
            <w:vAlign w:val="top"/>
          </w:tcPr>
          <w:p w14:paraId="35CF4A00">
            <w:pPr>
              <w:pStyle w:val="6"/>
              <w:spacing w:before="159" w:line="219" w:lineRule="auto"/>
              <w:ind w:left="144"/>
              <w:rPr>
                <w:highlight w:val="none"/>
              </w:rPr>
            </w:pPr>
            <w:r>
              <w:rPr>
                <w:spacing w:val="-2"/>
                <w:highlight w:val="none"/>
              </w:rPr>
              <w:t>承包人建议</w:t>
            </w:r>
          </w:p>
        </w:tc>
        <w:tc>
          <w:tcPr>
            <w:tcW w:w="3421" w:type="dxa"/>
            <w:vAlign w:val="top"/>
          </w:tcPr>
          <w:p w14:paraId="16E977E2">
            <w:pPr>
              <w:pStyle w:val="6"/>
              <w:spacing w:before="158" w:line="219" w:lineRule="auto"/>
              <w:ind w:left="126"/>
              <w:rPr>
                <w:highlight w:val="none"/>
              </w:rPr>
            </w:pPr>
            <w:r>
              <w:rPr>
                <w:highlight w:val="none"/>
              </w:rPr>
              <w:t>符合第五章“发包人要求”的规定</w:t>
            </w:r>
          </w:p>
        </w:tc>
      </w:tr>
    </w:tbl>
    <w:p w14:paraId="664C0697">
      <w:pPr>
        <w:spacing w:before="1"/>
        <w:rPr>
          <w:highlight w:val="none"/>
        </w:rPr>
      </w:pPr>
    </w:p>
    <w:p w14:paraId="09ABE78A">
      <w:pPr>
        <w:spacing w:before="1"/>
        <w:rPr>
          <w:highlight w:val="none"/>
        </w:rPr>
      </w:pPr>
    </w:p>
    <w:p w14:paraId="1D0B40D2">
      <w:pPr>
        <w:spacing w:before="1"/>
        <w:rPr>
          <w:highlight w:val="none"/>
        </w:rPr>
      </w:pPr>
    </w:p>
    <w:p w14:paraId="1F2F6527">
      <w:pPr>
        <w:spacing w:before="1"/>
        <w:rPr>
          <w:highlight w:val="none"/>
        </w:rPr>
      </w:pPr>
    </w:p>
    <w:tbl>
      <w:tblPr>
        <w:tblStyle w:val="5"/>
        <w:tblW w:w="9199" w:type="dxa"/>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3"/>
        <w:gridCol w:w="2537"/>
        <w:gridCol w:w="4679"/>
      </w:tblGrid>
      <w:tr w14:paraId="665DF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1983" w:type="dxa"/>
            <w:vAlign w:val="top"/>
          </w:tcPr>
          <w:p w14:paraId="7A3298BF">
            <w:pPr>
              <w:pStyle w:val="6"/>
              <w:spacing w:before="170" w:line="219" w:lineRule="auto"/>
              <w:ind w:left="668"/>
              <w:rPr>
                <w:highlight w:val="none"/>
              </w:rPr>
            </w:pPr>
            <w:r>
              <w:rPr>
                <w:b/>
                <w:bCs/>
                <w:spacing w:val="-5"/>
                <w:highlight w:val="none"/>
              </w:rPr>
              <w:t>条款号</w:t>
            </w:r>
          </w:p>
        </w:tc>
        <w:tc>
          <w:tcPr>
            <w:tcW w:w="2537" w:type="dxa"/>
            <w:vAlign w:val="top"/>
          </w:tcPr>
          <w:p w14:paraId="68D0FE44">
            <w:pPr>
              <w:pStyle w:val="6"/>
              <w:spacing w:before="170" w:line="219" w:lineRule="auto"/>
              <w:ind w:left="845"/>
              <w:rPr>
                <w:highlight w:val="none"/>
              </w:rPr>
            </w:pPr>
            <w:r>
              <w:rPr>
                <w:b/>
                <w:bCs/>
                <w:spacing w:val="-5"/>
                <w:highlight w:val="none"/>
              </w:rPr>
              <w:t>条款内容</w:t>
            </w:r>
          </w:p>
        </w:tc>
        <w:tc>
          <w:tcPr>
            <w:tcW w:w="4679" w:type="dxa"/>
            <w:vAlign w:val="top"/>
          </w:tcPr>
          <w:p w14:paraId="4ACB7FDA">
            <w:pPr>
              <w:pStyle w:val="6"/>
              <w:spacing w:before="170" w:line="219" w:lineRule="auto"/>
              <w:ind w:left="1908"/>
              <w:rPr>
                <w:highlight w:val="none"/>
              </w:rPr>
            </w:pPr>
            <w:r>
              <w:rPr>
                <w:b/>
                <w:bCs/>
                <w:spacing w:val="-5"/>
                <w:highlight w:val="none"/>
              </w:rPr>
              <w:t>编列内容</w:t>
            </w:r>
          </w:p>
        </w:tc>
      </w:tr>
      <w:tr w14:paraId="5E72B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8" w:hRule="atLeast"/>
        </w:trPr>
        <w:tc>
          <w:tcPr>
            <w:tcW w:w="1983" w:type="dxa"/>
            <w:vAlign w:val="top"/>
          </w:tcPr>
          <w:p w14:paraId="1E5C6260">
            <w:pPr>
              <w:spacing w:line="304" w:lineRule="auto"/>
              <w:rPr>
                <w:rFonts w:ascii="Arial"/>
                <w:sz w:val="21"/>
                <w:highlight w:val="none"/>
              </w:rPr>
            </w:pPr>
          </w:p>
          <w:p w14:paraId="3ED458EE">
            <w:pPr>
              <w:spacing w:line="304" w:lineRule="auto"/>
              <w:rPr>
                <w:rFonts w:ascii="Arial"/>
                <w:sz w:val="21"/>
                <w:highlight w:val="none"/>
              </w:rPr>
            </w:pPr>
          </w:p>
          <w:p w14:paraId="74009FCE">
            <w:pPr>
              <w:pStyle w:val="6"/>
              <w:spacing w:before="68" w:line="239" w:lineRule="auto"/>
              <w:ind w:left="718"/>
              <w:rPr>
                <w:highlight w:val="none"/>
              </w:rPr>
            </w:pPr>
            <w:r>
              <w:rPr>
                <w:b/>
                <w:bCs/>
                <w:spacing w:val="-4"/>
                <w:highlight w:val="none"/>
              </w:rPr>
              <w:t>2.2.1</w:t>
            </w:r>
          </w:p>
        </w:tc>
        <w:tc>
          <w:tcPr>
            <w:tcW w:w="2537" w:type="dxa"/>
            <w:vAlign w:val="top"/>
          </w:tcPr>
          <w:p w14:paraId="08DB93B0">
            <w:pPr>
              <w:spacing w:line="341" w:lineRule="auto"/>
              <w:rPr>
                <w:rFonts w:ascii="Arial"/>
                <w:sz w:val="21"/>
                <w:highlight w:val="none"/>
              </w:rPr>
            </w:pPr>
          </w:p>
          <w:p w14:paraId="38B74783">
            <w:pPr>
              <w:pStyle w:val="6"/>
              <w:spacing w:before="68" w:line="219" w:lineRule="auto"/>
              <w:ind w:left="842"/>
              <w:rPr>
                <w:highlight w:val="none"/>
              </w:rPr>
            </w:pPr>
            <w:r>
              <w:rPr>
                <w:spacing w:val="2"/>
                <w:highlight w:val="none"/>
              </w:rPr>
              <w:t>分值构成</w:t>
            </w:r>
          </w:p>
          <w:p w14:paraId="160FB290">
            <w:pPr>
              <w:pStyle w:val="6"/>
              <w:spacing w:before="181" w:line="220" w:lineRule="auto"/>
              <w:ind w:left="682"/>
              <w:rPr>
                <w:highlight w:val="none"/>
              </w:rPr>
            </w:pPr>
            <w:r>
              <w:rPr>
                <w:spacing w:val="-3"/>
                <w:highlight w:val="none"/>
              </w:rPr>
              <w:t>(总分</w:t>
            </w:r>
            <w:r>
              <w:rPr>
                <w:color w:val="0000FF"/>
                <w:spacing w:val="-3"/>
                <w:highlight w:val="none"/>
              </w:rPr>
              <w:t>100</w:t>
            </w:r>
            <w:r>
              <w:rPr>
                <w:spacing w:val="-3"/>
                <w:highlight w:val="none"/>
              </w:rPr>
              <w:t>分</w:t>
            </w:r>
            <w:r>
              <w:rPr>
                <w:spacing w:val="-33"/>
                <w:highlight w:val="none"/>
              </w:rPr>
              <w:t xml:space="preserve"> </w:t>
            </w:r>
            <w:r>
              <w:rPr>
                <w:spacing w:val="-3"/>
                <w:highlight w:val="none"/>
              </w:rPr>
              <w:t>)</w:t>
            </w:r>
          </w:p>
        </w:tc>
        <w:tc>
          <w:tcPr>
            <w:tcW w:w="4679" w:type="dxa"/>
            <w:vAlign w:val="top"/>
          </w:tcPr>
          <w:p w14:paraId="71BE29AA">
            <w:pPr>
              <w:pStyle w:val="6"/>
              <w:spacing w:before="177" w:line="219" w:lineRule="auto"/>
              <w:ind w:left="148"/>
              <w:rPr>
                <w:highlight w:val="none"/>
              </w:rPr>
            </w:pPr>
            <w:r>
              <w:rPr>
                <w:b/>
                <w:bCs/>
                <w:spacing w:val="-4"/>
                <w:highlight w:val="none"/>
              </w:rPr>
              <w:t>承包人建议书：</w:t>
            </w:r>
            <w:r>
              <w:rPr>
                <w:b/>
                <w:bCs/>
                <w:color w:val="0000FF"/>
                <w:spacing w:val="-4"/>
                <w:highlight w:val="none"/>
              </w:rPr>
              <w:t>20</w:t>
            </w:r>
            <w:r>
              <w:rPr>
                <w:b/>
                <w:bCs/>
                <w:spacing w:val="-4"/>
                <w:highlight w:val="none"/>
              </w:rPr>
              <w:t>分</w:t>
            </w:r>
          </w:p>
          <w:p w14:paraId="5344C78C">
            <w:pPr>
              <w:pStyle w:val="6"/>
              <w:spacing w:before="202" w:line="219" w:lineRule="auto"/>
              <w:ind w:left="148"/>
              <w:rPr>
                <w:highlight w:val="none"/>
              </w:rPr>
            </w:pPr>
            <w:r>
              <w:rPr>
                <w:b/>
                <w:bCs/>
                <w:spacing w:val="-4"/>
                <w:highlight w:val="none"/>
              </w:rPr>
              <w:t>资信业绩部分：</w:t>
            </w:r>
            <w:r>
              <w:rPr>
                <w:b/>
                <w:bCs/>
                <w:color w:val="0000FF"/>
                <w:spacing w:val="-4"/>
                <w:highlight w:val="none"/>
              </w:rPr>
              <w:t>15</w:t>
            </w:r>
            <w:r>
              <w:rPr>
                <w:b/>
                <w:bCs/>
                <w:spacing w:val="-4"/>
                <w:highlight w:val="none"/>
              </w:rPr>
              <w:t>分</w:t>
            </w:r>
          </w:p>
          <w:p w14:paraId="316B2132">
            <w:pPr>
              <w:pStyle w:val="6"/>
              <w:spacing w:before="190" w:line="202" w:lineRule="auto"/>
              <w:ind w:left="148"/>
              <w:rPr>
                <w:highlight w:val="none"/>
              </w:rPr>
            </w:pPr>
            <w:r>
              <w:rPr>
                <w:b/>
                <w:bCs/>
                <w:spacing w:val="-4"/>
                <w:highlight w:val="none"/>
              </w:rPr>
              <w:t>承包人实施方案：</w:t>
            </w:r>
            <w:r>
              <w:rPr>
                <w:b/>
                <w:bCs/>
                <w:color w:val="0000FF"/>
                <w:spacing w:val="-4"/>
                <w:highlight w:val="none"/>
              </w:rPr>
              <w:t>15</w:t>
            </w:r>
            <w:r>
              <w:rPr>
                <w:b/>
                <w:bCs/>
                <w:spacing w:val="-4"/>
                <w:highlight w:val="none"/>
              </w:rPr>
              <w:t>分</w:t>
            </w:r>
          </w:p>
        </w:tc>
      </w:tr>
    </w:tbl>
    <w:p w14:paraId="64842397">
      <w:pPr>
        <w:pStyle w:val="2"/>
        <w:rPr>
          <w:highlight w:val="none"/>
        </w:rPr>
      </w:pPr>
    </w:p>
    <w:p w14:paraId="585F5C7A">
      <w:pPr>
        <w:rPr>
          <w:highlight w:val="none"/>
        </w:rPr>
        <w:sectPr>
          <w:footerReference r:id="rId58" w:type="default"/>
          <w:pgSz w:w="11910" w:h="16840"/>
          <w:pgMar w:top="400" w:right="915" w:bottom="1217" w:left="1685" w:header="0" w:footer="1013" w:gutter="0"/>
          <w:cols w:space="720" w:num="1"/>
        </w:sectPr>
      </w:pPr>
    </w:p>
    <w:p w14:paraId="7BEF688E">
      <w:pPr>
        <w:spacing w:before="20"/>
        <w:rPr>
          <w:highlight w:val="none"/>
        </w:rPr>
      </w:pPr>
    </w:p>
    <w:p w14:paraId="264C4BD4">
      <w:pPr>
        <w:spacing w:before="20"/>
        <w:rPr>
          <w:highlight w:val="none"/>
        </w:rPr>
      </w:pPr>
    </w:p>
    <w:p w14:paraId="57455DF8">
      <w:pPr>
        <w:spacing w:before="20"/>
        <w:rPr>
          <w:highlight w:val="none"/>
        </w:rPr>
      </w:pPr>
    </w:p>
    <w:p w14:paraId="43ED8E69">
      <w:pPr>
        <w:spacing w:before="19"/>
        <w:rPr>
          <w:highlight w:val="none"/>
        </w:rPr>
      </w:pPr>
    </w:p>
    <w:tbl>
      <w:tblPr>
        <w:tblStyle w:val="5"/>
        <w:tblW w:w="921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3"/>
        <w:gridCol w:w="2547"/>
        <w:gridCol w:w="4670"/>
      </w:tblGrid>
      <w:tr w14:paraId="0E301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1993" w:type="dxa"/>
            <w:vAlign w:val="top"/>
          </w:tcPr>
          <w:p w14:paraId="27AE52FE">
            <w:pPr>
              <w:rPr>
                <w:rFonts w:ascii="Arial"/>
                <w:sz w:val="21"/>
                <w:highlight w:val="none"/>
              </w:rPr>
            </w:pPr>
          </w:p>
        </w:tc>
        <w:tc>
          <w:tcPr>
            <w:tcW w:w="2547" w:type="dxa"/>
            <w:vAlign w:val="top"/>
          </w:tcPr>
          <w:p w14:paraId="6920FFEC">
            <w:pPr>
              <w:rPr>
                <w:rFonts w:ascii="Arial"/>
                <w:sz w:val="21"/>
                <w:highlight w:val="none"/>
              </w:rPr>
            </w:pPr>
          </w:p>
        </w:tc>
        <w:tc>
          <w:tcPr>
            <w:tcW w:w="4670" w:type="dxa"/>
            <w:vAlign w:val="top"/>
          </w:tcPr>
          <w:p w14:paraId="6E032F2F">
            <w:pPr>
              <w:pStyle w:val="6"/>
              <w:spacing w:before="171" w:line="218" w:lineRule="auto"/>
              <w:ind w:left="125"/>
              <w:rPr>
                <w:highlight w:val="none"/>
              </w:rPr>
            </w:pPr>
            <w:r>
              <w:rPr>
                <w:spacing w:val="-2"/>
                <w:highlight w:val="none"/>
              </w:rPr>
              <w:t>投标报价：</w:t>
            </w:r>
            <w:r>
              <w:rPr>
                <w:color w:val="0000FF"/>
                <w:spacing w:val="-2"/>
                <w:highlight w:val="none"/>
              </w:rPr>
              <w:t>50</w:t>
            </w:r>
            <w:r>
              <w:rPr>
                <w:spacing w:val="-2"/>
                <w:highlight w:val="none"/>
              </w:rPr>
              <w:t>分</w:t>
            </w:r>
          </w:p>
          <w:p w14:paraId="04420B93">
            <w:pPr>
              <w:pStyle w:val="6"/>
              <w:spacing w:before="203" w:line="200" w:lineRule="auto"/>
              <w:ind w:left="125"/>
              <w:rPr>
                <w:highlight w:val="none"/>
              </w:rPr>
            </w:pPr>
            <w:r>
              <w:rPr>
                <w:spacing w:val="-2"/>
                <w:highlight w:val="none"/>
              </w:rPr>
              <w:t>其他评分因素：</w:t>
            </w:r>
            <w:r>
              <w:rPr>
                <w:color w:val="0000FF"/>
                <w:spacing w:val="-2"/>
                <w:highlight w:val="none"/>
              </w:rPr>
              <w:t>0</w:t>
            </w:r>
            <w:r>
              <w:rPr>
                <w:spacing w:val="-2"/>
                <w:highlight w:val="none"/>
              </w:rPr>
              <w:t>分</w:t>
            </w:r>
          </w:p>
        </w:tc>
      </w:tr>
      <w:tr w14:paraId="5BBC9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1993" w:type="dxa"/>
            <w:vAlign w:val="top"/>
          </w:tcPr>
          <w:p w14:paraId="58A6077A">
            <w:pPr>
              <w:pStyle w:val="6"/>
              <w:spacing w:before="241" w:line="164" w:lineRule="auto"/>
              <w:ind w:left="728"/>
              <w:rPr>
                <w:highlight w:val="none"/>
              </w:rPr>
            </w:pPr>
            <w:r>
              <w:rPr>
                <w:b/>
                <w:bCs/>
                <w:spacing w:val="-4"/>
                <w:highlight w:val="none"/>
              </w:rPr>
              <w:t>2.2.2</w:t>
            </w:r>
          </w:p>
        </w:tc>
        <w:tc>
          <w:tcPr>
            <w:tcW w:w="2547" w:type="dxa"/>
            <w:vAlign w:val="top"/>
          </w:tcPr>
          <w:p w14:paraId="4841CA7B">
            <w:pPr>
              <w:pStyle w:val="6"/>
              <w:spacing w:before="200" w:line="200" w:lineRule="auto"/>
              <w:ind w:left="322"/>
              <w:rPr>
                <w:highlight w:val="none"/>
              </w:rPr>
            </w:pPr>
            <w:r>
              <w:rPr>
                <w:spacing w:val="-1"/>
                <w:highlight w:val="none"/>
              </w:rPr>
              <w:t>评标基准价计算方法</w:t>
            </w:r>
          </w:p>
        </w:tc>
        <w:tc>
          <w:tcPr>
            <w:tcW w:w="4670" w:type="dxa"/>
            <w:vAlign w:val="top"/>
          </w:tcPr>
          <w:p w14:paraId="73C7033C">
            <w:pPr>
              <w:rPr>
                <w:rFonts w:ascii="Arial"/>
                <w:sz w:val="21"/>
                <w:highlight w:val="none"/>
              </w:rPr>
            </w:pPr>
          </w:p>
        </w:tc>
      </w:tr>
      <w:tr w14:paraId="7C49C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1" w:hRule="atLeast"/>
        </w:trPr>
        <w:tc>
          <w:tcPr>
            <w:tcW w:w="1993" w:type="dxa"/>
            <w:vAlign w:val="top"/>
          </w:tcPr>
          <w:p w14:paraId="0C63C107">
            <w:pPr>
              <w:spacing w:line="392" w:lineRule="auto"/>
              <w:rPr>
                <w:rFonts w:ascii="Arial"/>
                <w:sz w:val="21"/>
                <w:highlight w:val="none"/>
              </w:rPr>
            </w:pPr>
          </w:p>
          <w:p w14:paraId="7B381D91">
            <w:pPr>
              <w:pStyle w:val="6"/>
              <w:spacing w:before="68" w:line="239" w:lineRule="auto"/>
              <w:ind w:left="728"/>
              <w:rPr>
                <w:highlight w:val="none"/>
              </w:rPr>
            </w:pPr>
            <w:r>
              <w:rPr>
                <w:b/>
                <w:bCs/>
                <w:spacing w:val="-4"/>
                <w:highlight w:val="none"/>
              </w:rPr>
              <w:t>2.2.3</w:t>
            </w:r>
          </w:p>
        </w:tc>
        <w:tc>
          <w:tcPr>
            <w:tcW w:w="2547" w:type="dxa"/>
            <w:vAlign w:val="top"/>
          </w:tcPr>
          <w:p w14:paraId="0F777100">
            <w:pPr>
              <w:pStyle w:val="6"/>
              <w:spacing w:before="203" w:line="302" w:lineRule="auto"/>
              <w:ind w:left="841" w:right="425" w:hanging="420"/>
              <w:rPr>
                <w:highlight w:val="none"/>
              </w:rPr>
            </w:pPr>
            <w:r>
              <w:rPr>
                <w:spacing w:val="1"/>
                <w:highlight w:val="none"/>
              </w:rPr>
              <w:t>投标报价的偏差率</w:t>
            </w:r>
            <w:r>
              <w:rPr>
                <w:highlight w:val="none"/>
              </w:rPr>
              <w:t xml:space="preserve"> </w:t>
            </w:r>
            <w:r>
              <w:rPr>
                <w:spacing w:val="-2"/>
                <w:highlight w:val="none"/>
              </w:rPr>
              <w:t>计算公式</w:t>
            </w:r>
          </w:p>
        </w:tc>
        <w:tc>
          <w:tcPr>
            <w:tcW w:w="4670" w:type="dxa"/>
            <w:vAlign w:val="top"/>
          </w:tcPr>
          <w:p w14:paraId="037483C7">
            <w:pPr>
              <w:pStyle w:val="6"/>
              <w:spacing w:before="213" w:line="298" w:lineRule="auto"/>
              <w:ind w:left="125" w:right="533" w:firstLine="20"/>
              <w:rPr>
                <w:highlight w:val="none"/>
              </w:rPr>
            </w:pPr>
            <w:r>
              <w:rPr>
                <w:color w:val="0000FF"/>
                <w:spacing w:val="-1"/>
                <w:highlight w:val="none"/>
              </w:rPr>
              <w:t>偏差率=100%×(投标人报价一评标基准价)/</w:t>
            </w:r>
            <w:r>
              <w:rPr>
                <w:color w:val="0000FF"/>
                <w:spacing w:val="13"/>
                <w:highlight w:val="none"/>
              </w:rPr>
              <w:t xml:space="preserve"> </w:t>
            </w:r>
            <w:r>
              <w:rPr>
                <w:color w:val="0000FF"/>
                <w:spacing w:val="-2"/>
                <w:highlight w:val="none"/>
              </w:rPr>
              <w:t>评标基准价</w:t>
            </w:r>
          </w:p>
        </w:tc>
      </w:tr>
    </w:tbl>
    <w:p w14:paraId="77ECC626">
      <w:pPr>
        <w:spacing w:before="79"/>
        <w:rPr>
          <w:highlight w:val="none"/>
        </w:rPr>
      </w:pPr>
    </w:p>
    <w:p w14:paraId="7DFB5A8E">
      <w:pPr>
        <w:spacing w:before="78"/>
        <w:rPr>
          <w:highlight w:val="none"/>
        </w:rPr>
      </w:pPr>
    </w:p>
    <w:tbl>
      <w:tblPr>
        <w:tblStyle w:val="5"/>
        <w:tblW w:w="8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3"/>
        <w:gridCol w:w="879"/>
        <w:gridCol w:w="2038"/>
        <w:gridCol w:w="4112"/>
      </w:tblGrid>
      <w:tr w14:paraId="7082F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2402" w:type="dxa"/>
            <w:gridSpan w:val="2"/>
            <w:vAlign w:val="top"/>
          </w:tcPr>
          <w:p w14:paraId="12AF0208">
            <w:pPr>
              <w:pStyle w:val="6"/>
              <w:spacing w:before="151" w:line="219" w:lineRule="auto"/>
              <w:ind w:left="868"/>
              <w:rPr>
                <w:sz w:val="22"/>
                <w:szCs w:val="22"/>
                <w:highlight w:val="none"/>
              </w:rPr>
            </w:pPr>
            <w:r>
              <w:rPr>
                <w:b/>
                <w:bCs/>
                <w:spacing w:val="-5"/>
                <w:sz w:val="22"/>
                <w:szCs w:val="22"/>
                <w:highlight w:val="none"/>
              </w:rPr>
              <w:t>条款号</w:t>
            </w:r>
          </w:p>
        </w:tc>
        <w:tc>
          <w:tcPr>
            <w:tcW w:w="2038" w:type="dxa"/>
            <w:vAlign w:val="top"/>
          </w:tcPr>
          <w:p w14:paraId="51985ECC">
            <w:pPr>
              <w:pStyle w:val="6"/>
              <w:spacing w:before="151" w:line="219" w:lineRule="auto"/>
              <w:ind w:left="106"/>
              <w:rPr>
                <w:sz w:val="22"/>
                <w:szCs w:val="22"/>
                <w:highlight w:val="none"/>
              </w:rPr>
            </w:pPr>
            <w:r>
              <w:rPr>
                <w:b/>
                <w:bCs/>
                <w:spacing w:val="2"/>
                <w:sz w:val="22"/>
                <w:szCs w:val="22"/>
                <w:highlight w:val="none"/>
              </w:rPr>
              <w:t>评分因素(偏差率)</w:t>
            </w:r>
          </w:p>
        </w:tc>
        <w:tc>
          <w:tcPr>
            <w:tcW w:w="4112" w:type="dxa"/>
            <w:vAlign w:val="top"/>
          </w:tcPr>
          <w:p w14:paraId="5CEF6F99">
            <w:pPr>
              <w:pStyle w:val="6"/>
              <w:spacing w:before="151" w:line="220" w:lineRule="auto"/>
              <w:ind w:left="1598"/>
              <w:rPr>
                <w:sz w:val="22"/>
                <w:szCs w:val="22"/>
                <w:highlight w:val="none"/>
              </w:rPr>
            </w:pPr>
            <w:r>
              <w:rPr>
                <w:b/>
                <w:bCs/>
                <w:spacing w:val="-4"/>
                <w:sz w:val="22"/>
                <w:szCs w:val="22"/>
                <w:highlight w:val="none"/>
              </w:rPr>
              <w:t>评审标准</w:t>
            </w:r>
          </w:p>
        </w:tc>
      </w:tr>
      <w:tr w14:paraId="36DF1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5" w:hRule="atLeast"/>
        </w:trPr>
        <w:tc>
          <w:tcPr>
            <w:tcW w:w="1523" w:type="dxa"/>
            <w:vAlign w:val="top"/>
          </w:tcPr>
          <w:p w14:paraId="33EDF8E0">
            <w:pPr>
              <w:spacing w:line="242" w:lineRule="auto"/>
              <w:rPr>
                <w:rFonts w:ascii="Arial"/>
                <w:sz w:val="21"/>
                <w:highlight w:val="none"/>
              </w:rPr>
            </w:pPr>
          </w:p>
          <w:p w14:paraId="53A6B24F">
            <w:pPr>
              <w:spacing w:line="242" w:lineRule="auto"/>
              <w:rPr>
                <w:rFonts w:ascii="Arial"/>
                <w:sz w:val="21"/>
                <w:highlight w:val="none"/>
              </w:rPr>
            </w:pPr>
          </w:p>
          <w:p w14:paraId="18688DE1">
            <w:pPr>
              <w:spacing w:line="242" w:lineRule="auto"/>
              <w:rPr>
                <w:rFonts w:ascii="Arial"/>
                <w:sz w:val="21"/>
                <w:highlight w:val="none"/>
              </w:rPr>
            </w:pPr>
          </w:p>
          <w:p w14:paraId="1F4A5031">
            <w:pPr>
              <w:spacing w:line="242" w:lineRule="auto"/>
              <w:rPr>
                <w:rFonts w:ascii="Arial"/>
                <w:sz w:val="21"/>
                <w:highlight w:val="none"/>
              </w:rPr>
            </w:pPr>
          </w:p>
          <w:p w14:paraId="6A656C54">
            <w:pPr>
              <w:spacing w:line="242" w:lineRule="auto"/>
              <w:rPr>
                <w:rFonts w:ascii="Arial"/>
                <w:sz w:val="21"/>
                <w:highlight w:val="none"/>
              </w:rPr>
            </w:pPr>
          </w:p>
          <w:p w14:paraId="13D339BE">
            <w:pPr>
              <w:spacing w:line="242" w:lineRule="auto"/>
              <w:rPr>
                <w:rFonts w:ascii="Arial"/>
                <w:sz w:val="21"/>
                <w:highlight w:val="none"/>
              </w:rPr>
            </w:pPr>
          </w:p>
          <w:p w14:paraId="4BC03520">
            <w:pPr>
              <w:spacing w:line="242" w:lineRule="auto"/>
              <w:rPr>
                <w:rFonts w:ascii="Arial"/>
                <w:sz w:val="21"/>
                <w:highlight w:val="none"/>
              </w:rPr>
            </w:pPr>
          </w:p>
          <w:p w14:paraId="53B73696">
            <w:pPr>
              <w:spacing w:line="242" w:lineRule="auto"/>
              <w:rPr>
                <w:rFonts w:ascii="Arial"/>
                <w:sz w:val="21"/>
                <w:highlight w:val="none"/>
              </w:rPr>
            </w:pPr>
          </w:p>
          <w:p w14:paraId="459F2DCA">
            <w:pPr>
              <w:spacing w:line="242" w:lineRule="auto"/>
              <w:rPr>
                <w:rFonts w:ascii="Arial"/>
                <w:sz w:val="21"/>
                <w:highlight w:val="none"/>
              </w:rPr>
            </w:pPr>
          </w:p>
          <w:p w14:paraId="373A84B1">
            <w:pPr>
              <w:spacing w:line="242" w:lineRule="auto"/>
              <w:rPr>
                <w:rFonts w:ascii="Arial"/>
                <w:sz w:val="21"/>
                <w:highlight w:val="none"/>
              </w:rPr>
            </w:pPr>
          </w:p>
          <w:p w14:paraId="5A9A83DF">
            <w:pPr>
              <w:spacing w:line="243" w:lineRule="auto"/>
              <w:rPr>
                <w:rFonts w:ascii="Arial"/>
                <w:sz w:val="21"/>
                <w:highlight w:val="none"/>
              </w:rPr>
            </w:pPr>
          </w:p>
          <w:p w14:paraId="53CD11A1">
            <w:pPr>
              <w:spacing w:line="243" w:lineRule="auto"/>
              <w:rPr>
                <w:rFonts w:ascii="Arial"/>
                <w:sz w:val="21"/>
                <w:highlight w:val="none"/>
              </w:rPr>
            </w:pPr>
          </w:p>
          <w:p w14:paraId="767495CF">
            <w:pPr>
              <w:spacing w:line="243" w:lineRule="auto"/>
              <w:rPr>
                <w:rFonts w:ascii="Arial"/>
                <w:sz w:val="21"/>
                <w:highlight w:val="none"/>
              </w:rPr>
            </w:pPr>
          </w:p>
          <w:p w14:paraId="60A0E8D3">
            <w:pPr>
              <w:spacing w:line="243" w:lineRule="auto"/>
              <w:rPr>
                <w:rFonts w:ascii="Arial"/>
                <w:sz w:val="21"/>
                <w:highlight w:val="none"/>
              </w:rPr>
            </w:pPr>
          </w:p>
          <w:p w14:paraId="75BEFAB8">
            <w:pPr>
              <w:spacing w:line="243" w:lineRule="auto"/>
              <w:rPr>
                <w:rFonts w:ascii="Arial"/>
                <w:sz w:val="21"/>
                <w:highlight w:val="none"/>
              </w:rPr>
            </w:pPr>
          </w:p>
          <w:p w14:paraId="65F2EDF1">
            <w:pPr>
              <w:spacing w:line="243" w:lineRule="auto"/>
              <w:rPr>
                <w:rFonts w:ascii="Arial"/>
                <w:sz w:val="21"/>
                <w:highlight w:val="none"/>
              </w:rPr>
            </w:pPr>
          </w:p>
          <w:p w14:paraId="24BD0EFF">
            <w:pPr>
              <w:spacing w:line="243" w:lineRule="auto"/>
              <w:rPr>
                <w:rFonts w:ascii="Arial"/>
                <w:sz w:val="21"/>
                <w:highlight w:val="none"/>
              </w:rPr>
            </w:pPr>
          </w:p>
          <w:p w14:paraId="14EF4A28">
            <w:pPr>
              <w:spacing w:line="243" w:lineRule="auto"/>
              <w:rPr>
                <w:rFonts w:ascii="Arial"/>
                <w:sz w:val="21"/>
                <w:highlight w:val="none"/>
              </w:rPr>
            </w:pPr>
          </w:p>
          <w:p w14:paraId="10EAB9FC">
            <w:pPr>
              <w:spacing w:line="243" w:lineRule="auto"/>
              <w:rPr>
                <w:rFonts w:ascii="Arial"/>
                <w:sz w:val="21"/>
                <w:highlight w:val="none"/>
              </w:rPr>
            </w:pPr>
          </w:p>
          <w:p w14:paraId="31741D85">
            <w:pPr>
              <w:spacing w:line="243" w:lineRule="auto"/>
              <w:rPr>
                <w:rFonts w:ascii="Arial"/>
                <w:sz w:val="21"/>
                <w:highlight w:val="none"/>
              </w:rPr>
            </w:pPr>
          </w:p>
          <w:p w14:paraId="5B4EE604">
            <w:pPr>
              <w:pStyle w:val="6"/>
              <w:spacing w:before="72" w:line="281" w:lineRule="auto"/>
              <w:ind w:left="474" w:right="329" w:hanging="159"/>
              <w:rPr>
                <w:sz w:val="22"/>
                <w:szCs w:val="22"/>
                <w:highlight w:val="none"/>
              </w:rPr>
            </w:pPr>
            <w:r>
              <w:rPr>
                <w:spacing w:val="-2"/>
                <w:sz w:val="22"/>
                <w:szCs w:val="22"/>
                <w:highlight w:val="none"/>
              </w:rPr>
              <w:t>2.2.4(1)</w:t>
            </w:r>
            <w:r>
              <w:rPr>
                <w:spacing w:val="3"/>
                <w:sz w:val="22"/>
                <w:szCs w:val="22"/>
                <w:highlight w:val="none"/>
              </w:rPr>
              <w:t xml:space="preserve"> </w:t>
            </w:r>
            <w:r>
              <w:rPr>
                <w:spacing w:val="12"/>
                <w:sz w:val="22"/>
                <w:szCs w:val="22"/>
                <w:highlight w:val="none"/>
              </w:rPr>
              <w:t>和(3)</w:t>
            </w:r>
          </w:p>
        </w:tc>
        <w:tc>
          <w:tcPr>
            <w:tcW w:w="879" w:type="dxa"/>
            <w:vAlign w:val="top"/>
          </w:tcPr>
          <w:p w14:paraId="06E319BE">
            <w:pPr>
              <w:spacing w:line="248" w:lineRule="auto"/>
              <w:rPr>
                <w:rFonts w:ascii="Arial"/>
                <w:sz w:val="21"/>
                <w:highlight w:val="none"/>
              </w:rPr>
            </w:pPr>
          </w:p>
          <w:p w14:paraId="442D7307">
            <w:pPr>
              <w:spacing w:line="248" w:lineRule="auto"/>
              <w:rPr>
                <w:rFonts w:ascii="Arial"/>
                <w:sz w:val="21"/>
                <w:highlight w:val="none"/>
              </w:rPr>
            </w:pPr>
          </w:p>
          <w:p w14:paraId="38E433C9">
            <w:pPr>
              <w:spacing w:line="248" w:lineRule="auto"/>
              <w:rPr>
                <w:rFonts w:ascii="Arial"/>
                <w:sz w:val="21"/>
                <w:highlight w:val="none"/>
              </w:rPr>
            </w:pPr>
          </w:p>
          <w:p w14:paraId="5DCE2D3F">
            <w:pPr>
              <w:spacing w:line="248" w:lineRule="auto"/>
              <w:rPr>
                <w:rFonts w:ascii="Arial"/>
                <w:sz w:val="21"/>
                <w:highlight w:val="none"/>
              </w:rPr>
            </w:pPr>
          </w:p>
          <w:p w14:paraId="650B7236">
            <w:pPr>
              <w:spacing w:line="248" w:lineRule="auto"/>
              <w:rPr>
                <w:rFonts w:ascii="Arial"/>
                <w:sz w:val="21"/>
                <w:highlight w:val="none"/>
              </w:rPr>
            </w:pPr>
          </w:p>
          <w:p w14:paraId="29816688">
            <w:pPr>
              <w:spacing w:line="248" w:lineRule="auto"/>
              <w:rPr>
                <w:rFonts w:ascii="Arial"/>
                <w:sz w:val="21"/>
                <w:highlight w:val="none"/>
              </w:rPr>
            </w:pPr>
          </w:p>
          <w:p w14:paraId="25FA30CA">
            <w:pPr>
              <w:spacing w:line="248" w:lineRule="auto"/>
              <w:rPr>
                <w:rFonts w:ascii="Arial"/>
                <w:sz w:val="21"/>
                <w:highlight w:val="none"/>
              </w:rPr>
            </w:pPr>
          </w:p>
          <w:p w14:paraId="14EDBA34">
            <w:pPr>
              <w:spacing w:line="248" w:lineRule="auto"/>
              <w:rPr>
                <w:rFonts w:ascii="Arial"/>
                <w:sz w:val="21"/>
                <w:highlight w:val="none"/>
              </w:rPr>
            </w:pPr>
          </w:p>
          <w:p w14:paraId="1E45F777">
            <w:pPr>
              <w:spacing w:line="248" w:lineRule="auto"/>
              <w:rPr>
                <w:rFonts w:ascii="Arial"/>
                <w:sz w:val="21"/>
                <w:highlight w:val="none"/>
              </w:rPr>
            </w:pPr>
          </w:p>
          <w:p w14:paraId="268B7BBC">
            <w:pPr>
              <w:spacing w:line="248" w:lineRule="auto"/>
              <w:rPr>
                <w:rFonts w:ascii="Arial"/>
                <w:sz w:val="21"/>
                <w:highlight w:val="none"/>
              </w:rPr>
            </w:pPr>
          </w:p>
          <w:p w14:paraId="24C4F054">
            <w:pPr>
              <w:spacing w:line="248" w:lineRule="auto"/>
              <w:rPr>
                <w:rFonts w:ascii="Arial"/>
                <w:sz w:val="21"/>
                <w:highlight w:val="none"/>
              </w:rPr>
            </w:pPr>
          </w:p>
          <w:p w14:paraId="0F7D3A4C">
            <w:pPr>
              <w:spacing w:line="248" w:lineRule="auto"/>
              <w:rPr>
                <w:rFonts w:ascii="Arial"/>
                <w:sz w:val="21"/>
                <w:highlight w:val="none"/>
              </w:rPr>
            </w:pPr>
          </w:p>
          <w:p w14:paraId="3CCEAD04">
            <w:pPr>
              <w:spacing w:line="248" w:lineRule="auto"/>
              <w:rPr>
                <w:rFonts w:ascii="Arial"/>
                <w:sz w:val="21"/>
                <w:highlight w:val="none"/>
              </w:rPr>
            </w:pPr>
          </w:p>
          <w:p w14:paraId="30121C77">
            <w:pPr>
              <w:spacing w:line="248" w:lineRule="auto"/>
              <w:rPr>
                <w:rFonts w:ascii="Arial"/>
                <w:sz w:val="21"/>
                <w:highlight w:val="none"/>
              </w:rPr>
            </w:pPr>
          </w:p>
          <w:p w14:paraId="609A5D1E">
            <w:pPr>
              <w:spacing w:line="249" w:lineRule="auto"/>
              <w:rPr>
                <w:rFonts w:ascii="Arial"/>
                <w:sz w:val="21"/>
                <w:highlight w:val="none"/>
              </w:rPr>
            </w:pPr>
          </w:p>
          <w:p w14:paraId="42CAB51D">
            <w:pPr>
              <w:spacing w:line="249" w:lineRule="auto"/>
              <w:rPr>
                <w:rFonts w:ascii="Arial"/>
                <w:sz w:val="21"/>
                <w:highlight w:val="none"/>
              </w:rPr>
            </w:pPr>
          </w:p>
          <w:p w14:paraId="14AC6ECA">
            <w:pPr>
              <w:spacing w:line="249" w:lineRule="auto"/>
              <w:rPr>
                <w:rFonts w:ascii="Arial"/>
                <w:sz w:val="21"/>
                <w:highlight w:val="none"/>
              </w:rPr>
            </w:pPr>
          </w:p>
          <w:p w14:paraId="54CE7C15">
            <w:pPr>
              <w:pStyle w:val="6"/>
              <w:spacing w:before="71" w:line="219" w:lineRule="auto"/>
              <w:ind w:left="105"/>
              <w:rPr>
                <w:sz w:val="22"/>
                <w:szCs w:val="22"/>
                <w:highlight w:val="none"/>
              </w:rPr>
            </w:pPr>
            <w:r>
              <w:rPr>
                <w:b/>
                <w:bCs/>
                <w:spacing w:val="-5"/>
                <w:sz w:val="22"/>
                <w:szCs w:val="22"/>
                <w:highlight w:val="none"/>
              </w:rPr>
              <w:t>承包人</w:t>
            </w:r>
          </w:p>
          <w:p w14:paraId="4E18416E">
            <w:pPr>
              <w:pStyle w:val="6"/>
              <w:spacing w:before="47" w:line="219" w:lineRule="auto"/>
              <w:ind w:left="105"/>
              <w:rPr>
                <w:sz w:val="22"/>
                <w:szCs w:val="22"/>
                <w:highlight w:val="none"/>
              </w:rPr>
            </w:pPr>
            <w:r>
              <w:rPr>
                <w:b/>
                <w:bCs/>
                <w:spacing w:val="-5"/>
                <w:sz w:val="22"/>
                <w:szCs w:val="22"/>
                <w:highlight w:val="none"/>
              </w:rPr>
              <w:t>建议书</w:t>
            </w:r>
          </w:p>
          <w:p w14:paraId="568B91E4">
            <w:pPr>
              <w:pStyle w:val="6"/>
              <w:spacing w:before="60" w:line="219" w:lineRule="auto"/>
              <w:ind w:left="105"/>
              <w:rPr>
                <w:sz w:val="22"/>
                <w:szCs w:val="22"/>
                <w:highlight w:val="none"/>
              </w:rPr>
            </w:pPr>
            <w:r>
              <w:rPr>
                <w:b/>
                <w:bCs/>
                <w:spacing w:val="-5"/>
                <w:sz w:val="22"/>
                <w:szCs w:val="22"/>
                <w:highlight w:val="none"/>
              </w:rPr>
              <w:t>和承包</w:t>
            </w:r>
          </w:p>
          <w:p w14:paraId="03E95F83">
            <w:pPr>
              <w:pStyle w:val="6"/>
              <w:spacing w:before="82" w:line="222" w:lineRule="auto"/>
              <w:ind w:left="325"/>
              <w:rPr>
                <w:sz w:val="22"/>
                <w:szCs w:val="22"/>
                <w:highlight w:val="none"/>
              </w:rPr>
            </w:pPr>
            <w:r>
              <w:rPr>
                <w:b/>
                <w:bCs/>
                <w:spacing w:val="-3"/>
                <w:sz w:val="22"/>
                <w:szCs w:val="22"/>
                <w:highlight w:val="none"/>
              </w:rPr>
              <w:t>人</w:t>
            </w:r>
          </w:p>
          <w:p w14:paraId="2C4C224A">
            <w:pPr>
              <w:pStyle w:val="6"/>
              <w:spacing w:before="43" w:line="220" w:lineRule="auto"/>
              <w:ind w:left="105"/>
              <w:rPr>
                <w:sz w:val="22"/>
                <w:szCs w:val="22"/>
                <w:highlight w:val="none"/>
              </w:rPr>
            </w:pPr>
            <w:r>
              <w:rPr>
                <w:b/>
                <w:bCs/>
                <w:spacing w:val="-6"/>
                <w:sz w:val="22"/>
                <w:szCs w:val="22"/>
                <w:highlight w:val="none"/>
              </w:rPr>
              <w:t>实施方</w:t>
            </w:r>
          </w:p>
          <w:p w14:paraId="5734363E">
            <w:pPr>
              <w:pStyle w:val="6"/>
              <w:spacing w:before="47" w:line="220" w:lineRule="auto"/>
              <w:ind w:left="325"/>
              <w:rPr>
                <w:sz w:val="22"/>
                <w:szCs w:val="22"/>
                <w:highlight w:val="none"/>
              </w:rPr>
            </w:pPr>
            <w:r>
              <w:rPr>
                <w:b/>
                <w:bCs/>
                <w:spacing w:val="-3"/>
                <w:sz w:val="22"/>
                <w:szCs w:val="22"/>
                <w:highlight w:val="none"/>
              </w:rPr>
              <w:t>案</w:t>
            </w:r>
          </w:p>
        </w:tc>
        <w:tc>
          <w:tcPr>
            <w:tcW w:w="2038" w:type="dxa"/>
            <w:vAlign w:val="top"/>
          </w:tcPr>
          <w:p w14:paraId="6E3B391E">
            <w:pPr>
              <w:spacing w:line="249" w:lineRule="auto"/>
              <w:rPr>
                <w:rFonts w:ascii="Arial"/>
                <w:sz w:val="21"/>
                <w:highlight w:val="none"/>
              </w:rPr>
            </w:pPr>
          </w:p>
          <w:p w14:paraId="1377B910">
            <w:pPr>
              <w:spacing w:line="249" w:lineRule="auto"/>
              <w:rPr>
                <w:rFonts w:ascii="Arial"/>
                <w:sz w:val="21"/>
                <w:highlight w:val="none"/>
              </w:rPr>
            </w:pPr>
          </w:p>
          <w:p w14:paraId="2EFBF679">
            <w:pPr>
              <w:spacing w:line="249" w:lineRule="auto"/>
              <w:rPr>
                <w:rFonts w:ascii="Arial"/>
                <w:sz w:val="21"/>
                <w:highlight w:val="none"/>
              </w:rPr>
            </w:pPr>
          </w:p>
          <w:p w14:paraId="1DBC8069">
            <w:pPr>
              <w:spacing w:line="249" w:lineRule="auto"/>
              <w:rPr>
                <w:rFonts w:ascii="Arial"/>
                <w:sz w:val="21"/>
                <w:highlight w:val="none"/>
              </w:rPr>
            </w:pPr>
          </w:p>
          <w:p w14:paraId="08902B51">
            <w:pPr>
              <w:spacing w:line="249" w:lineRule="auto"/>
              <w:rPr>
                <w:rFonts w:ascii="Arial"/>
                <w:sz w:val="21"/>
                <w:highlight w:val="none"/>
              </w:rPr>
            </w:pPr>
          </w:p>
          <w:p w14:paraId="76D8BC68">
            <w:pPr>
              <w:spacing w:line="250" w:lineRule="auto"/>
              <w:rPr>
                <w:rFonts w:ascii="Arial"/>
                <w:sz w:val="21"/>
                <w:highlight w:val="none"/>
              </w:rPr>
            </w:pPr>
          </w:p>
          <w:p w14:paraId="45265B45">
            <w:pPr>
              <w:spacing w:line="250" w:lineRule="auto"/>
              <w:rPr>
                <w:rFonts w:ascii="Arial"/>
                <w:sz w:val="21"/>
                <w:highlight w:val="none"/>
              </w:rPr>
            </w:pPr>
          </w:p>
          <w:p w14:paraId="625FBF6F">
            <w:pPr>
              <w:spacing w:line="250" w:lineRule="auto"/>
              <w:rPr>
                <w:rFonts w:ascii="Arial"/>
                <w:sz w:val="21"/>
                <w:highlight w:val="none"/>
              </w:rPr>
            </w:pPr>
          </w:p>
          <w:p w14:paraId="4ED88C85">
            <w:pPr>
              <w:spacing w:line="250" w:lineRule="auto"/>
              <w:rPr>
                <w:rFonts w:ascii="Arial"/>
                <w:sz w:val="21"/>
                <w:highlight w:val="none"/>
              </w:rPr>
            </w:pPr>
          </w:p>
          <w:p w14:paraId="04E98E9C">
            <w:pPr>
              <w:spacing w:line="250" w:lineRule="auto"/>
              <w:rPr>
                <w:rFonts w:ascii="Arial"/>
                <w:sz w:val="21"/>
                <w:highlight w:val="none"/>
              </w:rPr>
            </w:pPr>
          </w:p>
          <w:p w14:paraId="38A313E7">
            <w:pPr>
              <w:spacing w:line="250" w:lineRule="auto"/>
              <w:rPr>
                <w:rFonts w:ascii="Arial"/>
                <w:sz w:val="21"/>
                <w:highlight w:val="none"/>
              </w:rPr>
            </w:pPr>
          </w:p>
          <w:p w14:paraId="187869FA">
            <w:pPr>
              <w:spacing w:line="250" w:lineRule="auto"/>
              <w:rPr>
                <w:rFonts w:ascii="Arial"/>
                <w:sz w:val="21"/>
                <w:highlight w:val="none"/>
              </w:rPr>
            </w:pPr>
          </w:p>
          <w:p w14:paraId="5E4D58E7">
            <w:pPr>
              <w:spacing w:line="250" w:lineRule="auto"/>
              <w:rPr>
                <w:rFonts w:ascii="Arial"/>
                <w:sz w:val="21"/>
                <w:highlight w:val="none"/>
              </w:rPr>
            </w:pPr>
          </w:p>
          <w:p w14:paraId="223D844A">
            <w:pPr>
              <w:spacing w:line="250" w:lineRule="auto"/>
              <w:rPr>
                <w:rFonts w:ascii="Arial"/>
                <w:sz w:val="21"/>
                <w:highlight w:val="none"/>
              </w:rPr>
            </w:pPr>
          </w:p>
          <w:p w14:paraId="2FBB5684">
            <w:pPr>
              <w:spacing w:line="250" w:lineRule="auto"/>
              <w:rPr>
                <w:rFonts w:ascii="Arial"/>
                <w:sz w:val="21"/>
                <w:highlight w:val="none"/>
              </w:rPr>
            </w:pPr>
          </w:p>
          <w:p w14:paraId="46803A0A">
            <w:pPr>
              <w:spacing w:line="250" w:lineRule="auto"/>
              <w:rPr>
                <w:rFonts w:ascii="Arial"/>
                <w:sz w:val="21"/>
                <w:highlight w:val="none"/>
              </w:rPr>
            </w:pPr>
          </w:p>
          <w:p w14:paraId="514FF033">
            <w:pPr>
              <w:spacing w:line="250" w:lineRule="auto"/>
              <w:rPr>
                <w:rFonts w:ascii="Arial"/>
                <w:sz w:val="21"/>
                <w:highlight w:val="none"/>
              </w:rPr>
            </w:pPr>
          </w:p>
          <w:p w14:paraId="06CF9BF7">
            <w:pPr>
              <w:spacing w:line="250" w:lineRule="auto"/>
              <w:rPr>
                <w:rFonts w:ascii="Arial"/>
                <w:sz w:val="21"/>
                <w:highlight w:val="none"/>
              </w:rPr>
            </w:pPr>
          </w:p>
          <w:p w14:paraId="38200AB3">
            <w:pPr>
              <w:spacing w:line="250" w:lineRule="auto"/>
              <w:rPr>
                <w:rFonts w:ascii="Arial"/>
                <w:sz w:val="21"/>
                <w:highlight w:val="none"/>
              </w:rPr>
            </w:pPr>
          </w:p>
          <w:p w14:paraId="505660EB">
            <w:pPr>
              <w:spacing w:line="250" w:lineRule="auto"/>
              <w:rPr>
                <w:rFonts w:ascii="Arial"/>
                <w:sz w:val="21"/>
                <w:highlight w:val="none"/>
              </w:rPr>
            </w:pPr>
          </w:p>
          <w:p w14:paraId="3E5647BA">
            <w:pPr>
              <w:pStyle w:val="6"/>
              <w:spacing w:before="71" w:line="220" w:lineRule="auto"/>
              <w:ind w:left="106"/>
              <w:rPr>
                <w:sz w:val="22"/>
                <w:szCs w:val="22"/>
                <w:highlight w:val="none"/>
              </w:rPr>
            </w:pPr>
            <w:r>
              <w:rPr>
                <w:b/>
                <w:bCs/>
                <w:spacing w:val="2"/>
                <w:sz w:val="22"/>
                <w:szCs w:val="22"/>
                <w:highlight w:val="none"/>
              </w:rPr>
              <w:t>设计方案(20分)</w:t>
            </w:r>
          </w:p>
        </w:tc>
        <w:tc>
          <w:tcPr>
            <w:tcW w:w="4112" w:type="dxa"/>
            <w:vAlign w:val="top"/>
          </w:tcPr>
          <w:p w14:paraId="086E9EA0">
            <w:pPr>
              <w:pStyle w:val="6"/>
              <w:spacing w:before="180" w:line="252" w:lineRule="auto"/>
              <w:ind w:left="124"/>
              <w:rPr>
                <w:sz w:val="22"/>
                <w:szCs w:val="22"/>
                <w:highlight w:val="none"/>
              </w:rPr>
            </w:pPr>
            <w:r>
              <w:rPr>
                <w:spacing w:val="5"/>
                <w:sz w:val="22"/>
                <w:szCs w:val="22"/>
                <w:highlight w:val="none"/>
              </w:rPr>
              <w:t>1、对工程设计任务、项目要求的理解、</w:t>
            </w:r>
            <w:r>
              <w:rPr>
                <w:spacing w:val="9"/>
                <w:sz w:val="22"/>
                <w:szCs w:val="22"/>
                <w:highlight w:val="none"/>
              </w:rPr>
              <w:t xml:space="preserve"> </w:t>
            </w:r>
            <w:r>
              <w:rPr>
                <w:sz w:val="22"/>
                <w:szCs w:val="22"/>
                <w:highlight w:val="none"/>
              </w:rPr>
              <w:t>项目背景，建设条件理解的全面性、正确</w:t>
            </w:r>
            <w:r>
              <w:rPr>
                <w:spacing w:val="16"/>
                <w:sz w:val="22"/>
                <w:szCs w:val="22"/>
                <w:highlight w:val="none"/>
              </w:rPr>
              <w:t xml:space="preserve"> </w:t>
            </w:r>
            <w:r>
              <w:rPr>
                <w:spacing w:val="3"/>
                <w:sz w:val="22"/>
                <w:szCs w:val="22"/>
                <w:highlight w:val="none"/>
              </w:rPr>
              <w:t>性进行打分。(满分4分)</w:t>
            </w:r>
          </w:p>
          <w:p w14:paraId="2CD813AE">
            <w:pPr>
              <w:pStyle w:val="6"/>
              <w:spacing w:before="46" w:line="217" w:lineRule="auto"/>
              <w:ind w:left="124"/>
              <w:rPr>
                <w:sz w:val="22"/>
                <w:szCs w:val="22"/>
                <w:highlight w:val="none"/>
              </w:rPr>
            </w:pPr>
            <w:r>
              <w:rPr>
                <w:spacing w:val="6"/>
                <w:sz w:val="22"/>
                <w:szCs w:val="22"/>
                <w:highlight w:val="none"/>
              </w:rPr>
              <w:t>①思路及认识全面，准确得4-3分；</w:t>
            </w:r>
          </w:p>
          <w:p w14:paraId="7DDCC4DD">
            <w:pPr>
              <w:pStyle w:val="6"/>
              <w:spacing w:before="51" w:line="217" w:lineRule="auto"/>
              <w:ind w:left="124"/>
              <w:rPr>
                <w:sz w:val="22"/>
                <w:szCs w:val="22"/>
                <w:highlight w:val="none"/>
              </w:rPr>
            </w:pPr>
            <w:r>
              <w:rPr>
                <w:spacing w:val="7"/>
                <w:sz w:val="22"/>
                <w:szCs w:val="22"/>
                <w:highlight w:val="none"/>
              </w:rPr>
              <w:t>②思路及认识较准确得2-1分；</w:t>
            </w:r>
          </w:p>
          <w:p w14:paraId="2437BD91">
            <w:pPr>
              <w:pStyle w:val="6"/>
              <w:spacing w:before="71" w:line="217" w:lineRule="auto"/>
              <w:ind w:left="124"/>
              <w:rPr>
                <w:sz w:val="22"/>
                <w:szCs w:val="22"/>
                <w:highlight w:val="none"/>
              </w:rPr>
            </w:pPr>
            <w:r>
              <w:rPr>
                <w:spacing w:val="-1"/>
                <w:sz w:val="22"/>
                <w:szCs w:val="22"/>
                <w:highlight w:val="none"/>
              </w:rPr>
              <w:t>③思路及认识不合理得0分。</w:t>
            </w:r>
          </w:p>
          <w:p w14:paraId="22412BAC">
            <w:pPr>
              <w:pStyle w:val="6"/>
              <w:spacing w:before="71" w:line="247" w:lineRule="auto"/>
              <w:ind w:left="124" w:right="113"/>
              <w:rPr>
                <w:sz w:val="22"/>
                <w:szCs w:val="22"/>
                <w:highlight w:val="none"/>
              </w:rPr>
            </w:pPr>
            <w:r>
              <w:rPr>
                <w:sz w:val="22"/>
                <w:szCs w:val="22"/>
                <w:highlight w:val="none"/>
              </w:rPr>
              <w:t>2、按照各专业设计图纸合理、完整、细</w:t>
            </w:r>
            <w:r>
              <w:rPr>
                <w:spacing w:val="12"/>
                <w:sz w:val="22"/>
                <w:szCs w:val="22"/>
                <w:highlight w:val="none"/>
              </w:rPr>
              <w:t xml:space="preserve"> </w:t>
            </w:r>
            <w:r>
              <w:rPr>
                <w:spacing w:val="-1"/>
                <w:sz w:val="22"/>
                <w:szCs w:val="22"/>
                <w:highlight w:val="none"/>
              </w:rPr>
              <w:t>节详细，并有相关效果图等进行比较评</w:t>
            </w:r>
            <w:r>
              <w:rPr>
                <w:spacing w:val="3"/>
                <w:sz w:val="22"/>
                <w:szCs w:val="22"/>
                <w:highlight w:val="none"/>
              </w:rPr>
              <w:t xml:space="preserve">  </w:t>
            </w:r>
            <w:r>
              <w:rPr>
                <w:spacing w:val="6"/>
                <w:sz w:val="22"/>
                <w:szCs w:val="22"/>
                <w:highlight w:val="none"/>
              </w:rPr>
              <w:t>分。(满分4分)</w:t>
            </w:r>
          </w:p>
          <w:p w14:paraId="5409108A">
            <w:pPr>
              <w:pStyle w:val="6"/>
              <w:spacing w:before="66" w:line="217" w:lineRule="auto"/>
              <w:ind w:left="124"/>
              <w:rPr>
                <w:sz w:val="22"/>
                <w:szCs w:val="22"/>
                <w:highlight w:val="none"/>
              </w:rPr>
            </w:pPr>
            <w:r>
              <w:rPr>
                <w:spacing w:val="6"/>
                <w:sz w:val="22"/>
                <w:szCs w:val="22"/>
                <w:highlight w:val="none"/>
              </w:rPr>
              <w:t>①科学、合理、针对性强得4-3分；</w:t>
            </w:r>
          </w:p>
          <w:p w14:paraId="5F57D7CC">
            <w:pPr>
              <w:pStyle w:val="6"/>
              <w:spacing w:before="72" w:line="217" w:lineRule="auto"/>
              <w:ind w:left="124"/>
              <w:rPr>
                <w:sz w:val="22"/>
                <w:szCs w:val="22"/>
                <w:highlight w:val="none"/>
              </w:rPr>
            </w:pPr>
            <w:r>
              <w:rPr>
                <w:spacing w:val="9"/>
                <w:sz w:val="22"/>
                <w:szCs w:val="22"/>
                <w:highlight w:val="none"/>
              </w:rPr>
              <w:t>②合理、可行得2-1分；</w:t>
            </w:r>
          </w:p>
          <w:p w14:paraId="069E10B9">
            <w:pPr>
              <w:pStyle w:val="6"/>
              <w:spacing w:before="41" w:line="217" w:lineRule="auto"/>
              <w:ind w:left="124"/>
              <w:rPr>
                <w:sz w:val="22"/>
                <w:szCs w:val="22"/>
                <w:highlight w:val="none"/>
              </w:rPr>
            </w:pPr>
            <w:r>
              <w:rPr>
                <w:spacing w:val="-1"/>
                <w:sz w:val="22"/>
                <w:szCs w:val="22"/>
                <w:highlight w:val="none"/>
              </w:rPr>
              <w:t>③不合理、不可行得0分。</w:t>
            </w:r>
          </w:p>
          <w:p w14:paraId="500B544D">
            <w:pPr>
              <w:pStyle w:val="6"/>
              <w:spacing w:before="74" w:line="219" w:lineRule="auto"/>
              <w:ind w:left="124"/>
              <w:rPr>
                <w:sz w:val="22"/>
                <w:szCs w:val="22"/>
                <w:highlight w:val="none"/>
              </w:rPr>
            </w:pPr>
            <w:r>
              <w:rPr>
                <w:spacing w:val="-1"/>
                <w:sz w:val="22"/>
                <w:szCs w:val="22"/>
                <w:highlight w:val="none"/>
              </w:rPr>
              <w:t>3、对项目的特点、难点分析是否准确，</w:t>
            </w:r>
          </w:p>
          <w:p w14:paraId="7A5F2FC0">
            <w:pPr>
              <w:pStyle w:val="6"/>
              <w:spacing w:before="49" w:line="244" w:lineRule="auto"/>
              <w:ind w:left="124" w:right="24"/>
              <w:rPr>
                <w:sz w:val="22"/>
                <w:szCs w:val="22"/>
                <w:highlight w:val="none"/>
              </w:rPr>
            </w:pPr>
            <w:r>
              <w:rPr>
                <w:spacing w:val="-1"/>
                <w:sz w:val="22"/>
                <w:szCs w:val="22"/>
                <w:highlight w:val="none"/>
              </w:rPr>
              <w:t>对关键技术问题的认识及对其对策措施是</w:t>
            </w:r>
            <w:r>
              <w:rPr>
                <w:spacing w:val="9"/>
                <w:sz w:val="22"/>
                <w:szCs w:val="22"/>
                <w:highlight w:val="none"/>
              </w:rPr>
              <w:t xml:space="preserve"> </w:t>
            </w:r>
            <w:r>
              <w:rPr>
                <w:spacing w:val="3"/>
                <w:sz w:val="22"/>
                <w:szCs w:val="22"/>
                <w:highlight w:val="none"/>
              </w:rPr>
              <w:t>否得当，进行打分。(满分4分)</w:t>
            </w:r>
          </w:p>
          <w:p w14:paraId="523F3170">
            <w:pPr>
              <w:pStyle w:val="6"/>
              <w:spacing w:before="56" w:line="245" w:lineRule="auto"/>
              <w:ind w:left="124" w:right="24"/>
              <w:rPr>
                <w:sz w:val="22"/>
                <w:szCs w:val="22"/>
                <w:highlight w:val="none"/>
              </w:rPr>
            </w:pPr>
            <w:r>
              <w:rPr>
                <w:spacing w:val="-1"/>
                <w:sz w:val="22"/>
                <w:szCs w:val="22"/>
                <w:highlight w:val="none"/>
              </w:rPr>
              <w:t>①认识及对其对策措施科学、合理、针对</w:t>
            </w:r>
            <w:r>
              <w:rPr>
                <w:spacing w:val="9"/>
                <w:sz w:val="22"/>
                <w:szCs w:val="22"/>
                <w:highlight w:val="none"/>
              </w:rPr>
              <w:t xml:space="preserve"> </w:t>
            </w:r>
            <w:r>
              <w:rPr>
                <w:spacing w:val="14"/>
                <w:sz w:val="22"/>
                <w:szCs w:val="22"/>
                <w:highlight w:val="none"/>
              </w:rPr>
              <w:t>性强得4-3分；</w:t>
            </w:r>
          </w:p>
          <w:p w14:paraId="13A425A5">
            <w:pPr>
              <w:pStyle w:val="6"/>
              <w:spacing w:before="57" w:line="241" w:lineRule="auto"/>
              <w:ind w:left="124" w:right="104"/>
              <w:rPr>
                <w:sz w:val="22"/>
                <w:szCs w:val="22"/>
                <w:highlight w:val="none"/>
              </w:rPr>
            </w:pPr>
            <w:r>
              <w:rPr>
                <w:spacing w:val="1"/>
                <w:sz w:val="22"/>
                <w:szCs w:val="22"/>
                <w:highlight w:val="none"/>
              </w:rPr>
              <w:t>②认识及对其对策措施合理、可行得2-1</w:t>
            </w:r>
            <w:r>
              <w:rPr>
                <w:spacing w:val="2"/>
                <w:sz w:val="22"/>
                <w:szCs w:val="22"/>
                <w:highlight w:val="none"/>
              </w:rPr>
              <w:t xml:space="preserve"> </w:t>
            </w:r>
            <w:r>
              <w:rPr>
                <w:spacing w:val="-6"/>
                <w:sz w:val="22"/>
                <w:szCs w:val="22"/>
                <w:highlight w:val="none"/>
              </w:rPr>
              <w:t>分</w:t>
            </w:r>
            <w:r>
              <w:rPr>
                <w:spacing w:val="62"/>
                <w:sz w:val="22"/>
                <w:szCs w:val="22"/>
                <w:highlight w:val="none"/>
              </w:rPr>
              <w:t xml:space="preserve"> </w:t>
            </w:r>
            <w:r>
              <w:rPr>
                <w:spacing w:val="-6"/>
                <w:sz w:val="22"/>
                <w:szCs w:val="22"/>
                <w:highlight w:val="none"/>
              </w:rPr>
              <w:t>；</w:t>
            </w:r>
          </w:p>
          <w:p w14:paraId="504E70AD">
            <w:pPr>
              <w:pStyle w:val="6"/>
              <w:spacing w:before="54" w:line="246" w:lineRule="auto"/>
              <w:ind w:left="124" w:right="23"/>
              <w:rPr>
                <w:sz w:val="22"/>
                <w:szCs w:val="22"/>
                <w:highlight w:val="none"/>
              </w:rPr>
            </w:pPr>
            <w:r>
              <w:rPr>
                <w:spacing w:val="-1"/>
                <w:sz w:val="22"/>
                <w:szCs w:val="22"/>
                <w:highlight w:val="none"/>
              </w:rPr>
              <w:t>③认识及对其对策措施不合理、不可行得</w:t>
            </w:r>
            <w:r>
              <w:rPr>
                <w:spacing w:val="10"/>
                <w:sz w:val="22"/>
                <w:szCs w:val="22"/>
                <w:highlight w:val="none"/>
              </w:rPr>
              <w:t xml:space="preserve"> </w:t>
            </w:r>
            <w:r>
              <w:rPr>
                <w:spacing w:val="-8"/>
                <w:sz w:val="22"/>
                <w:szCs w:val="22"/>
                <w:highlight w:val="none"/>
              </w:rPr>
              <w:t>0</w:t>
            </w:r>
            <w:r>
              <w:rPr>
                <w:spacing w:val="-17"/>
                <w:sz w:val="22"/>
                <w:szCs w:val="22"/>
                <w:highlight w:val="none"/>
              </w:rPr>
              <w:t xml:space="preserve"> </w:t>
            </w:r>
            <w:r>
              <w:rPr>
                <w:spacing w:val="-8"/>
                <w:sz w:val="22"/>
                <w:szCs w:val="22"/>
                <w:highlight w:val="none"/>
              </w:rPr>
              <w:t>分</w:t>
            </w:r>
            <w:r>
              <w:rPr>
                <w:spacing w:val="-29"/>
                <w:sz w:val="22"/>
                <w:szCs w:val="22"/>
                <w:highlight w:val="none"/>
              </w:rPr>
              <w:t xml:space="preserve"> </w:t>
            </w:r>
            <w:r>
              <w:rPr>
                <w:spacing w:val="-8"/>
                <w:sz w:val="22"/>
                <w:szCs w:val="22"/>
                <w:highlight w:val="none"/>
              </w:rPr>
              <w:t>。</w:t>
            </w:r>
          </w:p>
          <w:p w14:paraId="3DC0475F">
            <w:pPr>
              <w:pStyle w:val="6"/>
              <w:spacing w:before="78" w:line="256" w:lineRule="auto"/>
              <w:ind w:left="124" w:right="4"/>
              <w:rPr>
                <w:sz w:val="22"/>
                <w:szCs w:val="22"/>
                <w:highlight w:val="none"/>
              </w:rPr>
            </w:pPr>
            <w:r>
              <w:rPr>
                <w:spacing w:val="-1"/>
                <w:sz w:val="22"/>
                <w:szCs w:val="22"/>
                <w:highlight w:val="none"/>
              </w:rPr>
              <w:t>4、设计周期、进度计划及保证措施：设</w:t>
            </w:r>
            <w:r>
              <w:rPr>
                <w:spacing w:val="4"/>
                <w:sz w:val="22"/>
                <w:szCs w:val="22"/>
                <w:highlight w:val="none"/>
              </w:rPr>
              <w:t xml:space="preserve">  </w:t>
            </w:r>
            <w:r>
              <w:rPr>
                <w:sz w:val="22"/>
                <w:szCs w:val="22"/>
                <w:highlight w:val="none"/>
              </w:rPr>
              <w:t>计工作的计划安排、质量保证措施、进度</w:t>
            </w:r>
            <w:r>
              <w:rPr>
                <w:spacing w:val="11"/>
                <w:sz w:val="22"/>
                <w:szCs w:val="22"/>
                <w:highlight w:val="none"/>
              </w:rPr>
              <w:t xml:space="preserve"> </w:t>
            </w:r>
            <w:r>
              <w:rPr>
                <w:sz w:val="22"/>
                <w:szCs w:val="22"/>
                <w:highlight w:val="none"/>
              </w:rPr>
              <w:t xml:space="preserve">保证措施、后续服务的安排及保证措施。 </w:t>
            </w:r>
            <w:r>
              <w:rPr>
                <w:spacing w:val="8"/>
                <w:sz w:val="22"/>
                <w:szCs w:val="22"/>
                <w:highlight w:val="none"/>
              </w:rPr>
              <w:t>(满分4分)</w:t>
            </w:r>
          </w:p>
          <w:p w14:paraId="2401F62B">
            <w:pPr>
              <w:pStyle w:val="6"/>
              <w:spacing w:before="36" w:line="217" w:lineRule="auto"/>
              <w:ind w:right="7"/>
              <w:jc w:val="right"/>
              <w:rPr>
                <w:sz w:val="22"/>
                <w:szCs w:val="22"/>
                <w:highlight w:val="none"/>
              </w:rPr>
            </w:pPr>
            <w:r>
              <w:rPr>
                <w:spacing w:val="6"/>
                <w:sz w:val="22"/>
                <w:szCs w:val="22"/>
                <w:highlight w:val="none"/>
              </w:rPr>
              <w:t>①措施详细、科学、有针对性得4-3分；</w:t>
            </w:r>
          </w:p>
          <w:p w14:paraId="4E46B86B">
            <w:pPr>
              <w:pStyle w:val="6"/>
              <w:spacing w:before="62" w:line="217" w:lineRule="auto"/>
              <w:ind w:left="124"/>
              <w:rPr>
                <w:sz w:val="22"/>
                <w:szCs w:val="22"/>
                <w:highlight w:val="none"/>
              </w:rPr>
            </w:pPr>
            <w:r>
              <w:rPr>
                <w:spacing w:val="6"/>
                <w:sz w:val="22"/>
                <w:szCs w:val="22"/>
                <w:highlight w:val="none"/>
              </w:rPr>
              <w:t>②措施详细、针对性较强得2-1分；</w:t>
            </w:r>
          </w:p>
          <w:p w14:paraId="397B61F6">
            <w:pPr>
              <w:pStyle w:val="6"/>
              <w:spacing w:before="71" w:line="217" w:lineRule="auto"/>
              <w:ind w:left="124"/>
              <w:rPr>
                <w:sz w:val="22"/>
                <w:szCs w:val="22"/>
                <w:highlight w:val="none"/>
              </w:rPr>
            </w:pPr>
            <w:r>
              <w:rPr>
                <w:sz w:val="22"/>
                <w:szCs w:val="22"/>
                <w:highlight w:val="none"/>
              </w:rPr>
              <w:t>③措施不详细，不合理得0分。</w:t>
            </w:r>
          </w:p>
          <w:p w14:paraId="6EBF5F41">
            <w:pPr>
              <w:pStyle w:val="6"/>
              <w:spacing w:before="52" w:line="259" w:lineRule="auto"/>
              <w:ind w:left="124" w:right="16"/>
              <w:rPr>
                <w:sz w:val="22"/>
                <w:szCs w:val="22"/>
                <w:highlight w:val="none"/>
              </w:rPr>
            </w:pPr>
            <w:r>
              <w:rPr>
                <w:spacing w:val="1"/>
                <w:sz w:val="22"/>
                <w:szCs w:val="22"/>
                <w:highlight w:val="none"/>
              </w:rPr>
              <w:t>5、设计质量控制及保证措施：有设计质</w:t>
            </w:r>
            <w:r>
              <w:rPr>
                <w:spacing w:val="5"/>
                <w:sz w:val="22"/>
                <w:szCs w:val="22"/>
                <w:highlight w:val="none"/>
              </w:rPr>
              <w:t xml:space="preserve"> </w:t>
            </w:r>
            <w:r>
              <w:rPr>
                <w:sz w:val="22"/>
                <w:szCs w:val="22"/>
                <w:highlight w:val="none"/>
              </w:rPr>
              <w:t xml:space="preserve">量工作目标、保证体系及过程控制程序， </w:t>
            </w:r>
            <w:r>
              <w:rPr>
                <w:spacing w:val="-1"/>
                <w:sz w:val="22"/>
                <w:szCs w:val="22"/>
                <w:highlight w:val="none"/>
              </w:rPr>
              <w:t>对质量目标的承诺及违约处罚措施。(满</w:t>
            </w:r>
            <w:r>
              <w:rPr>
                <w:spacing w:val="4"/>
                <w:sz w:val="22"/>
                <w:szCs w:val="22"/>
                <w:highlight w:val="none"/>
              </w:rPr>
              <w:t xml:space="preserve">  </w:t>
            </w:r>
            <w:r>
              <w:rPr>
                <w:spacing w:val="12"/>
                <w:sz w:val="22"/>
                <w:szCs w:val="22"/>
                <w:highlight w:val="none"/>
              </w:rPr>
              <w:t>分4分)</w:t>
            </w:r>
          </w:p>
        </w:tc>
      </w:tr>
    </w:tbl>
    <w:p w14:paraId="300E0F21">
      <w:pPr>
        <w:pStyle w:val="2"/>
        <w:rPr>
          <w:highlight w:val="none"/>
        </w:rPr>
      </w:pPr>
    </w:p>
    <w:p w14:paraId="1228130E">
      <w:pPr>
        <w:rPr>
          <w:highlight w:val="none"/>
        </w:rPr>
        <w:sectPr>
          <w:footerReference r:id="rId59" w:type="default"/>
          <w:pgSz w:w="11910" w:h="16840"/>
          <w:pgMar w:top="400" w:right="915" w:bottom="1196" w:left="1665" w:header="0" w:footer="1019" w:gutter="0"/>
          <w:cols w:space="720" w:num="1"/>
        </w:sectPr>
      </w:pPr>
    </w:p>
    <w:p w14:paraId="1CC11E7A">
      <w:pPr>
        <w:spacing w:before="18"/>
        <w:rPr>
          <w:highlight w:val="none"/>
        </w:rPr>
      </w:pPr>
    </w:p>
    <w:p w14:paraId="5C01C1EC">
      <w:pPr>
        <w:spacing w:before="17"/>
        <w:rPr>
          <w:highlight w:val="none"/>
        </w:rPr>
      </w:pPr>
    </w:p>
    <w:p w14:paraId="5DAD59D0">
      <w:pPr>
        <w:spacing w:before="17"/>
        <w:rPr>
          <w:highlight w:val="none"/>
        </w:rPr>
      </w:pPr>
    </w:p>
    <w:p w14:paraId="75C9AF69">
      <w:pPr>
        <w:spacing w:before="17"/>
        <w:rPr>
          <w:highlight w:val="none"/>
        </w:rPr>
      </w:pPr>
    </w:p>
    <w:tbl>
      <w:tblPr>
        <w:tblStyle w:val="5"/>
        <w:tblW w:w="851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33"/>
        <w:gridCol w:w="859"/>
        <w:gridCol w:w="2048"/>
        <w:gridCol w:w="4077"/>
      </w:tblGrid>
      <w:tr w14:paraId="181A2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4" w:hRule="atLeast"/>
        </w:trPr>
        <w:tc>
          <w:tcPr>
            <w:tcW w:w="1533" w:type="dxa"/>
            <w:vMerge w:val="restart"/>
            <w:tcBorders>
              <w:bottom w:val="nil"/>
            </w:tcBorders>
            <w:vAlign w:val="top"/>
          </w:tcPr>
          <w:p w14:paraId="18E352E7">
            <w:pPr>
              <w:rPr>
                <w:rFonts w:ascii="Arial"/>
                <w:sz w:val="21"/>
                <w:highlight w:val="none"/>
              </w:rPr>
            </w:pPr>
          </w:p>
        </w:tc>
        <w:tc>
          <w:tcPr>
            <w:tcW w:w="859" w:type="dxa"/>
            <w:vMerge w:val="restart"/>
            <w:tcBorders>
              <w:bottom w:val="nil"/>
            </w:tcBorders>
            <w:vAlign w:val="top"/>
          </w:tcPr>
          <w:p w14:paraId="710C2296">
            <w:pPr>
              <w:rPr>
                <w:rFonts w:ascii="Arial"/>
                <w:sz w:val="21"/>
                <w:highlight w:val="none"/>
              </w:rPr>
            </w:pPr>
          </w:p>
        </w:tc>
        <w:tc>
          <w:tcPr>
            <w:tcW w:w="2048" w:type="dxa"/>
            <w:vAlign w:val="top"/>
          </w:tcPr>
          <w:p w14:paraId="4BA395BC">
            <w:pPr>
              <w:rPr>
                <w:rFonts w:ascii="Arial"/>
                <w:sz w:val="21"/>
                <w:highlight w:val="none"/>
              </w:rPr>
            </w:pPr>
          </w:p>
        </w:tc>
        <w:tc>
          <w:tcPr>
            <w:tcW w:w="4077" w:type="dxa"/>
            <w:vAlign w:val="top"/>
          </w:tcPr>
          <w:p w14:paraId="2A689FCC">
            <w:pPr>
              <w:pStyle w:val="6"/>
              <w:spacing w:before="131" w:line="217" w:lineRule="auto"/>
              <w:ind w:left="84"/>
              <w:rPr>
                <w:sz w:val="22"/>
                <w:szCs w:val="22"/>
                <w:highlight w:val="none"/>
              </w:rPr>
            </w:pPr>
            <w:r>
              <w:rPr>
                <w:spacing w:val="8"/>
                <w:sz w:val="22"/>
                <w:szCs w:val="22"/>
                <w:highlight w:val="none"/>
              </w:rPr>
              <w:t>①措施详细，合理得4-3分；</w:t>
            </w:r>
          </w:p>
          <w:p w14:paraId="6C1BD4F7">
            <w:pPr>
              <w:pStyle w:val="6"/>
              <w:spacing w:before="71" w:line="217" w:lineRule="auto"/>
              <w:ind w:left="84"/>
              <w:rPr>
                <w:sz w:val="22"/>
                <w:szCs w:val="22"/>
                <w:highlight w:val="none"/>
              </w:rPr>
            </w:pPr>
            <w:r>
              <w:rPr>
                <w:spacing w:val="10"/>
                <w:sz w:val="22"/>
                <w:szCs w:val="22"/>
                <w:highlight w:val="none"/>
              </w:rPr>
              <w:t>②措施合理得2-1分；</w:t>
            </w:r>
          </w:p>
          <w:p w14:paraId="2A0CBED3">
            <w:pPr>
              <w:pStyle w:val="6"/>
              <w:spacing w:before="81" w:line="217" w:lineRule="auto"/>
              <w:ind w:left="84"/>
              <w:rPr>
                <w:sz w:val="22"/>
                <w:szCs w:val="22"/>
                <w:highlight w:val="none"/>
              </w:rPr>
            </w:pPr>
            <w:r>
              <w:rPr>
                <w:sz w:val="22"/>
                <w:szCs w:val="22"/>
                <w:highlight w:val="none"/>
              </w:rPr>
              <w:t>③措施不详细，不合理得0分。</w:t>
            </w:r>
          </w:p>
        </w:tc>
      </w:tr>
      <w:tr w14:paraId="3964F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9" w:hRule="atLeast"/>
        </w:trPr>
        <w:tc>
          <w:tcPr>
            <w:tcW w:w="1533" w:type="dxa"/>
            <w:vMerge w:val="continue"/>
            <w:tcBorders>
              <w:top w:val="nil"/>
              <w:bottom w:val="nil"/>
            </w:tcBorders>
            <w:vAlign w:val="top"/>
          </w:tcPr>
          <w:p w14:paraId="5F298356">
            <w:pPr>
              <w:rPr>
                <w:rFonts w:ascii="Arial"/>
                <w:sz w:val="21"/>
                <w:highlight w:val="none"/>
              </w:rPr>
            </w:pPr>
          </w:p>
        </w:tc>
        <w:tc>
          <w:tcPr>
            <w:tcW w:w="859" w:type="dxa"/>
            <w:vMerge w:val="continue"/>
            <w:tcBorders>
              <w:top w:val="nil"/>
              <w:bottom w:val="nil"/>
            </w:tcBorders>
            <w:vAlign w:val="top"/>
          </w:tcPr>
          <w:p w14:paraId="639A50E0">
            <w:pPr>
              <w:rPr>
                <w:rFonts w:ascii="Arial"/>
                <w:sz w:val="21"/>
                <w:highlight w:val="none"/>
              </w:rPr>
            </w:pPr>
          </w:p>
        </w:tc>
        <w:tc>
          <w:tcPr>
            <w:tcW w:w="2048" w:type="dxa"/>
            <w:vAlign w:val="top"/>
          </w:tcPr>
          <w:p w14:paraId="51AB11F9">
            <w:pPr>
              <w:spacing w:line="291" w:lineRule="auto"/>
              <w:rPr>
                <w:rFonts w:ascii="Arial"/>
                <w:sz w:val="21"/>
                <w:highlight w:val="none"/>
              </w:rPr>
            </w:pPr>
          </w:p>
          <w:p w14:paraId="210C9487">
            <w:pPr>
              <w:spacing w:line="291" w:lineRule="auto"/>
              <w:rPr>
                <w:rFonts w:ascii="Arial"/>
                <w:sz w:val="21"/>
                <w:highlight w:val="none"/>
              </w:rPr>
            </w:pPr>
          </w:p>
          <w:p w14:paraId="481E3C99">
            <w:pPr>
              <w:spacing w:line="291" w:lineRule="auto"/>
              <w:rPr>
                <w:rFonts w:ascii="Arial"/>
                <w:sz w:val="21"/>
                <w:highlight w:val="none"/>
              </w:rPr>
            </w:pPr>
          </w:p>
          <w:p w14:paraId="1C96A909">
            <w:pPr>
              <w:pStyle w:val="6"/>
              <w:spacing w:before="72" w:line="220" w:lineRule="auto"/>
              <w:ind w:left="113"/>
              <w:rPr>
                <w:sz w:val="22"/>
                <w:szCs w:val="22"/>
                <w:highlight w:val="none"/>
              </w:rPr>
            </w:pPr>
            <w:r>
              <w:rPr>
                <w:spacing w:val="6"/>
                <w:sz w:val="22"/>
                <w:szCs w:val="22"/>
                <w:highlight w:val="none"/>
              </w:rPr>
              <w:t>施工方案(3分)</w:t>
            </w:r>
          </w:p>
        </w:tc>
        <w:tc>
          <w:tcPr>
            <w:tcW w:w="4077" w:type="dxa"/>
            <w:vAlign w:val="top"/>
          </w:tcPr>
          <w:p w14:paraId="414EFD0D">
            <w:pPr>
              <w:pStyle w:val="6"/>
              <w:spacing w:before="170" w:line="219" w:lineRule="auto"/>
              <w:ind w:left="84"/>
              <w:rPr>
                <w:sz w:val="22"/>
                <w:szCs w:val="22"/>
                <w:highlight w:val="none"/>
              </w:rPr>
            </w:pPr>
            <w:r>
              <w:rPr>
                <w:sz w:val="22"/>
                <w:szCs w:val="22"/>
                <w:highlight w:val="none"/>
              </w:rPr>
              <w:t>方案针对性强，施工工艺及施工方法先</w:t>
            </w:r>
          </w:p>
          <w:p w14:paraId="09262FE1">
            <w:pPr>
              <w:pStyle w:val="6"/>
              <w:spacing w:before="77" w:line="251" w:lineRule="auto"/>
              <w:ind w:left="124" w:right="8" w:hanging="20"/>
              <w:rPr>
                <w:sz w:val="22"/>
                <w:szCs w:val="22"/>
                <w:highlight w:val="none"/>
              </w:rPr>
            </w:pPr>
            <w:r>
              <w:rPr>
                <w:spacing w:val="-1"/>
                <w:sz w:val="22"/>
                <w:szCs w:val="22"/>
                <w:highlight w:val="none"/>
              </w:rPr>
              <w:t>进、可靠，与项目实际结合紧密，对施工</w:t>
            </w:r>
            <w:r>
              <w:rPr>
                <w:spacing w:val="10"/>
                <w:sz w:val="22"/>
                <w:szCs w:val="22"/>
                <w:highlight w:val="none"/>
              </w:rPr>
              <w:t xml:space="preserve"> </w:t>
            </w:r>
            <w:r>
              <w:rPr>
                <w:spacing w:val="2"/>
                <w:sz w:val="22"/>
                <w:szCs w:val="22"/>
                <w:highlight w:val="none"/>
              </w:rPr>
              <w:t>具有指导性，综合比较打分(满分3分)</w:t>
            </w:r>
          </w:p>
          <w:p w14:paraId="578F33FE">
            <w:pPr>
              <w:pStyle w:val="6"/>
              <w:spacing w:line="217" w:lineRule="auto"/>
              <w:ind w:left="84"/>
              <w:rPr>
                <w:sz w:val="22"/>
                <w:szCs w:val="22"/>
                <w:highlight w:val="none"/>
              </w:rPr>
            </w:pPr>
            <w:r>
              <w:rPr>
                <w:spacing w:val="7"/>
                <w:sz w:val="22"/>
                <w:szCs w:val="22"/>
                <w:highlight w:val="none"/>
              </w:rPr>
              <w:t>①科学、合理、针对性强得3分；</w:t>
            </w:r>
          </w:p>
          <w:p w14:paraId="0905AB7B">
            <w:pPr>
              <w:pStyle w:val="6"/>
              <w:spacing w:before="81" w:line="217" w:lineRule="auto"/>
              <w:ind w:left="84"/>
              <w:rPr>
                <w:sz w:val="22"/>
                <w:szCs w:val="22"/>
                <w:highlight w:val="none"/>
              </w:rPr>
            </w:pPr>
            <w:r>
              <w:rPr>
                <w:spacing w:val="9"/>
                <w:sz w:val="22"/>
                <w:szCs w:val="22"/>
                <w:highlight w:val="none"/>
              </w:rPr>
              <w:t>②合理、可行得2-1分；</w:t>
            </w:r>
          </w:p>
          <w:p w14:paraId="47524653">
            <w:pPr>
              <w:pStyle w:val="6"/>
              <w:spacing w:before="51" w:line="217" w:lineRule="auto"/>
              <w:ind w:left="84"/>
              <w:rPr>
                <w:sz w:val="22"/>
                <w:szCs w:val="22"/>
                <w:highlight w:val="none"/>
              </w:rPr>
            </w:pPr>
            <w:r>
              <w:rPr>
                <w:spacing w:val="-1"/>
                <w:sz w:val="22"/>
                <w:szCs w:val="22"/>
                <w:highlight w:val="none"/>
              </w:rPr>
              <w:t>③不可行得0分。</w:t>
            </w:r>
          </w:p>
        </w:tc>
      </w:tr>
      <w:tr w14:paraId="443F7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8" w:hRule="atLeast"/>
        </w:trPr>
        <w:tc>
          <w:tcPr>
            <w:tcW w:w="1533" w:type="dxa"/>
            <w:vMerge w:val="continue"/>
            <w:tcBorders>
              <w:top w:val="nil"/>
              <w:bottom w:val="nil"/>
            </w:tcBorders>
            <w:vAlign w:val="top"/>
          </w:tcPr>
          <w:p w14:paraId="34689257">
            <w:pPr>
              <w:rPr>
                <w:rFonts w:ascii="Arial"/>
                <w:sz w:val="21"/>
                <w:highlight w:val="none"/>
              </w:rPr>
            </w:pPr>
          </w:p>
        </w:tc>
        <w:tc>
          <w:tcPr>
            <w:tcW w:w="859" w:type="dxa"/>
            <w:vMerge w:val="continue"/>
            <w:tcBorders>
              <w:top w:val="nil"/>
              <w:bottom w:val="nil"/>
            </w:tcBorders>
            <w:vAlign w:val="top"/>
          </w:tcPr>
          <w:p w14:paraId="37D0B428">
            <w:pPr>
              <w:rPr>
                <w:rFonts w:ascii="Arial"/>
                <w:sz w:val="21"/>
                <w:highlight w:val="none"/>
              </w:rPr>
            </w:pPr>
          </w:p>
        </w:tc>
        <w:tc>
          <w:tcPr>
            <w:tcW w:w="2048" w:type="dxa"/>
            <w:vAlign w:val="top"/>
          </w:tcPr>
          <w:p w14:paraId="23B1E1DA">
            <w:pPr>
              <w:spacing w:line="294" w:lineRule="auto"/>
              <w:rPr>
                <w:rFonts w:ascii="Arial"/>
                <w:sz w:val="21"/>
                <w:highlight w:val="none"/>
              </w:rPr>
            </w:pPr>
          </w:p>
          <w:p w14:paraId="3A10E89C">
            <w:pPr>
              <w:spacing w:line="295" w:lineRule="auto"/>
              <w:rPr>
                <w:rFonts w:ascii="Arial"/>
                <w:sz w:val="21"/>
                <w:highlight w:val="none"/>
              </w:rPr>
            </w:pPr>
          </w:p>
          <w:p w14:paraId="4529CD43">
            <w:pPr>
              <w:spacing w:line="295" w:lineRule="auto"/>
              <w:rPr>
                <w:rFonts w:ascii="Arial"/>
                <w:sz w:val="21"/>
                <w:highlight w:val="none"/>
              </w:rPr>
            </w:pPr>
          </w:p>
          <w:p w14:paraId="6E219625">
            <w:pPr>
              <w:pStyle w:val="6"/>
              <w:spacing w:before="71" w:line="263" w:lineRule="auto"/>
              <w:ind w:left="192" w:right="128" w:hanging="60"/>
              <w:rPr>
                <w:sz w:val="22"/>
                <w:szCs w:val="22"/>
                <w:highlight w:val="none"/>
              </w:rPr>
            </w:pPr>
            <w:r>
              <w:rPr>
                <w:spacing w:val="2"/>
                <w:sz w:val="22"/>
                <w:szCs w:val="22"/>
                <w:highlight w:val="none"/>
              </w:rPr>
              <w:t>主要施工管理计划</w:t>
            </w:r>
            <w:r>
              <w:rPr>
                <w:sz w:val="22"/>
                <w:szCs w:val="22"/>
                <w:highlight w:val="none"/>
              </w:rPr>
              <w:t xml:space="preserve"> </w:t>
            </w:r>
            <w:r>
              <w:rPr>
                <w:spacing w:val="-18"/>
                <w:sz w:val="22"/>
                <w:szCs w:val="22"/>
                <w:highlight w:val="none"/>
              </w:rPr>
              <w:t>(</w:t>
            </w:r>
            <w:r>
              <w:rPr>
                <w:spacing w:val="-22"/>
                <w:sz w:val="22"/>
                <w:szCs w:val="22"/>
                <w:highlight w:val="none"/>
              </w:rPr>
              <w:t xml:space="preserve"> </w:t>
            </w:r>
            <w:r>
              <w:rPr>
                <w:spacing w:val="-18"/>
                <w:sz w:val="22"/>
                <w:szCs w:val="22"/>
                <w:highlight w:val="none"/>
              </w:rPr>
              <w:t>3</w:t>
            </w:r>
            <w:r>
              <w:rPr>
                <w:spacing w:val="-24"/>
                <w:sz w:val="22"/>
                <w:szCs w:val="22"/>
                <w:highlight w:val="none"/>
              </w:rPr>
              <w:t xml:space="preserve"> </w:t>
            </w:r>
            <w:r>
              <w:rPr>
                <w:spacing w:val="-18"/>
                <w:sz w:val="22"/>
                <w:szCs w:val="22"/>
                <w:highlight w:val="none"/>
              </w:rPr>
              <w:t>分</w:t>
            </w:r>
            <w:r>
              <w:rPr>
                <w:spacing w:val="-26"/>
                <w:sz w:val="22"/>
                <w:szCs w:val="22"/>
                <w:highlight w:val="none"/>
              </w:rPr>
              <w:t xml:space="preserve"> </w:t>
            </w:r>
            <w:r>
              <w:rPr>
                <w:spacing w:val="-18"/>
                <w:sz w:val="22"/>
                <w:szCs w:val="22"/>
                <w:highlight w:val="none"/>
              </w:rPr>
              <w:t>)</w:t>
            </w:r>
          </w:p>
        </w:tc>
        <w:tc>
          <w:tcPr>
            <w:tcW w:w="4077" w:type="dxa"/>
            <w:vAlign w:val="top"/>
          </w:tcPr>
          <w:p w14:paraId="3A4B0A81">
            <w:pPr>
              <w:pStyle w:val="6"/>
              <w:spacing w:before="151" w:line="262" w:lineRule="auto"/>
              <w:ind w:left="84" w:right="5" w:firstLine="30"/>
              <w:rPr>
                <w:sz w:val="22"/>
                <w:szCs w:val="22"/>
                <w:highlight w:val="none"/>
              </w:rPr>
            </w:pPr>
            <w:r>
              <w:rPr>
                <w:spacing w:val="-1"/>
                <w:sz w:val="22"/>
                <w:szCs w:val="22"/>
                <w:highlight w:val="none"/>
              </w:rPr>
              <w:t>管理体系和组织措施合理可行，工程质量</w:t>
            </w:r>
            <w:r>
              <w:rPr>
                <w:spacing w:val="3"/>
                <w:sz w:val="22"/>
                <w:szCs w:val="22"/>
                <w:highlight w:val="none"/>
              </w:rPr>
              <w:t xml:space="preserve"> </w:t>
            </w:r>
            <w:r>
              <w:rPr>
                <w:sz w:val="22"/>
                <w:szCs w:val="22"/>
                <w:highlight w:val="none"/>
              </w:rPr>
              <w:t>保障措施全面细致、结合实际、措施具</w:t>
            </w:r>
          </w:p>
          <w:p w14:paraId="2E6453DF">
            <w:pPr>
              <w:pStyle w:val="6"/>
              <w:spacing w:before="14" w:line="272" w:lineRule="auto"/>
              <w:ind w:left="84" w:right="250"/>
              <w:rPr>
                <w:sz w:val="22"/>
                <w:szCs w:val="22"/>
                <w:highlight w:val="none"/>
              </w:rPr>
            </w:pPr>
            <w:r>
              <w:rPr>
                <w:spacing w:val="-1"/>
                <w:sz w:val="22"/>
                <w:szCs w:val="22"/>
                <w:highlight w:val="none"/>
              </w:rPr>
              <w:t>体，责任到人，环境及文明施工措施可</w:t>
            </w:r>
            <w:r>
              <w:rPr>
                <w:spacing w:val="7"/>
                <w:sz w:val="22"/>
                <w:szCs w:val="22"/>
                <w:highlight w:val="none"/>
              </w:rPr>
              <w:t xml:space="preserve"> </w:t>
            </w:r>
            <w:r>
              <w:rPr>
                <w:spacing w:val="3"/>
                <w:sz w:val="22"/>
                <w:szCs w:val="22"/>
                <w:highlight w:val="none"/>
              </w:rPr>
              <w:t>行，综合比较打分(满分3分)</w:t>
            </w:r>
          </w:p>
          <w:p w14:paraId="717DDAC5">
            <w:pPr>
              <w:pStyle w:val="6"/>
              <w:spacing w:line="217" w:lineRule="auto"/>
              <w:ind w:left="84"/>
              <w:rPr>
                <w:sz w:val="22"/>
                <w:szCs w:val="22"/>
                <w:highlight w:val="none"/>
              </w:rPr>
            </w:pPr>
            <w:r>
              <w:rPr>
                <w:spacing w:val="7"/>
                <w:sz w:val="22"/>
                <w:szCs w:val="22"/>
                <w:highlight w:val="none"/>
              </w:rPr>
              <w:t>①科学、合理、针对性强得3分；</w:t>
            </w:r>
          </w:p>
          <w:p w14:paraId="0C8AA719">
            <w:pPr>
              <w:pStyle w:val="6"/>
              <w:spacing w:before="51" w:line="217" w:lineRule="auto"/>
              <w:ind w:left="84"/>
              <w:rPr>
                <w:sz w:val="22"/>
                <w:szCs w:val="22"/>
                <w:highlight w:val="none"/>
              </w:rPr>
            </w:pPr>
            <w:r>
              <w:rPr>
                <w:spacing w:val="9"/>
                <w:sz w:val="22"/>
                <w:szCs w:val="22"/>
                <w:highlight w:val="none"/>
              </w:rPr>
              <w:t>②合理、可行得2-1分；</w:t>
            </w:r>
          </w:p>
          <w:p w14:paraId="28E84B8E">
            <w:pPr>
              <w:pStyle w:val="6"/>
              <w:spacing w:before="71" w:line="217" w:lineRule="auto"/>
              <w:ind w:left="84"/>
              <w:rPr>
                <w:sz w:val="22"/>
                <w:szCs w:val="22"/>
                <w:highlight w:val="none"/>
              </w:rPr>
            </w:pPr>
            <w:r>
              <w:rPr>
                <w:spacing w:val="-1"/>
                <w:sz w:val="22"/>
                <w:szCs w:val="22"/>
                <w:highlight w:val="none"/>
              </w:rPr>
              <w:t>③不合理、不可行得0分。</w:t>
            </w:r>
          </w:p>
        </w:tc>
      </w:tr>
      <w:tr w14:paraId="476AE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7" w:hRule="atLeast"/>
        </w:trPr>
        <w:tc>
          <w:tcPr>
            <w:tcW w:w="1533" w:type="dxa"/>
            <w:vMerge w:val="continue"/>
            <w:tcBorders>
              <w:top w:val="nil"/>
              <w:bottom w:val="nil"/>
            </w:tcBorders>
            <w:vAlign w:val="top"/>
          </w:tcPr>
          <w:p w14:paraId="354ED8B6">
            <w:pPr>
              <w:rPr>
                <w:rFonts w:ascii="Arial"/>
                <w:sz w:val="21"/>
                <w:highlight w:val="none"/>
              </w:rPr>
            </w:pPr>
          </w:p>
        </w:tc>
        <w:tc>
          <w:tcPr>
            <w:tcW w:w="859" w:type="dxa"/>
            <w:vMerge w:val="continue"/>
            <w:tcBorders>
              <w:top w:val="nil"/>
              <w:bottom w:val="nil"/>
            </w:tcBorders>
            <w:vAlign w:val="top"/>
          </w:tcPr>
          <w:p w14:paraId="4F36995F">
            <w:pPr>
              <w:rPr>
                <w:rFonts w:ascii="Arial"/>
                <w:sz w:val="21"/>
                <w:highlight w:val="none"/>
              </w:rPr>
            </w:pPr>
          </w:p>
        </w:tc>
        <w:tc>
          <w:tcPr>
            <w:tcW w:w="2048" w:type="dxa"/>
            <w:vAlign w:val="top"/>
          </w:tcPr>
          <w:p w14:paraId="7BA06A52">
            <w:pPr>
              <w:spacing w:line="250" w:lineRule="auto"/>
              <w:rPr>
                <w:rFonts w:ascii="Arial"/>
                <w:sz w:val="21"/>
                <w:highlight w:val="none"/>
              </w:rPr>
            </w:pPr>
          </w:p>
          <w:p w14:paraId="1E6D43AF">
            <w:pPr>
              <w:spacing w:line="250" w:lineRule="auto"/>
              <w:rPr>
                <w:rFonts w:ascii="Arial"/>
                <w:sz w:val="21"/>
                <w:highlight w:val="none"/>
              </w:rPr>
            </w:pPr>
          </w:p>
          <w:p w14:paraId="3C45BB22">
            <w:pPr>
              <w:spacing w:line="250" w:lineRule="auto"/>
              <w:rPr>
                <w:rFonts w:ascii="Arial"/>
                <w:sz w:val="21"/>
                <w:highlight w:val="none"/>
              </w:rPr>
            </w:pPr>
          </w:p>
          <w:p w14:paraId="3AAD1863">
            <w:pPr>
              <w:spacing w:line="251" w:lineRule="auto"/>
              <w:rPr>
                <w:rFonts w:ascii="Arial"/>
                <w:sz w:val="21"/>
                <w:highlight w:val="none"/>
              </w:rPr>
            </w:pPr>
          </w:p>
          <w:p w14:paraId="10EB861E">
            <w:pPr>
              <w:spacing w:line="251" w:lineRule="auto"/>
              <w:rPr>
                <w:rFonts w:ascii="Arial"/>
                <w:sz w:val="21"/>
                <w:highlight w:val="none"/>
              </w:rPr>
            </w:pPr>
          </w:p>
          <w:p w14:paraId="3819DCCB">
            <w:pPr>
              <w:spacing w:line="251" w:lineRule="auto"/>
              <w:rPr>
                <w:rFonts w:ascii="Arial"/>
                <w:sz w:val="21"/>
                <w:highlight w:val="none"/>
              </w:rPr>
            </w:pPr>
          </w:p>
          <w:p w14:paraId="040C5D4C">
            <w:pPr>
              <w:pStyle w:val="6"/>
              <w:spacing w:before="71" w:line="220" w:lineRule="auto"/>
              <w:ind w:left="83"/>
              <w:rPr>
                <w:sz w:val="22"/>
                <w:szCs w:val="22"/>
                <w:highlight w:val="none"/>
              </w:rPr>
            </w:pPr>
            <w:r>
              <w:rPr>
                <w:spacing w:val="4"/>
                <w:sz w:val="22"/>
                <w:szCs w:val="22"/>
                <w:highlight w:val="none"/>
              </w:rPr>
              <w:t>施工进度计划(3分)</w:t>
            </w:r>
          </w:p>
        </w:tc>
        <w:tc>
          <w:tcPr>
            <w:tcW w:w="4077" w:type="dxa"/>
            <w:vAlign w:val="top"/>
          </w:tcPr>
          <w:p w14:paraId="645EE2F8">
            <w:pPr>
              <w:pStyle w:val="6"/>
              <w:spacing w:before="153" w:line="268" w:lineRule="auto"/>
              <w:ind w:left="84" w:firstLine="19"/>
              <w:rPr>
                <w:sz w:val="22"/>
                <w:szCs w:val="22"/>
                <w:highlight w:val="none"/>
              </w:rPr>
            </w:pPr>
            <w:r>
              <w:rPr>
                <w:spacing w:val="-5"/>
                <w:sz w:val="22"/>
                <w:szCs w:val="22"/>
                <w:highlight w:val="none"/>
              </w:rPr>
              <w:t>项目进度计划编制合理、可行，关键线路</w:t>
            </w:r>
            <w:r>
              <w:rPr>
                <w:spacing w:val="11"/>
                <w:sz w:val="22"/>
                <w:szCs w:val="22"/>
                <w:highlight w:val="none"/>
              </w:rPr>
              <w:t xml:space="preserve"> </w:t>
            </w:r>
            <w:r>
              <w:rPr>
                <w:spacing w:val="-4"/>
                <w:sz w:val="22"/>
                <w:szCs w:val="22"/>
                <w:highlight w:val="none"/>
              </w:rPr>
              <w:t>清晰、准确、完整，网络图、横道图、及</w:t>
            </w:r>
            <w:r>
              <w:rPr>
                <w:spacing w:val="16"/>
                <w:sz w:val="22"/>
                <w:szCs w:val="22"/>
                <w:highlight w:val="none"/>
              </w:rPr>
              <w:t xml:space="preserve"> </w:t>
            </w:r>
            <w:r>
              <w:rPr>
                <w:spacing w:val="1"/>
                <w:sz w:val="22"/>
                <w:szCs w:val="22"/>
                <w:highlight w:val="none"/>
              </w:rPr>
              <w:t>关键线路合理，关键节点控制措施得力、</w:t>
            </w:r>
            <w:r>
              <w:rPr>
                <w:spacing w:val="3"/>
                <w:sz w:val="22"/>
                <w:szCs w:val="22"/>
                <w:highlight w:val="none"/>
              </w:rPr>
              <w:t xml:space="preserve"> </w:t>
            </w:r>
            <w:r>
              <w:rPr>
                <w:spacing w:val="-4"/>
                <w:sz w:val="22"/>
                <w:szCs w:val="22"/>
                <w:highlight w:val="none"/>
              </w:rPr>
              <w:t>可操作性强，工期控制保证措施可靠，进</w:t>
            </w:r>
            <w:r>
              <w:rPr>
                <w:spacing w:val="14"/>
                <w:sz w:val="22"/>
                <w:szCs w:val="22"/>
                <w:highlight w:val="none"/>
              </w:rPr>
              <w:t xml:space="preserve"> </w:t>
            </w:r>
            <w:r>
              <w:rPr>
                <w:spacing w:val="1"/>
                <w:sz w:val="22"/>
                <w:szCs w:val="22"/>
                <w:highlight w:val="none"/>
              </w:rPr>
              <w:t>行打分(满分3分)</w:t>
            </w:r>
          </w:p>
          <w:p w14:paraId="35E04BAA">
            <w:pPr>
              <w:pStyle w:val="6"/>
              <w:spacing w:line="257" w:lineRule="auto"/>
              <w:ind w:left="84" w:right="88" w:firstLine="30"/>
              <w:rPr>
                <w:sz w:val="22"/>
                <w:szCs w:val="22"/>
                <w:highlight w:val="none"/>
              </w:rPr>
            </w:pPr>
            <w:r>
              <w:rPr>
                <w:sz w:val="22"/>
                <w:szCs w:val="22"/>
                <w:highlight w:val="none"/>
              </w:rPr>
              <w:t>①控制措施得力、合理、可操作性强得3</w:t>
            </w:r>
            <w:r>
              <w:rPr>
                <w:spacing w:val="12"/>
                <w:sz w:val="22"/>
                <w:szCs w:val="22"/>
                <w:highlight w:val="none"/>
              </w:rPr>
              <w:t xml:space="preserve"> </w:t>
            </w:r>
            <w:r>
              <w:rPr>
                <w:spacing w:val="-6"/>
                <w:sz w:val="22"/>
                <w:szCs w:val="22"/>
                <w:highlight w:val="none"/>
              </w:rPr>
              <w:t>分</w:t>
            </w:r>
            <w:r>
              <w:rPr>
                <w:spacing w:val="62"/>
                <w:sz w:val="22"/>
                <w:szCs w:val="22"/>
                <w:highlight w:val="none"/>
              </w:rPr>
              <w:t xml:space="preserve"> </w:t>
            </w:r>
            <w:r>
              <w:rPr>
                <w:spacing w:val="-6"/>
                <w:sz w:val="22"/>
                <w:szCs w:val="22"/>
                <w:highlight w:val="none"/>
              </w:rPr>
              <w:t>；</w:t>
            </w:r>
          </w:p>
          <w:p w14:paraId="30296D5B">
            <w:pPr>
              <w:pStyle w:val="6"/>
              <w:spacing w:before="28" w:line="237" w:lineRule="auto"/>
              <w:ind w:left="84" w:right="99" w:firstLine="10"/>
              <w:rPr>
                <w:sz w:val="22"/>
                <w:szCs w:val="22"/>
                <w:highlight w:val="none"/>
              </w:rPr>
            </w:pPr>
            <w:r>
              <w:rPr>
                <w:spacing w:val="1"/>
                <w:sz w:val="22"/>
                <w:szCs w:val="22"/>
                <w:highlight w:val="none"/>
              </w:rPr>
              <w:t>②控制措施较合理、可操作性较强得2-1</w:t>
            </w:r>
            <w:r>
              <w:rPr>
                <w:spacing w:val="2"/>
                <w:sz w:val="22"/>
                <w:szCs w:val="22"/>
                <w:highlight w:val="none"/>
              </w:rPr>
              <w:t xml:space="preserve"> </w:t>
            </w:r>
            <w:r>
              <w:rPr>
                <w:spacing w:val="-6"/>
                <w:sz w:val="22"/>
                <w:szCs w:val="22"/>
                <w:highlight w:val="none"/>
              </w:rPr>
              <w:t>分</w:t>
            </w:r>
            <w:r>
              <w:rPr>
                <w:spacing w:val="62"/>
                <w:sz w:val="22"/>
                <w:szCs w:val="22"/>
                <w:highlight w:val="none"/>
              </w:rPr>
              <w:t xml:space="preserve"> </w:t>
            </w:r>
            <w:r>
              <w:rPr>
                <w:spacing w:val="-6"/>
                <w:sz w:val="22"/>
                <w:szCs w:val="22"/>
                <w:highlight w:val="none"/>
              </w:rPr>
              <w:t>；</w:t>
            </w:r>
          </w:p>
          <w:p w14:paraId="367B5298">
            <w:pPr>
              <w:pStyle w:val="6"/>
              <w:spacing w:before="74" w:line="217" w:lineRule="auto"/>
              <w:ind w:left="84"/>
              <w:rPr>
                <w:sz w:val="22"/>
                <w:szCs w:val="22"/>
                <w:highlight w:val="none"/>
              </w:rPr>
            </w:pPr>
            <w:r>
              <w:rPr>
                <w:spacing w:val="-1"/>
                <w:sz w:val="22"/>
                <w:szCs w:val="22"/>
                <w:highlight w:val="none"/>
              </w:rPr>
              <w:t>③控制措施不合理、不可行得0分。</w:t>
            </w:r>
          </w:p>
        </w:tc>
      </w:tr>
      <w:tr w14:paraId="49B05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8" w:hRule="atLeast"/>
        </w:trPr>
        <w:tc>
          <w:tcPr>
            <w:tcW w:w="1533" w:type="dxa"/>
            <w:vMerge w:val="continue"/>
            <w:tcBorders>
              <w:top w:val="nil"/>
              <w:bottom w:val="nil"/>
            </w:tcBorders>
            <w:vAlign w:val="top"/>
          </w:tcPr>
          <w:p w14:paraId="53F27080">
            <w:pPr>
              <w:rPr>
                <w:rFonts w:ascii="Arial"/>
                <w:sz w:val="21"/>
                <w:highlight w:val="none"/>
              </w:rPr>
            </w:pPr>
          </w:p>
        </w:tc>
        <w:tc>
          <w:tcPr>
            <w:tcW w:w="859" w:type="dxa"/>
            <w:vMerge w:val="continue"/>
            <w:tcBorders>
              <w:top w:val="nil"/>
              <w:bottom w:val="nil"/>
            </w:tcBorders>
            <w:vAlign w:val="top"/>
          </w:tcPr>
          <w:p w14:paraId="2931845F">
            <w:pPr>
              <w:rPr>
                <w:rFonts w:ascii="Arial"/>
                <w:sz w:val="21"/>
                <w:highlight w:val="none"/>
              </w:rPr>
            </w:pPr>
          </w:p>
        </w:tc>
        <w:tc>
          <w:tcPr>
            <w:tcW w:w="2048" w:type="dxa"/>
            <w:vAlign w:val="top"/>
          </w:tcPr>
          <w:p w14:paraId="3E757EDB">
            <w:pPr>
              <w:spacing w:line="289" w:lineRule="auto"/>
              <w:rPr>
                <w:rFonts w:ascii="Arial"/>
                <w:sz w:val="21"/>
                <w:highlight w:val="none"/>
              </w:rPr>
            </w:pPr>
          </w:p>
          <w:p w14:paraId="12F6BACE">
            <w:pPr>
              <w:spacing w:line="289" w:lineRule="auto"/>
              <w:rPr>
                <w:rFonts w:ascii="Arial"/>
                <w:sz w:val="21"/>
                <w:highlight w:val="none"/>
              </w:rPr>
            </w:pPr>
          </w:p>
          <w:p w14:paraId="06624ABE">
            <w:pPr>
              <w:spacing w:line="289" w:lineRule="auto"/>
              <w:rPr>
                <w:rFonts w:ascii="Arial"/>
                <w:sz w:val="21"/>
                <w:highlight w:val="none"/>
              </w:rPr>
            </w:pPr>
          </w:p>
          <w:p w14:paraId="025D510E">
            <w:pPr>
              <w:pStyle w:val="6"/>
              <w:spacing w:before="71" w:line="218" w:lineRule="auto"/>
              <w:ind w:left="83"/>
              <w:rPr>
                <w:sz w:val="22"/>
                <w:szCs w:val="22"/>
                <w:highlight w:val="none"/>
              </w:rPr>
            </w:pPr>
            <w:r>
              <w:rPr>
                <w:spacing w:val="4"/>
                <w:sz w:val="22"/>
                <w:szCs w:val="22"/>
                <w:highlight w:val="none"/>
              </w:rPr>
              <w:t>工程造价控制(3分)</w:t>
            </w:r>
          </w:p>
        </w:tc>
        <w:tc>
          <w:tcPr>
            <w:tcW w:w="4077" w:type="dxa"/>
            <w:vAlign w:val="top"/>
          </w:tcPr>
          <w:p w14:paraId="20F7116B">
            <w:pPr>
              <w:pStyle w:val="6"/>
              <w:spacing w:before="174" w:line="255" w:lineRule="auto"/>
              <w:ind w:left="84" w:right="249"/>
              <w:rPr>
                <w:sz w:val="22"/>
                <w:szCs w:val="22"/>
                <w:highlight w:val="none"/>
              </w:rPr>
            </w:pPr>
            <w:r>
              <w:rPr>
                <w:spacing w:val="-1"/>
                <w:sz w:val="22"/>
                <w:szCs w:val="22"/>
                <w:highlight w:val="none"/>
              </w:rPr>
              <w:t>对工程造价控制的方案和措施具有有效</w:t>
            </w:r>
            <w:r>
              <w:rPr>
                <w:spacing w:val="8"/>
                <w:sz w:val="22"/>
                <w:szCs w:val="22"/>
                <w:highlight w:val="none"/>
              </w:rPr>
              <w:t xml:space="preserve"> </w:t>
            </w:r>
            <w:r>
              <w:rPr>
                <w:spacing w:val="3"/>
                <w:sz w:val="22"/>
                <w:szCs w:val="22"/>
                <w:highlight w:val="none"/>
              </w:rPr>
              <w:t>性、合理性，进行打分(满分3分)</w:t>
            </w:r>
          </w:p>
          <w:p w14:paraId="28D6DAAF">
            <w:pPr>
              <w:pStyle w:val="6"/>
              <w:spacing w:before="11" w:line="265" w:lineRule="auto"/>
              <w:ind w:left="84" w:right="338"/>
              <w:rPr>
                <w:sz w:val="22"/>
                <w:szCs w:val="22"/>
                <w:highlight w:val="none"/>
              </w:rPr>
            </w:pPr>
            <w:r>
              <w:rPr>
                <w:sz w:val="22"/>
                <w:szCs w:val="22"/>
                <w:highlight w:val="none"/>
              </w:rPr>
              <w:t>①方案详细、措施合理、针对性强得3</w:t>
            </w:r>
            <w:r>
              <w:rPr>
                <w:spacing w:val="12"/>
                <w:sz w:val="22"/>
                <w:szCs w:val="22"/>
                <w:highlight w:val="none"/>
              </w:rPr>
              <w:t xml:space="preserve"> </w:t>
            </w:r>
            <w:r>
              <w:rPr>
                <w:spacing w:val="-6"/>
                <w:sz w:val="22"/>
                <w:szCs w:val="22"/>
                <w:highlight w:val="none"/>
              </w:rPr>
              <w:t>分</w:t>
            </w:r>
            <w:r>
              <w:rPr>
                <w:spacing w:val="62"/>
                <w:sz w:val="22"/>
                <w:szCs w:val="22"/>
                <w:highlight w:val="none"/>
              </w:rPr>
              <w:t xml:space="preserve"> </w:t>
            </w:r>
            <w:r>
              <w:rPr>
                <w:spacing w:val="-6"/>
                <w:sz w:val="22"/>
                <w:szCs w:val="22"/>
                <w:highlight w:val="none"/>
              </w:rPr>
              <w:t>；</w:t>
            </w:r>
          </w:p>
          <w:p w14:paraId="2CF19C55">
            <w:pPr>
              <w:pStyle w:val="6"/>
              <w:spacing w:before="27" w:line="217" w:lineRule="auto"/>
              <w:ind w:left="84"/>
              <w:rPr>
                <w:sz w:val="22"/>
                <w:szCs w:val="22"/>
                <w:highlight w:val="none"/>
              </w:rPr>
            </w:pPr>
            <w:r>
              <w:rPr>
                <w:spacing w:val="6"/>
                <w:sz w:val="22"/>
                <w:szCs w:val="22"/>
                <w:highlight w:val="none"/>
              </w:rPr>
              <w:t>②方案较详细，措施较合理得2-1分；</w:t>
            </w:r>
          </w:p>
          <w:p w14:paraId="3D8A76F8">
            <w:pPr>
              <w:pStyle w:val="6"/>
              <w:spacing w:before="51" w:line="217" w:lineRule="auto"/>
              <w:ind w:left="84"/>
              <w:rPr>
                <w:sz w:val="22"/>
                <w:szCs w:val="22"/>
                <w:highlight w:val="none"/>
              </w:rPr>
            </w:pPr>
            <w:r>
              <w:rPr>
                <w:sz w:val="22"/>
                <w:szCs w:val="22"/>
                <w:highlight w:val="none"/>
              </w:rPr>
              <w:t>④方案不合理、不可行得0分。</w:t>
            </w:r>
          </w:p>
        </w:tc>
      </w:tr>
      <w:tr w14:paraId="275F6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3" w:hRule="atLeast"/>
        </w:trPr>
        <w:tc>
          <w:tcPr>
            <w:tcW w:w="1533" w:type="dxa"/>
            <w:vMerge w:val="continue"/>
            <w:tcBorders>
              <w:top w:val="nil"/>
            </w:tcBorders>
            <w:vAlign w:val="top"/>
          </w:tcPr>
          <w:p w14:paraId="2617AE96">
            <w:pPr>
              <w:rPr>
                <w:rFonts w:ascii="Arial"/>
                <w:sz w:val="21"/>
                <w:highlight w:val="none"/>
              </w:rPr>
            </w:pPr>
          </w:p>
        </w:tc>
        <w:tc>
          <w:tcPr>
            <w:tcW w:w="859" w:type="dxa"/>
            <w:vMerge w:val="continue"/>
            <w:tcBorders>
              <w:top w:val="nil"/>
            </w:tcBorders>
            <w:vAlign w:val="top"/>
          </w:tcPr>
          <w:p w14:paraId="7F26608B">
            <w:pPr>
              <w:rPr>
                <w:rFonts w:ascii="Arial"/>
                <w:sz w:val="21"/>
                <w:highlight w:val="none"/>
              </w:rPr>
            </w:pPr>
          </w:p>
        </w:tc>
        <w:tc>
          <w:tcPr>
            <w:tcW w:w="2048" w:type="dxa"/>
            <w:vAlign w:val="top"/>
          </w:tcPr>
          <w:p w14:paraId="2AC21070">
            <w:pPr>
              <w:spacing w:line="257" w:lineRule="auto"/>
              <w:rPr>
                <w:rFonts w:ascii="Arial"/>
                <w:sz w:val="21"/>
                <w:highlight w:val="none"/>
              </w:rPr>
            </w:pPr>
          </w:p>
          <w:p w14:paraId="53BD88CC">
            <w:pPr>
              <w:spacing w:line="257" w:lineRule="auto"/>
              <w:rPr>
                <w:rFonts w:ascii="Arial"/>
                <w:sz w:val="21"/>
                <w:highlight w:val="none"/>
              </w:rPr>
            </w:pPr>
          </w:p>
          <w:p w14:paraId="5EEE2166">
            <w:pPr>
              <w:spacing w:line="258" w:lineRule="auto"/>
              <w:rPr>
                <w:rFonts w:ascii="Arial"/>
                <w:sz w:val="21"/>
                <w:highlight w:val="none"/>
              </w:rPr>
            </w:pPr>
          </w:p>
          <w:p w14:paraId="429CB2D5">
            <w:pPr>
              <w:spacing w:line="258" w:lineRule="auto"/>
              <w:rPr>
                <w:rFonts w:ascii="Arial"/>
                <w:sz w:val="21"/>
                <w:highlight w:val="none"/>
              </w:rPr>
            </w:pPr>
          </w:p>
          <w:p w14:paraId="1FEC9D9F">
            <w:pPr>
              <w:pStyle w:val="6"/>
              <w:spacing w:before="71" w:line="219" w:lineRule="auto"/>
              <w:ind w:left="83"/>
              <w:rPr>
                <w:sz w:val="22"/>
                <w:szCs w:val="22"/>
                <w:highlight w:val="none"/>
              </w:rPr>
            </w:pPr>
            <w:r>
              <w:rPr>
                <w:spacing w:val="4"/>
                <w:sz w:val="22"/>
                <w:szCs w:val="22"/>
                <w:highlight w:val="none"/>
              </w:rPr>
              <w:t>项目管理要点(3分)</w:t>
            </w:r>
          </w:p>
        </w:tc>
        <w:tc>
          <w:tcPr>
            <w:tcW w:w="4077" w:type="dxa"/>
            <w:vAlign w:val="top"/>
          </w:tcPr>
          <w:p w14:paraId="47E836A7">
            <w:pPr>
              <w:pStyle w:val="6"/>
              <w:spacing w:before="196" w:line="264" w:lineRule="auto"/>
              <w:ind w:left="84" w:firstLine="29"/>
              <w:rPr>
                <w:sz w:val="22"/>
                <w:szCs w:val="22"/>
                <w:highlight w:val="none"/>
              </w:rPr>
            </w:pPr>
            <w:r>
              <w:rPr>
                <w:spacing w:val="-1"/>
                <w:sz w:val="22"/>
                <w:szCs w:val="22"/>
                <w:highlight w:val="none"/>
              </w:rPr>
              <w:t>针对本项目具体情况提出相应的项目管理</w:t>
            </w:r>
            <w:r>
              <w:rPr>
                <w:sz w:val="22"/>
                <w:szCs w:val="22"/>
                <w:highlight w:val="none"/>
              </w:rPr>
              <w:t xml:space="preserve"> </w:t>
            </w:r>
            <w:r>
              <w:rPr>
                <w:spacing w:val="1"/>
                <w:sz w:val="22"/>
                <w:szCs w:val="22"/>
                <w:highlight w:val="none"/>
              </w:rPr>
              <w:t>要点，包括对质量控制、进度控制、安全</w:t>
            </w:r>
            <w:r>
              <w:rPr>
                <w:spacing w:val="3"/>
                <w:sz w:val="22"/>
                <w:szCs w:val="22"/>
                <w:highlight w:val="none"/>
              </w:rPr>
              <w:t xml:space="preserve"> </w:t>
            </w:r>
            <w:r>
              <w:rPr>
                <w:sz w:val="22"/>
                <w:szCs w:val="22"/>
                <w:highlight w:val="none"/>
              </w:rPr>
              <w:t>控制、风险管理等内容进行打分。(满分</w:t>
            </w:r>
            <w:r>
              <w:rPr>
                <w:spacing w:val="1"/>
                <w:sz w:val="22"/>
                <w:szCs w:val="22"/>
                <w:highlight w:val="none"/>
              </w:rPr>
              <w:t xml:space="preserve">  </w:t>
            </w:r>
            <w:r>
              <w:rPr>
                <w:spacing w:val="15"/>
                <w:sz w:val="22"/>
                <w:szCs w:val="22"/>
                <w:highlight w:val="none"/>
              </w:rPr>
              <w:t>3分)</w:t>
            </w:r>
          </w:p>
          <w:p w14:paraId="4E97948E">
            <w:pPr>
              <w:pStyle w:val="6"/>
              <w:spacing w:line="217" w:lineRule="auto"/>
              <w:ind w:left="84"/>
              <w:rPr>
                <w:sz w:val="22"/>
                <w:szCs w:val="22"/>
                <w:highlight w:val="none"/>
              </w:rPr>
            </w:pPr>
            <w:r>
              <w:rPr>
                <w:spacing w:val="7"/>
                <w:sz w:val="22"/>
                <w:szCs w:val="22"/>
                <w:highlight w:val="none"/>
              </w:rPr>
              <w:t>①科学、合理、针对性强得3分；</w:t>
            </w:r>
          </w:p>
          <w:p w14:paraId="1F34E8B8">
            <w:pPr>
              <w:pStyle w:val="6"/>
              <w:spacing w:before="61" w:line="217" w:lineRule="auto"/>
              <w:ind w:left="84"/>
              <w:rPr>
                <w:sz w:val="22"/>
                <w:szCs w:val="22"/>
                <w:highlight w:val="none"/>
              </w:rPr>
            </w:pPr>
            <w:r>
              <w:rPr>
                <w:spacing w:val="9"/>
                <w:sz w:val="22"/>
                <w:szCs w:val="22"/>
                <w:highlight w:val="none"/>
              </w:rPr>
              <w:t>②合理、可行得2-1分；</w:t>
            </w:r>
          </w:p>
          <w:p w14:paraId="4F2AB03A">
            <w:pPr>
              <w:pStyle w:val="6"/>
              <w:spacing w:before="51" w:line="217" w:lineRule="auto"/>
              <w:ind w:left="84"/>
              <w:rPr>
                <w:sz w:val="22"/>
                <w:szCs w:val="22"/>
                <w:highlight w:val="none"/>
              </w:rPr>
            </w:pPr>
            <w:r>
              <w:rPr>
                <w:spacing w:val="-1"/>
                <w:sz w:val="22"/>
                <w:szCs w:val="22"/>
                <w:highlight w:val="none"/>
              </w:rPr>
              <w:t>③不合理、不可行得0分。</w:t>
            </w:r>
          </w:p>
        </w:tc>
      </w:tr>
    </w:tbl>
    <w:p w14:paraId="04D1548F">
      <w:pPr>
        <w:pStyle w:val="2"/>
        <w:rPr>
          <w:highlight w:val="none"/>
        </w:rPr>
      </w:pPr>
    </w:p>
    <w:p w14:paraId="32EFCEC4">
      <w:pPr>
        <w:rPr>
          <w:highlight w:val="none"/>
        </w:rPr>
        <w:sectPr>
          <w:footerReference r:id="rId60" w:type="default"/>
          <w:pgSz w:w="11910" w:h="16840"/>
          <w:pgMar w:top="400" w:right="1717" w:bottom="1197" w:left="1665" w:header="0" w:footer="993" w:gutter="0"/>
          <w:cols w:space="720" w:num="1"/>
        </w:sectPr>
      </w:pPr>
    </w:p>
    <w:p w14:paraId="56B17B4E">
      <w:pPr>
        <w:spacing w:before="18"/>
        <w:rPr>
          <w:highlight w:val="none"/>
        </w:rPr>
      </w:pPr>
    </w:p>
    <w:p w14:paraId="04885E3B">
      <w:pPr>
        <w:spacing w:before="17"/>
        <w:rPr>
          <w:highlight w:val="none"/>
        </w:rPr>
      </w:pPr>
    </w:p>
    <w:p w14:paraId="22E03E6B">
      <w:pPr>
        <w:spacing w:before="17"/>
        <w:rPr>
          <w:highlight w:val="none"/>
        </w:rPr>
      </w:pPr>
    </w:p>
    <w:p w14:paraId="59BA0B35">
      <w:pPr>
        <w:spacing w:before="17"/>
        <w:rPr>
          <w:highlight w:val="none"/>
        </w:rPr>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3"/>
        <w:gridCol w:w="849"/>
        <w:gridCol w:w="2047"/>
        <w:gridCol w:w="4080"/>
      </w:tblGrid>
      <w:tr w14:paraId="45B18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9" w:hRule="atLeast"/>
        </w:trPr>
        <w:tc>
          <w:tcPr>
            <w:tcW w:w="1543" w:type="dxa"/>
            <w:vMerge w:val="restart"/>
            <w:tcBorders>
              <w:bottom w:val="nil"/>
            </w:tcBorders>
            <w:vAlign w:val="top"/>
          </w:tcPr>
          <w:p w14:paraId="71592B8F">
            <w:pPr>
              <w:spacing w:line="245" w:lineRule="auto"/>
              <w:rPr>
                <w:rFonts w:ascii="Arial"/>
                <w:sz w:val="21"/>
                <w:highlight w:val="none"/>
              </w:rPr>
            </w:pPr>
          </w:p>
          <w:p w14:paraId="51275FEF">
            <w:pPr>
              <w:spacing w:line="245" w:lineRule="auto"/>
              <w:rPr>
                <w:rFonts w:ascii="Arial"/>
                <w:sz w:val="21"/>
                <w:highlight w:val="none"/>
              </w:rPr>
            </w:pPr>
          </w:p>
          <w:p w14:paraId="2B279845">
            <w:pPr>
              <w:spacing w:line="245" w:lineRule="auto"/>
              <w:rPr>
                <w:rFonts w:ascii="Arial"/>
                <w:sz w:val="21"/>
                <w:highlight w:val="none"/>
              </w:rPr>
            </w:pPr>
          </w:p>
          <w:p w14:paraId="4661CD1B">
            <w:pPr>
              <w:spacing w:line="245" w:lineRule="auto"/>
              <w:rPr>
                <w:rFonts w:ascii="Arial"/>
                <w:sz w:val="21"/>
                <w:highlight w:val="none"/>
              </w:rPr>
            </w:pPr>
          </w:p>
          <w:p w14:paraId="6D54BD1A">
            <w:pPr>
              <w:spacing w:line="245" w:lineRule="auto"/>
              <w:rPr>
                <w:rFonts w:ascii="Arial"/>
                <w:sz w:val="21"/>
                <w:highlight w:val="none"/>
              </w:rPr>
            </w:pPr>
          </w:p>
          <w:p w14:paraId="5A341C04">
            <w:pPr>
              <w:spacing w:line="245" w:lineRule="auto"/>
              <w:rPr>
                <w:rFonts w:ascii="Arial"/>
                <w:sz w:val="21"/>
                <w:highlight w:val="none"/>
              </w:rPr>
            </w:pPr>
          </w:p>
          <w:p w14:paraId="3F3D6DEF">
            <w:pPr>
              <w:spacing w:line="245" w:lineRule="auto"/>
              <w:rPr>
                <w:rFonts w:ascii="Arial"/>
                <w:sz w:val="21"/>
                <w:highlight w:val="none"/>
              </w:rPr>
            </w:pPr>
          </w:p>
          <w:p w14:paraId="0AD457BB">
            <w:pPr>
              <w:spacing w:line="245" w:lineRule="auto"/>
              <w:rPr>
                <w:rFonts w:ascii="Arial"/>
                <w:sz w:val="21"/>
                <w:highlight w:val="none"/>
              </w:rPr>
            </w:pPr>
          </w:p>
          <w:p w14:paraId="15F5CEBB">
            <w:pPr>
              <w:spacing w:line="245" w:lineRule="auto"/>
              <w:rPr>
                <w:rFonts w:ascii="Arial"/>
                <w:sz w:val="21"/>
                <w:highlight w:val="none"/>
              </w:rPr>
            </w:pPr>
          </w:p>
          <w:p w14:paraId="6C4F763A">
            <w:pPr>
              <w:spacing w:line="245" w:lineRule="auto"/>
              <w:rPr>
                <w:rFonts w:ascii="Arial"/>
                <w:sz w:val="21"/>
                <w:highlight w:val="none"/>
              </w:rPr>
            </w:pPr>
          </w:p>
          <w:p w14:paraId="397CA108">
            <w:pPr>
              <w:spacing w:line="245" w:lineRule="auto"/>
              <w:rPr>
                <w:rFonts w:ascii="Arial"/>
                <w:sz w:val="21"/>
                <w:highlight w:val="none"/>
              </w:rPr>
            </w:pPr>
          </w:p>
          <w:p w14:paraId="52B4D348">
            <w:pPr>
              <w:spacing w:line="245" w:lineRule="auto"/>
              <w:rPr>
                <w:rFonts w:ascii="Arial"/>
                <w:sz w:val="21"/>
                <w:highlight w:val="none"/>
              </w:rPr>
            </w:pPr>
          </w:p>
          <w:p w14:paraId="052AF227">
            <w:pPr>
              <w:spacing w:line="245" w:lineRule="auto"/>
              <w:rPr>
                <w:rFonts w:ascii="Arial"/>
                <w:sz w:val="21"/>
                <w:highlight w:val="none"/>
              </w:rPr>
            </w:pPr>
          </w:p>
          <w:p w14:paraId="5D9CA2AD">
            <w:pPr>
              <w:spacing w:line="245" w:lineRule="auto"/>
              <w:rPr>
                <w:rFonts w:ascii="Arial"/>
                <w:sz w:val="21"/>
                <w:highlight w:val="none"/>
              </w:rPr>
            </w:pPr>
          </w:p>
          <w:p w14:paraId="2823A1D1">
            <w:pPr>
              <w:spacing w:line="245" w:lineRule="auto"/>
              <w:rPr>
                <w:rFonts w:ascii="Arial"/>
                <w:sz w:val="21"/>
                <w:highlight w:val="none"/>
              </w:rPr>
            </w:pPr>
          </w:p>
          <w:p w14:paraId="658DC0DF">
            <w:pPr>
              <w:spacing w:line="246" w:lineRule="auto"/>
              <w:rPr>
                <w:rFonts w:ascii="Arial"/>
                <w:sz w:val="21"/>
                <w:highlight w:val="none"/>
              </w:rPr>
            </w:pPr>
          </w:p>
          <w:p w14:paraId="5C3E2BFE">
            <w:pPr>
              <w:spacing w:line="246" w:lineRule="auto"/>
              <w:rPr>
                <w:rFonts w:ascii="Arial"/>
                <w:sz w:val="21"/>
                <w:highlight w:val="none"/>
              </w:rPr>
            </w:pPr>
          </w:p>
          <w:p w14:paraId="5C6F1A29">
            <w:pPr>
              <w:spacing w:line="246" w:lineRule="auto"/>
              <w:rPr>
                <w:rFonts w:ascii="Arial"/>
                <w:sz w:val="21"/>
                <w:highlight w:val="none"/>
              </w:rPr>
            </w:pPr>
          </w:p>
          <w:p w14:paraId="5F3C38DD">
            <w:pPr>
              <w:spacing w:line="246" w:lineRule="auto"/>
              <w:rPr>
                <w:rFonts w:ascii="Arial"/>
                <w:sz w:val="21"/>
                <w:highlight w:val="none"/>
              </w:rPr>
            </w:pPr>
          </w:p>
          <w:p w14:paraId="488BB20B">
            <w:pPr>
              <w:spacing w:line="246" w:lineRule="auto"/>
              <w:rPr>
                <w:rFonts w:ascii="Arial"/>
                <w:sz w:val="21"/>
                <w:highlight w:val="none"/>
              </w:rPr>
            </w:pPr>
          </w:p>
          <w:p w14:paraId="753CEE70">
            <w:pPr>
              <w:spacing w:line="246" w:lineRule="auto"/>
              <w:rPr>
                <w:rFonts w:ascii="Arial"/>
                <w:sz w:val="21"/>
                <w:highlight w:val="none"/>
              </w:rPr>
            </w:pPr>
          </w:p>
          <w:p w14:paraId="5B4F6368">
            <w:pPr>
              <w:spacing w:line="246" w:lineRule="auto"/>
              <w:rPr>
                <w:rFonts w:ascii="Arial"/>
                <w:sz w:val="21"/>
                <w:highlight w:val="none"/>
              </w:rPr>
            </w:pPr>
          </w:p>
          <w:p w14:paraId="428623B5">
            <w:pPr>
              <w:spacing w:line="246" w:lineRule="auto"/>
              <w:rPr>
                <w:rFonts w:ascii="Arial"/>
                <w:sz w:val="21"/>
                <w:highlight w:val="none"/>
              </w:rPr>
            </w:pPr>
          </w:p>
          <w:p w14:paraId="36E68E19">
            <w:pPr>
              <w:spacing w:line="246" w:lineRule="auto"/>
              <w:rPr>
                <w:rFonts w:ascii="Arial"/>
                <w:sz w:val="21"/>
                <w:highlight w:val="none"/>
              </w:rPr>
            </w:pPr>
          </w:p>
          <w:p w14:paraId="2E09EC84">
            <w:pPr>
              <w:spacing w:line="246" w:lineRule="auto"/>
              <w:rPr>
                <w:rFonts w:ascii="Arial"/>
                <w:sz w:val="21"/>
                <w:highlight w:val="none"/>
              </w:rPr>
            </w:pPr>
          </w:p>
          <w:p w14:paraId="6FBAC43B">
            <w:pPr>
              <w:spacing w:line="246" w:lineRule="auto"/>
              <w:rPr>
                <w:rFonts w:ascii="Arial"/>
                <w:sz w:val="21"/>
                <w:highlight w:val="none"/>
              </w:rPr>
            </w:pPr>
          </w:p>
          <w:p w14:paraId="28906FBB">
            <w:pPr>
              <w:spacing w:line="246" w:lineRule="auto"/>
              <w:rPr>
                <w:rFonts w:ascii="Arial"/>
                <w:sz w:val="21"/>
                <w:highlight w:val="none"/>
              </w:rPr>
            </w:pPr>
          </w:p>
          <w:p w14:paraId="0A2E6CC5">
            <w:pPr>
              <w:pStyle w:val="6"/>
              <w:spacing w:before="69" w:line="222" w:lineRule="auto"/>
              <w:ind w:left="224"/>
              <w:rPr>
                <w:highlight w:val="none"/>
              </w:rPr>
            </w:pPr>
            <w:r>
              <w:rPr>
                <w:spacing w:val="-2"/>
                <w:highlight w:val="none"/>
              </w:rPr>
              <w:t>2.2.4(2)</w:t>
            </w:r>
          </w:p>
        </w:tc>
        <w:tc>
          <w:tcPr>
            <w:tcW w:w="849" w:type="dxa"/>
            <w:vMerge w:val="restart"/>
            <w:tcBorders>
              <w:bottom w:val="nil"/>
            </w:tcBorders>
            <w:vAlign w:val="top"/>
          </w:tcPr>
          <w:p w14:paraId="61B3B810">
            <w:pPr>
              <w:spacing w:line="242" w:lineRule="auto"/>
              <w:rPr>
                <w:rFonts w:ascii="Arial"/>
                <w:sz w:val="21"/>
                <w:highlight w:val="none"/>
              </w:rPr>
            </w:pPr>
          </w:p>
          <w:p w14:paraId="76F25676">
            <w:pPr>
              <w:spacing w:line="242" w:lineRule="auto"/>
              <w:rPr>
                <w:rFonts w:ascii="Arial"/>
                <w:sz w:val="21"/>
                <w:highlight w:val="none"/>
              </w:rPr>
            </w:pPr>
          </w:p>
          <w:p w14:paraId="7CA34C98">
            <w:pPr>
              <w:spacing w:line="242" w:lineRule="auto"/>
              <w:rPr>
                <w:rFonts w:ascii="Arial"/>
                <w:sz w:val="21"/>
                <w:highlight w:val="none"/>
              </w:rPr>
            </w:pPr>
          </w:p>
          <w:p w14:paraId="26047C35">
            <w:pPr>
              <w:spacing w:line="242" w:lineRule="auto"/>
              <w:rPr>
                <w:rFonts w:ascii="Arial"/>
                <w:sz w:val="21"/>
                <w:highlight w:val="none"/>
              </w:rPr>
            </w:pPr>
          </w:p>
          <w:p w14:paraId="0B5824D4">
            <w:pPr>
              <w:spacing w:line="242" w:lineRule="auto"/>
              <w:rPr>
                <w:rFonts w:ascii="Arial"/>
                <w:sz w:val="21"/>
                <w:highlight w:val="none"/>
              </w:rPr>
            </w:pPr>
          </w:p>
          <w:p w14:paraId="65453F6E">
            <w:pPr>
              <w:spacing w:line="242" w:lineRule="auto"/>
              <w:rPr>
                <w:rFonts w:ascii="Arial"/>
                <w:sz w:val="21"/>
                <w:highlight w:val="none"/>
              </w:rPr>
            </w:pPr>
          </w:p>
          <w:p w14:paraId="66DCDC3E">
            <w:pPr>
              <w:spacing w:line="242" w:lineRule="auto"/>
              <w:rPr>
                <w:rFonts w:ascii="Arial"/>
                <w:sz w:val="21"/>
                <w:highlight w:val="none"/>
              </w:rPr>
            </w:pPr>
          </w:p>
          <w:p w14:paraId="7ECE0CEB">
            <w:pPr>
              <w:spacing w:line="242" w:lineRule="auto"/>
              <w:rPr>
                <w:rFonts w:ascii="Arial"/>
                <w:sz w:val="21"/>
                <w:highlight w:val="none"/>
              </w:rPr>
            </w:pPr>
          </w:p>
          <w:p w14:paraId="6EBAA306">
            <w:pPr>
              <w:spacing w:line="242" w:lineRule="auto"/>
              <w:rPr>
                <w:rFonts w:ascii="Arial"/>
                <w:sz w:val="21"/>
                <w:highlight w:val="none"/>
              </w:rPr>
            </w:pPr>
          </w:p>
          <w:p w14:paraId="73549D25">
            <w:pPr>
              <w:spacing w:line="242" w:lineRule="auto"/>
              <w:rPr>
                <w:rFonts w:ascii="Arial"/>
                <w:sz w:val="21"/>
                <w:highlight w:val="none"/>
              </w:rPr>
            </w:pPr>
          </w:p>
          <w:p w14:paraId="427C5380">
            <w:pPr>
              <w:spacing w:line="242" w:lineRule="auto"/>
              <w:rPr>
                <w:rFonts w:ascii="Arial"/>
                <w:sz w:val="21"/>
                <w:highlight w:val="none"/>
              </w:rPr>
            </w:pPr>
          </w:p>
          <w:p w14:paraId="47FE4ADE">
            <w:pPr>
              <w:spacing w:line="242" w:lineRule="auto"/>
              <w:rPr>
                <w:rFonts w:ascii="Arial"/>
                <w:sz w:val="21"/>
                <w:highlight w:val="none"/>
              </w:rPr>
            </w:pPr>
          </w:p>
          <w:p w14:paraId="1BBB4BBD">
            <w:pPr>
              <w:spacing w:line="243" w:lineRule="auto"/>
              <w:rPr>
                <w:rFonts w:ascii="Arial"/>
                <w:sz w:val="21"/>
                <w:highlight w:val="none"/>
              </w:rPr>
            </w:pPr>
          </w:p>
          <w:p w14:paraId="769A32BA">
            <w:pPr>
              <w:spacing w:line="243" w:lineRule="auto"/>
              <w:rPr>
                <w:rFonts w:ascii="Arial"/>
                <w:sz w:val="21"/>
                <w:highlight w:val="none"/>
              </w:rPr>
            </w:pPr>
          </w:p>
          <w:p w14:paraId="2AFCEDBA">
            <w:pPr>
              <w:spacing w:line="243" w:lineRule="auto"/>
              <w:rPr>
                <w:rFonts w:ascii="Arial"/>
                <w:sz w:val="21"/>
                <w:highlight w:val="none"/>
              </w:rPr>
            </w:pPr>
          </w:p>
          <w:p w14:paraId="38FCE736">
            <w:pPr>
              <w:spacing w:line="243" w:lineRule="auto"/>
              <w:rPr>
                <w:rFonts w:ascii="Arial"/>
                <w:sz w:val="21"/>
                <w:highlight w:val="none"/>
              </w:rPr>
            </w:pPr>
          </w:p>
          <w:p w14:paraId="2FACB002">
            <w:pPr>
              <w:spacing w:line="243" w:lineRule="auto"/>
              <w:rPr>
                <w:rFonts w:ascii="Arial"/>
                <w:sz w:val="21"/>
                <w:highlight w:val="none"/>
              </w:rPr>
            </w:pPr>
          </w:p>
          <w:p w14:paraId="669EEBDD">
            <w:pPr>
              <w:spacing w:line="243" w:lineRule="auto"/>
              <w:rPr>
                <w:rFonts w:ascii="Arial"/>
                <w:sz w:val="21"/>
                <w:highlight w:val="none"/>
              </w:rPr>
            </w:pPr>
          </w:p>
          <w:p w14:paraId="68E28DBB">
            <w:pPr>
              <w:spacing w:line="243" w:lineRule="auto"/>
              <w:rPr>
                <w:rFonts w:ascii="Arial"/>
                <w:sz w:val="21"/>
                <w:highlight w:val="none"/>
              </w:rPr>
            </w:pPr>
          </w:p>
          <w:p w14:paraId="50FF941A">
            <w:pPr>
              <w:spacing w:line="243" w:lineRule="auto"/>
              <w:rPr>
                <w:rFonts w:ascii="Arial"/>
                <w:sz w:val="21"/>
                <w:highlight w:val="none"/>
              </w:rPr>
            </w:pPr>
          </w:p>
          <w:p w14:paraId="08084CBD">
            <w:pPr>
              <w:spacing w:line="243" w:lineRule="auto"/>
              <w:rPr>
                <w:rFonts w:ascii="Arial"/>
                <w:sz w:val="21"/>
                <w:highlight w:val="none"/>
              </w:rPr>
            </w:pPr>
          </w:p>
          <w:p w14:paraId="38468BA3">
            <w:pPr>
              <w:spacing w:line="243" w:lineRule="auto"/>
              <w:rPr>
                <w:rFonts w:ascii="Arial"/>
                <w:sz w:val="21"/>
                <w:highlight w:val="none"/>
              </w:rPr>
            </w:pPr>
          </w:p>
          <w:p w14:paraId="58D26B32">
            <w:pPr>
              <w:spacing w:line="243" w:lineRule="auto"/>
              <w:rPr>
                <w:rFonts w:ascii="Arial"/>
                <w:sz w:val="21"/>
                <w:highlight w:val="none"/>
              </w:rPr>
            </w:pPr>
          </w:p>
          <w:p w14:paraId="145F94C0">
            <w:pPr>
              <w:spacing w:line="243" w:lineRule="auto"/>
              <w:rPr>
                <w:rFonts w:ascii="Arial"/>
                <w:sz w:val="21"/>
                <w:highlight w:val="none"/>
              </w:rPr>
            </w:pPr>
          </w:p>
          <w:p w14:paraId="450BACC3">
            <w:pPr>
              <w:spacing w:line="243" w:lineRule="auto"/>
              <w:rPr>
                <w:rFonts w:ascii="Arial"/>
                <w:sz w:val="21"/>
                <w:highlight w:val="none"/>
              </w:rPr>
            </w:pPr>
          </w:p>
          <w:p w14:paraId="70E1A624">
            <w:pPr>
              <w:spacing w:line="243" w:lineRule="auto"/>
              <w:rPr>
                <w:rFonts w:ascii="Arial"/>
                <w:sz w:val="21"/>
                <w:highlight w:val="none"/>
              </w:rPr>
            </w:pPr>
          </w:p>
          <w:p w14:paraId="76E4F050">
            <w:pPr>
              <w:pStyle w:val="6"/>
              <w:spacing w:before="68" w:line="219" w:lineRule="auto"/>
              <w:ind w:left="102"/>
              <w:rPr>
                <w:highlight w:val="none"/>
              </w:rPr>
            </w:pPr>
            <w:r>
              <w:rPr>
                <w:spacing w:val="2"/>
                <w:highlight w:val="none"/>
              </w:rPr>
              <w:t>资信业</w:t>
            </w:r>
          </w:p>
          <w:p w14:paraId="572061A5">
            <w:pPr>
              <w:pStyle w:val="6"/>
              <w:spacing w:before="71" w:line="275" w:lineRule="auto"/>
              <w:ind w:left="201" w:right="98" w:hanging="99"/>
              <w:rPr>
                <w:highlight w:val="none"/>
              </w:rPr>
            </w:pPr>
            <w:r>
              <w:rPr>
                <w:spacing w:val="2"/>
                <w:highlight w:val="none"/>
              </w:rPr>
              <w:t>绩评分</w:t>
            </w:r>
            <w:r>
              <w:rPr>
                <w:spacing w:val="1"/>
                <w:highlight w:val="none"/>
              </w:rPr>
              <w:t xml:space="preserve"> </w:t>
            </w:r>
            <w:r>
              <w:rPr>
                <w:spacing w:val="-3"/>
                <w:highlight w:val="none"/>
              </w:rPr>
              <w:t>标准</w:t>
            </w:r>
          </w:p>
        </w:tc>
        <w:tc>
          <w:tcPr>
            <w:tcW w:w="2047" w:type="dxa"/>
            <w:vAlign w:val="top"/>
          </w:tcPr>
          <w:p w14:paraId="753C38F2">
            <w:pPr>
              <w:spacing w:line="253" w:lineRule="auto"/>
              <w:rPr>
                <w:rFonts w:ascii="Arial"/>
                <w:sz w:val="21"/>
                <w:highlight w:val="none"/>
              </w:rPr>
            </w:pPr>
          </w:p>
          <w:p w14:paraId="73615D7F">
            <w:pPr>
              <w:spacing w:line="253" w:lineRule="auto"/>
              <w:rPr>
                <w:rFonts w:ascii="Arial"/>
                <w:sz w:val="21"/>
                <w:highlight w:val="none"/>
              </w:rPr>
            </w:pPr>
          </w:p>
          <w:p w14:paraId="4D5DCB21">
            <w:pPr>
              <w:spacing w:line="253" w:lineRule="auto"/>
              <w:rPr>
                <w:rFonts w:ascii="Arial"/>
                <w:sz w:val="21"/>
                <w:highlight w:val="none"/>
              </w:rPr>
            </w:pPr>
          </w:p>
          <w:p w14:paraId="3845741A">
            <w:pPr>
              <w:spacing w:line="253" w:lineRule="auto"/>
              <w:rPr>
                <w:rFonts w:ascii="Arial"/>
                <w:sz w:val="21"/>
                <w:highlight w:val="none"/>
              </w:rPr>
            </w:pPr>
          </w:p>
          <w:p w14:paraId="1B131610">
            <w:pPr>
              <w:spacing w:line="253" w:lineRule="auto"/>
              <w:rPr>
                <w:rFonts w:ascii="Arial"/>
                <w:sz w:val="21"/>
                <w:highlight w:val="none"/>
              </w:rPr>
            </w:pPr>
          </w:p>
          <w:p w14:paraId="3AD0D5C3">
            <w:pPr>
              <w:spacing w:line="253" w:lineRule="auto"/>
              <w:rPr>
                <w:rFonts w:ascii="Arial"/>
                <w:sz w:val="21"/>
                <w:highlight w:val="none"/>
              </w:rPr>
            </w:pPr>
          </w:p>
          <w:p w14:paraId="57F25D54">
            <w:pPr>
              <w:spacing w:line="253" w:lineRule="auto"/>
              <w:rPr>
                <w:rFonts w:ascii="Arial"/>
                <w:sz w:val="21"/>
                <w:highlight w:val="none"/>
              </w:rPr>
            </w:pPr>
          </w:p>
          <w:p w14:paraId="58B0D295">
            <w:pPr>
              <w:spacing w:line="253" w:lineRule="auto"/>
              <w:rPr>
                <w:rFonts w:ascii="Arial"/>
                <w:sz w:val="21"/>
                <w:highlight w:val="none"/>
              </w:rPr>
            </w:pPr>
          </w:p>
          <w:p w14:paraId="52F11E31">
            <w:pPr>
              <w:spacing w:line="253" w:lineRule="auto"/>
              <w:rPr>
                <w:rFonts w:ascii="Arial"/>
                <w:sz w:val="21"/>
                <w:highlight w:val="none"/>
              </w:rPr>
            </w:pPr>
          </w:p>
          <w:p w14:paraId="09679F5C">
            <w:pPr>
              <w:spacing w:line="253" w:lineRule="auto"/>
              <w:rPr>
                <w:rFonts w:ascii="Arial"/>
                <w:sz w:val="21"/>
                <w:highlight w:val="none"/>
              </w:rPr>
            </w:pPr>
          </w:p>
          <w:p w14:paraId="0C9767D7">
            <w:pPr>
              <w:spacing w:line="253" w:lineRule="auto"/>
              <w:rPr>
                <w:rFonts w:ascii="Arial"/>
                <w:sz w:val="21"/>
                <w:highlight w:val="none"/>
              </w:rPr>
            </w:pPr>
          </w:p>
          <w:p w14:paraId="055C0AE0">
            <w:pPr>
              <w:spacing w:line="253" w:lineRule="auto"/>
              <w:rPr>
                <w:rFonts w:ascii="Arial"/>
                <w:sz w:val="21"/>
                <w:highlight w:val="none"/>
              </w:rPr>
            </w:pPr>
          </w:p>
          <w:p w14:paraId="24EC9FCF">
            <w:pPr>
              <w:spacing w:line="253" w:lineRule="auto"/>
              <w:rPr>
                <w:rFonts w:ascii="Arial"/>
                <w:sz w:val="21"/>
                <w:highlight w:val="none"/>
              </w:rPr>
            </w:pPr>
          </w:p>
          <w:p w14:paraId="59F73819">
            <w:pPr>
              <w:spacing w:line="254" w:lineRule="auto"/>
              <w:rPr>
                <w:rFonts w:ascii="Arial"/>
                <w:sz w:val="21"/>
                <w:highlight w:val="none"/>
              </w:rPr>
            </w:pPr>
          </w:p>
          <w:p w14:paraId="26350E31">
            <w:pPr>
              <w:spacing w:line="254" w:lineRule="auto"/>
              <w:rPr>
                <w:rFonts w:ascii="Arial"/>
                <w:sz w:val="21"/>
                <w:highlight w:val="none"/>
              </w:rPr>
            </w:pPr>
          </w:p>
          <w:p w14:paraId="60901951">
            <w:pPr>
              <w:spacing w:line="254" w:lineRule="auto"/>
              <w:rPr>
                <w:rFonts w:ascii="Arial"/>
                <w:sz w:val="21"/>
                <w:highlight w:val="none"/>
              </w:rPr>
            </w:pPr>
          </w:p>
          <w:p w14:paraId="7A6DCCE3">
            <w:pPr>
              <w:pStyle w:val="6"/>
              <w:spacing w:before="68" w:line="220" w:lineRule="auto"/>
              <w:ind w:left="113"/>
              <w:rPr>
                <w:highlight w:val="none"/>
              </w:rPr>
            </w:pPr>
            <w:r>
              <w:rPr>
                <w:spacing w:val="40"/>
                <w:highlight w:val="none"/>
              </w:rPr>
              <w:t>企业业绩(6分)</w:t>
            </w:r>
          </w:p>
        </w:tc>
        <w:tc>
          <w:tcPr>
            <w:tcW w:w="4080" w:type="dxa"/>
            <w:vAlign w:val="top"/>
          </w:tcPr>
          <w:p w14:paraId="4F385F9F">
            <w:pPr>
              <w:pStyle w:val="6"/>
              <w:spacing w:before="132" w:line="264" w:lineRule="auto"/>
              <w:ind w:left="105" w:right="134" w:firstLine="40"/>
              <w:rPr>
                <w:highlight w:val="none"/>
              </w:rPr>
            </w:pPr>
            <w:bookmarkStart w:id="64" w:name="bookmark215"/>
            <w:bookmarkEnd w:id="64"/>
            <w:r>
              <w:rPr>
                <w:highlight w:val="none"/>
              </w:rPr>
              <w:t>1、设计业绩：投标人近五年(自投标截止</w:t>
            </w:r>
            <w:r>
              <w:rPr>
                <w:spacing w:val="8"/>
                <w:highlight w:val="none"/>
              </w:rPr>
              <w:t xml:space="preserve"> </w:t>
            </w:r>
            <w:r>
              <w:rPr>
                <w:spacing w:val="4"/>
                <w:highlight w:val="none"/>
              </w:rPr>
              <w:t>之日往前推算五年)在满足资格审查的基</w:t>
            </w:r>
            <w:r>
              <w:rPr>
                <w:spacing w:val="7"/>
                <w:highlight w:val="none"/>
              </w:rPr>
              <w:t xml:space="preserve"> </w:t>
            </w:r>
            <w:r>
              <w:rPr>
                <w:spacing w:val="-1"/>
                <w:highlight w:val="none"/>
              </w:rPr>
              <w:t>础上(资格审查的业绩不再纳入评分)每</w:t>
            </w:r>
          </w:p>
          <w:p w14:paraId="51D73972">
            <w:pPr>
              <w:pStyle w:val="6"/>
              <w:spacing w:before="81" w:line="241" w:lineRule="auto"/>
              <w:ind w:left="115" w:right="208" w:firstLine="80"/>
              <w:rPr>
                <w:highlight w:val="none"/>
              </w:rPr>
            </w:pPr>
            <w:r>
              <w:rPr>
                <w:spacing w:val="-1"/>
                <w:highlight w:val="none"/>
              </w:rPr>
              <w:t>增加一项合同总额不少于</w:t>
            </w:r>
            <w:r>
              <w:rPr>
                <w:rFonts w:hint="eastAsia"/>
                <w:spacing w:val="-1"/>
                <w:highlight w:val="none"/>
                <w:lang w:val="en-US" w:eastAsia="zh-CN"/>
              </w:rPr>
              <w:t>8</w:t>
            </w:r>
            <w:r>
              <w:rPr>
                <w:spacing w:val="-1"/>
                <w:highlight w:val="none"/>
              </w:rPr>
              <w:t>00万元的建筑工程设计施工总承包或EPC业绩得2分，本项满分4分(注：在本项目中以联合体</w:t>
            </w:r>
            <w:r>
              <w:rPr>
                <w:highlight w:val="none"/>
              </w:rPr>
              <w:t>投标的，由联合体成员设计单位提供；设</w:t>
            </w:r>
            <w:r>
              <w:rPr>
                <w:spacing w:val="1"/>
                <w:highlight w:val="none"/>
              </w:rPr>
              <w:t>计单位须提供中标通知书(如有)、合同</w:t>
            </w:r>
            <w:r>
              <w:rPr>
                <w:spacing w:val="-1"/>
                <w:highlight w:val="none"/>
              </w:rPr>
              <w:t>扫描件，时间以合同签订时间为准，如投</w:t>
            </w:r>
            <w:r>
              <w:rPr>
                <w:spacing w:val="3"/>
                <w:highlight w:val="none"/>
              </w:rPr>
              <w:t>标人提供的业绩证明材料不能反映上述内</w:t>
            </w:r>
            <w:r>
              <w:rPr>
                <w:spacing w:val="2"/>
                <w:highlight w:val="none"/>
              </w:rPr>
              <w:t>容，则提供业主单位盖章的证明材料扫描</w:t>
            </w:r>
            <w:r>
              <w:rPr>
                <w:spacing w:val="13"/>
                <w:highlight w:val="none"/>
              </w:rPr>
              <w:t>件；)</w:t>
            </w:r>
          </w:p>
          <w:p w14:paraId="1C8C748F">
            <w:pPr>
              <w:pStyle w:val="6"/>
              <w:spacing w:before="69" w:line="264" w:lineRule="auto"/>
              <w:ind w:left="105" w:right="134" w:firstLine="40"/>
              <w:rPr>
                <w:highlight w:val="none"/>
              </w:rPr>
            </w:pPr>
            <w:r>
              <w:rPr>
                <w:highlight w:val="none"/>
              </w:rPr>
              <w:t>2、施工业绩：投标人近五年(自投标截止</w:t>
            </w:r>
            <w:r>
              <w:rPr>
                <w:spacing w:val="8"/>
                <w:highlight w:val="none"/>
              </w:rPr>
              <w:t xml:space="preserve"> </w:t>
            </w:r>
            <w:r>
              <w:rPr>
                <w:spacing w:val="4"/>
                <w:highlight w:val="none"/>
              </w:rPr>
              <w:t>之日往前推算五年)在满足资格审查的基</w:t>
            </w:r>
            <w:r>
              <w:rPr>
                <w:spacing w:val="7"/>
                <w:highlight w:val="none"/>
              </w:rPr>
              <w:t xml:space="preserve"> </w:t>
            </w:r>
            <w:r>
              <w:rPr>
                <w:spacing w:val="-1"/>
                <w:highlight w:val="none"/>
              </w:rPr>
              <w:t>础上(资格审查的业绩不再纳入评分)每增加一项合同总额不少于</w:t>
            </w:r>
            <w:r>
              <w:rPr>
                <w:rFonts w:hint="eastAsia"/>
                <w:spacing w:val="-1"/>
                <w:highlight w:val="none"/>
                <w:lang w:val="en-US" w:eastAsia="zh-CN"/>
              </w:rPr>
              <w:t>8</w:t>
            </w:r>
            <w:r>
              <w:rPr>
                <w:spacing w:val="-1"/>
                <w:highlight w:val="none"/>
              </w:rPr>
              <w:t>00万元的建筑</w:t>
            </w:r>
            <w:r>
              <w:rPr>
                <w:spacing w:val="4"/>
                <w:highlight w:val="none"/>
              </w:rPr>
              <w:t>工程施工总承包或设计施工总承包或</w:t>
            </w:r>
            <w:r>
              <w:rPr>
                <w:highlight w:val="none"/>
              </w:rPr>
              <w:t>EPC</w:t>
            </w:r>
            <w:r>
              <w:rPr>
                <w:spacing w:val="14"/>
                <w:highlight w:val="none"/>
              </w:rPr>
              <w:t xml:space="preserve"> </w:t>
            </w:r>
            <w:r>
              <w:rPr>
                <w:spacing w:val="-1"/>
                <w:highlight w:val="none"/>
              </w:rPr>
              <w:t>业绩</w:t>
            </w:r>
            <w:r>
              <w:rPr>
                <w:rFonts w:hint="eastAsia"/>
                <w:spacing w:val="-1"/>
                <w:highlight w:val="none"/>
                <w:lang w:val="en-US" w:eastAsia="zh-CN"/>
              </w:rPr>
              <w:t>或</w:t>
            </w:r>
            <w:r>
              <w:rPr>
                <w:rFonts w:hint="eastAsia"/>
                <w:spacing w:val="-1"/>
                <w:highlight w:val="none"/>
              </w:rPr>
              <w:t>单项合同工程投资金额800万元以上的建筑工程设计项目</w:t>
            </w:r>
            <w:r>
              <w:rPr>
                <w:spacing w:val="-1"/>
                <w:highlight w:val="none"/>
              </w:rPr>
              <w:t>得2分，本项满分2分(注：在本项</w:t>
            </w:r>
            <w:r>
              <w:rPr>
                <w:highlight w:val="none"/>
              </w:rPr>
              <w:t>目中以联合体投标的，由联合体成员施工单位提供；施工单位须提供中标通知书(如有)、合同协议书、工程接收证书或</w:t>
            </w:r>
            <w:r>
              <w:rPr>
                <w:spacing w:val="4"/>
                <w:highlight w:val="none"/>
              </w:rPr>
              <w:t>工程竣工验收证书(工程竣工验收备案证</w:t>
            </w:r>
            <w:r>
              <w:rPr>
                <w:spacing w:val="5"/>
                <w:highlight w:val="none"/>
              </w:rPr>
              <w:t>或工程竣工验收备案表)的扫描件，时间</w:t>
            </w:r>
            <w:r>
              <w:rPr>
                <w:spacing w:val="2"/>
                <w:highlight w:val="none"/>
              </w:rPr>
              <w:t>以工程竣工时间为准，如投标人提供的业</w:t>
            </w:r>
            <w:r>
              <w:rPr>
                <w:spacing w:val="1"/>
                <w:highlight w:val="none"/>
              </w:rPr>
              <w:t>绩证明材料不能反映上述内容，则须提供</w:t>
            </w:r>
            <w:r>
              <w:rPr>
                <w:spacing w:val="2"/>
                <w:highlight w:val="none"/>
              </w:rPr>
              <w:t>业主单位盖章的证明材料扫描件。)</w:t>
            </w:r>
          </w:p>
        </w:tc>
      </w:tr>
      <w:tr w14:paraId="404C8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5" w:hRule="atLeast"/>
        </w:trPr>
        <w:tc>
          <w:tcPr>
            <w:tcW w:w="1543" w:type="dxa"/>
            <w:vMerge w:val="continue"/>
            <w:tcBorders>
              <w:top w:val="nil"/>
              <w:bottom w:val="nil"/>
            </w:tcBorders>
            <w:vAlign w:val="top"/>
          </w:tcPr>
          <w:p w14:paraId="07BB6742">
            <w:pPr>
              <w:rPr>
                <w:rFonts w:ascii="Arial"/>
                <w:sz w:val="21"/>
                <w:highlight w:val="none"/>
              </w:rPr>
            </w:pPr>
          </w:p>
        </w:tc>
        <w:tc>
          <w:tcPr>
            <w:tcW w:w="849" w:type="dxa"/>
            <w:vMerge w:val="continue"/>
            <w:tcBorders>
              <w:top w:val="nil"/>
              <w:bottom w:val="nil"/>
            </w:tcBorders>
            <w:vAlign w:val="top"/>
          </w:tcPr>
          <w:p w14:paraId="01B63DDA">
            <w:pPr>
              <w:rPr>
                <w:rFonts w:ascii="Arial"/>
                <w:sz w:val="21"/>
                <w:highlight w:val="none"/>
              </w:rPr>
            </w:pPr>
          </w:p>
        </w:tc>
        <w:tc>
          <w:tcPr>
            <w:tcW w:w="2047" w:type="dxa"/>
            <w:vAlign w:val="top"/>
          </w:tcPr>
          <w:p w14:paraId="6BADE475">
            <w:pPr>
              <w:spacing w:line="267" w:lineRule="auto"/>
              <w:rPr>
                <w:rFonts w:ascii="Arial"/>
                <w:sz w:val="21"/>
                <w:highlight w:val="none"/>
              </w:rPr>
            </w:pPr>
          </w:p>
          <w:p w14:paraId="33299957">
            <w:pPr>
              <w:spacing w:line="268" w:lineRule="auto"/>
              <w:rPr>
                <w:rFonts w:ascii="Arial"/>
                <w:sz w:val="21"/>
                <w:highlight w:val="none"/>
              </w:rPr>
            </w:pPr>
          </w:p>
          <w:p w14:paraId="7B525E05">
            <w:pPr>
              <w:spacing w:line="268" w:lineRule="auto"/>
              <w:rPr>
                <w:rFonts w:ascii="Arial"/>
                <w:sz w:val="21"/>
                <w:highlight w:val="none"/>
              </w:rPr>
            </w:pPr>
          </w:p>
          <w:p w14:paraId="00C8BCBE">
            <w:pPr>
              <w:spacing w:line="268" w:lineRule="auto"/>
              <w:rPr>
                <w:rFonts w:ascii="Arial"/>
                <w:sz w:val="21"/>
                <w:highlight w:val="none"/>
              </w:rPr>
            </w:pPr>
          </w:p>
          <w:p w14:paraId="383B8E6D">
            <w:pPr>
              <w:spacing w:line="268" w:lineRule="auto"/>
              <w:rPr>
                <w:rFonts w:ascii="Arial"/>
                <w:sz w:val="21"/>
                <w:highlight w:val="none"/>
              </w:rPr>
            </w:pPr>
          </w:p>
          <w:p w14:paraId="49EA9F8C">
            <w:pPr>
              <w:spacing w:line="268" w:lineRule="auto"/>
              <w:rPr>
                <w:rFonts w:ascii="Arial"/>
                <w:sz w:val="21"/>
                <w:highlight w:val="none"/>
              </w:rPr>
            </w:pPr>
          </w:p>
          <w:p w14:paraId="1B86B012">
            <w:pPr>
              <w:spacing w:line="268" w:lineRule="auto"/>
              <w:rPr>
                <w:rFonts w:ascii="Arial"/>
                <w:sz w:val="21"/>
                <w:highlight w:val="none"/>
              </w:rPr>
            </w:pPr>
          </w:p>
          <w:p w14:paraId="1BEEE569">
            <w:pPr>
              <w:spacing w:line="268" w:lineRule="auto"/>
              <w:rPr>
                <w:rFonts w:ascii="Arial"/>
                <w:sz w:val="21"/>
                <w:highlight w:val="none"/>
              </w:rPr>
            </w:pPr>
          </w:p>
          <w:p w14:paraId="50B6AFCC">
            <w:pPr>
              <w:pStyle w:val="6"/>
              <w:spacing w:before="68" w:line="219" w:lineRule="auto"/>
              <w:ind w:left="113"/>
              <w:rPr>
                <w:highlight w:val="none"/>
              </w:rPr>
            </w:pPr>
            <w:r>
              <w:rPr>
                <w:spacing w:val="40"/>
                <w:highlight w:val="none"/>
              </w:rPr>
              <w:t>获奖情况(5分)</w:t>
            </w:r>
          </w:p>
        </w:tc>
        <w:tc>
          <w:tcPr>
            <w:tcW w:w="4080" w:type="dxa"/>
            <w:vAlign w:val="top"/>
          </w:tcPr>
          <w:p w14:paraId="08445EB0">
            <w:pPr>
              <w:pStyle w:val="6"/>
              <w:spacing w:before="167" w:line="279" w:lineRule="auto"/>
              <w:ind w:right="98"/>
              <w:rPr>
                <w:highlight w:val="none"/>
              </w:rPr>
            </w:pPr>
            <w:r>
              <w:rPr>
                <w:rFonts w:hint="eastAsia"/>
                <w:spacing w:val="3"/>
                <w:highlight w:val="none"/>
              </w:rPr>
              <w:t>投标人近五年（自投标截止之日往前推算五年）参与的工程项目，获得过省级及以上奖项、荣誉的每个得2.5分；获得过地市级奖项、荣誉的每个得2分；满分5分。</w:t>
            </w:r>
            <w:r>
              <w:rPr>
                <w:spacing w:val="3"/>
                <w:highlight w:val="none"/>
              </w:rPr>
              <w:t>(注：①提供行业主管部门或行业协会颁发的获奖证明材料(获奖证书或文件)</w:t>
            </w:r>
            <w:r>
              <w:rPr>
                <w:spacing w:val="7"/>
                <w:highlight w:val="none"/>
              </w:rPr>
              <w:t xml:space="preserve"> </w:t>
            </w:r>
            <w:r>
              <w:rPr>
                <w:spacing w:val="2"/>
                <w:highlight w:val="none"/>
              </w:rPr>
              <w:t>扫描件，时间以获奖证书或文件颁发时间</w:t>
            </w:r>
            <w:r>
              <w:rPr>
                <w:highlight w:val="none"/>
              </w:rPr>
              <w:t>为准。同一项目以获得最高级别奖项为</w:t>
            </w:r>
            <w:r>
              <w:rPr>
                <w:spacing w:val="-1"/>
                <w:highlight w:val="none"/>
              </w:rPr>
              <w:t>准，不重复计分。②若为联合体投标的，</w:t>
            </w:r>
            <w:r>
              <w:rPr>
                <w:spacing w:val="1"/>
                <w:highlight w:val="none"/>
              </w:rPr>
              <w:t>联合体设计单位或施工单位提供均可；若</w:t>
            </w:r>
            <w:r>
              <w:rPr>
                <w:spacing w:val="2"/>
                <w:highlight w:val="none"/>
              </w:rPr>
              <w:t>是施工单位提供的，则须提供质量或安全</w:t>
            </w:r>
            <w:r>
              <w:rPr>
                <w:spacing w:val="1"/>
                <w:highlight w:val="none"/>
              </w:rPr>
              <w:t>文明施工方面的奖项、荣誉；若是设计单</w:t>
            </w:r>
            <w:r>
              <w:rPr>
                <w:spacing w:val="-1"/>
                <w:highlight w:val="none"/>
              </w:rPr>
              <w:t>位提供的，则须提供工程设计方面的奖</w:t>
            </w:r>
            <w:r>
              <w:rPr>
                <w:spacing w:val="6"/>
                <w:highlight w:val="none"/>
              </w:rPr>
              <w:t>项、荣誉。)</w:t>
            </w:r>
          </w:p>
        </w:tc>
      </w:tr>
      <w:tr w14:paraId="08A64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1543" w:type="dxa"/>
            <w:vMerge w:val="continue"/>
            <w:tcBorders>
              <w:top w:val="nil"/>
            </w:tcBorders>
            <w:vAlign w:val="top"/>
          </w:tcPr>
          <w:p w14:paraId="1B31431A">
            <w:pPr>
              <w:rPr>
                <w:rFonts w:ascii="Arial"/>
                <w:sz w:val="21"/>
                <w:highlight w:val="none"/>
              </w:rPr>
            </w:pPr>
          </w:p>
        </w:tc>
        <w:tc>
          <w:tcPr>
            <w:tcW w:w="849" w:type="dxa"/>
            <w:vMerge w:val="continue"/>
            <w:tcBorders>
              <w:top w:val="nil"/>
            </w:tcBorders>
            <w:vAlign w:val="top"/>
          </w:tcPr>
          <w:p w14:paraId="32F4A3E0">
            <w:pPr>
              <w:rPr>
                <w:rFonts w:ascii="Arial"/>
                <w:sz w:val="21"/>
                <w:highlight w:val="none"/>
              </w:rPr>
            </w:pPr>
          </w:p>
        </w:tc>
        <w:tc>
          <w:tcPr>
            <w:tcW w:w="2047" w:type="dxa"/>
            <w:vAlign w:val="top"/>
          </w:tcPr>
          <w:p w14:paraId="408F7BD5">
            <w:pPr>
              <w:pStyle w:val="6"/>
              <w:spacing w:before="159" w:line="220" w:lineRule="auto"/>
              <w:ind w:left="113"/>
              <w:rPr>
                <w:highlight w:val="none"/>
              </w:rPr>
            </w:pPr>
            <w:r>
              <w:rPr>
                <w:spacing w:val="3"/>
                <w:highlight w:val="none"/>
              </w:rPr>
              <w:t>项目设计团队人员</w:t>
            </w:r>
          </w:p>
        </w:tc>
        <w:tc>
          <w:tcPr>
            <w:tcW w:w="4080" w:type="dxa"/>
            <w:vAlign w:val="top"/>
          </w:tcPr>
          <w:p w14:paraId="241DCE4E">
            <w:pPr>
              <w:pStyle w:val="6"/>
              <w:spacing w:before="157" w:line="219" w:lineRule="auto"/>
              <w:ind w:left="145"/>
              <w:rPr>
                <w:highlight w:val="none"/>
              </w:rPr>
            </w:pPr>
            <w:r>
              <w:rPr>
                <w:highlight w:val="none"/>
              </w:rPr>
              <w:t>投标人拟派建筑、结构、电气、给水排水</w:t>
            </w:r>
          </w:p>
        </w:tc>
      </w:tr>
    </w:tbl>
    <w:p w14:paraId="30F8B411">
      <w:pPr>
        <w:pStyle w:val="2"/>
        <w:rPr>
          <w:highlight w:val="none"/>
        </w:rPr>
      </w:pPr>
    </w:p>
    <w:p w14:paraId="45F40DC2">
      <w:pPr>
        <w:rPr>
          <w:highlight w:val="none"/>
        </w:rPr>
        <w:sectPr>
          <w:footerReference r:id="rId61" w:type="default"/>
          <w:pgSz w:w="11910" w:h="16840"/>
          <w:pgMar w:top="400" w:right="1715" w:bottom="1217" w:left="1665" w:header="0" w:footer="1013" w:gutter="0"/>
          <w:cols w:space="720" w:num="1"/>
        </w:sectPr>
      </w:pPr>
    </w:p>
    <w:p w14:paraId="45CD4E28">
      <w:pPr>
        <w:spacing w:before="18"/>
        <w:rPr>
          <w:highlight w:val="none"/>
        </w:rPr>
      </w:pPr>
    </w:p>
    <w:p w14:paraId="5C4BB01D">
      <w:pPr>
        <w:spacing w:before="17"/>
        <w:rPr>
          <w:highlight w:val="none"/>
        </w:rPr>
      </w:pPr>
    </w:p>
    <w:p w14:paraId="113874EE">
      <w:pPr>
        <w:spacing w:before="17"/>
        <w:rPr>
          <w:highlight w:val="none"/>
        </w:rPr>
      </w:pPr>
    </w:p>
    <w:p w14:paraId="4E5170A5">
      <w:pPr>
        <w:spacing w:before="17"/>
        <w:rPr>
          <w:highlight w:val="none"/>
        </w:rPr>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13"/>
        <w:gridCol w:w="879"/>
        <w:gridCol w:w="2027"/>
        <w:gridCol w:w="4100"/>
      </w:tblGrid>
      <w:tr w14:paraId="7BE68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2" w:hRule="atLeast"/>
        </w:trPr>
        <w:tc>
          <w:tcPr>
            <w:tcW w:w="1513" w:type="dxa"/>
            <w:vAlign w:val="top"/>
          </w:tcPr>
          <w:p w14:paraId="3BDA367B">
            <w:pPr>
              <w:rPr>
                <w:rFonts w:ascii="Arial"/>
                <w:sz w:val="21"/>
                <w:highlight w:val="none"/>
              </w:rPr>
            </w:pPr>
          </w:p>
        </w:tc>
        <w:tc>
          <w:tcPr>
            <w:tcW w:w="879" w:type="dxa"/>
            <w:vAlign w:val="top"/>
          </w:tcPr>
          <w:p w14:paraId="169BAEF0">
            <w:pPr>
              <w:rPr>
                <w:rFonts w:ascii="Arial"/>
                <w:sz w:val="21"/>
                <w:highlight w:val="none"/>
              </w:rPr>
            </w:pPr>
          </w:p>
        </w:tc>
        <w:tc>
          <w:tcPr>
            <w:tcW w:w="2027" w:type="dxa"/>
            <w:vAlign w:val="top"/>
          </w:tcPr>
          <w:p w14:paraId="40B46F99">
            <w:pPr>
              <w:pStyle w:val="6"/>
              <w:spacing w:before="144" w:line="220" w:lineRule="auto"/>
              <w:ind w:left="192"/>
              <w:rPr>
                <w:highlight w:val="none"/>
              </w:rPr>
            </w:pPr>
            <w:bookmarkStart w:id="65" w:name="bookmark216"/>
            <w:bookmarkEnd w:id="65"/>
            <w:r>
              <w:rPr>
                <w:spacing w:val="10"/>
                <w:highlight w:val="none"/>
              </w:rPr>
              <w:t>(4分)</w:t>
            </w:r>
          </w:p>
        </w:tc>
        <w:tc>
          <w:tcPr>
            <w:tcW w:w="4100" w:type="dxa"/>
            <w:vAlign w:val="top"/>
          </w:tcPr>
          <w:p w14:paraId="435230D7">
            <w:pPr>
              <w:pStyle w:val="6"/>
              <w:tabs>
                <w:tab w:val="left" w:pos="255"/>
              </w:tabs>
              <w:spacing w:before="142" w:line="287" w:lineRule="auto"/>
              <w:ind w:left="135" w:right="253" w:firstLine="10"/>
              <w:rPr>
                <w:highlight w:val="none"/>
              </w:rPr>
            </w:pPr>
            <w:r>
              <w:rPr>
                <w:highlight w:val="none"/>
              </w:rPr>
              <w:t>专业负责人具有相关专业执业资格证书</w:t>
            </w:r>
            <w:r>
              <w:rPr>
                <w:spacing w:val="6"/>
                <w:highlight w:val="none"/>
              </w:rPr>
              <w:t xml:space="preserve">  </w:t>
            </w:r>
            <w:r>
              <w:rPr>
                <w:highlight w:val="none"/>
              </w:rPr>
              <w:tab/>
            </w:r>
            <w:r>
              <w:rPr>
                <w:highlight w:val="none"/>
              </w:rPr>
              <w:t>(或注册证书)或者具有高级工程师职称</w:t>
            </w:r>
            <w:r>
              <w:rPr>
                <w:spacing w:val="10"/>
                <w:highlight w:val="none"/>
              </w:rPr>
              <w:t xml:space="preserve"> </w:t>
            </w:r>
            <w:r>
              <w:rPr>
                <w:spacing w:val="-1"/>
                <w:highlight w:val="none"/>
              </w:rPr>
              <w:t>证书的，每提供一个人得1分，满分4</w:t>
            </w:r>
          </w:p>
          <w:p w14:paraId="7FCEC39A">
            <w:pPr>
              <w:pStyle w:val="6"/>
              <w:spacing w:before="10" w:line="219" w:lineRule="auto"/>
              <w:ind w:left="206"/>
              <w:rPr>
                <w:highlight w:val="none"/>
              </w:rPr>
            </w:pPr>
            <w:r>
              <w:rPr>
                <w:spacing w:val="-1"/>
                <w:highlight w:val="none"/>
              </w:rPr>
              <w:t>分。(注：每位人员须提供执业资格证书</w:t>
            </w:r>
          </w:p>
          <w:p w14:paraId="24AFCFB6">
            <w:pPr>
              <w:pStyle w:val="6"/>
              <w:spacing w:before="50" w:line="293" w:lineRule="auto"/>
              <w:ind w:left="125" w:right="209" w:firstLine="179"/>
              <w:rPr>
                <w:highlight w:val="none"/>
              </w:rPr>
            </w:pPr>
            <w:r>
              <w:rPr>
                <w:highlight w:val="none"/>
              </w:rPr>
              <w:t>(或注册证书)或者职称证书的扫描件，</w:t>
            </w:r>
            <w:r>
              <w:rPr>
                <w:spacing w:val="3"/>
                <w:highlight w:val="none"/>
              </w:rPr>
              <w:t xml:space="preserve"> 各专业负责人不得兼任。)</w:t>
            </w:r>
          </w:p>
        </w:tc>
      </w:tr>
      <w:tr w14:paraId="11522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7" w:hRule="atLeast"/>
        </w:trPr>
        <w:tc>
          <w:tcPr>
            <w:tcW w:w="1513" w:type="dxa"/>
            <w:vAlign w:val="top"/>
          </w:tcPr>
          <w:p w14:paraId="68E6EA8A">
            <w:pPr>
              <w:spacing w:line="255" w:lineRule="auto"/>
              <w:rPr>
                <w:rFonts w:ascii="Arial"/>
                <w:sz w:val="21"/>
                <w:highlight w:val="none"/>
              </w:rPr>
            </w:pPr>
          </w:p>
          <w:p w14:paraId="7507ACAB">
            <w:pPr>
              <w:spacing w:line="255" w:lineRule="auto"/>
              <w:rPr>
                <w:rFonts w:ascii="Arial"/>
                <w:sz w:val="21"/>
                <w:highlight w:val="none"/>
              </w:rPr>
            </w:pPr>
          </w:p>
          <w:p w14:paraId="357F0502">
            <w:pPr>
              <w:spacing w:line="256" w:lineRule="auto"/>
              <w:rPr>
                <w:rFonts w:ascii="Arial"/>
                <w:sz w:val="21"/>
                <w:highlight w:val="none"/>
              </w:rPr>
            </w:pPr>
          </w:p>
          <w:p w14:paraId="4DFFD2FD">
            <w:pPr>
              <w:spacing w:line="256" w:lineRule="auto"/>
              <w:rPr>
                <w:rFonts w:ascii="Arial"/>
                <w:sz w:val="21"/>
                <w:highlight w:val="none"/>
              </w:rPr>
            </w:pPr>
          </w:p>
          <w:p w14:paraId="225A660B">
            <w:pPr>
              <w:spacing w:line="256" w:lineRule="auto"/>
              <w:rPr>
                <w:rFonts w:ascii="Arial"/>
                <w:sz w:val="21"/>
                <w:highlight w:val="none"/>
              </w:rPr>
            </w:pPr>
          </w:p>
          <w:p w14:paraId="344E2C3B">
            <w:pPr>
              <w:spacing w:line="256" w:lineRule="auto"/>
              <w:rPr>
                <w:rFonts w:ascii="Arial"/>
                <w:sz w:val="21"/>
                <w:highlight w:val="none"/>
              </w:rPr>
            </w:pPr>
          </w:p>
          <w:p w14:paraId="37011730">
            <w:pPr>
              <w:spacing w:line="256" w:lineRule="auto"/>
              <w:rPr>
                <w:rFonts w:ascii="Arial"/>
                <w:sz w:val="21"/>
                <w:highlight w:val="none"/>
              </w:rPr>
            </w:pPr>
          </w:p>
          <w:p w14:paraId="3064A205">
            <w:pPr>
              <w:spacing w:line="256" w:lineRule="auto"/>
              <w:rPr>
                <w:rFonts w:ascii="Arial"/>
                <w:sz w:val="21"/>
                <w:highlight w:val="none"/>
              </w:rPr>
            </w:pPr>
          </w:p>
          <w:p w14:paraId="1002048E">
            <w:pPr>
              <w:spacing w:line="256" w:lineRule="auto"/>
              <w:rPr>
                <w:rFonts w:ascii="Arial"/>
                <w:sz w:val="21"/>
                <w:highlight w:val="none"/>
              </w:rPr>
            </w:pPr>
          </w:p>
          <w:p w14:paraId="6B4607B1">
            <w:pPr>
              <w:pStyle w:val="6"/>
              <w:spacing w:before="68" w:line="222" w:lineRule="auto"/>
              <w:ind w:left="214"/>
              <w:rPr>
                <w:highlight w:val="none"/>
              </w:rPr>
            </w:pPr>
            <w:r>
              <w:rPr>
                <w:spacing w:val="-2"/>
                <w:highlight w:val="none"/>
              </w:rPr>
              <w:t>2.2.4(4)</w:t>
            </w:r>
          </w:p>
        </w:tc>
        <w:tc>
          <w:tcPr>
            <w:tcW w:w="879" w:type="dxa"/>
            <w:vAlign w:val="top"/>
          </w:tcPr>
          <w:p w14:paraId="6EB2C786">
            <w:pPr>
              <w:spacing w:line="248" w:lineRule="auto"/>
              <w:rPr>
                <w:rFonts w:ascii="Arial"/>
                <w:sz w:val="21"/>
                <w:highlight w:val="none"/>
              </w:rPr>
            </w:pPr>
          </w:p>
          <w:p w14:paraId="6A10E987">
            <w:pPr>
              <w:spacing w:line="249" w:lineRule="auto"/>
              <w:rPr>
                <w:rFonts w:ascii="Arial"/>
                <w:sz w:val="21"/>
                <w:highlight w:val="none"/>
              </w:rPr>
            </w:pPr>
          </w:p>
          <w:p w14:paraId="1C7687B5">
            <w:pPr>
              <w:spacing w:line="249" w:lineRule="auto"/>
              <w:rPr>
                <w:rFonts w:ascii="Arial"/>
                <w:sz w:val="21"/>
                <w:highlight w:val="none"/>
              </w:rPr>
            </w:pPr>
          </w:p>
          <w:p w14:paraId="08C2F3AD">
            <w:pPr>
              <w:spacing w:line="249" w:lineRule="auto"/>
              <w:rPr>
                <w:rFonts w:ascii="Arial"/>
                <w:sz w:val="21"/>
                <w:highlight w:val="none"/>
              </w:rPr>
            </w:pPr>
          </w:p>
          <w:p w14:paraId="03929DD7">
            <w:pPr>
              <w:spacing w:line="249" w:lineRule="auto"/>
              <w:rPr>
                <w:rFonts w:ascii="Arial"/>
                <w:sz w:val="21"/>
                <w:highlight w:val="none"/>
              </w:rPr>
            </w:pPr>
          </w:p>
          <w:p w14:paraId="5E97947D">
            <w:pPr>
              <w:spacing w:line="249" w:lineRule="auto"/>
              <w:rPr>
                <w:rFonts w:ascii="Arial"/>
                <w:sz w:val="21"/>
                <w:highlight w:val="none"/>
              </w:rPr>
            </w:pPr>
          </w:p>
          <w:p w14:paraId="4E47E5E3">
            <w:pPr>
              <w:spacing w:line="249" w:lineRule="auto"/>
              <w:rPr>
                <w:rFonts w:ascii="Arial"/>
                <w:sz w:val="21"/>
                <w:highlight w:val="none"/>
              </w:rPr>
            </w:pPr>
          </w:p>
          <w:p w14:paraId="0D9F5DCA">
            <w:pPr>
              <w:spacing w:line="249" w:lineRule="auto"/>
              <w:rPr>
                <w:rFonts w:ascii="Arial"/>
                <w:sz w:val="21"/>
                <w:highlight w:val="none"/>
              </w:rPr>
            </w:pPr>
          </w:p>
          <w:p w14:paraId="653959B6">
            <w:pPr>
              <w:pStyle w:val="6"/>
              <w:spacing w:before="68" w:line="219" w:lineRule="auto"/>
              <w:ind w:left="112"/>
              <w:rPr>
                <w:highlight w:val="none"/>
              </w:rPr>
            </w:pPr>
            <w:r>
              <w:rPr>
                <w:spacing w:val="3"/>
                <w:highlight w:val="none"/>
              </w:rPr>
              <w:t>投标报</w:t>
            </w:r>
          </w:p>
          <w:p w14:paraId="060C56E6">
            <w:pPr>
              <w:pStyle w:val="6"/>
              <w:spacing w:before="58" w:line="286" w:lineRule="auto"/>
              <w:ind w:left="221" w:right="136" w:hanging="109"/>
              <w:rPr>
                <w:highlight w:val="none"/>
              </w:rPr>
            </w:pPr>
            <w:r>
              <w:rPr>
                <w:spacing w:val="-4"/>
                <w:highlight w:val="none"/>
              </w:rPr>
              <w:t>价评分</w:t>
            </w:r>
            <w:r>
              <w:rPr>
                <w:spacing w:val="1"/>
                <w:highlight w:val="none"/>
              </w:rPr>
              <w:t xml:space="preserve"> </w:t>
            </w:r>
            <w:r>
              <w:rPr>
                <w:spacing w:val="-3"/>
                <w:highlight w:val="none"/>
              </w:rPr>
              <w:t>标准</w:t>
            </w:r>
          </w:p>
        </w:tc>
        <w:tc>
          <w:tcPr>
            <w:tcW w:w="2027" w:type="dxa"/>
            <w:vAlign w:val="top"/>
          </w:tcPr>
          <w:p w14:paraId="73DB3A93">
            <w:pPr>
              <w:spacing w:line="267" w:lineRule="auto"/>
              <w:rPr>
                <w:rFonts w:ascii="Arial"/>
                <w:sz w:val="21"/>
                <w:highlight w:val="none"/>
              </w:rPr>
            </w:pPr>
          </w:p>
          <w:p w14:paraId="476010EC">
            <w:pPr>
              <w:spacing w:line="267" w:lineRule="auto"/>
              <w:rPr>
                <w:rFonts w:ascii="Arial"/>
                <w:sz w:val="21"/>
                <w:highlight w:val="none"/>
              </w:rPr>
            </w:pPr>
          </w:p>
          <w:p w14:paraId="50141EA6">
            <w:pPr>
              <w:spacing w:line="267" w:lineRule="auto"/>
              <w:rPr>
                <w:rFonts w:ascii="Arial"/>
                <w:sz w:val="21"/>
                <w:highlight w:val="none"/>
              </w:rPr>
            </w:pPr>
          </w:p>
          <w:p w14:paraId="64BB47F5">
            <w:pPr>
              <w:spacing w:line="267" w:lineRule="auto"/>
              <w:rPr>
                <w:rFonts w:ascii="Arial"/>
                <w:sz w:val="21"/>
                <w:highlight w:val="none"/>
              </w:rPr>
            </w:pPr>
          </w:p>
          <w:p w14:paraId="7ED51258">
            <w:pPr>
              <w:spacing w:line="267" w:lineRule="auto"/>
              <w:rPr>
                <w:rFonts w:ascii="Arial"/>
                <w:sz w:val="21"/>
                <w:highlight w:val="none"/>
              </w:rPr>
            </w:pPr>
          </w:p>
          <w:p w14:paraId="6B9F6FD3">
            <w:pPr>
              <w:spacing w:line="268" w:lineRule="auto"/>
              <w:rPr>
                <w:rFonts w:ascii="Arial"/>
                <w:sz w:val="21"/>
                <w:highlight w:val="none"/>
              </w:rPr>
            </w:pPr>
          </w:p>
          <w:p w14:paraId="30BAB4AF">
            <w:pPr>
              <w:spacing w:line="268" w:lineRule="auto"/>
              <w:rPr>
                <w:rFonts w:ascii="Arial"/>
                <w:sz w:val="21"/>
                <w:highlight w:val="none"/>
              </w:rPr>
            </w:pPr>
          </w:p>
          <w:p w14:paraId="217EFA1B">
            <w:pPr>
              <w:spacing w:line="268" w:lineRule="auto"/>
              <w:rPr>
                <w:rFonts w:ascii="Arial"/>
                <w:sz w:val="21"/>
                <w:highlight w:val="none"/>
              </w:rPr>
            </w:pPr>
          </w:p>
          <w:p w14:paraId="61E7EE1F">
            <w:pPr>
              <w:pStyle w:val="6"/>
              <w:spacing w:before="68" w:line="303" w:lineRule="auto"/>
              <w:ind w:left="192" w:right="232" w:hanging="80"/>
              <w:rPr>
                <w:highlight w:val="none"/>
              </w:rPr>
            </w:pPr>
            <w:r>
              <w:rPr>
                <w:spacing w:val="-2"/>
                <w:highlight w:val="none"/>
              </w:rPr>
              <w:t>计算投标报价得分</w:t>
            </w:r>
            <w:r>
              <w:rPr>
                <w:spacing w:val="6"/>
                <w:highlight w:val="none"/>
              </w:rPr>
              <w:t xml:space="preserve"> </w:t>
            </w:r>
            <w:r>
              <w:rPr>
                <w:spacing w:val="9"/>
                <w:highlight w:val="none"/>
              </w:rPr>
              <w:t>(50分)</w:t>
            </w:r>
          </w:p>
        </w:tc>
        <w:tc>
          <w:tcPr>
            <w:tcW w:w="4100" w:type="dxa"/>
            <w:vAlign w:val="top"/>
          </w:tcPr>
          <w:p w14:paraId="544617C4">
            <w:pPr>
              <w:pStyle w:val="6"/>
              <w:spacing w:before="151" w:line="281" w:lineRule="auto"/>
              <w:ind w:left="145" w:right="142" w:firstLine="10"/>
              <w:rPr>
                <w:highlight w:val="none"/>
              </w:rPr>
            </w:pPr>
            <w:r>
              <w:rPr>
                <w:spacing w:val="-1"/>
                <w:highlight w:val="none"/>
              </w:rPr>
              <w:t>评标基准价的确定办法：若有效投标人为</w:t>
            </w:r>
            <w:r>
              <w:rPr>
                <w:spacing w:val="9"/>
                <w:highlight w:val="none"/>
              </w:rPr>
              <w:t xml:space="preserve"> </w:t>
            </w:r>
            <w:r>
              <w:rPr>
                <w:spacing w:val="1"/>
                <w:highlight w:val="none"/>
              </w:rPr>
              <w:t>五家或五家以上，评标基准价为各有效投</w:t>
            </w:r>
            <w:r>
              <w:rPr>
                <w:highlight w:val="none"/>
              </w:rPr>
              <w:t xml:space="preserve"> </w:t>
            </w:r>
            <w:r>
              <w:rPr>
                <w:spacing w:val="1"/>
                <w:highlight w:val="none"/>
              </w:rPr>
              <w:t>标人投标报价中，去掉一个最高报价和一</w:t>
            </w:r>
            <w:r>
              <w:rPr>
                <w:spacing w:val="2"/>
                <w:highlight w:val="none"/>
              </w:rPr>
              <w:t xml:space="preserve"> </w:t>
            </w:r>
            <w:r>
              <w:rPr>
                <w:highlight w:val="none"/>
              </w:rPr>
              <w:t xml:space="preserve">个最低报价后的算术平均值。若有效投标 </w:t>
            </w:r>
            <w:r>
              <w:rPr>
                <w:spacing w:val="-1"/>
                <w:highlight w:val="none"/>
              </w:rPr>
              <w:t>人少于五家(不含五家),则以所有有效</w:t>
            </w:r>
          </w:p>
          <w:p w14:paraId="5D1FF86A">
            <w:pPr>
              <w:pStyle w:val="6"/>
              <w:spacing w:before="11" w:line="256" w:lineRule="auto"/>
              <w:ind w:left="95" w:right="143" w:firstLine="60"/>
              <w:rPr>
                <w:highlight w:val="none"/>
              </w:rPr>
            </w:pPr>
            <w:r>
              <w:rPr>
                <w:highlight w:val="none"/>
              </w:rPr>
              <w:t>投标人投标报价的算术平均值为评标基准</w:t>
            </w:r>
            <w:r>
              <w:rPr>
                <w:spacing w:val="9"/>
                <w:highlight w:val="none"/>
              </w:rPr>
              <w:t xml:space="preserve"> </w:t>
            </w:r>
            <w:r>
              <w:rPr>
                <w:spacing w:val="-2"/>
                <w:highlight w:val="none"/>
              </w:rPr>
              <w:t>价。</w:t>
            </w:r>
          </w:p>
          <w:p w14:paraId="24C29857">
            <w:pPr>
              <w:pStyle w:val="6"/>
              <w:spacing w:before="56" w:line="218" w:lineRule="auto"/>
              <w:ind w:left="226"/>
              <w:rPr>
                <w:highlight w:val="none"/>
              </w:rPr>
            </w:pPr>
            <w:r>
              <w:rPr>
                <w:highlight w:val="none"/>
              </w:rPr>
              <w:t>(1)每高于评标基准价1%的扣0.2分，</w:t>
            </w:r>
          </w:p>
          <w:p w14:paraId="46D1B188">
            <w:pPr>
              <w:pStyle w:val="6"/>
              <w:spacing w:before="51" w:line="260" w:lineRule="auto"/>
              <w:ind w:left="145" w:right="384" w:hanging="30"/>
              <w:rPr>
                <w:highlight w:val="none"/>
              </w:rPr>
            </w:pPr>
            <w:r>
              <w:rPr>
                <w:spacing w:val="-1"/>
                <w:highlight w:val="none"/>
              </w:rPr>
              <w:t>最多扣50分。计算公式为：投标报价得</w:t>
            </w:r>
            <w:r>
              <w:rPr>
                <w:spacing w:val="6"/>
                <w:highlight w:val="none"/>
              </w:rPr>
              <w:t xml:space="preserve"> </w:t>
            </w:r>
            <w:r>
              <w:rPr>
                <w:spacing w:val="-3"/>
                <w:highlight w:val="none"/>
              </w:rPr>
              <w:t>分=50-|</w:t>
            </w:r>
            <w:r>
              <w:rPr>
                <w:spacing w:val="-54"/>
                <w:highlight w:val="none"/>
              </w:rPr>
              <w:t xml:space="preserve"> </w:t>
            </w:r>
            <w:r>
              <w:rPr>
                <w:spacing w:val="-3"/>
                <w:highlight w:val="none"/>
              </w:rPr>
              <w:t>(投标报价一评标基准价)/评标</w:t>
            </w:r>
            <w:r>
              <w:rPr>
                <w:highlight w:val="none"/>
              </w:rPr>
              <w:t xml:space="preserve"> </w:t>
            </w:r>
            <w:r>
              <w:rPr>
                <w:spacing w:val="-4"/>
                <w:highlight w:val="none"/>
              </w:rPr>
              <w:t>基准价|</w:t>
            </w:r>
            <w:r>
              <w:rPr>
                <w:spacing w:val="-67"/>
                <w:highlight w:val="none"/>
              </w:rPr>
              <w:t xml:space="preserve"> </w:t>
            </w:r>
            <w:r>
              <w:rPr>
                <w:spacing w:val="-4"/>
                <w:highlight w:val="none"/>
              </w:rPr>
              <w:t>×100×0.2</w:t>
            </w:r>
          </w:p>
          <w:p w14:paraId="0473545A">
            <w:pPr>
              <w:pStyle w:val="6"/>
              <w:spacing w:before="73" w:line="218" w:lineRule="auto"/>
              <w:ind w:left="226"/>
              <w:rPr>
                <w:highlight w:val="none"/>
              </w:rPr>
            </w:pPr>
            <w:r>
              <w:rPr>
                <w:highlight w:val="none"/>
              </w:rPr>
              <w:t>(2)每低于评标基准价1%的扣0.1分，</w:t>
            </w:r>
          </w:p>
          <w:p w14:paraId="253471D4">
            <w:pPr>
              <w:pStyle w:val="6"/>
              <w:spacing w:before="71" w:line="260" w:lineRule="auto"/>
              <w:ind w:left="125" w:right="384" w:firstLine="20"/>
              <w:rPr>
                <w:highlight w:val="none"/>
              </w:rPr>
            </w:pPr>
            <w:r>
              <w:rPr>
                <w:spacing w:val="-1"/>
                <w:highlight w:val="none"/>
              </w:rPr>
              <w:t>最多扣50分。计算公式为：投标报价得</w:t>
            </w:r>
            <w:r>
              <w:rPr>
                <w:spacing w:val="6"/>
                <w:highlight w:val="none"/>
              </w:rPr>
              <w:t xml:space="preserve"> </w:t>
            </w:r>
            <w:r>
              <w:rPr>
                <w:spacing w:val="-2"/>
                <w:highlight w:val="none"/>
              </w:rPr>
              <w:t>分=50-|</w:t>
            </w:r>
            <w:r>
              <w:rPr>
                <w:spacing w:val="-55"/>
                <w:highlight w:val="none"/>
              </w:rPr>
              <w:t xml:space="preserve"> </w:t>
            </w:r>
            <w:r>
              <w:rPr>
                <w:spacing w:val="-2"/>
                <w:highlight w:val="none"/>
              </w:rPr>
              <w:t>(评标基准价-投标报价)/评标</w:t>
            </w:r>
            <w:r>
              <w:rPr>
                <w:highlight w:val="none"/>
              </w:rPr>
              <w:t xml:space="preserve">  </w:t>
            </w:r>
            <w:r>
              <w:rPr>
                <w:spacing w:val="-2"/>
                <w:highlight w:val="none"/>
              </w:rPr>
              <w:t>基准价|</w:t>
            </w:r>
            <w:r>
              <w:rPr>
                <w:spacing w:val="-65"/>
                <w:highlight w:val="none"/>
              </w:rPr>
              <w:t xml:space="preserve"> </w:t>
            </w:r>
            <w:r>
              <w:rPr>
                <w:spacing w:val="-2"/>
                <w:highlight w:val="none"/>
              </w:rPr>
              <w:t>×100×0.1</w:t>
            </w:r>
          </w:p>
        </w:tc>
      </w:tr>
    </w:tbl>
    <w:p w14:paraId="734D30E8">
      <w:pPr>
        <w:spacing w:before="89"/>
        <w:rPr>
          <w:highlight w:val="none"/>
        </w:rPr>
      </w:pPr>
    </w:p>
    <w:p w14:paraId="40562A55">
      <w:pPr>
        <w:spacing w:before="88"/>
        <w:rPr>
          <w:highlight w:val="none"/>
        </w:rPr>
      </w:pPr>
    </w:p>
    <w:tbl>
      <w:tblPr>
        <w:tblStyle w:val="5"/>
        <w:tblW w:w="9199" w:type="dxa"/>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4"/>
        <w:gridCol w:w="1059"/>
        <w:gridCol w:w="2547"/>
        <w:gridCol w:w="4669"/>
      </w:tblGrid>
      <w:tr w14:paraId="6654A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60" w:hRule="atLeast"/>
        </w:trPr>
        <w:tc>
          <w:tcPr>
            <w:tcW w:w="924" w:type="dxa"/>
            <w:vAlign w:val="top"/>
          </w:tcPr>
          <w:p w14:paraId="30855B1F">
            <w:pPr>
              <w:spacing w:line="277" w:lineRule="auto"/>
              <w:rPr>
                <w:rFonts w:ascii="Arial"/>
                <w:sz w:val="21"/>
                <w:highlight w:val="none"/>
              </w:rPr>
            </w:pPr>
          </w:p>
          <w:p w14:paraId="1846163F">
            <w:pPr>
              <w:spacing w:line="277" w:lineRule="auto"/>
              <w:rPr>
                <w:rFonts w:ascii="Arial"/>
                <w:sz w:val="21"/>
                <w:highlight w:val="none"/>
              </w:rPr>
            </w:pPr>
          </w:p>
          <w:p w14:paraId="13C7C2C2">
            <w:pPr>
              <w:spacing w:line="277" w:lineRule="auto"/>
              <w:rPr>
                <w:rFonts w:ascii="Arial"/>
                <w:sz w:val="21"/>
                <w:highlight w:val="none"/>
              </w:rPr>
            </w:pPr>
          </w:p>
          <w:p w14:paraId="2469C7A4">
            <w:pPr>
              <w:spacing w:line="278" w:lineRule="auto"/>
              <w:rPr>
                <w:rFonts w:ascii="Arial"/>
                <w:sz w:val="21"/>
                <w:highlight w:val="none"/>
              </w:rPr>
            </w:pPr>
          </w:p>
          <w:p w14:paraId="59C38A08">
            <w:pPr>
              <w:spacing w:line="278" w:lineRule="auto"/>
              <w:rPr>
                <w:rFonts w:ascii="Arial"/>
                <w:sz w:val="21"/>
                <w:highlight w:val="none"/>
              </w:rPr>
            </w:pPr>
          </w:p>
          <w:p w14:paraId="1F39A0E5">
            <w:pPr>
              <w:spacing w:line="278" w:lineRule="auto"/>
              <w:rPr>
                <w:rFonts w:ascii="Arial"/>
                <w:sz w:val="21"/>
                <w:highlight w:val="none"/>
              </w:rPr>
            </w:pPr>
          </w:p>
          <w:p w14:paraId="13B895DD">
            <w:pPr>
              <w:pStyle w:val="6"/>
              <w:spacing w:before="69" w:line="239" w:lineRule="auto"/>
              <w:ind w:left="185"/>
              <w:rPr>
                <w:highlight w:val="none"/>
              </w:rPr>
            </w:pPr>
            <w:r>
              <w:rPr>
                <w:spacing w:val="-2"/>
                <w:highlight w:val="none"/>
              </w:rPr>
              <w:t>2.2.4</w:t>
            </w:r>
          </w:p>
          <w:p w14:paraId="4EF90353">
            <w:pPr>
              <w:pStyle w:val="6"/>
              <w:spacing w:before="150" w:line="222" w:lineRule="auto"/>
              <w:ind w:left="295"/>
              <w:rPr>
                <w:highlight w:val="none"/>
              </w:rPr>
            </w:pPr>
            <w:r>
              <w:rPr>
                <w:spacing w:val="-11"/>
                <w:highlight w:val="none"/>
              </w:rPr>
              <w:t>(4)</w:t>
            </w:r>
          </w:p>
        </w:tc>
        <w:tc>
          <w:tcPr>
            <w:tcW w:w="1059" w:type="dxa"/>
            <w:vAlign w:val="top"/>
          </w:tcPr>
          <w:p w14:paraId="10D07E42">
            <w:pPr>
              <w:spacing w:line="281" w:lineRule="auto"/>
              <w:rPr>
                <w:rFonts w:ascii="Arial"/>
                <w:sz w:val="21"/>
                <w:highlight w:val="none"/>
              </w:rPr>
            </w:pPr>
          </w:p>
          <w:p w14:paraId="1AE7C894">
            <w:pPr>
              <w:spacing w:line="281" w:lineRule="auto"/>
              <w:rPr>
                <w:rFonts w:ascii="Arial"/>
                <w:sz w:val="21"/>
                <w:highlight w:val="none"/>
              </w:rPr>
            </w:pPr>
          </w:p>
          <w:p w14:paraId="00F24514">
            <w:pPr>
              <w:spacing w:line="281" w:lineRule="auto"/>
              <w:rPr>
                <w:rFonts w:ascii="Arial"/>
                <w:sz w:val="21"/>
                <w:highlight w:val="none"/>
              </w:rPr>
            </w:pPr>
          </w:p>
          <w:p w14:paraId="723F4084">
            <w:pPr>
              <w:spacing w:line="281" w:lineRule="auto"/>
              <w:rPr>
                <w:rFonts w:ascii="Arial"/>
                <w:sz w:val="21"/>
                <w:highlight w:val="none"/>
              </w:rPr>
            </w:pPr>
          </w:p>
          <w:p w14:paraId="2F80DAFB">
            <w:pPr>
              <w:spacing w:line="282" w:lineRule="auto"/>
              <w:rPr>
                <w:rFonts w:ascii="Arial"/>
                <w:sz w:val="21"/>
                <w:highlight w:val="none"/>
              </w:rPr>
            </w:pPr>
          </w:p>
          <w:p w14:paraId="23C43355">
            <w:pPr>
              <w:pStyle w:val="6"/>
              <w:spacing w:before="69" w:line="219" w:lineRule="auto"/>
              <w:ind w:left="201"/>
              <w:rPr>
                <w:highlight w:val="none"/>
              </w:rPr>
            </w:pPr>
            <w:r>
              <w:rPr>
                <w:spacing w:val="3"/>
                <w:highlight w:val="none"/>
              </w:rPr>
              <w:t>投标报</w:t>
            </w:r>
          </w:p>
          <w:p w14:paraId="67A4D6D2">
            <w:pPr>
              <w:pStyle w:val="6"/>
              <w:spacing w:before="200" w:line="382" w:lineRule="auto"/>
              <w:ind w:left="311" w:right="227" w:hanging="110"/>
              <w:rPr>
                <w:highlight w:val="none"/>
              </w:rPr>
            </w:pPr>
            <w:r>
              <w:rPr>
                <w:spacing w:val="-4"/>
                <w:highlight w:val="none"/>
              </w:rPr>
              <w:t>价评分</w:t>
            </w:r>
            <w:r>
              <w:rPr>
                <w:spacing w:val="1"/>
                <w:highlight w:val="none"/>
              </w:rPr>
              <w:t xml:space="preserve"> </w:t>
            </w:r>
            <w:r>
              <w:rPr>
                <w:spacing w:val="-3"/>
                <w:highlight w:val="none"/>
              </w:rPr>
              <w:t>标准</w:t>
            </w:r>
          </w:p>
        </w:tc>
        <w:tc>
          <w:tcPr>
            <w:tcW w:w="2547" w:type="dxa"/>
            <w:vAlign w:val="top"/>
          </w:tcPr>
          <w:p w14:paraId="78834C23">
            <w:pPr>
              <w:spacing w:line="257" w:lineRule="auto"/>
              <w:rPr>
                <w:rFonts w:ascii="Arial"/>
                <w:sz w:val="21"/>
                <w:highlight w:val="none"/>
              </w:rPr>
            </w:pPr>
          </w:p>
          <w:p w14:paraId="4E7F5706">
            <w:pPr>
              <w:spacing w:line="257" w:lineRule="auto"/>
              <w:rPr>
                <w:rFonts w:ascii="Arial"/>
                <w:sz w:val="21"/>
                <w:highlight w:val="none"/>
              </w:rPr>
            </w:pPr>
          </w:p>
          <w:p w14:paraId="347824FC">
            <w:pPr>
              <w:spacing w:line="257" w:lineRule="auto"/>
              <w:rPr>
                <w:rFonts w:ascii="Arial"/>
                <w:sz w:val="21"/>
                <w:highlight w:val="none"/>
              </w:rPr>
            </w:pPr>
          </w:p>
          <w:p w14:paraId="2524A9C4">
            <w:pPr>
              <w:spacing w:line="257" w:lineRule="auto"/>
              <w:rPr>
                <w:rFonts w:ascii="Arial"/>
                <w:sz w:val="21"/>
                <w:highlight w:val="none"/>
              </w:rPr>
            </w:pPr>
          </w:p>
          <w:p w14:paraId="7E979FC9">
            <w:pPr>
              <w:spacing w:line="258" w:lineRule="auto"/>
              <w:rPr>
                <w:rFonts w:ascii="Arial"/>
                <w:sz w:val="21"/>
                <w:highlight w:val="none"/>
              </w:rPr>
            </w:pPr>
          </w:p>
          <w:p w14:paraId="0DEB4CC4">
            <w:pPr>
              <w:spacing w:line="258" w:lineRule="auto"/>
              <w:rPr>
                <w:rFonts w:ascii="Arial"/>
                <w:sz w:val="21"/>
                <w:highlight w:val="none"/>
              </w:rPr>
            </w:pPr>
          </w:p>
          <w:p w14:paraId="6C1793C2">
            <w:pPr>
              <w:spacing w:line="258" w:lineRule="auto"/>
              <w:rPr>
                <w:rFonts w:ascii="Arial"/>
                <w:sz w:val="21"/>
                <w:highlight w:val="none"/>
              </w:rPr>
            </w:pPr>
          </w:p>
          <w:p w14:paraId="14095488">
            <w:pPr>
              <w:pStyle w:val="6"/>
              <w:spacing w:before="68" w:line="218" w:lineRule="auto"/>
              <w:ind w:left="462"/>
              <w:rPr>
                <w:highlight w:val="none"/>
              </w:rPr>
            </w:pPr>
            <w:r>
              <w:rPr>
                <w:spacing w:val="-1"/>
                <w:highlight w:val="none"/>
              </w:rPr>
              <w:t>计算投标报价得分</w:t>
            </w:r>
          </w:p>
        </w:tc>
        <w:tc>
          <w:tcPr>
            <w:tcW w:w="4669" w:type="dxa"/>
            <w:vAlign w:val="top"/>
          </w:tcPr>
          <w:p w14:paraId="68338D84">
            <w:pPr>
              <w:spacing w:line="275" w:lineRule="auto"/>
              <w:rPr>
                <w:rFonts w:ascii="Arial"/>
                <w:sz w:val="21"/>
                <w:highlight w:val="none"/>
              </w:rPr>
            </w:pPr>
          </w:p>
          <w:p w14:paraId="0807393C">
            <w:pPr>
              <w:spacing w:line="275" w:lineRule="auto"/>
              <w:rPr>
                <w:rFonts w:ascii="Arial"/>
                <w:sz w:val="21"/>
                <w:highlight w:val="none"/>
              </w:rPr>
            </w:pPr>
          </w:p>
          <w:p w14:paraId="0128E7DB">
            <w:pPr>
              <w:spacing w:line="275" w:lineRule="auto"/>
              <w:rPr>
                <w:rFonts w:ascii="Arial"/>
                <w:sz w:val="21"/>
                <w:highlight w:val="none"/>
              </w:rPr>
            </w:pPr>
          </w:p>
          <w:p w14:paraId="129DE8E7">
            <w:pPr>
              <w:spacing w:line="276" w:lineRule="auto"/>
              <w:rPr>
                <w:rFonts w:ascii="Arial"/>
                <w:sz w:val="21"/>
                <w:highlight w:val="none"/>
              </w:rPr>
            </w:pPr>
          </w:p>
          <w:p w14:paraId="1B08BCA6">
            <w:pPr>
              <w:spacing w:line="276" w:lineRule="auto"/>
              <w:rPr>
                <w:rFonts w:ascii="Arial"/>
                <w:sz w:val="21"/>
                <w:highlight w:val="none"/>
              </w:rPr>
            </w:pPr>
          </w:p>
          <w:p w14:paraId="174DFA91">
            <w:pPr>
              <w:spacing w:line="276" w:lineRule="auto"/>
              <w:rPr>
                <w:rFonts w:ascii="Arial"/>
                <w:sz w:val="21"/>
                <w:highlight w:val="none"/>
              </w:rPr>
            </w:pPr>
          </w:p>
          <w:p w14:paraId="1C9FC28E">
            <w:pPr>
              <w:pStyle w:val="6"/>
              <w:spacing w:before="68" w:line="256" w:lineRule="auto"/>
              <w:ind w:left="135" w:right="122"/>
              <w:rPr>
                <w:highlight w:val="none"/>
              </w:rPr>
            </w:pPr>
            <w:r>
              <w:rPr>
                <w:color w:val="0000FF"/>
                <w:spacing w:val="-1"/>
                <w:highlight w:val="none"/>
              </w:rPr>
              <w:t>注：本项目不属于政府采购工程，不享受政府采</w:t>
            </w:r>
            <w:r>
              <w:rPr>
                <w:color w:val="0000FF"/>
                <w:spacing w:val="11"/>
                <w:highlight w:val="none"/>
              </w:rPr>
              <w:t xml:space="preserve"> </w:t>
            </w:r>
            <w:r>
              <w:rPr>
                <w:color w:val="0000FF"/>
                <w:highlight w:val="none"/>
              </w:rPr>
              <w:t>购工程价格评审优惠。</w:t>
            </w:r>
          </w:p>
        </w:tc>
      </w:tr>
    </w:tbl>
    <w:p w14:paraId="556AA21B">
      <w:pPr>
        <w:pStyle w:val="2"/>
        <w:rPr>
          <w:highlight w:val="none"/>
        </w:rPr>
      </w:pPr>
    </w:p>
    <w:p w14:paraId="0ACCF0DB">
      <w:pPr>
        <w:rPr>
          <w:highlight w:val="none"/>
        </w:rPr>
        <w:sectPr>
          <w:footerReference r:id="rId62" w:type="default"/>
          <w:pgSz w:w="11910" w:h="16840"/>
          <w:pgMar w:top="400" w:right="915" w:bottom="1197" w:left="1685" w:header="0" w:footer="993" w:gutter="0"/>
          <w:cols w:space="720" w:num="1"/>
        </w:sectPr>
      </w:pPr>
    </w:p>
    <w:p w14:paraId="0D606515">
      <w:pPr>
        <w:spacing w:before="18"/>
        <w:rPr>
          <w:highlight w:val="none"/>
        </w:rPr>
      </w:pPr>
    </w:p>
    <w:p w14:paraId="0D81316F">
      <w:pPr>
        <w:spacing w:before="17"/>
        <w:rPr>
          <w:highlight w:val="none"/>
        </w:rPr>
      </w:pPr>
    </w:p>
    <w:p w14:paraId="38716D87">
      <w:pPr>
        <w:spacing w:before="17"/>
        <w:rPr>
          <w:highlight w:val="none"/>
        </w:rPr>
      </w:pPr>
    </w:p>
    <w:p w14:paraId="35F2E7F0">
      <w:pPr>
        <w:spacing w:before="17"/>
        <w:rPr>
          <w:highlight w:val="none"/>
        </w:rPr>
      </w:pPr>
    </w:p>
    <w:tbl>
      <w:tblPr>
        <w:tblStyle w:val="5"/>
        <w:tblW w:w="92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4"/>
        <w:gridCol w:w="1049"/>
        <w:gridCol w:w="2547"/>
        <w:gridCol w:w="4670"/>
      </w:tblGrid>
      <w:tr w14:paraId="335D1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6" w:hRule="atLeast"/>
        </w:trPr>
        <w:tc>
          <w:tcPr>
            <w:tcW w:w="944" w:type="dxa"/>
            <w:vMerge w:val="restart"/>
            <w:tcBorders>
              <w:bottom w:val="nil"/>
            </w:tcBorders>
            <w:vAlign w:val="top"/>
          </w:tcPr>
          <w:p w14:paraId="5B880B50">
            <w:pPr>
              <w:rPr>
                <w:rFonts w:ascii="Arial"/>
                <w:sz w:val="21"/>
                <w:highlight w:val="none"/>
              </w:rPr>
            </w:pPr>
          </w:p>
        </w:tc>
        <w:tc>
          <w:tcPr>
            <w:tcW w:w="1049" w:type="dxa"/>
            <w:vMerge w:val="restart"/>
            <w:tcBorders>
              <w:bottom w:val="nil"/>
            </w:tcBorders>
            <w:vAlign w:val="top"/>
          </w:tcPr>
          <w:p w14:paraId="01A68C86">
            <w:pPr>
              <w:rPr>
                <w:rFonts w:ascii="Arial"/>
                <w:sz w:val="21"/>
                <w:highlight w:val="none"/>
              </w:rPr>
            </w:pPr>
          </w:p>
        </w:tc>
        <w:tc>
          <w:tcPr>
            <w:tcW w:w="2547" w:type="dxa"/>
            <w:vAlign w:val="top"/>
          </w:tcPr>
          <w:p w14:paraId="3F36B251">
            <w:pPr>
              <w:spacing w:line="244" w:lineRule="auto"/>
              <w:rPr>
                <w:rFonts w:ascii="Arial"/>
                <w:sz w:val="21"/>
                <w:highlight w:val="none"/>
              </w:rPr>
            </w:pPr>
          </w:p>
          <w:p w14:paraId="78C0DACB">
            <w:pPr>
              <w:spacing w:line="245" w:lineRule="auto"/>
              <w:rPr>
                <w:rFonts w:ascii="Arial"/>
                <w:sz w:val="21"/>
                <w:highlight w:val="none"/>
              </w:rPr>
            </w:pPr>
          </w:p>
          <w:p w14:paraId="7908EAC3">
            <w:pPr>
              <w:spacing w:line="245" w:lineRule="auto"/>
              <w:rPr>
                <w:rFonts w:ascii="Arial"/>
                <w:sz w:val="21"/>
                <w:highlight w:val="none"/>
              </w:rPr>
            </w:pPr>
          </w:p>
          <w:p w14:paraId="2B84C708">
            <w:pPr>
              <w:spacing w:line="245" w:lineRule="auto"/>
              <w:rPr>
                <w:rFonts w:ascii="Arial"/>
                <w:sz w:val="21"/>
                <w:highlight w:val="none"/>
              </w:rPr>
            </w:pPr>
          </w:p>
          <w:p w14:paraId="08AD88BA">
            <w:pPr>
              <w:spacing w:line="245" w:lineRule="auto"/>
              <w:rPr>
                <w:rFonts w:ascii="Arial"/>
                <w:sz w:val="21"/>
                <w:highlight w:val="none"/>
              </w:rPr>
            </w:pPr>
          </w:p>
          <w:p w14:paraId="4CBB7029">
            <w:pPr>
              <w:spacing w:line="245" w:lineRule="auto"/>
              <w:rPr>
                <w:rFonts w:ascii="Arial"/>
                <w:sz w:val="21"/>
                <w:highlight w:val="none"/>
              </w:rPr>
            </w:pPr>
          </w:p>
          <w:p w14:paraId="5108C68A">
            <w:pPr>
              <w:spacing w:line="245" w:lineRule="auto"/>
              <w:rPr>
                <w:rFonts w:ascii="Arial"/>
                <w:sz w:val="21"/>
                <w:highlight w:val="none"/>
              </w:rPr>
            </w:pPr>
          </w:p>
          <w:p w14:paraId="0F060D01">
            <w:pPr>
              <w:spacing w:line="245" w:lineRule="auto"/>
              <w:rPr>
                <w:rFonts w:ascii="Arial"/>
                <w:sz w:val="21"/>
                <w:highlight w:val="none"/>
              </w:rPr>
            </w:pPr>
          </w:p>
          <w:p w14:paraId="70D0789F">
            <w:pPr>
              <w:spacing w:line="245" w:lineRule="auto"/>
              <w:rPr>
                <w:rFonts w:ascii="Arial"/>
                <w:sz w:val="21"/>
                <w:highlight w:val="none"/>
              </w:rPr>
            </w:pPr>
          </w:p>
          <w:p w14:paraId="231311BA">
            <w:pPr>
              <w:spacing w:line="245" w:lineRule="auto"/>
              <w:rPr>
                <w:rFonts w:ascii="Arial"/>
                <w:sz w:val="21"/>
                <w:highlight w:val="none"/>
              </w:rPr>
            </w:pPr>
          </w:p>
          <w:p w14:paraId="416BB7C3">
            <w:pPr>
              <w:spacing w:line="245" w:lineRule="auto"/>
              <w:rPr>
                <w:rFonts w:ascii="Arial"/>
                <w:sz w:val="21"/>
                <w:highlight w:val="none"/>
              </w:rPr>
            </w:pPr>
          </w:p>
          <w:p w14:paraId="669E2102">
            <w:pPr>
              <w:spacing w:line="245" w:lineRule="auto"/>
              <w:rPr>
                <w:rFonts w:ascii="Arial"/>
                <w:sz w:val="21"/>
                <w:highlight w:val="none"/>
              </w:rPr>
            </w:pPr>
          </w:p>
          <w:p w14:paraId="6D02589C">
            <w:pPr>
              <w:spacing w:line="245" w:lineRule="auto"/>
              <w:rPr>
                <w:rFonts w:ascii="Arial"/>
                <w:sz w:val="21"/>
                <w:highlight w:val="none"/>
              </w:rPr>
            </w:pPr>
          </w:p>
          <w:p w14:paraId="63E51C2A">
            <w:pPr>
              <w:spacing w:line="245" w:lineRule="auto"/>
              <w:rPr>
                <w:rFonts w:ascii="Arial"/>
                <w:sz w:val="21"/>
                <w:highlight w:val="none"/>
              </w:rPr>
            </w:pPr>
          </w:p>
          <w:p w14:paraId="0E0F7AE4">
            <w:pPr>
              <w:spacing w:line="245" w:lineRule="auto"/>
              <w:rPr>
                <w:rFonts w:ascii="Arial"/>
                <w:sz w:val="21"/>
                <w:highlight w:val="none"/>
              </w:rPr>
            </w:pPr>
          </w:p>
          <w:p w14:paraId="0FAA7A04">
            <w:pPr>
              <w:spacing w:line="245" w:lineRule="auto"/>
              <w:rPr>
                <w:rFonts w:ascii="Arial"/>
                <w:sz w:val="21"/>
                <w:highlight w:val="none"/>
              </w:rPr>
            </w:pPr>
          </w:p>
          <w:p w14:paraId="5424F214">
            <w:pPr>
              <w:spacing w:line="245" w:lineRule="auto"/>
              <w:rPr>
                <w:rFonts w:ascii="Arial"/>
                <w:sz w:val="21"/>
                <w:highlight w:val="none"/>
              </w:rPr>
            </w:pPr>
          </w:p>
          <w:p w14:paraId="6BA978B7">
            <w:pPr>
              <w:spacing w:line="245" w:lineRule="auto"/>
              <w:rPr>
                <w:rFonts w:ascii="Arial"/>
                <w:sz w:val="21"/>
                <w:highlight w:val="none"/>
              </w:rPr>
            </w:pPr>
          </w:p>
          <w:p w14:paraId="1EFA82EF">
            <w:pPr>
              <w:spacing w:line="245" w:lineRule="auto"/>
              <w:rPr>
                <w:rFonts w:ascii="Arial"/>
                <w:sz w:val="21"/>
                <w:highlight w:val="none"/>
              </w:rPr>
            </w:pPr>
          </w:p>
          <w:p w14:paraId="7791F289">
            <w:pPr>
              <w:spacing w:line="245" w:lineRule="auto"/>
              <w:rPr>
                <w:rFonts w:ascii="Arial"/>
                <w:sz w:val="21"/>
                <w:highlight w:val="none"/>
              </w:rPr>
            </w:pPr>
          </w:p>
          <w:p w14:paraId="30B12138">
            <w:pPr>
              <w:spacing w:line="245" w:lineRule="auto"/>
              <w:rPr>
                <w:rFonts w:ascii="Arial"/>
                <w:sz w:val="21"/>
                <w:highlight w:val="none"/>
              </w:rPr>
            </w:pPr>
          </w:p>
          <w:p w14:paraId="7207449C">
            <w:pPr>
              <w:spacing w:line="245" w:lineRule="auto"/>
              <w:rPr>
                <w:rFonts w:ascii="Arial"/>
                <w:sz w:val="21"/>
                <w:highlight w:val="none"/>
              </w:rPr>
            </w:pPr>
          </w:p>
          <w:p w14:paraId="365ED628">
            <w:pPr>
              <w:pStyle w:val="6"/>
              <w:spacing w:before="68" w:line="339" w:lineRule="auto"/>
              <w:ind w:left="1161" w:right="122" w:hanging="1049"/>
              <w:rPr>
                <w:highlight w:val="none"/>
              </w:rPr>
            </w:pPr>
            <w:r>
              <w:rPr>
                <w:spacing w:val="-1"/>
                <w:highlight w:val="none"/>
              </w:rPr>
              <w:t>政府采购工程价格评审优</w:t>
            </w:r>
            <w:r>
              <w:rPr>
                <w:spacing w:val="2"/>
                <w:highlight w:val="none"/>
              </w:rPr>
              <w:t xml:space="preserve"> </w:t>
            </w:r>
            <w:r>
              <w:rPr>
                <w:highlight w:val="none"/>
              </w:rPr>
              <w:t>惠</w:t>
            </w:r>
          </w:p>
        </w:tc>
        <w:tc>
          <w:tcPr>
            <w:tcW w:w="4670" w:type="dxa"/>
            <w:vAlign w:val="top"/>
          </w:tcPr>
          <w:p w14:paraId="1E17D3DD">
            <w:pPr>
              <w:pStyle w:val="6"/>
              <w:spacing w:before="82" w:line="219" w:lineRule="auto"/>
              <w:ind w:left="125"/>
              <w:rPr>
                <w:highlight w:val="none"/>
              </w:rPr>
            </w:pPr>
            <w:bookmarkStart w:id="66" w:name="bookmark217"/>
            <w:bookmarkEnd w:id="66"/>
            <w:r>
              <w:rPr>
                <w:highlight w:val="none"/>
              </w:rPr>
              <w:t>对项目未预留份额专门面向中小企业采购的</w:t>
            </w:r>
          </w:p>
          <w:p w14:paraId="69F9E3E1">
            <w:pPr>
              <w:pStyle w:val="6"/>
              <w:spacing w:before="141" w:line="348" w:lineRule="auto"/>
              <w:ind w:left="135" w:right="105"/>
              <w:rPr>
                <w:highlight w:val="none"/>
              </w:rPr>
            </w:pPr>
            <w:r>
              <w:rPr>
                <w:highlight w:val="none"/>
              </w:rPr>
              <w:t>1.如投标人属于小微企业的，评标时在其投标报</w:t>
            </w:r>
            <w:r>
              <w:rPr>
                <w:spacing w:val="8"/>
                <w:highlight w:val="none"/>
              </w:rPr>
              <w:t xml:space="preserve"> </w:t>
            </w:r>
            <w:r>
              <w:rPr>
                <w:spacing w:val="-1"/>
                <w:highlight w:val="none"/>
              </w:rPr>
              <w:t>价得分的基础上增加</w:t>
            </w:r>
            <w:r>
              <w:rPr>
                <w:color w:val="0000FF"/>
                <w:spacing w:val="-1"/>
                <w:highlight w:val="none"/>
              </w:rPr>
              <w:t>P%</w:t>
            </w:r>
            <w:r>
              <w:rPr>
                <w:spacing w:val="-1"/>
                <w:highlight w:val="none"/>
              </w:rPr>
              <w:t>作为其投标报价最终得</w:t>
            </w:r>
          </w:p>
          <w:p w14:paraId="5E24BCC9">
            <w:pPr>
              <w:pStyle w:val="6"/>
              <w:spacing w:line="220" w:lineRule="auto"/>
              <w:ind w:left="95"/>
              <w:rPr>
                <w:highlight w:val="none"/>
              </w:rPr>
            </w:pPr>
            <w:r>
              <w:rPr>
                <w:spacing w:val="-2"/>
                <w:highlight w:val="none"/>
              </w:rPr>
              <w:t>分。</w:t>
            </w:r>
          </w:p>
          <w:p w14:paraId="611EFA2F">
            <w:pPr>
              <w:pStyle w:val="6"/>
              <w:spacing w:before="159" w:line="220" w:lineRule="auto"/>
              <w:ind w:left="535"/>
              <w:rPr>
                <w:highlight w:val="none"/>
              </w:rPr>
            </w:pPr>
            <w:r>
              <w:rPr>
                <w:spacing w:val="3"/>
                <w:highlight w:val="none"/>
              </w:rPr>
              <w:t>即S=M×(1+P%)</w:t>
            </w:r>
          </w:p>
          <w:p w14:paraId="6B97C6C2">
            <w:pPr>
              <w:pStyle w:val="6"/>
              <w:spacing w:before="167" w:line="218" w:lineRule="auto"/>
              <w:ind w:left="525"/>
              <w:rPr>
                <w:highlight w:val="none"/>
              </w:rPr>
            </w:pPr>
            <w:r>
              <w:rPr>
                <w:spacing w:val="9"/>
                <w:highlight w:val="none"/>
              </w:rPr>
              <w:t>S:投标报价最终得分；</w:t>
            </w:r>
          </w:p>
          <w:p w14:paraId="7AAB53C1">
            <w:pPr>
              <w:pStyle w:val="6"/>
              <w:spacing w:before="142" w:line="218" w:lineRule="auto"/>
              <w:ind w:left="525"/>
              <w:rPr>
                <w:highlight w:val="none"/>
              </w:rPr>
            </w:pPr>
            <w:r>
              <w:rPr>
                <w:spacing w:val="11"/>
                <w:highlight w:val="none"/>
              </w:rPr>
              <w:t>M:投标报价得分；</w:t>
            </w:r>
          </w:p>
          <w:p w14:paraId="13DBDBCC">
            <w:pPr>
              <w:pStyle w:val="6"/>
              <w:spacing w:before="160" w:line="305" w:lineRule="auto"/>
              <w:ind w:left="135" w:right="228" w:firstLine="400"/>
              <w:rPr>
                <w:highlight w:val="none"/>
              </w:rPr>
            </w:pPr>
            <w:r>
              <w:rPr>
                <w:spacing w:val="-1"/>
                <w:highlight w:val="none"/>
              </w:rPr>
              <w:t>P:为小微企业报价优惠系数，范围为3-5的</w:t>
            </w:r>
            <w:r>
              <w:rPr>
                <w:spacing w:val="15"/>
                <w:highlight w:val="none"/>
              </w:rPr>
              <w:t xml:space="preserve"> </w:t>
            </w:r>
            <w:r>
              <w:rPr>
                <w:spacing w:val="-1"/>
                <w:highlight w:val="none"/>
              </w:rPr>
              <w:t>整数，由招标人确定。P的取值见第二章投标人</w:t>
            </w:r>
            <w:r>
              <w:rPr>
                <w:spacing w:val="10"/>
                <w:highlight w:val="none"/>
              </w:rPr>
              <w:t xml:space="preserve"> </w:t>
            </w:r>
            <w:r>
              <w:rPr>
                <w:spacing w:val="1"/>
                <w:highlight w:val="none"/>
              </w:rPr>
              <w:t>须知前附表第10.2.1项。</w:t>
            </w:r>
          </w:p>
          <w:p w14:paraId="73FA607B">
            <w:pPr>
              <w:pStyle w:val="6"/>
              <w:spacing w:before="141" w:line="354" w:lineRule="auto"/>
              <w:ind w:left="135" w:right="136" w:firstLine="410"/>
              <w:rPr>
                <w:highlight w:val="none"/>
              </w:rPr>
            </w:pPr>
            <w:r>
              <w:rPr>
                <w:spacing w:val="-1"/>
                <w:highlight w:val="none"/>
              </w:rPr>
              <w:t>如招标人接受联合体，联合体各方均为小微</w:t>
            </w:r>
            <w:r>
              <w:rPr>
                <w:spacing w:val="6"/>
                <w:highlight w:val="none"/>
              </w:rPr>
              <w:t xml:space="preserve"> </w:t>
            </w:r>
            <w:r>
              <w:rPr>
                <w:spacing w:val="-1"/>
                <w:highlight w:val="none"/>
              </w:rPr>
              <w:t>企业的，联合体视同小微企业。</w:t>
            </w:r>
          </w:p>
          <w:p w14:paraId="31F10137">
            <w:pPr>
              <w:spacing w:line="316" w:lineRule="auto"/>
              <w:rPr>
                <w:rFonts w:ascii="Arial"/>
                <w:sz w:val="21"/>
                <w:highlight w:val="none"/>
              </w:rPr>
            </w:pPr>
          </w:p>
          <w:p w14:paraId="1521504D">
            <w:pPr>
              <w:pStyle w:val="6"/>
              <w:spacing w:before="69" w:line="353" w:lineRule="auto"/>
              <w:ind w:left="105" w:right="98" w:firstLine="20"/>
              <w:rPr>
                <w:highlight w:val="none"/>
              </w:rPr>
            </w:pPr>
            <w:r>
              <w:rPr>
                <w:spacing w:val="-1"/>
                <w:highlight w:val="none"/>
              </w:rPr>
              <w:t>2.如招标人接受大中型企业与小微企业组成联合</w:t>
            </w:r>
            <w:r>
              <w:rPr>
                <w:spacing w:val="10"/>
                <w:highlight w:val="none"/>
              </w:rPr>
              <w:t xml:space="preserve"> </w:t>
            </w:r>
            <w:r>
              <w:rPr>
                <w:highlight w:val="none"/>
              </w:rPr>
              <w:t>体或者允许大中型企业向一家或者多家小微企业</w:t>
            </w:r>
            <w:r>
              <w:rPr>
                <w:spacing w:val="10"/>
                <w:highlight w:val="none"/>
              </w:rPr>
              <w:t xml:space="preserve"> </w:t>
            </w:r>
            <w:r>
              <w:rPr>
                <w:spacing w:val="1"/>
                <w:highlight w:val="none"/>
              </w:rPr>
              <w:t>分包的采购项目，对于联合协议或者分包意向协</w:t>
            </w:r>
            <w:r>
              <w:rPr>
                <w:spacing w:val="9"/>
                <w:highlight w:val="none"/>
              </w:rPr>
              <w:t xml:space="preserve"> </w:t>
            </w:r>
            <w:r>
              <w:rPr>
                <w:highlight w:val="none"/>
              </w:rPr>
              <w:t>议约定小微企业的合同份额占到合同总金额30%</w:t>
            </w:r>
            <w:r>
              <w:rPr>
                <w:spacing w:val="4"/>
                <w:highlight w:val="none"/>
              </w:rPr>
              <w:t xml:space="preserve">  </w:t>
            </w:r>
            <w:r>
              <w:rPr>
                <w:spacing w:val="2"/>
                <w:highlight w:val="none"/>
              </w:rPr>
              <w:t>以上的，评标时在其投标报价得分的基础上增加</w:t>
            </w:r>
            <w:r>
              <w:rPr>
                <w:spacing w:val="3"/>
                <w:highlight w:val="none"/>
              </w:rPr>
              <w:t xml:space="preserve"> </w:t>
            </w:r>
            <w:r>
              <w:rPr>
                <w:color w:val="0000FF"/>
                <w:spacing w:val="-1"/>
                <w:highlight w:val="none"/>
              </w:rPr>
              <w:t>Q%</w:t>
            </w:r>
            <w:r>
              <w:rPr>
                <w:spacing w:val="-1"/>
                <w:highlight w:val="none"/>
              </w:rPr>
              <w:t>作为其投标报价最终得分。</w:t>
            </w:r>
          </w:p>
          <w:p w14:paraId="3D1787DF">
            <w:pPr>
              <w:pStyle w:val="6"/>
              <w:spacing w:line="220" w:lineRule="auto"/>
              <w:ind w:left="525"/>
              <w:rPr>
                <w:highlight w:val="none"/>
              </w:rPr>
            </w:pPr>
            <w:r>
              <w:rPr>
                <w:spacing w:val="3"/>
                <w:highlight w:val="none"/>
              </w:rPr>
              <w:t>即S=M×(1+Q%)</w:t>
            </w:r>
          </w:p>
          <w:p w14:paraId="3A165B32">
            <w:pPr>
              <w:pStyle w:val="6"/>
              <w:spacing w:before="137" w:line="218" w:lineRule="auto"/>
              <w:ind w:left="525"/>
              <w:rPr>
                <w:highlight w:val="none"/>
              </w:rPr>
            </w:pPr>
            <w:r>
              <w:rPr>
                <w:spacing w:val="9"/>
                <w:highlight w:val="none"/>
              </w:rPr>
              <w:t>S:投标报价最终得分；</w:t>
            </w:r>
          </w:p>
          <w:p w14:paraId="50968356">
            <w:pPr>
              <w:pStyle w:val="6"/>
              <w:spacing w:before="153" w:line="218" w:lineRule="auto"/>
              <w:ind w:left="525"/>
              <w:rPr>
                <w:highlight w:val="none"/>
              </w:rPr>
            </w:pPr>
            <w:r>
              <w:rPr>
                <w:spacing w:val="11"/>
                <w:highlight w:val="none"/>
              </w:rPr>
              <w:t>M:投标报价得分；</w:t>
            </w:r>
          </w:p>
          <w:p w14:paraId="23127E64">
            <w:pPr>
              <w:pStyle w:val="6"/>
              <w:spacing w:before="153" w:line="313" w:lineRule="auto"/>
              <w:ind w:left="125" w:right="98" w:firstLine="400"/>
              <w:rPr>
                <w:highlight w:val="none"/>
              </w:rPr>
            </w:pPr>
            <w:r>
              <w:rPr>
                <w:spacing w:val="-1"/>
                <w:highlight w:val="none"/>
              </w:rPr>
              <w:t>Q:为满足条件的联合体或者分包企业报价优</w:t>
            </w:r>
            <w:r>
              <w:rPr>
                <w:spacing w:val="12"/>
                <w:highlight w:val="none"/>
              </w:rPr>
              <w:t xml:space="preserve"> </w:t>
            </w:r>
            <w:r>
              <w:rPr>
                <w:spacing w:val="1"/>
                <w:highlight w:val="none"/>
              </w:rPr>
              <w:t>惠系数，范围为1-2的整数，由招标人确定。Q的</w:t>
            </w:r>
            <w:r>
              <w:rPr>
                <w:spacing w:val="2"/>
                <w:highlight w:val="none"/>
              </w:rPr>
              <w:t xml:space="preserve"> </w:t>
            </w:r>
            <w:r>
              <w:rPr>
                <w:highlight w:val="none"/>
              </w:rPr>
              <w:t>取值见第二章投标人须知前附表第10.2.2项。</w:t>
            </w:r>
          </w:p>
          <w:p w14:paraId="705AABF3">
            <w:pPr>
              <w:spacing w:line="479" w:lineRule="auto"/>
              <w:rPr>
                <w:rFonts w:ascii="Arial"/>
                <w:sz w:val="21"/>
                <w:highlight w:val="none"/>
              </w:rPr>
            </w:pPr>
          </w:p>
          <w:p w14:paraId="06C977D1">
            <w:pPr>
              <w:pStyle w:val="6"/>
              <w:spacing w:before="69" w:line="304" w:lineRule="auto"/>
              <w:ind w:left="125" w:right="115"/>
              <w:rPr>
                <w:highlight w:val="none"/>
              </w:rPr>
            </w:pPr>
            <w:r>
              <w:rPr>
                <w:highlight w:val="none"/>
              </w:rPr>
              <w:t>3.组成联合体或者接受分包的小微企业与联合体</w:t>
            </w:r>
            <w:r>
              <w:rPr>
                <w:spacing w:val="8"/>
                <w:highlight w:val="none"/>
              </w:rPr>
              <w:t xml:space="preserve"> </w:t>
            </w:r>
            <w:r>
              <w:rPr>
                <w:highlight w:val="none"/>
              </w:rPr>
              <w:t>内其他企业、分包企业之间存在直接控股、管理</w:t>
            </w:r>
            <w:r>
              <w:rPr>
                <w:spacing w:val="6"/>
                <w:highlight w:val="none"/>
              </w:rPr>
              <w:t xml:space="preserve"> </w:t>
            </w:r>
            <w:r>
              <w:rPr>
                <w:highlight w:val="none"/>
              </w:rPr>
              <w:t>关系的，不享受价格评审优惠政策。</w:t>
            </w:r>
          </w:p>
        </w:tc>
      </w:tr>
      <w:tr w14:paraId="1B4AD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944" w:type="dxa"/>
            <w:vMerge w:val="continue"/>
            <w:tcBorders>
              <w:top w:val="nil"/>
            </w:tcBorders>
            <w:vAlign w:val="top"/>
          </w:tcPr>
          <w:p w14:paraId="7110878E">
            <w:pPr>
              <w:rPr>
                <w:rFonts w:ascii="Arial"/>
                <w:sz w:val="21"/>
                <w:highlight w:val="none"/>
              </w:rPr>
            </w:pPr>
          </w:p>
        </w:tc>
        <w:tc>
          <w:tcPr>
            <w:tcW w:w="1049" w:type="dxa"/>
            <w:vMerge w:val="continue"/>
            <w:tcBorders>
              <w:top w:val="nil"/>
            </w:tcBorders>
            <w:vAlign w:val="top"/>
          </w:tcPr>
          <w:p w14:paraId="5754E8F1">
            <w:pPr>
              <w:rPr>
                <w:rFonts w:ascii="Arial"/>
                <w:sz w:val="21"/>
                <w:highlight w:val="none"/>
              </w:rPr>
            </w:pPr>
          </w:p>
        </w:tc>
        <w:tc>
          <w:tcPr>
            <w:tcW w:w="2547" w:type="dxa"/>
            <w:vAlign w:val="top"/>
          </w:tcPr>
          <w:p w14:paraId="2FEBB3FE">
            <w:pPr>
              <w:pStyle w:val="6"/>
              <w:spacing w:before="235" w:line="218" w:lineRule="auto"/>
              <w:ind w:left="421"/>
              <w:rPr>
                <w:highlight w:val="none"/>
              </w:rPr>
            </w:pPr>
            <w:r>
              <w:rPr>
                <w:spacing w:val="-2"/>
                <w:highlight w:val="none"/>
              </w:rPr>
              <w:t>投标报价最终得分</w:t>
            </w:r>
          </w:p>
        </w:tc>
        <w:tc>
          <w:tcPr>
            <w:tcW w:w="4670" w:type="dxa"/>
            <w:vAlign w:val="top"/>
          </w:tcPr>
          <w:p w14:paraId="04752887">
            <w:pPr>
              <w:rPr>
                <w:rFonts w:ascii="Arial"/>
                <w:sz w:val="21"/>
                <w:highlight w:val="none"/>
              </w:rPr>
            </w:pPr>
          </w:p>
        </w:tc>
      </w:tr>
      <w:tr w14:paraId="75E34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944" w:type="dxa"/>
            <w:vMerge w:val="restart"/>
            <w:tcBorders>
              <w:bottom w:val="nil"/>
            </w:tcBorders>
            <w:vAlign w:val="top"/>
          </w:tcPr>
          <w:p w14:paraId="0C6C337F">
            <w:pPr>
              <w:pStyle w:val="6"/>
              <w:spacing w:before="218" w:line="239" w:lineRule="auto"/>
              <w:ind w:left="195"/>
              <w:rPr>
                <w:highlight w:val="none"/>
              </w:rPr>
            </w:pPr>
            <w:r>
              <w:rPr>
                <w:spacing w:val="-2"/>
                <w:highlight w:val="none"/>
              </w:rPr>
              <w:t>2.2.4</w:t>
            </w:r>
          </w:p>
          <w:p w14:paraId="1D342028">
            <w:pPr>
              <w:pStyle w:val="6"/>
              <w:spacing w:before="140" w:line="222" w:lineRule="auto"/>
              <w:ind w:left="305"/>
              <w:rPr>
                <w:highlight w:val="none"/>
              </w:rPr>
            </w:pPr>
            <w:r>
              <w:rPr>
                <w:spacing w:val="-11"/>
                <w:highlight w:val="none"/>
              </w:rPr>
              <w:t>(5)</w:t>
            </w:r>
          </w:p>
        </w:tc>
        <w:tc>
          <w:tcPr>
            <w:tcW w:w="1049" w:type="dxa"/>
            <w:vMerge w:val="restart"/>
            <w:tcBorders>
              <w:bottom w:val="nil"/>
            </w:tcBorders>
            <w:vAlign w:val="top"/>
          </w:tcPr>
          <w:p w14:paraId="1545949D">
            <w:pPr>
              <w:pStyle w:val="6"/>
              <w:spacing w:before="188" w:line="324" w:lineRule="auto"/>
              <w:ind w:left="201" w:right="186"/>
              <w:jc w:val="both"/>
              <w:rPr>
                <w:highlight w:val="none"/>
              </w:rPr>
            </w:pPr>
            <w:r>
              <w:rPr>
                <w:spacing w:val="7"/>
                <w:highlight w:val="none"/>
              </w:rPr>
              <w:t>其他因</w:t>
            </w:r>
            <w:r>
              <w:rPr>
                <w:highlight w:val="none"/>
              </w:rPr>
              <w:t xml:space="preserve"> </w:t>
            </w:r>
            <w:r>
              <w:rPr>
                <w:spacing w:val="-4"/>
                <w:highlight w:val="none"/>
              </w:rPr>
              <w:t>素评分</w:t>
            </w:r>
            <w:r>
              <w:rPr>
                <w:highlight w:val="none"/>
              </w:rPr>
              <w:t xml:space="preserve"> </w:t>
            </w:r>
            <w:r>
              <w:rPr>
                <w:spacing w:val="45"/>
                <w:highlight w:val="none"/>
              </w:rPr>
              <w:t>标准</w:t>
            </w:r>
          </w:p>
        </w:tc>
        <w:tc>
          <w:tcPr>
            <w:tcW w:w="2547" w:type="dxa"/>
            <w:vAlign w:val="top"/>
          </w:tcPr>
          <w:p w14:paraId="38D9E5E3">
            <w:pPr>
              <w:rPr>
                <w:rFonts w:ascii="Arial"/>
                <w:sz w:val="21"/>
                <w:highlight w:val="none"/>
              </w:rPr>
            </w:pPr>
          </w:p>
        </w:tc>
        <w:tc>
          <w:tcPr>
            <w:tcW w:w="4670" w:type="dxa"/>
            <w:vAlign w:val="top"/>
          </w:tcPr>
          <w:p w14:paraId="6FA75E61">
            <w:pPr>
              <w:rPr>
                <w:rFonts w:ascii="Arial"/>
                <w:sz w:val="21"/>
                <w:highlight w:val="none"/>
              </w:rPr>
            </w:pPr>
          </w:p>
        </w:tc>
      </w:tr>
      <w:tr w14:paraId="40BF6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944" w:type="dxa"/>
            <w:vMerge w:val="continue"/>
            <w:tcBorders>
              <w:top w:val="nil"/>
            </w:tcBorders>
            <w:vAlign w:val="top"/>
          </w:tcPr>
          <w:p w14:paraId="50816079">
            <w:pPr>
              <w:rPr>
                <w:rFonts w:ascii="Arial"/>
                <w:sz w:val="21"/>
                <w:highlight w:val="none"/>
              </w:rPr>
            </w:pPr>
          </w:p>
        </w:tc>
        <w:tc>
          <w:tcPr>
            <w:tcW w:w="1049" w:type="dxa"/>
            <w:vMerge w:val="continue"/>
            <w:tcBorders>
              <w:top w:val="nil"/>
            </w:tcBorders>
            <w:vAlign w:val="top"/>
          </w:tcPr>
          <w:p w14:paraId="45CA3346">
            <w:pPr>
              <w:rPr>
                <w:rFonts w:ascii="Arial"/>
                <w:sz w:val="21"/>
                <w:highlight w:val="none"/>
              </w:rPr>
            </w:pPr>
          </w:p>
        </w:tc>
        <w:tc>
          <w:tcPr>
            <w:tcW w:w="2547" w:type="dxa"/>
            <w:vAlign w:val="top"/>
          </w:tcPr>
          <w:p w14:paraId="469160F2">
            <w:pPr>
              <w:rPr>
                <w:rFonts w:ascii="Arial"/>
                <w:sz w:val="21"/>
                <w:highlight w:val="none"/>
              </w:rPr>
            </w:pPr>
          </w:p>
        </w:tc>
        <w:tc>
          <w:tcPr>
            <w:tcW w:w="4670" w:type="dxa"/>
            <w:vAlign w:val="top"/>
          </w:tcPr>
          <w:p w14:paraId="451AA4D0">
            <w:pPr>
              <w:rPr>
                <w:rFonts w:ascii="Arial"/>
                <w:sz w:val="21"/>
                <w:highlight w:val="none"/>
              </w:rPr>
            </w:pPr>
          </w:p>
        </w:tc>
      </w:tr>
    </w:tbl>
    <w:p w14:paraId="230CDB3E">
      <w:pPr>
        <w:pStyle w:val="2"/>
        <w:rPr>
          <w:highlight w:val="none"/>
        </w:rPr>
      </w:pPr>
    </w:p>
    <w:p w14:paraId="63FD73B7">
      <w:pPr>
        <w:rPr>
          <w:highlight w:val="none"/>
        </w:rPr>
        <w:sectPr>
          <w:footerReference r:id="rId63" w:type="default"/>
          <w:pgSz w:w="11910" w:h="16840"/>
          <w:pgMar w:top="400" w:right="915" w:bottom="1217" w:left="1774" w:header="0" w:footer="1013" w:gutter="0"/>
          <w:cols w:space="720" w:num="1"/>
        </w:sectPr>
      </w:pPr>
    </w:p>
    <w:p w14:paraId="405674F7">
      <w:pPr>
        <w:pStyle w:val="2"/>
        <w:spacing w:line="250" w:lineRule="auto"/>
        <w:rPr>
          <w:highlight w:val="none"/>
        </w:rPr>
      </w:pPr>
    </w:p>
    <w:p w14:paraId="2266599B">
      <w:pPr>
        <w:pStyle w:val="2"/>
        <w:spacing w:line="250" w:lineRule="auto"/>
        <w:rPr>
          <w:highlight w:val="none"/>
        </w:rPr>
      </w:pPr>
    </w:p>
    <w:p w14:paraId="58327730">
      <w:pPr>
        <w:pStyle w:val="2"/>
        <w:spacing w:line="250" w:lineRule="auto"/>
        <w:rPr>
          <w:highlight w:val="none"/>
        </w:rPr>
      </w:pPr>
    </w:p>
    <w:p w14:paraId="40E69632">
      <w:pPr>
        <w:pStyle w:val="2"/>
        <w:spacing w:line="251" w:lineRule="auto"/>
        <w:rPr>
          <w:highlight w:val="none"/>
        </w:rPr>
      </w:pPr>
    </w:p>
    <w:p w14:paraId="0C55DEA1">
      <w:pPr>
        <w:spacing w:before="91" w:line="221" w:lineRule="auto"/>
        <w:outlineLvl w:val="1"/>
        <w:rPr>
          <w:rFonts w:ascii="黑体" w:hAnsi="黑体" w:eastAsia="黑体" w:cs="黑体"/>
          <w:sz w:val="28"/>
          <w:szCs w:val="28"/>
          <w:highlight w:val="none"/>
        </w:rPr>
      </w:pPr>
      <w:bookmarkStart w:id="67" w:name="bookmark32"/>
      <w:bookmarkEnd w:id="67"/>
      <w:r>
        <w:rPr>
          <w:rFonts w:ascii="黑体" w:hAnsi="黑体" w:eastAsia="黑体" w:cs="黑体"/>
          <w:spacing w:val="4"/>
          <w:sz w:val="28"/>
          <w:szCs w:val="28"/>
          <w:highlight w:val="none"/>
        </w:rPr>
        <w:t>评标办法正文部分</w:t>
      </w:r>
    </w:p>
    <w:p w14:paraId="428E579B">
      <w:pPr>
        <w:spacing w:before="192" w:line="221" w:lineRule="auto"/>
        <w:rPr>
          <w:rFonts w:ascii="黑体" w:hAnsi="黑体" w:eastAsia="黑体" w:cs="黑体"/>
          <w:sz w:val="22"/>
          <w:szCs w:val="22"/>
          <w:highlight w:val="none"/>
        </w:rPr>
      </w:pPr>
      <w:r>
        <w:rPr>
          <w:rFonts w:ascii="黑体" w:hAnsi="黑体" w:eastAsia="黑体" w:cs="黑体"/>
          <w:spacing w:val="-5"/>
          <w:sz w:val="22"/>
          <w:szCs w:val="22"/>
          <w:highlight w:val="none"/>
        </w:rPr>
        <w:t>1.</w:t>
      </w:r>
      <w:r>
        <w:rPr>
          <w:rFonts w:ascii="黑体" w:hAnsi="黑体" w:eastAsia="黑体" w:cs="黑体"/>
          <w:spacing w:val="-27"/>
          <w:sz w:val="22"/>
          <w:szCs w:val="22"/>
          <w:highlight w:val="none"/>
        </w:rPr>
        <w:t xml:space="preserve"> </w:t>
      </w:r>
      <w:r>
        <w:rPr>
          <w:rFonts w:ascii="黑体" w:hAnsi="黑体" w:eastAsia="黑体" w:cs="黑体"/>
          <w:spacing w:val="-5"/>
          <w:sz w:val="22"/>
          <w:szCs w:val="22"/>
          <w:highlight w:val="none"/>
        </w:rPr>
        <w:t>评标方法</w:t>
      </w:r>
    </w:p>
    <w:p w14:paraId="6905E459">
      <w:pPr>
        <w:spacing w:before="137" w:line="352" w:lineRule="auto"/>
        <w:ind w:right="37"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本次评标采用综合评估法。评标委员会对满足招标</w:t>
      </w:r>
      <w:r>
        <w:rPr>
          <w:rFonts w:ascii="宋体" w:hAnsi="宋体" w:eastAsia="宋体" w:cs="宋体"/>
          <w:spacing w:val="-3"/>
          <w:sz w:val="21"/>
          <w:szCs w:val="21"/>
          <w:highlight w:val="none"/>
        </w:rPr>
        <w:t>文件实质性要求的投标文件，按照本</w:t>
      </w:r>
      <w:r>
        <w:rPr>
          <w:rFonts w:ascii="宋体" w:hAnsi="宋体" w:eastAsia="宋体" w:cs="宋体"/>
          <w:sz w:val="21"/>
          <w:szCs w:val="21"/>
          <w:highlight w:val="none"/>
        </w:rPr>
        <w:t xml:space="preserve"> 章第2.2款规定的评分标准进行打分，并按得分由高到低顺序推荐中标候选人，或根据招标</w:t>
      </w:r>
      <w:r>
        <w:rPr>
          <w:rFonts w:ascii="宋体" w:hAnsi="宋体" w:eastAsia="宋体" w:cs="宋体"/>
          <w:spacing w:val="12"/>
          <w:sz w:val="21"/>
          <w:szCs w:val="21"/>
          <w:highlight w:val="none"/>
        </w:rPr>
        <w:t xml:space="preserve"> </w:t>
      </w:r>
      <w:r>
        <w:rPr>
          <w:rFonts w:ascii="宋体" w:hAnsi="宋体" w:eastAsia="宋体" w:cs="宋体"/>
          <w:spacing w:val="-2"/>
          <w:sz w:val="21"/>
          <w:szCs w:val="21"/>
          <w:highlight w:val="none"/>
        </w:rPr>
        <w:t>人授权直接确定中标人，但投标报价低于其成本的除外。综合评分相等时，以投</w:t>
      </w:r>
      <w:r>
        <w:rPr>
          <w:rFonts w:ascii="宋体" w:hAnsi="宋体" w:eastAsia="宋体" w:cs="宋体"/>
          <w:spacing w:val="-3"/>
          <w:sz w:val="21"/>
          <w:szCs w:val="21"/>
          <w:highlight w:val="none"/>
        </w:rPr>
        <w:t>标报价低的</w:t>
      </w:r>
      <w:r>
        <w:rPr>
          <w:rFonts w:ascii="宋体" w:hAnsi="宋体" w:eastAsia="宋体" w:cs="宋体"/>
          <w:sz w:val="21"/>
          <w:szCs w:val="21"/>
          <w:highlight w:val="none"/>
        </w:rPr>
        <w:t xml:space="preserve"> 优先；投标报价也相等的，由招标人或者经招标人授权评标委员</w:t>
      </w:r>
      <w:r>
        <w:rPr>
          <w:rFonts w:ascii="宋体" w:hAnsi="宋体" w:eastAsia="宋体" w:cs="宋体"/>
          <w:spacing w:val="-1"/>
          <w:sz w:val="21"/>
          <w:szCs w:val="21"/>
          <w:highlight w:val="none"/>
        </w:rPr>
        <w:t>会自行确定。</w:t>
      </w:r>
    </w:p>
    <w:p w14:paraId="004AB9EB">
      <w:pPr>
        <w:pStyle w:val="2"/>
        <w:spacing w:before="78" w:line="222" w:lineRule="auto"/>
        <w:rPr>
          <w:rFonts w:ascii="黑体" w:hAnsi="黑体" w:eastAsia="黑体" w:cs="黑体"/>
          <w:sz w:val="22"/>
          <w:szCs w:val="22"/>
          <w:highlight w:val="none"/>
        </w:rPr>
      </w:pPr>
      <w:r>
        <w:rPr>
          <w:spacing w:val="-2"/>
          <w:sz w:val="22"/>
          <w:szCs w:val="22"/>
          <w:highlight w:val="none"/>
        </w:rPr>
        <w:t xml:space="preserve">2.  </w:t>
      </w:r>
      <w:r>
        <w:rPr>
          <w:rFonts w:ascii="黑体" w:hAnsi="黑体" w:eastAsia="黑体" w:cs="黑体"/>
          <w:spacing w:val="-2"/>
          <w:sz w:val="22"/>
          <w:szCs w:val="22"/>
          <w:highlight w:val="none"/>
        </w:rPr>
        <w:t>评审标准</w:t>
      </w:r>
    </w:p>
    <w:p w14:paraId="2937529E">
      <w:pPr>
        <w:pStyle w:val="2"/>
        <w:spacing w:line="328" w:lineRule="auto"/>
        <w:rPr>
          <w:highlight w:val="none"/>
        </w:rPr>
      </w:pPr>
    </w:p>
    <w:p w14:paraId="013522D6">
      <w:pPr>
        <w:spacing w:before="85" w:line="219" w:lineRule="auto"/>
        <w:rPr>
          <w:rFonts w:ascii="宋体" w:hAnsi="宋体" w:eastAsia="宋体" w:cs="宋体"/>
          <w:sz w:val="26"/>
          <w:szCs w:val="26"/>
          <w:highlight w:val="none"/>
        </w:rPr>
      </w:pPr>
      <w:r>
        <w:rPr>
          <w:rFonts w:ascii="宋体" w:hAnsi="宋体" w:eastAsia="宋体" w:cs="宋体"/>
          <w:spacing w:val="-16"/>
          <w:sz w:val="26"/>
          <w:szCs w:val="26"/>
          <w:highlight w:val="none"/>
        </w:rPr>
        <w:t>2.1</w:t>
      </w:r>
      <w:r>
        <w:rPr>
          <w:rFonts w:ascii="宋体" w:hAnsi="宋体" w:eastAsia="宋体" w:cs="宋体"/>
          <w:spacing w:val="14"/>
          <w:sz w:val="26"/>
          <w:szCs w:val="26"/>
          <w:highlight w:val="none"/>
        </w:rPr>
        <w:t xml:space="preserve"> </w:t>
      </w:r>
      <w:r>
        <w:rPr>
          <w:rFonts w:ascii="宋体" w:hAnsi="宋体" w:eastAsia="宋体" w:cs="宋体"/>
          <w:b/>
          <w:bCs/>
          <w:spacing w:val="-16"/>
          <w:sz w:val="26"/>
          <w:szCs w:val="26"/>
          <w:highlight w:val="none"/>
        </w:rPr>
        <w:t>初步评审标准</w:t>
      </w:r>
    </w:p>
    <w:p w14:paraId="5D785D68">
      <w:pPr>
        <w:pStyle w:val="2"/>
        <w:spacing w:line="407" w:lineRule="auto"/>
        <w:rPr>
          <w:highlight w:val="none"/>
        </w:rPr>
      </w:pPr>
    </w:p>
    <w:p w14:paraId="38AA54D4">
      <w:pPr>
        <w:spacing w:before="72" w:line="219" w:lineRule="auto"/>
        <w:ind w:left="420"/>
        <w:rPr>
          <w:rFonts w:ascii="宋体" w:hAnsi="宋体" w:eastAsia="宋体" w:cs="宋体"/>
          <w:sz w:val="22"/>
          <w:szCs w:val="22"/>
          <w:highlight w:val="none"/>
        </w:rPr>
      </w:pPr>
      <w:r>
        <w:rPr>
          <w:rFonts w:ascii="宋体" w:hAnsi="宋体" w:eastAsia="宋体" w:cs="宋体"/>
          <w:spacing w:val="-9"/>
          <w:sz w:val="22"/>
          <w:szCs w:val="22"/>
          <w:highlight w:val="none"/>
        </w:rPr>
        <w:t>2.1.1形式评审标准：见评标办法前附表。</w:t>
      </w:r>
    </w:p>
    <w:p w14:paraId="1AC920E0">
      <w:pPr>
        <w:spacing w:before="149" w:line="219" w:lineRule="auto"/>
        <w:ind w:left="420"/>
        <w:rPr>
          <w:rFonts w:ascii="宋体" w:hAnsi="宋体" w:eastAsia="宋体" w:cs="宋体"/>
          <w:sz w:val="20"/>
          <w:szCs w:val="20"/>
          <w:highlight w:val="none"/>
        </w:rPr>
      </w:pPr>
      <w:r>
        <w:rPr>
          <w:rFonts w:ascii="宋体" w:hAnsi="宋体" w:eastAsia="宋体" w:cs="宋体"/>
          <w:spacing w:val="12"/>
          <w:sz w:val="20"/>
          <w:szCs w:val="20"/>
          <w:highlight w:val="none"/>
        </w:rPr>
        <w:t>2.1.2资格评审标准：见评标办法前附表(适用于未进行资格预审的)。</w:t>
      </w:r>
    </w:p>
    <w:p w14:paraId="35985F73">
      <w:pPr>
        <w:spacing w:before="183" w:line="290" w:lineRule="auto"/>
        <w:ind w:right="15" w:firstLine="420"/>
        <w:rPr>
          <w:rFonts w:ascii="宋体" w:hAnsi="宋体" w:eastAsia="宋体" w:cs="宋体"/>
          <w:sz w:val="20"/>
          <w:szCs w:val="20"/>
          <w:highlight w:val="none"/>
        </w:rPr>
      </w:pPr>
      <w:r>
        <w:rPr>
          <w:rFonts w:ascii="Times New Roman" w:hAnsi="Times New Roman" w:eastAsia="Times New Roman" w:cs="Times New Roman"/>
          <w:spacing w:val="12"/>
          <w:sz w:val="20"/>
          <w:szCs w:val="20"/>
          <w:highlight w:val="none"/>
        </w:rPr>
        <w:t>2.1.2</w:t>
      </w:r>
      <w:r>
        <w:rPr>
          <w:rFonts w:ascii="Times New Roman" w:hAnsi="Times New Roman" w:eastAsia="Times New Roman" w:cs="Times New Roman"/>
          <w:spacing w:val="18"/>
          <w:w w:val="101"/>
          <w:sz w:val="20"/>
          <w:szCs w:val="20"/>
          <w:highlight w:val="none"/>
        </w:rPr>
        <w:t xml:space="preserve">  </w:t>
      </w:r>
      <w:r>
        <w:rPr>
          <w:rFonts w:ascii="宋体" w:hAnsi="宋体" w:eastAsia="宋体" w:cs="宋体"/>
          <w:spacing w:val="12"/>
          <w:sz w:val="20"/>
          <w:szCs w:val="20"/>
          <w:highlight w:val="none"/>
        </w:rPr>
        <w:t>资格评审标准：见本标段资格预审文件第三章“资格审查办法”的审查标准(适</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用于已进行资格预审的)。</w:t>
      </w:r>
    </w:p>
    <w:p w14:paraId="51E2F78F">
      <w:pPr>
        <w:spacing w:before="151" w:line="219" w:lineRule="auto"/>
        <w:ind w:left="420"/>
        <w:rPr>
          <w:rFonts w:ascii="宋体" w:hAnsi="宋体" w:eastAsia="宋体" w:cs="宋体"/>
          <w:sz w:val="20"/>
          <w:szCs w:val="20"/>
          <w:highlight w:val="none"/>
        </w:rPr>
      </w:pPr>
      <w:r>
        <w:rPr>
          <w:rFonts w:ascii="宋体" w:hAnsi="宋体" w:eastAsia="宋体" w:cs="宋体"/>
          <w:spacing w:val="8"/>
          <w:sz w:val="20"/>
          <w:szCs w:val="20"/>
          <w:highlight w:val="none"/>
        </w:rPr>
        <w:t>2.1.3响应性评审标准：见评标办法前附表。</w:t>
      </w:r>
    </w:p>
    <w:p w14:paraId="290317DD">
      <w:pPr>
        <w:pStyle w:val="2"/>
        <w:spacing w:line="385" w:lineRule="auto"/>
        <w:rPr>
          <w:highlight w:val="none"/>
        </w:rPr>
      </w:pPr>
    </w:p>
    <w:p w14:paraId="7634B126">
      <w:pPr>
        <w:spacing w:before="79" w:line="219" w:lineRule="auto"/>
        <w:rPr>
          <w:rFonts w:ascii="宋体" w:hAnsi="宋体" w:eastAsia="宋体" w:cs="宋体"/>
          <w:sz w:val="24"/>
          <w:szCs w:val="24"/>
          <w:highlight w:val="none"/>
        </w:rPr>
      </w:pPr>
      <w:r>
        <w:rPr>
          <w:rFonts w:ascii="Times New Roman" w:hAnsi="Times New Roman" w:eastAsia="Times New Roman" w:cs="Times New Roman"/>
          <w:sz w:val="24"/>
          <w:szCs w:val="24"/>
          <w:highlight w:val="none"/>
        </w:rPr>
        <w:t>2.2</w:t>
      </w:r>
      <w:r>
        <w:rPr>
          <w:rFonts w:ascii="Times New Roman" w:hAnsi="Times New Roman" w:eastAsia="Times New Roman" w:cs="Times New Roman"/>
          <w:spacing w:val="15"/>
          <w:sz w:val="24"/>
          <w:szCs w:val="24"/>
          <w:highlight w:val="none"/>
        </w:rPr>
        <w:t xml:space="preserve">  </w:t>
      </w:r>
      <w:r>
        <w:rPr>
          <w:rFonts w:ascii="宋体" w:hAnsi="宋体" w:eastAsia="宋体" w:cs="宋体"/>
          <w:sz w:val="24"/>
          <w:szCs w:val="24"/>
          <w:highlight w:val="none"/>
        </w:rPr>
        <w:t>分值构成与评分标准</w:t>
      </w:r>
    </w:p>
    <w:p w14:paraId="44BE4067">
      <w:pPr>
        <w:pStyle w:val="2"/>
        <w:spacing w:line="356" w:lineRule="auto"/>
        <w:rPr>
          <w:highlight w:val="none"/>
        </w:rPr>
      </w:pPr>
    </w:p>
    <w:p w14:paraId="5251A26C">
      <w:pPr>
        <w:spacing w:before="65" w:line="219" w:lineRule="auto"/>
        <w:rPr>
          <w:rFonts w:ascii="宋体" w:hAnsi="宋体" w:eastAsia="宋体" w:cs="宋体"/>
          <w:sz w:val="20"/>
          <w:szCs w:val="20"/>
          <w:highlight w:val="none"/>
        </w:rPr>
      </w:pPr>
      <w:r>
        <w:rPr>
          <w:rFonts w:ascii="宋体" w:hAnsi="宋体" w:eastAsia="宋体" w:cs="宋体"/>
          <w:spacing w:val="7"/>
          <w:sz w:val="20"/>
          <w:szCs w:val="20"/>
          <w:highlight w:val="none"/>
        </w:rPr>
        <w:t>2.2.1分值构成</w:t>
      </w:r>
    </w:p>
    <w:p w14:paraId="23C27302">
      <w:pPr>
        <w:spacing w:before="142" w:line="219" w:lineRule="auto"/>
        <w:ind w:left="530"/>
        <w:rPr>
          <w:rFonts w:ascii="宋体" w:hAnsi="宋体" w:eastAsia="宋体" w:cs="宋体"/>
          <w:sz w:val="21"/>
          <w:szCs w:val="21"/>
          <w:highlight w:val="none"/>
        </w:rPr>
      </w:pPr>
      <w:r>
        <w:rPr>
          <w:rFonts w:ascii="宋体" w:hAnsi="宋体" w:eastAsia="宋体" w:cs="宋体"/>
          <w:spacing w:val="3"/>
          <w:sz w:val="21"/>
          <w:szCs w:val="21"/>
          <w:highlight w:val="none"/>
        </w:rPr>
        <w:t>(1)承包人建议书：见评标办法前附表；</w:t>
      </w:r>
    </w:p>
    <w:p w14:paraId="4058FB84">
      <w:pPr>
        <w:spacing w:before="160" w:line="219" w:lineRule="auto"/>
        <w:ind w:left="530"/>
        <w:rPr>
          <w:rFonts w:ascii="宋体" w:hAnsi="宋体" w:eastAsia="宋体" w:cs="宋体"/>
          <w:sz w:val="20"/>
          <w:szCs w:val="20"/>
          <w:highlight w:val="none"/>
        </w:rPr>
      </w:pPr>
      <w:r>
        <w:rPr>
          <w:rFonts w:ascii="宋体" w:hAnsi="宋体" w:eastAsia="宋体" w:cs="宋体"/>
          <w:spacing w:val="12"/>
          <w:sz w:val="20"/>
          <w:szCs w:val="20"/>
          <w:highlight w:val="none"/>
        </w:rPr>
        <w:t>(2)资信业绩部分：见评标办法前附表；</w:t>
      </w:r>
    </w:p>
    <w:p w14:paraId="0BD6E9ED">
      <w:pPr>
        <w:spacing w:before="153" w:line="219" w:lineRule="auto"/>
        <w:ind w:left="530"/>
        <w:rPr>
          <w:rFonts w:ascii="宋体" w:hAnsi="宋体" w:eastAsia="宋体" w:cs="宋体"/>
          <w:sz w:val="20"/>
          <w:szCs w:val="20"/>
          <w:highlight w:val="none"/>
        </w:rPr>
      </w:pPr>
      <w:r>
        <w:rPr>
          <w:rFonts w:ascii="宋体" w:hAnsi="宋体" w:eastAsia="宋体" w:cs="宋体"/>
          <w:spacing w:val="12"/>
          <w:sz w:val="20"/>
          <w:szCs w:val="20"/>
          <w:highlight w:val="none"/>
        </w:rPr>
        <w:t>(3)承包人实施方案：见评标办法前附表；</w:t>
      </w:r>
    </w:p>
    <w:p w14:paraId="7FB79757">
      <w:pPr>
        <w:spacing w:before="172" w:line="218" w:lineRule="auto"/>
        <w:ind w:left="530"/>
        <w:rPr>
          <w:rFonts w:ascii="宋体" w:hAnsi="宋体" w:eastAsia="宋体" w:cs="宋体"/>
          <w:sz w:val="20"/>
          <w:szCs w:val="20"/>
          <w:highlight w:val="none"/>
        </w:rPr>
      </w:pPr>
      <w:r>
        <w:rPr>
          <w:rFonts w:ascii="宋体" w:hAnsi="宋体" w:eastAsia="宋体" w:cs="宋体"/>
          <w:spacing w:val="12"/>
          <w:sz w:val="20"/>
          <w:szCs w:val="20"/>
          <w:highlight w:val="none"/>
        </w:rPr>
        <w:t>(4)投标报价：见评标办法前附表；</w:t>
      </w:r>
    </w:p>
    <w:p w14:paraId="3421AB1C">
      <w:pPr>
        <w:spacing w:before="145" w:line="219" w:lineRule="auto"/>
        <w:ind w:left="530"/>
        <w:rPr>
          <w:rFonts w:ascii="宋体" w:hAnsi="宋体" w:eastAsia="宋体" w:cs="宋体"/>
          <w:sz w:val="22"/>
          <w:szCs w:val="22"/>
          <w:highlight w:val="none"/>
        </w:rPr>
      </w:pPr>
      <w:r>
        <w:rPr>
          <w:rFonts w:ascii="宋体" w:hAnsi="宋体" w:eastAsia="宋体" w:cs="宋体"/>
          <w:spacing w:val="-4"/>
          <w:sz w:val="22"/>
          <w:szCs w:val="22"/>
          <w:highlight w:val="none"/>
        </w:rPr>
        <w:t>(5)其他评分因素：见评标办法前附表。</w:t>
      </w:r>
    </w:p>
    <w:p w14:paraId="61420A40">
      <w:pPr>
        <w:spacing w:before="68" w:line="218" w:lineRule="auto"/>
        <w:rPr>
          <w:rFonts w:ascii="宋体" w:hAnsi="宋体" w:eastAsia="宋体" w:cs="宋体"/>
          <w:sz w:val="20"/>
          <w:szCs w:val="20"/>
          <w:highlight w:val="none"/>
        </w:rPr>
      </w:pPr>
      <w:r>
        <w:rPr>
          <w:rFonts w:ascii="宋体" w:hAnsi="宋体" w:eastAsia="宋体" w:cs="宋体"/>
          <w:spacing w:val="7"/>
          <w:sz w:val="20"/>
          <w:szCs w:val="20"/>
          <w:highlight w:val="none"/>
        </w:rPr>
        <w:t>2.2.2评标基准价计算</w:t>
      </w:r>
    </w:p>
    <w:p w14:paraId="0A5076B7">
      <w:pPr>
        <w:spacing w:before="165" w:line="218"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评标基准价计算方法：见评标办法前附表。</w:t>
      </w:r>
    </w:p>
    <w:p w14:paraId="72FBB89E">
      <w:pPr>
        <w:spacing w:before="120" w:line="218" w:lineRule="auto"/>
        <w:ind w:left="420"/>
        <w:rPr>
          <w:rFonts w:ascii="宋体" w:hAnsi="宋体" w:eastAsia="宋体" w:cs="宋体"/>
          <w:sz w:val="22"/>
          <w:szCs w:val="22"/>
          <w:highlight w:val="none"/>
        </w:rPr>
      </w:pPr>
      <w:r>
        <w:rPr>
          <w:rFonts w:ascii="宋体" w:hAnsi="宋体" w:eastAsia="宋体" w:cs="宋体"/>
          <w:spacing w:val="-8"/>
          <w:sz w:val="22"/>
          <w:szCs w:val="22"/>
          <w:highlight w:val="none"/>
        </w:rPr>
        <w:t>2.2.3投标报价的偏差率计算</w:t>
      </w:r>
    </w:p>
    <w:p w14:paraId="5E9B60B5">
      <w:pPr>
        <w:spacing w:before="140" w:line="218"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投标报价的偏差率计算公式：见评标办法前附表。</w:t>
      </w:r>
    </w:p>
    <w:p w14:paraId="7BB768AA">
      <w:pPr>
        <w:spacing w:before="162" w:line="220" w:lineRule="auto"/>
        <w:ind w:left="420"/>
        <w:rPr>
          <w:rFonts w:ascii="宋体" w:hAnsi="宋体" w:eastAsia="宋体" w:cs="宋体"/>
          <w:sz w:val="20"/>
          <w:szCs w:val="20"/>
          <w:highlight w:val="none"/>
        </w:rPr>
      </w:pPr>
      <w:r>
        <w:rPr>
          <w:rFonts w:ascii="宋体" w:hAnsi="宋体" w:eastAsia="宋体" w:cs="宋体"/>
          <w:sz w:val="20"/>
          <w:szCs w:val="20"/>
          <w:highlight w:val="none"/>
        </w:rPr>
        <w:t>2.2.4</w:t>
      </w:r>
      <w:r>
        <w:rPr>
          <w:rFonts w:ascii="宋体" w:hAnsi="宋体" w:eastAsia="宋体" w:cs="宋体"/>
          <w:spacing w:val="-32"/>
          <w:sz w:val="20"/>
          <w:szCs w:val="20"/>
          <w:highlight w:val="none"/>
        </w:rPr>
        <w:t xml:space="preserve"> </w:t>
      </w:r>
      <w:r>
        <w:rPr>
          <w:rFonts w:ascii="宋体" w:hAnsi="宋体" w:eastAsia="宋体" w:cs="宋体"/>
          <w:sz w:val="20"/>
          <w:szCs w:val="20"/>
          <w:highlight w:val="none"/>
        </w:rPr>
        <w:t>评分标准</w:t>
      </w:r>
    </w:p>
    <w:p w14:paraId="3D0A009B">
      <w:pPr>
        <w:spacing w:before="140" w:line="219" w:lineRule="auto"/>
        <w:ind w:left="530"/>
        <w:rPr>
          <w:rFonts w:ascii="宋体" w:hAnsi="宋体" w:eastAsia="宋体" w:cs="宋体"/>
          <w:sz w:val="22"/>
          <w:szCs w:val="22"/>
          <w:highlight w:val="none"/>
        </w:rPr>
      </w:pPr>
      <w:r>
        <w:rPr>
          <w:rFonts w:ascii="宋体" w:hAnsi="宋体" w:eastAsia="宋体" w:cs="宋体"/>
          <w:spacing w:val="-7"/>
          <w:sz w:val="22"/>
          <w:szCs w:val="22"/>
          <w:highlight w:val="none"/>
        </w:rPr>
        <w:t>(1)承包人建议书评分标准：见评标办法前附表；</w:t>
      </w:r>
    </w:p>
    <w:p w14:paraId="353ABF53">
      <w:pPr>
        <w:spacing w:before="149" w:line="219" w:lineRule="auto"/>
        <w:ind w:left="530"/>
        <w:rPr>
          <w:rFonts w:ascii="宋体" w:hAnsi="宋体" w:eastAsia="宋体" w:cs="宋体"/>
          <w:sz w:val="22"/>
          <w:szCs w:val="22"/>
          <w:highlight w:val="none"/>
        </w:rPr>
      </w:pPr>
      <w:r>
        <w:rPr>
          <w:rFonts w:ascii="宋体" w:hAnsi="宋体" w:eastAsia="宋体" w:cs="宋体"/>
          <w:spacing w:val="-6"/>
          <w:sz w:val="22"/>
          <w:szCs w:val="22"/>
          <w:highlight w:val="none"/>
        </w:rPr>
        <w:t>(2)资信业绩评分标准：见评标办法前附表；</w:t>
      </w:r>
    </w:p>
    <w:p w14:paraId="6D2410E3">
      <w:pPr>
        <w:spacing w:before="159" w:line="219" w:lineRule="auto"/>
        <w:ind w:left="530"/>
        <w:rPr>
          <w:rFonts w:ascii="宋体" w:hAnsi="宋体" w:eastAsia="宋体" w:cs="宋体"/>
          <w:sz w:val="20"/>
          <w:szCs w:val="20"/>
          <w:highlight w:val="none"/>
        </w:rPr>
      </w:pPr>
      <w:r>
        <w:rPr>
          <w:rFonts w:ascii="宋体" w:hAnsi="宋体" w:eastAsia="宋体" w:cs="宋体"/>
          <w:spacing w:val="11"/>
          <w:sz w:val="20"/>
          <w:szCs w:val="20"/>
          <w:highlight w:val="none"/>
        </w:rPr>
        <w:t>(3)承包人实施方案评分标准：见评标办法前附表；</w:t>
      </w:r>
    </w:p>
    <w:p w14:paraId="489372D2">
      <w:pPr>
        <w:spacing w:before="143" w:line="218" w:lineRule="auto"/>
        <w:ind w:left="530"/>
        <w:rPr>
          <w:rFonts w:ascii="宋体" w:hAnsi="宋体" w:eastAsia="宋体" w:cs="宋体"/>
          <w:sz w:val="22"/>
          <w:szCs w:val="22"/>
          <w:highlight w:val="none"/>
        </w:rPr>
      </w:pPr>
      <w:r>
        <w:rPr>
          <w:rFonts w:ascii="宋体" w:hAnsi="宋体" w:eastAsia="宋体" w:cs="宋体"/>
          <w:spacing w:val="-6"/>
          <w:sz w:val="22"/>
          <w:szCs w:val="22"/>
          <w:highlight w:val="none"/>
        </w:rPr>
        <w:t>(4)投标报价评分标准：见评标办法前附表；</w:t>
      </w:r>
    </w:p>
    <w:p w14:paraId="0E31A082">
      <w:pPr>
        <w:spacing w:before="140" w:line="219" w:lineRule="auto"/>
        <w:ind w:left="530"/>
        <w:rPr>
          <w:rFonts w:ascii="宋体" w:hAnsi="宋体" w:eastAsia="宋体" w:cs="宋体"/>
          <w:sz w:val="22"/>
          <w:szCs w:val="22"/>
          <w:highlight w:val="none"/>
        </w:rPr>
      </w:pPr>
      <w:r>
        <w:rPr>
          <w:rFonts w:ascii="宋体" w:hAnsi="宋体" w:eastAsia="宋体" w:cs="宋体"/>
          <w:spacing w:val="-6"/>
          <w:sz w:val="22"/>
          <w:szCs w:val="22"/>
          <w:highlight w:val="none"/>
        </w:rPr>
        <w:t>(5)其他因素评分标准：见评标办法前附表。</w:t>
      </w:r>
    </w:p>
    <w:p w14:paraId="459B5196">
      <w:pPr>
        <w:spacing w:line="219" w:lineRule="auto"/>
        <w:rPr>
          <w:rFonts w:ascii="宋体" w:hAnsi="宋体" w:eastAsia="宋体" w:cs="宋体"/>
          <w:sz w:val="22"/>
          <w:szCs w:val="22"/>
          <w:highlight w:val="none"/>
        </w:rPr>
        <w:sectPr>
          <w:footerReference r:id="rId64" w:type="default"/>
          <w:pgSz w:w="11910" w:h="16840"/>
          <w:pgMar w:top="400" w:right="1786" w:bottom="1197" w:left="1769" w:header="0" w:footer="993" w:gutter="0"/>
          <w:cols w:space="720" w:num="1"/>
        </w:sectPr>
      </w:pPr>
    </w:p>
    <w:p w14:paraId="4E68816C">
      <w:pPr>
        <w:pStyle w:val="2"/>
        <w:spacing w:line="245" w:lineRule="auto"/>
        <w:rPr>
          <w:highlight w:val="none"/>
        </w:rPr>
      </w:pPr>
    </w:p>
    <w:p w14:paraId="7D205C92">
      <w:pPr>
        <w:pStyle w:val="2"/>
        <w:spacing w:line="245" w:lineRule="auto"/>
        <w:rPr>
          <w:highlight w:val="none"/>
        </w:rPr>
      </w:pPr>
    </w:p>
    <w:p w14:paraId="696DE558">
      <w:pPr>
        <w:pStyle w:val="2"/>
        <w:spacing w:line="245" w:lineRule="auto"/>
        <w:rPr>
          <w:highlight w:val="none"/>
        </w:rPr>
      </w:pPr>
    </w:p>
    <w:p w14:paraId="5EDAE442">
      <w:pPr>
        <w:pStyle w:val="2"/>
        <w:spacing w:line="245" w:lineRule="auto"/>
        <w:rPr>
          <w:highlight w:val="none"/>
        </w:rPr>
      </w:pPr>
    </w:p>
    <w:p w14:paraId="41672F8E">
      <w:pPr>
        <w:spacing w:before="71" w:line="222" w:lineRule="auto"/>
        <w:rPr>
          <w:rFonts w:ascii="黑体" w:hAnsi="黑体" w:eastAsia="黑体" w:cs="黑体"/>
          <w:sz w:val="22"/>
          <w:szCs w:val="22"/>
          <w:highlight w:val="none"/>
        </w:rPr>
      </w:pPr>
      <w:r>
        <w:rPr>
          <w:rFonts w:ascii="黑体" w:hAnsi="黑体" w:eastAsia="黑体" w:cs="黑体"/>
          <w:spacing w:val="-3"/>
          <w:sz w:val="22"/>
          <w:szCs w:val="22"/>
          <w:highlight w:val="none"/>
        </w:rPr>
        <w:t>3.</w:t>
      </w:r>
      <w:r>
        <w:rPr>
          <w:rFonts w:ascii="黑体" w:hAnsi="黑体" w:eastAsia="黑体" w:cs="黑体"/>
          <w:spacing w:val="-39"/>
          <w:sz w:val="22"/>
          <w:szCs w:val="22"/>
          <w:highlight w:val="none"/>
        </w:rPr>
        <w:t xml:space="preserve"> </w:t>
      </w:r>
      <w:r>
        <w:rPr>
          <w:rFonts w:ascii="黑体" w:hAnsi="黑体" w:eastAsia="黑体" w:cs="黑体"/>
          <w:spacing w:val="-3"/>
          <w:sz w:val="22"/>
          <w:szCs w:val="22"/>
          <w:highlight w:val="none"/>
        </w:rPr>
        <w:t>评标程序</w:t>
      </w:r>
    </w:p>
    <w:p w14:paraId="6ECD7671">
      <w:pPr>
        <w:spacing w:before="317" w:line="219" w:lineRule="auto"/>
        <w:rPr>
          <w:rFonts w:ascii="宋体" w:hAnsi="宋体" w:eastAsia="宋体" w:cs="宋体"/>
          <w:sz w:val="24"/>
          <w:szCs w:val="24"/>
          <w:highlight w:val="none"/>
        </w:rPr>
      </w:pPr>
      <w:r>
        <w:rPr>
          <w:rFonts w:ascii="宋体" w:hAnsi="宋体" w:eastAsia="宋体" w:cs="宋体"/>
          <w:spacing w:val="-10"/>
          <w:sz w:val="24"/>
          <w:szCs w:val="24"/>
          <w:highlight w:val="none"/>
        </w:rPr>
        <w:t>3.1</w:t>
      </w:r>
      <w:r>
        <w:rPr>
          <w:rFonts w:ascii="宋体" w:hAnsi="宋体" w:eastAsia="宋体" w:cs="宋体"/>
          <w:spacing w:val="32"/>
          <w:sz w:val="24"/>
          <w:szCs w:val="24"/>
          <w:highlight w:val="none"/>
        </w:rPr>
        <w:t xml:space="preserve"> </w:t>
      </w:r>
      <w:r>
        <w:rPr>
          <w:rFonts w:ascii="宋体" w:hAnsi="宋体" w:eastAsia="宋体" w:cs="宋体"/>
          <w:spacing w:val="-10"/>
          <w:sz w:val="24"/>
          <w:szCs w:val="24"/>
          <w:highlight w:val="none"/>
        </w:rPr>
        <w:t>初步评审</w:t>
      </w:r>
    </w:p>
    <w:p w14:paraId="74871355">
      <w:pPr>
        <w:pStyle w:val="2"/>
        <w:spacing w:line="433" w:lineRule="auto"/>
        <w:rPr>
          <w:highlight w:val="none"/>
        </w:rPr>
      </w:pPr>
    </w:p>
    <w:p w14:paraId="5E87CB1B">
      <w:pPr>
        <w:spacing w:before="68" w:line="314" w:lineRule="auto"/>
        <w:ind w:right="26" w:firstLine="430"/>
        <w:rPr>
          <w:rFonts w:ascii="宋体" w:hAnsi="宋体" w:eastAsia="宋体" w:cs="宋体"/>
          <w:sz w:val="21"/>
          <w:szCs w:val="21"/>
          <w:highlight w:val="none"/>
        </w:rPr>
      </w:pPr>
      <w:r>
        <w:rPr>
          <w:rFonts w:ascii="宋体" w:hAnsi="宋体" w:eastAsia="宋体" w:cs="宋体"/>
          <w:spacing w:val="1"/>
          <w:sz w:val="21"/>
          <w:szCs w:val="21"/>
          <w:highlight w:val="none"/>
        </w:rPr>
        <w:t>3.1.1评标委员会可以要求投标人提交第二章“投标人须知”第3.5.1项至第3.5.</w:t>
      </w:r>
      <w:r>
        <w:rPr>
          <w:rFonts w:ascii="宋体" w:hAnsi="宋体" w:eastAsia="宋体" w:cs="宋体"/>
          <w:sz w:val="21"/>
          <w:szCs w:val="21"/>
          <w:highlight w:val="none"/>
        </w:rPr>
        <w:t xml:space="preserve">5项规 </w:t>
      </w:r>
      <w:r>
        <w:rPr>
          <w:rFonts w:ascii="宋体" w:hAnsi="宋体" w:eastAsia="宋体" w:cs="宋体"/>
          <w:spacing w:val="1"/>
          <w:sz w:val="21"/>
          <w:szCs w:val="21"/>
          <w:highlight w:val="none"/>
        </w:rPr>
        <w:t>定的有关证明和证件的原件，以便核验。评标委员会依据</w:t>
      </w:r>
      <w:r>
        <w:rPr>
          <w:rFonts w:ascii="宋体" w:hAnsi="宋体" w:eastAsia="宋体" w:cs="宋体"/>
          <w:sz w:val="21"/>
          <w:szCs w:val="21"/>
          <w:highlight w:val="none"/>
        </w:rPr>
        <w:t xml:space="preserve">本章第2.1款规定的标准对投标文 </w:t>
      </w:r>
      <w:r>
        <w:rPr>
          <w:rFonts w:ascii="宋体" w:hAnsi="宋体" w:eastAsia="宋体" w:cs="宋体"/>
          <w:spacing w:val="1"/>
          <w:sz w:val="21"/>
          <w:szCs w:val="21"/>
          <w:highlight w:val="none"/>
        </w:rPr>
        <w:t>件进行初步评审。有一项不符合评审标准的，评标委员</w:t>
      </w:r>
      <w:r>
        <w:rPr>
          <w:rFonts w:ascii="宋体" w:hAnsi="宋体" w:eastAsia="宋体" w:cs="宋体"/>
          <w:sz w:val="21"/>
          <w:szCs w:val="21"/>
          <w:highlight w:val="none"/>
        </w:rPr>
        <w:t xml:space="preserve">会应当否决其投标。(适用于未进行 </w:t>
      </w:r>
      <w:r>
        <w:rPr>
          <w:rFonts w:ascii="宋体" w:hAnsi="宋体" w:eastAsia="宋体" w:cs="宋体"/>
          <w:spacing w:val="5"/>
          <w:sz w:val="21"/>
          <w:szCs w:val="21"/>
          <w:highlight w:val="none"/>
        </w:rPr>
        <w:t>资格预审的)</w:t>
      </w:r>
    </w:p>
    <w:p w14:paraId="475B0E09">
      <w:pPr>
        <w:tabs>
          <w:tab w:val="left" w:pos="110"/>
        </w:tabs>
        <w:spacing w:before="170" w:line="312" w:lineRule="auto"/>
        <w:ind w:firstLine="430"/>
        <w:rPr>
          <w:rFonts w:ascii="宋体" w:hAnsi="宋体" w:eastAsia="宋体" w:cs="宋体"/>
          <w:sz w:val="21"/>
          <w:szCs w:val="21"/>
          <w:highlight w:val="none"/>
        </w:rPr>
      </w:pPr>
      <w:r>
        <w:rPr>
          <w:rFonts w:ascii="宋体" w:hAnsi="宋体" w:eastAsia="宋体" w:cs="宋体"/>
          <w:sz w:val="21"/>
          <w:szCs w:val="21"/>
          <w:highlight w:val="none"/>
        </w:rPr>
        <w:t>3.1.1评标委员会依据本章第2.1.1项、第2.1.3项规定的评审标准对投标文件进行初步</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评审。有一项不符合评审标准的，评标委员会应当否决其投标。当投标人资格预审申请</w:t>
      </w:r>
      <w:r>
        <w:rPr>
          <w:rFonts w:ascii="宋体" w:hAnsi="宋体" w:eastAsia="宋体" w:cs="宋体"/>
          <w:spacing w:val="-3"/>
          <w:sz w:val="21"/>
          <w:szCs w:val="21"/>
          <w:highlight w:val="none"/>
        </w:rPr>
        <w:t>文件</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的内容发生重大变化时，评标委员会依据本章第2.1.2项规定的标准对其更新资料进行评</w:t>
      </w:r>
      <w:r>
        <w:rPr>
          <w:rFonts w:ascii="宋体" w:hAnsi="宋体" w:eastAsia="宋体" w:cs="宋体"/>
          <w:spacing w:val="-4"/>
          <w:sz w:val="21"/>
          <w:szCs w:val="21"/>
          <w:highlight w:val="none"/>
        </w:rPr>
        <w:t>审。</w:t>
      </w:r>
      <w:r>
        <w:rPr>
          <w:rFonts w:ascii="宋体" w:hAnsi="宋体" w:eastAsia="宋体" w:cs="宋体"/>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3"/>
          <w:sz w:val="21"/>
          <w:szCs w:val="21"/>
          <w:highlight w:val="none"/>
        </w:rPr>
        <w:t>(适用于已进行资格预审的)</w:t>
      </w:r>
    </w:p>
    <w:p w14:paraId="0E96AC39">
      <w:pPr>
        <w:spacing w:before="180"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3.1.2投标人有以下情形之一的，评标委员</w:t>
      </w:r>
      <w:r>
        <w:rPr>
          <w:rFonts w:ascii="宋体" w:hAnsi="宋体" w:eastAsia="宋体" w:cs="宋体"/>
          <w:spacing w:val="-11"/>
          <w:sz w:val="22"/>
          <w:szCs w:val="22"/>
          <w:highlight w:val="none"/>
        </w:rPr>
        <w:t>会应当否决其投标：</w:t>
      </w:r>
    </w:p>
    <w:p w14:paraId="436B2C2E">
      <w:pPr>
        <w:spacing w:before="129" w:line="219" w:lineRule="auto"/>
        <w:ind w:left="550"/>
        <w:rPr>
          <w:rFonts w:ascii="宋体" w:hAnsi="宋体" w:eastAsia="宋体" w:cs="宋体"/>
          <w:sz w:val="22"/>
          <w:szCs w:val="22"/>
          <w:highlight w:val="none"/>
        </w:rPr>
      </w:pPr>
      <w:r>
        <w:rPr>
          <w:rFonts w:ascii="宋体" w:hAnsi="宋体" w:eastAsia="宋体" w:cs="宋体"/>
          <w:spacing w:val="-7"/>
          <w:sz w:val="22"/>
          <w:szCs w:val="22"/>
          <w:highlight w:val="none"/>
        </w:rPr>
        <w:t>(1)不按评标委员会要求澄清、说明或补正的；</w:t>
      </w:r>
    </w:p>
    <w:p w14:paraId="66FB1F49">
      <w:pPr>
        <w:spacing w:before="139" w:line="219" w:lineRule="auto"/>
        <w:ind w:left="550"/>
        <w:rPr>
          <w:rFonts w:ascii="宋体" w:hAnsi="宋体" w:eastAsia="宋体" w:cs="宋体"/>
          <w:sz w:val="22"/>
          <w:szCs w:val="22"/>
          <w:highlight w:val="none"/>
        </w:rPr>
      </w:pPr>
      <w:r>
        <w:rPr>
          <w:rFonts w:ascii="宋体" w:hAnsi="宋体" w:eastAsia="宋体" w:cs="宋体"/>
          <w:spacing w:val="-10"/>
          <w:sz w:val="22"/>
          <w:szCs w:val="22"/>
          <w:highlight w:val="none"/>
        </w:rPr>
        <w:t>(2) 串通投标或弄虚作假或有其他违法行为的。</w:t>
      </w:r>
    </w:p>
    <w:p w14:paraId="2DBF84E0">
      <w:pPr>
        <w:spacing w:before="151" w:line="220" w:lineRule="auto"/>
        <w:ind w:left="630"/>
        <w:rPr>
          <w:rFonts w:ascii="宋体" w:hAnsi="宋体" w:eastAsia="宋体" w:cs="宋体"/>
          <w:sz w:val="22"/>
          <w:szCs w:val="22"/>
          <w:highlight w:val="none"/>
        </w:rPr>
      </w:pPr>
      <w:r>
        <w:rPr>
          <w:rFonts w:ascii="宋体" w:hAnsi="宋体" w:eastAsia="宋体" w:cs="宋体"/>
          <w:spacing w:val="-7"/>
          <w:sz w:val="22"/>
          <w:szCs w:val="22"/>
          <w:highlight w:val="none"/>
        </w:rPr>
        <w:t>1)有下列情形之一的，属于投标人相互串通投标：</w:t>
      </w:r>
    </w:p>
    <w:p w14:paraId="2A4A89EE">
      <w:pPr>
        <w:pStyle w:val="2"/>
        <w:spacing w:before="125" w:line="218" w:lineRule="auto"/>
        <w:ind w:left="840"/>
        <w:rPr>
          <w:rFonts w:ascii="宋体" w:hAnsi="宋体" w:eastAsia="宋体" w:cs="宋体"/>
          <w:sz w:val="22"/>
          <w:szCs w:val="22"/>
          <w:highlight w:val="none"/>
        </w:rPr>
      </w:pPr>
      <w:r>
        <w:rPr>
          <w:spacing w:val="-11"/>
          <w:sz w:val="22"/>
          <w:szCs w:val="22"/>
          <w:highlight w:val="none"/>
        </w:rPr>
        <w:t>a.</w:t>
      </w:r>
      <w:r>
        <w:rPr>
          <w:rFonts w:ascii="宋体" w:hAnsi="宋体" w:eastAsia="宋体" w:cs="宋体"/>
          <w:spacing w:val="-11"/>
          <w:sz w:val="22"/>
          <w:szCs w:val="22"/>
          <w:highlight w:val="none"/>
        </w:rPr>
        <w:t>投标人之间协商投标报价等投标文件的实质性内容；</w:t>
      </w:r>
    </w:p>
    <w:p w14:paraId="1557392C">
      <w:pPr>
        <w:pStyle w:val="2"/>
        <w:spacing w:before="116" w:line="273" w:lineRule="exact"/>
        <w:ind w:left="840"/>
        <w:rPr>
          <w:rFonts w:ascii="宋体" w:hAnsi="宋体" w:eastAsia="宋体" w:cs="宋体"/>
          <w:sz w:val="20"/>
          <w:szCs w:val="20"/>
          <w:highlight w:val="none"/>
        </w:rPr>
      </w:pPr>
      <w:r>
        <w:rPr>
          <w:spacing w:val="4"/>
          <w:position w:val="1"/>
          <w:sz w:val="20"/>
          <w:szCs w:val="20"/>
          <w:highlight w:val="none"/>
        </w:rPr>
        <w:t>b.</w:t>
      </w:r>
      <w:r>
        <w:rPr>
          <w:rFonts w:ascii="宋体" w:hAnsi="宋体" w:eastAsia="宋体" w:cs="宋体"/>
          <w:spacing w:val="4"/>
          <w:position w:val="1"/>
          <w:sz w:val="20"/>
          <w:szCs w:val="20"/>
          <w:highlight w:val="none"/>
        </w:rPr>
        <w:t>投标人之间约定中标人；</w:t>
      </w:r>
    </w:p>
    <w:p w14:paraId="28659510">
      <w:pPr>
        <w:pStyle w:val="2"/>
        <w:spacing w:before="183" w:line="219" w:lineRule="auto"/>
        <w:ind w:left="840"/>
        <w:rPr>
          <w:rFonts w:ascii="宋体" w:hAnsi="宋体" w:eastAsia="宋体" w:cs="宋体"/>
          <w:sz w:val="20"/>
          <w:szCs w:val="20"/>
          <w:highlight w:val="none"/>
        </w:rPr>
      </w:pPr>
      <w:r>
        <w:rPr>
          <w:spacing w:val="7"/>
          <w:sz w:val="20"/>
          <w:szCs w:val="20"/>
          <w:highlight w:val="none"/>
        </w:rPr>
        <w:t>c.</w:t>
      </w:r>
      <w:r>
        <w:rPr>
          <w:rFonts w:ascii="宋体" w:hAnsi="宋体" w:eastAsia="宋体" w:cs="宋体"/>
          <w:spacing w:val="7"/>
          <w:sz w:val="20"/>
          <w:szCs w:val="20"/>
          <w:highlight w:val="none"/>
        </w:rPr>
        <w:t>投标人之间约定部分投标人放弃投标或中标；</w:t>
      </w:r>
    </w:p>
    <w:p w14:paraId="5841EB8E">
      <w:pPr>
        <w:pStyle w:val="2"/>
        <w:spacing w:before="115" w:line="273" w:lineRule="exact"/>
        <w:ind w:left="840"/>
        <w:rPr>
          <w:rFonts w:ascii="宋体" w:hAnsi="宋体" w:eastAsia="宋体" w:cs="宋体"/>
          <w:sz w:val="20"/>
          <w:szCs w:val="20"/>
          <w:highlight w:val="none"/>
        </w:rPr>
      </w:pPr>
      <w:r>
        <w:rPr>
          <w:spacing w:val="8"/>
          <w:position w:val="1"/>
          <w:sz w:val="20"/>
          <w:szCs w:val="20"/>
          <w:highlight w:val="none"/>
        </w:rPr>
        <w:t>d.</w:t>
      </w:r>
      <w:r>
        <w:rPr>
          <w:rFonts w:ascii="宋体" w:hAnsi="宋体" w:eastAsia="宋体" w:cs="宋体"/>
          <w:spacing w:val="8"/>
          <w:position w:val="1"/>
          <w:sz w:val="20"/>
          <w:szCs w:val="20"/>
          <w:highlight w:val="none"/>
        </w:rPr>
        <w:t>属于同一集团、协会、商会等组织成员的投标人按照该组织要求协同投标；</w:t>
      </w:r>
    </w:p>
    <w:p w14:paraId="1042F16D">
      <w:pPr>
        <w:spacing w:before="134" w:line="219" w:lineRule="auto"/>
        <w:ind w:left="8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e.</w:t>
      </w:r>
      <w:r>
        <w:rPr>
          <w:rFonts w:ascii="宋体" w:hAnsi="宋体" w:eastAsia="宋体" w:cs="宋体"/>
          <w:spacing w:val="-9"/>
          <w:sz w:val="22"/>
          <w:szCs w:val="22"/>
          <w:highlight w:val="none"/>
        </w:rPr>
        <w:t>投标人之间为谋取中标或排斥特定投标人而采取的其他联合行动。</w:t>
      </w:r>
    </w:p>
    <w:p w14:paraId="6B996624">
      <w:pPr>
        <w:spacing w:before="161" w:line="220" w:lineRule="auto"/>
        <w:ind w:left="630"/>
        <w:rPr>
          <w:rFonts w:ascii="宋体" w:hAnsi="宋体" w:eastAsia="宋体" w:cs="宋体"/>
          <w:sz w:val="22"/>
          <w:szCs w:val="22"/>
          <w:highlight w:val="none"/>
        </w:rPr>
      </w:pPr>
      <w:r>
        <w:rPr>
          <w:rFonts w:ascii="宋体" w:hAnsi="宋体" w:eastAsia="宋体" w:cs="宋体"/>
          <w:spacing w:val="-7"/>
          <w:sz w:val="22"/>
          <w:szCs w:val="22"/>
          <w:highlight w:val="none"/>
        </w:rPr>
        <w:t>2)有下列情形之一的，视为投标人相互串通投标：</w:t>
      </w:r>
    </w:p>
    <w:p w14:paraId="153098D7">
      <w:pPr>
        <w:pStyle w:val="2"/>
        <w:spacing w:before="146" w:line="219" w:lineRule="auto"/>
        <w:ind w:left="840"/>
        <w:rPr>
          <w:rFonts w:ascii="宋体" w:hAnsi="宋体" w:eastAsia="宋体" w:cs="宋体"/>
          <w:sz w:val="20"/>
          <w:szCs w:val="20"/>
          <w:highlight w:val="none"/>
        </w:rPr>
      </w:pPr>
      <w:r>
        <w:rPr>
          <w:spacing w:val="7"/>
          <w:sz w:val="20"/>
          <w:szCs w:val="20"/>
          <w:highlight w:val="none"/>
        </w:rPr>
        <w:t>a.</w:t>
      </w:r>
      <w:r>
        <w:rPr>
          <w:rFonts w:ascii="宋体" w:hAnsi="宋体" w:eastAsia="宋体" w:cs="宋体"/>
          <w:spacing w:val="7"/>
          <w:sz w:val="20"/>
          <w:szCs w:val="20"/>
          <w:highlight w:val="none"/>
        </w:rPr>
        <w:t>不同投标人的投标文件由同一单位或个人编制；</w:t>
      </w:r>
    </w:p>
    <w:p w14:paraId="64BFF67C">
      <w:pPr>
        <w:pStyle w:val="2"/>
        <w:spacing w:before="137" w:line="272" w:lineRule="exact"/>
        <w:ind w:left="840"/>
        <w:rPr>
          <w:rFonts w:ascii="宋体" w:hAnsi="宋体" w:eastAsia="宋体" w:cs="宋体"/>
          <w:sz w:val="20"/>
          <w:szCs w:val="20"/>
          <w:highlight w:val="none"/>
        </w:rPr>
      </w:pPr>
      <w:r>
        <w:rPr>
          <w:spacing w:val="7"/>
          <w:position w:val="1"/>
          <w:sz w:val="20"/>
          <w:szCs w:val="20"/>
          <w:highlight w:val="none"/>
        </w:rPr>
        <w:t>b.</w:t>
      </w:r>
      <w:r>
        <w:rPr>
          <w:rFonts w:ascii="宋体" w:hAnsi="宋体" w:eastAsia="宋体" w:cs="宋体"/>
          <w:spacing w:val="7"/>
          <w:position w:val="1"/>
          <w:sz w:val="20"/>
          <w:szCs w:val="20"/>
          <w:highlight w:val="none"/>
        </w:rPr>
        <w:t>不同投标人委托同一单位或个人办理投标事宜；</w:t>
      </w:r>
    </w:p>
    <w:p w14:paraId="2A2705F7">
      <w:pPr>
        <w:spacing w:before="161" w:line="219" w:lineRule="auto"/>
        <w:ind w:left="840"/>
        <w:rPr>
          <w:rFonts w:ascii="宋体" w:hAnsi="宋体" w:eastAsia="宋体" w:cs="宋体"/>
          <w:sz w:val="20"/>
          <w:szCs w:val="20"/>
          <w:highlight w:val="none"/>
        </w:rPr>
      </w:pPr>
      <w:r>
        <w:rPr>
          <w:rFonts w:ascii="Times New Roman" w:hAnsi="Times New Roman" w:eastAsia="Times New Roman" w:cs="Times New Roman"/>
          <w:b/>
          <w:bCs/>
          <w:spacing w:val="5"/>
          <w:sz w:val="20"/>
          <w:szCs w:val="20"/>
          <w:highlight w:val="none"/>
        </w:rPr>
        <w:t>c.</w:t>
      </w:r>
      <w:r>
        <w:rPr>
          <w:rFonts w:ascii="Times New Roman" w:hAnsi="Times New Roman" w:eastAsia="Times New Roman" w:cs="Times New Roman"/>
          <w:b/>
          <w:bCs/>
          <w:spacing w:val="-18"/>
          <w:sz w:val="20"/>
          <w:szCs w:val="20"/>
          <w:highlight w:val="none"/>
        </w:rPr>
        <w:t xml:space="preserve"> </w:t>
      </w:r>
      <w:r>
        <w:rPr>
          <w:rFonts w:ascii="宋体" w:hAnsi="宋体" w:eastAsia="宋体" w:cs="宋体"/>
          <w:b/>
          <w:bCs/>
          <w:spacing w:val="5"/>
          <w:sz w:val="20"/>
          <w:szCs w:val="20"/>
          <w:highlight w:val="none"/>
        </w:rPr>
        <w:t>不同投标人的投标文件载明的项目管理成员为同一</w:t>
      </w:r>
      <w:r>
        <w:rPr>
          <w:rFonts w:ascii="宋体" w:hAnsi="宋体" w:eastAsia="宋体" w:cs="宋体"/>
          <w:b/>
          <w:bCs/>
          <w:spacing w:val="4"/>
          <w:sz w:val="20"/>
          <w:szCs w:val="20"/>
          <w:highlight w:val="none"/>
        </w:rPr>
        <w:t>人；</w:t>
      </w:r>
    </w:p>
    <w:p w14:paraId="6F3EBC90">
      <w:pPr>
        <w:pStyle w:val="2"/>
        <w:spacing w:before="118" w:line="273" w:lineRule="exact"/>
        <w:ind w:left="840"/>
        <w:rPr>
          <w:rFonts w:ascii="宋体" w:hAnsi="宋体" w:eastAsia="宋体" w:cs="宋体"/>
          <w:sz w:val="20"/>
          <w:szCs w:val="20"/>
          <w:highlight w:val="none"/>
        </w:rPr>
      </w:pPr>
      <w:r>
        <w:rPr>
          <w:spacing w:val="7"/>
          <w:position w:val="1"/>
          <w:sz w:val="20"/>
          <w:szCs w:val="20"/>
          <w:highlight w:val="none"/>
        </w:rPr>
        <w:t>d.</w:t>
      </w:r>
      <w:r>
        <w:rPr>
          <w:rFonts w:ascii="宋体" w:hAnsi="宋体" w:eastAsia="宋体" w:cs="宋体"/>
          <w:spacing w:val="7"/>
          <w:position w:val="1"/>
          <w:sz w:val="20"/>
          <w:szCs w:val="20"/>
          <w:highlight w:val="none"/>
        </w:rPr>
        <w:t>不同投标人的投标文件异常一致或投标报价呈规律性差异；</w:t>
      </w:r>
    </w:p>
    <w:p w14:paraId="25A8E4D6">
      <w:pPr>
        <w:pStyle w:val="2"/>
        <w:spacing w:before="136" w:line="219" w:lineRule="auto"/>
        <w:ind w:left="840"/>
        <w:rPr>
          <w:rFonts w:ascii="宋体" w:hAnsi="宋体" w:eastAsia="宋体" w:cs="宋体"/>
          <w:sz w:val="22"/>
          <w:szCs w:val="22"/>
          <w:highlight w:val="none"/>
        </w:rPr>
      </w:pPr>
      <w:r>
        <w:rPr>
          <w:spacing w:val="-11"/>
          <w:sz w:val="22"/>
          <w:szCs w:val="22"/>
          <w:highlight w:val="none"/>
        </w:rPr>
        <w:t>e.</w:t>
      </w:r>
      <w:r>
        <w:rPr>
          <w:rFonts w:ascii="宋体" w:hAnsi="宋体" w:eastAsia="宋体" w:cs="宋体"/>
          <w:spacing w:val="-11"/>
          <w:sz w:val="22"/>
          <w:szCs w:val="22"/>
          <w:highlight w:val="none"/>
        </w:rPr>
        <w:t>不同投标人的投标文件相互混装；</w:t>
      </w:r>
    </w:p>
    <w:p w14:paraId="03C16626">
      <w:pPr>
        <w:spacing w:before="159" w:line="219" w:lineRule="auto"/>
        <w:ind w:left="84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f.</w:t>
      </w:r>
      <w:r>
        <w:rPr>
          <w:rFonts w:ascii="宋体" w:hAnsi="宋体" w:eastAsia="宋体" w:cs="宋体"/>
          <w:spacing w:val="-11"/>
          <w:sz w:val="22"/>
          <w:szCs w:val="22"/>
          <w:highlight w:val="none"/>
        </w:rPr>
        <w:t>不同投标人的投标保证金从同一单位或个人的账户转出；</w:t>
      </w:r>
    </w:p>
    <w:p w14:paraId="7ADA1845">
      <w:pPr>
        <w:pStyle w:val="2"/>
        <w:spacing w:before="135" w:line="212" w:lineRule="auto"/>
        <w:ind w:left="840"/>
        <w:rPr>
          <w:rFonts w:ascii="宋体" w:hAnsi="宋体" w:eastAsia="宋体" w:cs="宋体"/>
          <w:highlight w:val="none"/>
        </w:rPr>
      </w:pPr>
      <w:r>
        <w:rPr>
          <w:spacing w:val="-12"/>
          <w:highlight w:val="none"/>
        </w:rPr>
        <w:t>g.</w:t>
      </w:r>
      <w:r>
        <w:rPr>
          <w:rFonts w:ascii="宋体" w:hAnsi="宋体" w:eastAsia="宋体" w:cs="宋体"/>
          <w:spacing w:val="-12"/>
          <w:highlight w:val="none"/>
        </w:rPr>
        <w:t>不同投标人的投标文件存在“文件创建标识码”、“文件制作机器码</w:t>
      </w:r>
      <w:r>
        <w:rPr>
          <w:rFonts w:ascii="宋体" w:hAnsi="宋体" w:eastAsia="宋体" w:cs="宋体"/>
          <w:spacing w:val="-13"/>
          <w:highlight w:val="none"/>
        </w:rPr>
        <w:t>”一致等情形。</w:t>
      </w:r>
    </w:p>
    <w:p w14:paraId="3544C84D">
      <w:pPr>
        <w:spacing w:before="163" w:line="220" w:lineRule="auto"/>
        <w:ind w:left="630"/>
        <w:rPr>
          <w:rFonts w:ascii="宋体" w:hAnsi="宋体" w:eastAsia="宋体" w:cs="宋体"/>
          <w:sz w:val="22"/>
          <w:szCs w:val="22"/>
          <w:highlight w:val="none"/>
        </w:rPr>
      </w:pPr>
      <w:r>
        <w:rPr>
          <w:rFonts w:ascii="宋体" w:hAnsi="宋体" w:eastAsia="宋体" w:cs="宋体"/>
          <w:spacing w:val="-7"/>
          <w:sz w:val="22"/>
          <w:szCs w:val="22"/>
          <w:highlight w:val="none"/>
        </w:rPr>
        <w:t>3)有下列情形之一的，属于招标人与投标人串通投标：</w:t>
      </w:r>
    </w:p>
    <w:p w14:paraId="1473631D">
      <w:pPr>
        <w:spacing w:before="137" w:line="219" w:lineRule="auto"/>
        <w:ind w:left="84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a.</w:t>
      </w:r>
      <w:r>
        <w:rPr>
          <w:rFonts w:ascii="宋体" w:hAnsi="宋体" w:eastAsia="宋体" w:cs="宋体"/>
          <w:spacing w:val="-10"/>
          <w:sz w:val="22"/>
          <w:szCs w:val="22"/>
          <w:highlight w:val="none"/>
        </w:rPr>
        <w:t>招标人在开标前开启投标文件并将有关信息泄露给其他投标人；</w:t>
      </w:r>
    </w:p>
    <w:p w14:paraId="426B836A">
      <w:pPr>
        <w:pStyle w:val="2"/>
        <w:spacing w:before="89" w:line="300" w:lineRule="exact"/>
        <w:ind w:left="840"/>
        <w:rPr>
          <w:rFonts w:ascii="宋体" w:hAnsi="宋体" w:eastAsia="宋体" w:cs="宋体"/>
          <w:sz w:val="22"/>
          <w:szCs w:val="22"/>
          <w:highlight w:val="none"/>
        </w:rPr>
      </w:pPr>
      <w:r>
        <w:rPr>
          <w:spacing w:val="-11"/>
          <w:position w:val="1"/>
          <w:sz w:val="22"/>
          <w:szCs w:val="22"/>
          <w:highlight w:val="none"/>
        </w:rPr>
        <w:t>b.</w:t>
      </w:r>
      <w:r>
        <w:rPr>
          <w:rFonts w:ascii="宋体" w:hAnsi="宋体" w:eastAsia="宋体" w:cs="宋体"/>
          <w:spacing w:val="-11"/>
          <w:position w:val="1"/>
          <w:sz w:val="22"/>
          <w:szCs w:val="22"/>
          <w:highlight w:val="none"/>
        </w:rPr>
        <w:t>招标人直接或间接向投标人泄露标底、评标委员会成员等信息；</w:t>
      </w:r>
    </w:p>
    <w:p w14:paraId="46B520B1">
      <w:pPr>
        <w:pStyle w:val="2"/>
        <w:spacing w:before="168" w:line="218" w:lineRule="auto"/>
        <w:ind w:left="840"/>
        <w:rPr>
          <w:rFonts w:ascii="宋体" w:hAnsi="宋体" w:eastAsia="宋体" w:cs="宋体"/>
          <w:sz w:val="20"/>
          <w:szCs w:val="20"/>
          <w:highlight w:val="none"/>
        </w:rPr>
      </w:pPr>
      <w:r>
        <w:rPr>
          <w:spacing w:val="6"/>
          <w:sz w:val="20"/>
          <w:szCs w:val="20"/>
          <w:highlight w:val="none"/>
        </w:rPr>
        <w:t>c.</w:t>
      </w:r>
      <w:r>
        <w:rPr>
          <w:rFonts w:ascii="宋体" w:hAnsi="宋体" w:eastAsia="宋体" w:cs="宋体"/>
          <w:spacing w:val="6"/>
          <w:sz w:val="20"/>
          <w:szCs w:val="20"/>
          <w:highlight w:val="none"/>
        </w:rPr>
        <w:t>招标人明示或暗示投标人压低或抬高投标报价；</w:t>
      </w:r>
    </w:p>
    <w:p w14:paraId="22C5A1EC">
      <w:pPr>
        <w:pStyle w:val="2"/>
        <w:spacing w:before="129" w:line="273" w:lineRule="exact"/>
        <w:ind w:left="840"/>
        <w:rPr>
          <w:rFonts w:ascii="宋体" w:hAnsi="宋体" w:eastAsia="宋体" w:cs="宋体"/>
          <w:sz w:val="20"/>
          <w:szCs w:val="20"/>
          <w:highlight w:val="none"/>
        </w:rPr>
      </w:pPr>
      <w:r>
        <w:rPr>
          <w:spacing w:val="7"/>
          <w:position w:val="1"/>
          <w:sz w:val="20"/>
          <w:szCs w:val="20"/>
          <w:highlight w:val="none"/>
        </w:rPr>
        <w:t>d.</w:t>
      </w:r>
      <w:r>
        <w:rPr>
          <w:rFonts w:ascii="宋体" w:hAnsi="宋体" w:eastAsia="宋体" w:cs="宋体"/>
          <w:spacing w:val="7"/>
          <w:position w:val="1"/>
          <w:sz w:val="20"/>
          <w:szCs w:val="20"/>
          <w:highlight w:val="none"/>
        </w:rPr>
        <w:t>招标人授意投标人撤换、修改投标文件；</w:t>
      </w:r>
    </w:p>
    <w:p w14:paraId="36DCDA95">
      <w:pPr>
        <w:pStyle w:val="2"/>
        <w:spacing w:before="152" w:line="219" w:lineRule="auto"/>
        <w:ind w:left="840"/>
        <w:rPr>
          <w:rFonts w:ascii="宋体" w:hAnsi="宋体" w:eastAsia="宋体" w:cs="宋体"/>
          <w:sz w:val="20"/>
          <w:szCs w:val="20"/>
          <w:highlight w:val="none"/>
        </w:rPr>
      </w:pPr>
      <w:r>
        <w:rPr>
          <w:spacing w:val="7"/>
          <w:sz w:val="20"/>
          <w:szCs w:val="20"/>
          <w:highlight w:val="none"/>
        </w:rPr>
        <w:t>e.</w:t>
      </w:r>
      <w:r>
        <w:rPr>
          <w:rFonts w:ascii="宋体" w:hAnsi="宋体" w:eastAsia="宋体" w:cs="宋体"/>
          <w:spacing w:val="7"/>
          <w:sz w:val="20"/>
          <w:szCs w:val="20"/>
          <w:highlight w:val="none"/>
        </w:rPr>
        <w:t>招标人明示或暗示投标人为特定投标人中标提供方便；</w:t>
      </w:r>
    </w:p>
    <w:p w14:paraId="38615607">
      <w:pPr>
        <w:spacing w:line="219" w:lineRule="auto"/>
        <w:rPr>
          <w:rFonts w:ascii="宋体" w:hAnsi="宋体" w:eastAsia="宋体" w:cs="宋体"/>
          <w:sz w:val="20"/>
          <w:szCs w:val="20"/>
          <w:highlight w:val="none"/>
        </w:rPr>
        <w:sectPr>
          <w:footerReference r:id="rId65" w:type="default"/>
          <w:pgSz w:w="11910" w:h="16840"/>
          <w:pgMar w:top="400" w:right="1755" w:bottom="1217" w:left="1779" w:header="0" w:footer="1013" w:gutter="0"/>
          <w:cols w:space="720" w:num="1"/>
        </w:sectPr>
      </w:pPr>
    </w:p>
    <w:p w14:paraId="5CD5866E">
      <w:pPr>
        <w:pStyle w:val="2"/>
        <w:spacing w:line="267" w:lineRule="auto"/>
        <w:rPr>
          <w:highlight w:val="none"/>
        </w:rPr>
      </w:pPr>
    </w:p>
    <w:p w14:paraId="358D1AD2">
      <w:pPr>
        <w:pStyle w:val="2"/>
        <w:spacing w:line="267" w:lineRule="auto"/>
        <w:rPr>
          <w:highlight w:val="none"/>
        </w:rPr>
      </w:pPr>
    </w:p>
    <w:p w14:paraId="6F09F341">
      <w:pPr>
        <w:pStyle w:val="2"/>
        <w:spacing w:line="267" w:lineRule="auto"/>
        <w:rPr>
          <w:highlight w:val="none"/>
        </w:rPr>
      </w:pPr>
    </w:p>
    <w:p w14:paraId="736183C5">
      <w:pPr>
        <w:pStyle w:val="2"/>
        <w:spacing w:line="268" w:lineRule="auto"/>
        <w:rPr>
          <w:highlight w:val="none"/>
        </w:rPr>
      </w:pPr>
    </w:p>
    <w:p w14:paraId="05788B8F">
      <w:pPr>
        <w:spacing w:before="72" w:line="219" w:lineRule="auto"/>
        <w:ind w:left="8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f.</w:t>
      </w:r>
      <w:r>
        <w:rPr>
          <w:rFonts w:ascii="宋体" w:hAnsi="宋体" w:eastAsia="宋体" w:cs="宋体"/>
          <w:spacing w:val="-9"/>
          <w:sz w:val="22"/>
          <w:szCs w:val="22"/>
          <w:highlight w:val="none"/>
        </w:rPr>
        <w:t>招标人与投标人为谋求特定投标人中标而</w:t>
      </w:r>
      <w:r>
        <w:rPr>
          <w:rFonts w:ascii="宋体" w:hAnsi="宋体" w:eastAsia="宋体" w:cs="宋体"/>
          <w:spacing w:val="-10"/>
          <w:sz w:val="22"/>
          <w:szCs w:val="22"/>
          <w:highlight w:val="none"/>
        </w:rPr>
        <w:t>采取的其他串通行为。</w:t>
      </w:r>
    </w:p>
    <w:p w14:paraId="42A4D03F">
      <w:pPr>
        <w:spacing w:before="139" w:line="219" w:lineRule="auto"/>
        <w:ind w:left="640"/>
        <w:rPr>
          <w:rFonts w:ascii="宋体" w:hAnsi="宋体" w:eastAsia="宋体" w:cs="宋体"/>
          <w:sz w:val="22"/>
          <w:szCs w:val="22"/>
          <w:highlight w:val="none"/>
        </w:rPr>
      </w:pPr>
      <w:r>
        <w:rPr>
          <w:rFonts w:ascii="宋体" w:hAnsi="宋体" w:eastAsia="宋体" w:cs="宋体"/>
          <w:spacing w:val="-7"/>
          <w:sz w:val="22"/>
          <w:szCs w:val="22"/>
          <w:highlight w:val="none"/>
        </w:rPr>
        <w:t>4)投标人有下列情形之一的，属于弄虚作假的行为：</w:t>
      </w:r>
    </w:p>
    <w:p w14:paraId="76CF336C">
      <w:pPr>
        <w:pStyle w:val="2"/>
        <w:spacing w:before="158" w:line="219" w:lineRule="auto"/>
        <w:ind w:left="830"/>
        <w:rPr>
          <w:rFonts w:ascii="宋体" w:hAnsi="宋体" w:eastAsia="宋体" w:cs="宋体"/>
          <w:sz w:val="20"/>
          <w:szCs w:val="20"/>
          <w:highlight w:val="none"/>
        </w:rPr>
      </w:pPr>
      <w:r>
        <w:rPr>
          <w:spacing w:val="7"/>
          <w:sz w:val="20"/>
          <w:szCs w:val="20"/>
          <w:highlight w:val="none"/>
        </w:rPr>
        <w:t>a.</w:t>
      </w:r>
      <w:r>
        <w:rPr>
          <w:rFonts w:ascii="宋体" w:hAnsi="宋体" w:eastAsia="宋体" w:cs="宋体"/>
          <w:spacing w:val="7"/>
          <w:sz w:val="20"/>
          <w:szCs w:val="20"/>
          <w:highlight w:val="none"/>
        </w:rPr>
        <w:t>使用通过受让或租借等方式获取的资格、资质证书投标；</w:t>
      </w:r>
    </w:p>
    <w:p w14:paraId="68F794B8">
      <w:pPr>
        <w:pStyle w:val="2"/>
        <w:spacing w:before="127" w:line="273" w:lineRule="exact"/>
        <w:ind w:left="830"/>
        <w:rPr>
          <w:rFonts w:ascii="宋体" w:hAnsi="宋体" w:eastAsia="宋体" w:cs="宋体"/>
          <w:sz w:val="20"/>
          <w:szCs w:val="20"/>
          <w:highlight w:val="none"/>
        </w:rPr>
      </w:pPr>
      <w:r>
        <w:rPr>
          <w:spacing w:val="5"/>
          <w:position w:val="1"/>
          <w:sz w:val="20"/>
          <w:szCs w:val="20"/>
          <w:highlight w:val="none"/>
        </w:rPr>
        <w:t>b.</w:t>
      </w:r>
      <w:r>
        <w:rPr>
          <w:rFonts w:ascii="宋体" w:hAnsi="宋体" w:eastAsia="宋体" w:cs="宋体"/>
          <w:spacing w:val="5"/>
          <w:position w:val="1"/>
          <w:sz w:val="20"/>
          <w:szCs w:val="20"/>
          <w:highlight w:val="none"/>
        </w:rPr>
        <w:t>使用伪造、变造的许可证件；</w:t>
      </w:r>
    </w:p>
    <w:p w14:paraId="4164C4BE">
      <w:pPr>
        <w:pStyle w:val="2"/>
        <w:spacing w:before="172" w:line="219" w:lineRule="auto"/>
        <w:ind w:left="830"/>
        <w:rPr>
          <w:rFonts w:ascii="宋体" w:hAnsi="宋体" w:eastAsia="宋体" w:cs="宋体"/>
          <w:sz w:val="20"/>
          <w:szCs w:val="20"/>
          <w:highlight w:val="none"/>
        </w:rPr>
      </w:pPr>
      <w:r>
        <w:rPr>
          <w:spacing w:val="4"/>
          <w:sz w:val="20"/>
          <w:szCs w:val="20"/>
          <w:highlight w:val="none"/>
        </w:rPr>
        <w:t>c.</w:t>
      </w:r>
      <w:r>
        <w:rPr>
          <w:rFonts w:ascii="宋体" w:hAnsi="宋体" w:eastAsia="宋体" w:cs="宋体"/>
          <w:spacing w:val="4"/>
          <w:sz w:val="20"/>
          <w:szCs w:val="20"/>
          <w:highlight w:val="none"/>
        </w:rPr>
        <w:t>提供虚假的业绩；</w:t>
      </w:r>
    </w:p>
    <w:p w14:paraId="3C380645">
      <w:pPr>
        <w:spacing w:before="120" w:line="219" w:lineRule="auto"/>
        <w:ind w:left="830"/>
        <w:rPr>
          <w:rFonts w:ascii="宋体" w:hAnsi="宋体" w:eastAsia="宋体" w:cs="宋体"/>
          <w:sz w:val="22"/>
          <w:szCs w:val="22"/>
          <w:highlight w:val="none"/>
        </w:rPr>
      </w:pPr>
      <w:r>
        <w:rPr>
          <w:rFonts w:ascii="Times New Roman" w:hAnsi="Times New Roman" w:eastAsia="Times New Roman" w:cs="Times New Roman"/>
          <w:b/>
          <w:bCs/>
          <w:spacing w:val="-13"/>
          <w:sz w:val="22"/>
          <w:szCs w:val="22"/>
          <w:highlight w:val="none"/>
        </w:rPr>
        <w:t>d.</w:t>
      </w:r>
      <w:r>
        <w:rPr>
          <w:rFonts w:ascii="宋体" w:hAnsi="宋体" w:eastAsia="宋体" w:cs="宋体"/>
          <w:b/>
          <w:bCs/>
          <w:spacing w:val="-13"/>
          <w:sz w:val="22"/>
          <w:szCs w:val="22"/>
          <w:highlight w:val="none"/>
        </w:rPr>
        <w:t>提供虚假的项目负责人或主要技术人员简历、劳动关系证明；</w:t>
      </w:r>
    </w:p>
    <w:p w14:paraId="59BC5AE6">
      <w:pPr>
        <w:pStyle w:val="2"/>
        <w:spacing w:before="181" w:line="219" w:lineRule="auto"/>
        <w:ind w:left="830"/>
        <w:rPr>
          <w:rFonts w:ascii="宋体" w:hAnsi="宋体" w:eastAsia="宋体" w:cs="宋体"/>
          <w:sz w:val="20"/>
          <w:szCs w:val="20"/>
          <w:highlight w:val="none"/>
        </w:rPr>
      </w:pPr>
      <w:r>
        <w:rPr>
          <w:spacing w:val="4"/>
          <w:sz w:val="20"/>
          <w:szCs w:val="20"/>
          <w:highlight w:val="none"/>
        </w:rPr>
        <w:t>e.</w:t>
      </w:r>
      <w:r>
        <w:rPr>
          <w:rFonts w:ascii="宋体" w:hAnsi="宋体" w:eastAsia="宋体" w:cs="宋体"/>
          <w:spacing w:val="4"/>
          <w:sz w:val="20"/>
          <w:szCs w:val="20"/>
          <w:highlight w:val="none"/>
        </w:rPr>
        <w:t>提供虚假的信用状况；</w:t>
      </w:r>
    </w:p>
    <w:p w14:paraId="5D079EE8">
      <w:pPr>
        <w:spacing w:before="133" w:line="219" w:lineRule="auto"/>
        <w:ind w:left="83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f.</w:t>
      </w:r>
      <w:r>
        <w:rPr>
          <w:rFonts w:ascii="宋体" w:hAnsi="宋体" w:eastAsia="宋体" w:cs="宋体"/>
          <w:spacing w:val="-10"/>
          <w:sz w:val="22"/>
          <w:szCs w:val="22"/>
          <w:highlight w:val="none"/>
        </w:rPr>
        <w:t>其他弄虚作假的行为。</w:t>
      </w:r>
    </w:p>
    <w:p w14:paraId="4DF5FB40">
      <w:pPr>
        <w:spacing w:before="149" w:line="352" w:lineRule="auto"/>
        <w:ind w:firstLine="420"/>
        <w:rPr>
          <w:rFonts w:ascii="宋体" w:hAnsi="宋体" w:eastAsia="宋体" w:cs="宋体"/>
          <w:sz w:val="21"/>
          <w:szCs w:val="21"/>
          <w:highlight w:val="none"/>
        </w:rPr>
      </w:pPr>
      <w:r>
        <w:rPr>
          <w:rFonts w:ascii="宋体" w:hAnsi="宋体" w:eastAsia="宋体" w:cs="宋体"/>
          <w:spacing w:val="1"/>
          <w:sz w:val="21"/>
          <w:szCs w:val="21"/>
          <w:highlight w:val="none"/>
        </w:rPr>
        <w:t>3.1.3投标报价有算术错误的，评标委员会按以下原则对投标报价进行</w:t>
      </w:r>
      <w:r>
        <w:rPr>
          <w:rFonts w:ascii="宋体" w:hAnsi="宋体" w:eastAsia="宋体" w:cs="宋体"/>
          <w:sz w:val="21"/>
          <w:szCs w:val="21"/>
          <w:highlight w:val="none"/>
        </w:rPr>
        <w:t xml:space="preserve">修正，修正的价 </w:t>
      </w:r>
      <w:r>
        <w:rPr>
          <w:rFonts w:ascii="宋体" w:hAnsi="宋体" w:eastAsia="宋体" w:cs="宋体"/>
          <w:spacing w:val="-5"/>
          <w:sz w:val="21"/>
          <w:szCs w:val="21"/>
          <w:highlight w:val="none"/>
        </w:rPr>
        <w:t>格经投标人书面确认后具有约束力。投标人不接受修正价格的，评标委员会应当否决其投标。</w:t>
      </w:r>
    </w:p>
    <w:p w14:paraId="01D502F8">
      <w:pPr>
        <w:spacing w:before="1"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(1)投标文件中的大写金额与小写金额不一致的，以大写金额为准；</w:t>
      </w:r>
    </w:p>
    <w:p w14:paraId="24EBE051">
      <w:pPr>
        <w:spacing w:before="116" w:line="218" w:lineRule="auto"/>
        <w:ind w:left="529"/>
        <w:rPr>
          <w:rFonts w:ascii="宋体" w:hAnsi="宋体" w:eastAsia="宋体" w:cs="宋体"/>
          <w:sz w:val="21"/>
          <w:szCs w:val="21"/>
          <w:highlight w:val="none"/>
        </w:rPr>
      </w:pPr>
      <w:r>
        <w:rPr>
          <w:rFonts w:ascii="宋体" w:hAnsi="宋体" w:eastAsia="宋体" w:cs="宋体"/>
          <w:spacing w:val="3"/>
          <w:sz w:val="21"/>
          <w:szCs w:val="21"/>
          <w:highlight w:val="none"/>
        </w:rPr>
        <w:t>(2)总价金额与依据单价计算出的结果不一致的，以单价金额为准修正总价，但</w:t>
      </w:r>
      <w:r>
        <w:rPr>
          <w:rFonts w:ascii="宋体" w:hAnsi="宋体" w:eastAsia="宋体" w:cs="宋体"/>
          <w:spacing w:val="2"/>
          <w:sz w:val="21"/>
          <w:szCs w:val="21"/>
          <w:highlight w:val="none"/>
        </w:rPr>
        <w:t>单价</w:t>
      </w:r>
    </w:p>
    <w:p w14:paraId="039C7FD6">
      <w:pPr>
        <w:spacing w:before="184" w:line="219" w:lineRule="auto"/>
        <w:rPr>
          <w:rFonts w:ascii="宋体" w:hAnsi="宋体" w:eastAsia="宋体" w:cs="宋体"/>
          <w:sz w:val="21"/>
          <w:szCs w:val="21"/>
          <w:highlight w:val="none"/>
        </w:rPr>
      </w:pPr>
      <w:r>
        <w:rPr>
          <w:rFonts w:ascii="宋体" w:hAnsi="宋体" w:eastAsia="宋体" w:cs="宋体"/>
          <w:spacing w:val="-3"/>
          <w:sz w:val="21"/>
          <w:szCs w:val="21"/>
          <w:highlight w:val="none"/>
        </w:rPr>
        <w:t>金额小数点有明显错误的除外。</w:t>
      </w:r>
    </w:p>
    <w:p w14:paraId="4ADE06FD">
      <w:pPr>
        <w:spacing w:before="130" w:line="318" w:lineRule="auto"/>
        <w:ind w:right="87" w:firstLine="420"/>
        <w:rPr>
          <w:rFonts w:ascii="宋体" w:hAnsi="宋体" w:eastAsia="宋体" w:cs="宋体"/>
          <w:sz w:val="21"/>
          <w:szCs w:val="21"/>
          <w:highlight w:val="none"/>
        </w:rPr>
      </w:pPr>
      <w:r>
        <w:rPr>
          <w:rFonts w:ascii="宋体" w:hAnsi="宋体" w:eastAsia="宋体" w:cs="宋体"/>
          <w:sz w:val="21"/>
          <w:szCs w:val="21"/>
          <w:highlight w:val="none"/>
        </w:rPr>
        <w:t>3.1.4评标委员会发现投标人的报价明显低于其他投标报价，或者在设有标底时明显低</w:t>
      </w:r>
      <w:r>
        <w:rPr>
          <w:rFonts w:ascii="宋体" w:hAnsi="宋体" w:eastAsia="宋体" w:cs="宋体"/>
          <w:spacing w:val="17"/>
          <w:sz w:val="21"/>
          <w:szCs w:val="21"/>
          <w:highlight w:val="none"/>
        </w:rPr>
        <w:t xml:space="preserve"> </w:t>
      </w:r>
      <w:r>
        <w:rPr>
          <w:rFonts w:ascii="宋体" w:hAnsi="宋体" w:eastAsia="宋体" w:cs="宋体"/>
          <w:spacing w:val="-2"/>
          <w:sz w:val="21"/>
          <w:szCs w:val="21"/>
          <w:highlight w:val="none"/>
        </w:rPr>
        <w:t>于标底，使得其投标报价可能低于其个别成本的，应当要求该投标人作出书面说明</w:t>
      </w:r>
      <w:r>
        <w:rPr>
          <w:rFonts w:ascii="宋体" w:hAnsi="宋体" w:eastAsia="宋体" w:cs="宋体"/>
          <w:spacing w:val="-3"/>
          <w:sz w:val="21"/>
          <w:szCs w:val="21"/>
          <w:highlight w:val="none"/>
        </w:rPr>
        <w:t>并提供相</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应的证明材料。投标人不能合理说明或者不能提供相应证明材料的</w:t>
      </w:r>
      <w:r>
        <w:rPr>
          <w:rFonts w:ascii="宋体" w:hAnsi="宋体" w:eastAsia="宋体" w:cs="宋体"/>
          <w:spacing w:val="-3"/>
          <w:sz w:val="21"/>
          <w:szCs w:val="21"/>
          <w:highlight w:val="none"/>
        </w:rPr>
        <w:t>，评标委员会应当认定该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投标人以低于成本报价竞标，应当否决其投标。</w:t>
      </w:r>
    </w:p>
    <w:p w14:paraId="2FB9944D">
      <w:pPr>
        <w:spacing w:before="173" w:line="294" w:lineRule="auto"/>
        <w:ind w:right="124" w:firstLine="42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3.1.5  </w:t>
      </w:r>
      <w:r>
        <w:rPr>
          <w:rFonts w:ascii="宋体" w:hAnsi="宋体" w:eastAsia="宋体" w:cs="宋体"/>
          <w:spacing w:val="9"/>
          <w:sz w:val="20"/>
          <w:szCs w:val="20"/>
          <w:highlight w:val="none"/>
        </w:rPr>
        <w:t>评标委员会否决不合格投标后，因有</w:t>
      </w:r>
      <w:r>
        <w:rPr>
          <w:rFonts w:ascii="宋体" w:hAnsi="宋体" w:eastAsia="宋体" w:cs="宋体"/>
          <w:spacing w:val="8"/>
          <w:sz w:val="20"/>
          <w:szCs w:val="20"/>
          <w:highlight w:val="none"/>
        </w:rPr>
        <w:t>效投标不足三个使得投标明显缺乏竞争的，</w:t>
      </w:r>
      <w:r>
        <w:rPr>
          <w:rFonts w:ascii="宋体" w:hAnsi="宋体" w:eastAsia="宋体" w:cs="宋体"/>
          <w:sz w:val="20"/>
          <w:szCs w:val="20"/>
          <w:highlight w:val="none"/>
        </w:rPr>
        <w:t xml:space="preserve"> </w:t>
      </w:r>
      <w:r>
        <w:rPr>
          <w:rFonts w:ascii="宋体" w:hAnsi="宋体" w:eastAsia="宋体" w:cs="宋体"/>
          <w:spacing w:val="7"/>
          <w:sz w:val="20"/>
          <w:szCs w:val="20"/>
          <w:highlight w:val="none"/>
        </w:rPr>
        <w:t>评标委员会可以否决全部投标。</w:t>
      </w:r>
    </w:p>
    <w:p w14:paraId="0B7247D4">
      <w:pPr>
        <w:pStyle w:val="2"/>
        <w:spacing w:line="256" w:lineRule="auto"/>
        <w:rPr>
          <w:highlight w:val="none"/>
        </w:rPr>
      </w:pPr>
    </w:p>
    <w:p w14:paraId="06BE7E1D">
      <w:pPr>
        <w:spacing w:before="79" w:line="220" w:lineRule="auto"/>
        <w:rPr>
          <w:rFonts w:ascii="宋体" w:hAnsi="宋体" w:eastAsia="宋体" w:cs="宋体"/>
          <w:sz w:val="24"/>
          <w:szCs w:val="24"/>
          <w:highlight w:val="none"/>
        </w:rPr>
      </w:pPr>
      <w:r>
        <w:rPr>
          <w:rFonts w:ascii="Times New Roman" w:hAnsi="Times New Roman" w:eastAsia="Times New Roman" w:cs="Times New Roman"/>
          <w:spacing w:val="1"/>
          <w:sz w:val="24"/>
          <w:szCs w:val="24"/>
          <w:highlight w:val="none"/>
        </w:rPr>
        <w:t>3.2</w:t>
      </w:r>
      <w:r>
        <w:rPr>
          <w:rFonts w:ascii="Times New Roman" w:hAnsi="Times New Roman" w:eastAsia="Times New Roman" w:cs="Times New Roman"/>
          <w:spacing w:val="11"/>
          <w:sz w:val="24"/>
          <w:szCs w:val="24"/>
          <w:highlight w:val="none"/>
        </w:rPr>
        <w:t xml:space="preserve">  </w:t>
      </w:r>
      <w:r>
        <w:rPr>
          <w:rFonts w:ascii="宋体" w:hAnsi="宋体" w:eastAsia="宋体" w:cs="宋体"/>
          <w:spacing w:val="1"/>
          <w:sz w:val="24"/>
          <w:szCs w:val="24"/>
          <w:highlight w:val="none"/>
        </w:rPr>
        <w:t>详细评审</w:t>
      </w:r>
    </w:p>
    <w:p w14:paraId="68F8FC68">
      <w:pPr>
        <w:pStyle w:val="2"/>
        <w:spacing w:line="420" w:lineRule="auto"/>
        <w:rPr>
          <w:highlight w:val="none"/>
        </w:rPr>
      </w:pPr>
    </w:p>
    <w:p w14:paraId="18F2917B">
      <w:pPr>
        <w:spacing w:before="68" w:line="336" w:lineRule="auto"/>
        <w:ind w:right="75" w:firstLine="420"/>
        <w:rPr>
          <w:rFonts w:ascii="宋体" w:hAnsi="宋体" w:eastAsia="宋体" w:cs="宋体"/>
          <w:sz w:val="21"/>
          <w:szCs w:val="21"/>
          <w:highlight w:val="none"/>
        </w:rPr>
      </w:pPr>
      <w:r>
        <w:rPr>
          <w:rFonts w:ascii="宋体" w:hAnsi="宋体" w:eastAsia="宋体" w:cs="宋体"/>
          <w:spacing w:val="3"/>
          <w:sz w:val="21"/>
          <w:szCs w:val="21"/>
          <w:highlight w:val="none"/>
        </w:rPr>
        <w:t>3.2.1评标委员会按本章第2.2款规定的量化因素和分值进行打分，并计算出综合评估</w:t>
      </w:r>
      <w:r>
        <w:rPr>
          <w:rFonts w:ascii="宋体" w:hAnsi="宋体" w:eastAsia="宋体" w:cs="宋体"/>
          <w:spacing w:val="15"/>
          <w:sz w:val="21"/>
          <w:szCs w:val="21"/>
          <w:highlight w:val="none"/>
        </w:rPr>
        <w:t xml:space="preserve"> </w:t>
      </w:r>
      <w:r>
        <w:rPr>
          <w:rFonts w:ascii="宋体" w:hAnsi="宋体" w:eastAsia="宋体" w:cs="宋体"/>
          <w:spacing w:val="-1"/>
          <w:sz w:val="21"/>
          <w:szCs w:val="21"/>
          <w:highlight w:val="none"/>
        </w:rPr>
        <w:t>得分。评标办法前附表对承包人建议书中的设计文件评审有特殊规定的，从其</w:t>
      </w:r>
      <w:r>
        <w:rPr>
          <w:rFonts w:ascii="宋体" w:hAnsi="宋体" w:eastAsia="宋体" w:cs="宋体"/>
          <w:spacing w:val="-2"/>
          <w:sz w:val="21"/>
          <w:szCs w:val="21"/>
          <w:highlight w:val="none"/>
        </w:rPr>
        <w:t>规定。</w:t>
      </w:r>
    </w:p>
    <w:p w14:paraId="16685526">
      <w:pPr>
        <w:pStyle w:val="2"/>
        <w:spacing w:before="28" w:line="212" w:lineRule="auto"/>
        <w:ind w:left="529"/>
        <w:rPr>
          <w:highlight w:val="none"/>
        </w:rPr>
      </w:pPr>
      <w:r>
        <w:rPr>
          <w:rFonts w:ascii="宋体" w:hAnsi="宋体" w:eastAsia="宋体" w:cs="宋体"/>
          <w:spacing w:val="8"/>
          <w:highlight w:val="none"/>
        </w:rPr>
        <w:t>(1)按本章第2.2.4(1)目规定的评审因素和分值对承包人建议书计算出得分</w:t>
      </w:r>
      <w:r>
        <w:rPr>
          <w:spacing w:val="8"/>
          <w:highlight w:val="none"/>
        </w:rPr>
        <w:t>A;</w:t>
      </w:r>
    </w:p>
    <w:p w14:paraId="37CA55FC">
      <w:pPr>
        <w:spacing w:before="144" w:line="212" w:lineRule="auto"/>
        <w:ind w:left="529"/>
        <w:rPr>
          <w:rFonts w:ascii="Times New Roman" w:hAnsi="Times New Roman" w:eastAsia="Times New Roman" w:cs="Times New Roman"/>
          <w:sz w:val="21"/>
          <w:szCs w:val="21"/>
          <w:highlight w:val="none"/>
        </w:rPr>
      </w:pPr>
      <w:r>
        <w:rPr>
          <w:rFonts w:ascii="宋体" w:hAnsi="宋体" w:eastAsia="宋体" w:cs="宋体"/>
          <w:spacing w:val="8"/>
          <w:sz w:val="21"/>
          <w:szCs w:val="21"/>
          <w:highlight w:val="none"/>
        </w:rPr>
        <w:t>(2)按本章第2.2.4(2)目规定的评审因素和分值对资信业绩部分计算出得分</w:t>
      </w:r>
      <w:r>
        <w:rPr>
          <w:rFonts w:ascii="Times New Roman" w:hAnsi="Times New Roman" w:eastAsia="Times New Roman" w:cs="Times New Roman"/>
          <w:spacing w:val="8"/>
          <w:sz w:val="21"/>
          <w:szCs w:val="21"/>
          <w:highlight w:val="none"/>
        </w:rPr>
        <w:t>B;</w:t>
      </w:r>
    </w:p>
    <w:p w14:paraId="53CA1839">
      <w:pPr>
        <w:spacing w:before="158" w:line="212" w:lineRule="auto"/>
        <w:ind w:left="529"/>
        <w:rPr>
          <w:rFonts w:ascii="Times New Roman" w:hAnsi="Times New Roman" w:eastAsia="Times New Roman" w:cs="Times New Roman"/>
          <w:sz w:val="21"/>
          <w:szCs w:val="21"/>
          <w:highlight w:val="none"/>
        </w:rPr>
      </w:pPr>
      <w:r>
        <w:rPr>
          <w:rFonts w:ascii="宋体" w:hAnsi="宋体" w:eastAsia="宋体" w:cs="宋体"/>
          <w:spacing w:val="7"/>
          <w:sz w:val="21"/>
          <w:szCs w:val="21"/>
          <w:highlight w:val="none"/>
        </w:rPr>
        <w:t>(3)按本章第2.2.4(3)目规定的评审因素和分值对承包人实施方案计算出得分</w:t>
      </w:r>
      <w:r>
        <w:rPr>
          <w:rFonts w:ascii="Times New Roman" w:hAnsi="Times New Roman" w:eastAsia="Times New Roman" w:cs="Times New Roman"/>
          <w:spacing w:val="7"/>
          <w:sz w:val="21"/>
          <w:szCs w:val="21"/>
          <w:highlight w:val="none"/>
        </w:rPr>
        <w:t>C;</w:t>
      </w:r>
    </w:p>
    <w:p w14:paraId="3FD5FE99">
      <w:pPr>
        <w:spacing w:before="159" w:line="212" w:lineRule="auto"/>
        <w:ind w:left="529"/>
        <w:rPr>
          <w:rFonts w:ascii="Times New Roman" w:hAnsi="Times New Roman" w:eastAsia="Times New Roman" w:cs="Times New Roman"/>
          <w:sz w:val="22"/>
          <w:szCs w:val="22"/>
          <w:highlight w:val="none"/>
        </w:rPr>
      </w:pPr>
      <w:r>
        <w:rPr>
          <w:rFonts w:ascii="宋体" w:hAnsi="宋体" w:eastAsia="宋体" w:cs="宋体"/>
          <w:spacing w:val="1"/>
          <w:sz w:val="22"/>
          <w:szCs w:val="22"/>
          <w:highlight w:val="none"/>
        </w:rPr>
        <w:t>(4)按本章第2.2.4(4)目规定的评审因素和分值</w:t>
      </w:r>
      <w:r>
        <w:rPr>
          <w:rFonts w:ascii="宋体" w:hAnsi="宋体" w:eastAsia="宋体" w:cs="宋体"/>
          <w:sz w:val="22"/>
          <w:szCs w:val="22"/>
          <w:highlight w:val="none"/>
        </w:rPr>
        <w:t>对投标报价计算出得分</w:t>
      </w:r>
      <w:r>
        <w:rPr>
          <w:rFonts w:ascii="Times New Roman" w:hAnsi="Times New Roman" w:eastAsia="Times New Roman" w:cs="Times New Roman"/>
          <w:sz w:val="22"/>
          <w:szCs w:val="22"/>
          <w:highlight w:val="none"/>
        </w:rPr>
        <w:t>D;</w:t>
      </w:r>
    </w:p>
    <w:p w14:paraId="04CB4F86">
      <w:pPr>
        <w:spacing w:before="151" w:line="219" w:lineRule="auto"/>
        <w:ind w:left="529"/>
        <w:rPr>
          <w:rFonts w:ascii="宋体" w:hAnsi="宋体" w:eastAsia="宋体" w:cs="宋体"/>
          <w:sz w:val="22"/>
          <w:szCs w:val="22"/>
          <w:highlight w:val="none"/>
        </w:rPr>
      </w:pPr>
      <w:r>
        <w:rPr>
          <w:rFonts w:ascii="宋体" w:hAnsi="宋体" w:eastAsia="宋体" w:cs="宋体"/>
          <w:spacing w:val="1"/>
          <w:sz w:val="22"/>
          <w:szCs w:val="22"/>
          <w:highlight w:val="none"/>
        </w:rPr>
        <w:t>(5)按本章第2.2.4(5)目规定的评审因素和</w:t>
      </w:r>
      <w:r>
        <w:rPr>
          <w:rFonts w:ascii="宋体" w:hAnsi="宋体" w:eastAsia="宋体" w:cs="宋体"/>
          <w:sz w:val="22"/>
          <w:szCs w:val="22"/>
          <w:highlight w:val="none"/>
        </w:rPr>
        <w:t>分值对其他部分计算出得分</w:t>
      </w:r>
      <w:r>
        <w:rPr>
          <w:rFonts w:ascii="Times New Roman" w:hAnsi="Times New Roman" w:eastAsia="Times New Roman" w:cs="Times New Roman"/>
          <w:sz w:val="22"/>
          <w:szCs w:val="22"/>
          <w:highlight w:val="none"/>
        </w:rPr>
        <w:t>E</w:t>
      </w:r>
      <w:r>
        <w:rPr>
          <w:rFonts w:ascii="宋体" w:hAnsi="宋体" w:eastAsia="宋体" w:cs="宋体"/>
          <w:sz w:val="22"/>
          <w:szCs w:val="22"/>
          <w:highlight w:val="none"/>
        </w:rPr>
        <w:t>。</w:t>
      </w:r>
    </w:p>
    <w:p w14:paraId="3F15ADF5">
      <w:pPr>
        <w:spacing w:before="130" w:line="219" w:lineRule="auto"/>
        <w:ind w:left="420"/>
        <w:rPr>
          <w:rFonts w:ascii="宋体" w:hAnsi="宋体" w:eastAsia="宋体" w:cs="宋体"/>
          <w:sz w:val="22"/>
          <w:szCs w:val="22"/>
          <w:highlight w:val="none"/>
        </w:rPr>
      </w:pPr>
      <w:r>
        <w:rPr>
          <w:rFonts w:ascii="宋体" w:hAnsi="宋体" w:eastAsia="宋体" w:cs="宋体"/>
          <w:spacing w:val="-12"/>
          <w:sz w:val="22"/>
          <w:szCs w:val="22"/>
          <w:highlight w:val="none"/>
        </w:rPr>
        <w:t>3.2.2评分分值计算保留小数点后两位，小数点后</w:t>
      </w:r>
      <w:r>
        <w:rPr>
          <w:rFonts w:ascii="宋体" w:hAnsi="宋体" w:eastAsia="宋体" w:cs="宋体"/>
          <w:spacing w:val="-13"/>
          <w:sz w:val="22"/>
          <w:szCs w:val="22"/>
          <w:highlight w:val="none"/>
        </w:rPr>
        <w:t>第三位“四舍五入”。</w:t>
      </w:r>
    </w:p>
    <w:p w14:paraId="7B06EB54">
      <w:pPr>
        <w:spacing w:before="168" w:line="219" w:lineRule="auto"/>
        <w:ind w:left="420"/>
        <w:rPr>
          <w:rFonts w:ascii="宋体" w:hAnsi="宋体" w:eastAsia="宋体" w:cs="宋体"/>
          <w:sz w:val="20"/>
          <w:szCs w:val="20"/>
          <w:highlight w:val="none"/>
        </w:rPr>
      </w:pPr>
      <w:r>
        <w:rPr>
          <w:rFonts w:ascii="宋体" w:hAnsi="宋体" w:eastAsia="宋体" w:cs="宋体"/>
          <w:spacing w:val="-2"/>
          <w:sz w:val="20"/>
          <w:szCs w:val="20"/>
          <w:highlight w:val="none"/>
        </w:rPr>
        <w:t>3.2.3投标人得分=</w:t>
      </w:r>
      <w:r>
        <w:rPr>
          <w:rFonts w:ascii="Times New Roman" w:hAnsi="Times New Roman" w:eastAsia="Times New Roman" w:cs="Times New Roman"/>
          <w:spacing w:val="-2"/>
          <w:sz w:val="20"/>
          <w:szCs w:val="20"/>
          <w:highlight w:val="none"/>
        </w:rPr>
        <w:t>A+B+C+D+E</w:t>
      </w:r>
      <w:r>
        <w:rPr>
          <w:rFonts w:ascii="宋体" w:hAnsi="宋体" w:eastAsia="宋体" w:cs="宋体"/>
          <w:spacing w:val="-2"/>
          <w:sz w:val="20"/>
          <w:szCs w:val="20"/>
          <w:highlight w:val="none"/>
        </w:rPr>
        <w:t>。</w:t>
      </w:r>
    </w:p>
    <w:p w14:paraId="55DF3935">
      <w:pPr>
        <w:spacing w:before="153" w:line="280" w:lineRule="auto"/>
        <w:ind w:right="95" w:firstLine="420"/>
        <w:rPr>
          <w:rFonts w:ascii="宋体" w:hAnsi="宋体" w:eastAsia="宋体" w:cs="宋体"/>
          <w:sz w:val="22"/>
          <w:szCs w:val="22"/>
          <w:highlight w:val="none"/>
        </w:rPr>
      </w:pPr>
      <w:r>
        <w:rPr>
          <w:rFonts w:ascii="Times New Roman" w:hAnsi="Times New Roman" w:eastAsia="Times New Roman" w:cs="Times New Roman"/>
          <w:sz w:val="21"/>
          <w:szCs w:val="21"/>
          <w:highlight w:val="none"/>
        </w:rPr>
        <w:t xml:space="preserve">3.2.4  </w:t>
      </w:r>
      <w:r>
        <w:rPr>
          <w:rFonts w:ascii="宋体" w:hAnsi="宋体" w:eastAsia="宋体" w:cs="宋体"/>
          <w:sz w:val="21"/>
          <w:szCs w:val="21"/>
          <w:highlight w:val="none"/>
        </w:rPr>
        <w:t>各投标人最终综合评估得分的确定办法为：所有评标委员会成员的综合评分去掉</w:t>
      </w:r>
      <w:r>
        <w:rPr>
          <w:rFonts w:ascii="宋体" w:hAnsi="宋体" w:eastAsia="宋体" w:cs="宋体"/>
          <w:spacing w:val="13"/>
          <w:sz w:val="21"/>
          <w:szCs w:val="21"/>
          <w:highlight w:val="none"/>
        </w:rPr>
        <w:t xml:space="preserve"> </w:t>
      </w:r>
      <w:r>
        <w:rPr>
          <w:rFonts w:ascii="宋体" w:hAnsi="宋体" w:eastAsia="宋体" w:cs="宋体"/>
          <w:spacing w:val="-11"/>
          <w:sz w:val="22"/>
          <w:szCs w:val="22"/>
          <w:highlight w:val="none"/>
        </w:rPr>
        <w:t>一个最高分和一个最低分之后的算术平均值。</w:t>
      </w:r>
    </w:p>
    <w:p w14:paraId="3F6C0071">
      <w:pPr>
        <w:spacing w:line="280" w:lineRule="auto"/>
        <w:rPr>
          <w:rFonts w:ascii="宋体" w:hAnsi="宋体" w:eastAsia="宋体" w:cs="宋体"/>
          <w:sz w:val="22"/>
          <w:szCs w:val="22"/>
          <w:highlight w:val="none"/>
        </w:rPr>
        <w:sectPr>
          <w:footerReference r:id="rId66" w:type="default"/>
          <w:pgSz w:w="11910" w:h="16840"/>
          <w:pgMar w:top="400" w:right="1724" w:bottom="1217" w:left="1779" w:header="0" w:footer="1013" w:gutter="0"/>
          <w:cols w:space="720" w:num="1"/>
        </w:sectPr>
      </w:pPr>
    </w:p>
    <w:p w14:paraId="2FA3378C">
      <w:pPr>
        <w:pStyle w:val="2"/>
        <w:spacing w:line="271" w:lineRule="auto"/>
        <w:rPr>
          <w:highlight w:val="none"/>
        </w:rPr>
      </w:pPr>
    </w:p>
    <w:p w14:paraId="48C6B1D5">
      <w:pPr>
        <w:pStyle w:val="2"/>
        <w:spacing w:line="271" w:lineRule="auto"/>
        <w:rPr>
          <w:highlight w:val="none"/>
        </w:rPr>
      </w:pPr>
    </w:p>
    <w:p w14:paraId="07EF28BD">
      <w:pPr>
        <w:pStyle w:val="2"/>
        <w:spacing w:line="271" w:lineRule="auto"/>
        <w:rPr>
          <w:highlight w:val="none"/>
        </w:rPr>
      </w:pPr>
    </w:p>
    <w:p w14:paraId="0C79D476">
      <w:pPr>
        <w:pStyle w:val="2"/>
        <w:spacing w:line="272" w:lineRule="auto"/>
        <w:rPr>
          <w:highlight w:val="none"/>
        </w:rPr>
      </w:pPr>
    </w:p>
    <w:p w14:paraId="2732B41C">
      <w:pPr>
        <w:spacing w:before="78" w:line="219" w:lineRule="auto"/>
        <w:rPr>
          <w:rFonts w:ascii="宋体" w:hAnsi="宋体" w:eastAsia="宋体" w:cs="宋体"/>
          <w:sz w:val="24"/>
          <w:szCs w:val="24"/>
          <w:highlight w:val="none"/>
        </w:rPr>
      </w:pPr>
      <w:r>
        <w:rPr>
          <w:rFonts w:ascii="Times New Roman" w:hAnsi="Times New Roman" w:eastAsia="Times New Roman" w:cs="Times New Roman"/>
          <w:spacing w:val="1"/>
          <w:sz w:val="24"/>
          <w:szCs w:val="24"/>
          <w:highlight w:val="none"/>
        </w:rPr>
        <w:t xml:space="preserve">3.3  </w:t>
      </w:r>
      <w:r>
        <w:rPr>
          <w:rFonts w:ascii="宋体" w:hAnsi="宋体" w:eastAsia="宋体" w:cs="宋体"/>
          <w:spacing w:val="1"/>
          <w:sz w:val="24"/>
          <w:szCs w:val="24"/>
          <w:highlight w:val="none"/>
        </w:rPr>
        <w:t>投标文件的澄清和补正</w:t>
      </w:r>
    </w:p>
    <w:p w14:paraId="0C7ED2D0">
      <w:pPr>
        <w:pStyle w:val="2"/>
        <w:spacing w:line="433" w:lineRule="auto"/>
        <w:rPr>
          <w:highlight w:val="none"/>
        </w:rPr>
      </w:pPr>
    </w:p>
    <w:p w14:paraId="25918290">
      <w:pPr>
        <w:spacing w:before="68" w:line="301" w:lineRule="auto"/>
        <w:ind w:firstLine="41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3.3.1  </w:t>
      </w:r>
      <w:r>
        <w:rPr>
          <w:rFonts w:ascii="宋体" w:hAnsi="宋体" w:eastAsia="宋体" w:cs="宋体"/>
          <w:sz w:val="21"/>
          <w:szCs w:val="21"/>
          <w:highlight w:val="none"/>
        </w:rPr>
        <w:t>在评标过程中，评标委员会可以书面形式要求投标人对投标文件中含义不明确、</w:t>
      </w:r>
      <w:r>
        <w:rPr>
          <w:rFonts w:ascii="宋体" w:hAnsi="宋体" w:eastAsia="宋体" w:cs="宋体"/>
          <w:spacing w:val="9"/>
          <w:sz w:val="21"/>
          <w:szCs w:val="21"/>
          <w:highlight w:val="none"/>
        </w:rPr>
        <w:t xml:space="preserve">  </w:t>
      </w:r>
      <w:r>
        <w:rPr>
          <w:rFonts w:ascii="宋体" w:hAnsi="宋体" w:eastAsia="宋体" w:cs="宋体"/>
          <w:spacing w:val="-5"/>
          <w:sz w:val="21"/>
          <w:szCs w:val="21"/>
          <w:highlight w:val="none"/>
        </w:rPr>
        <w:t>对同类问题表述不一致或者有明显文字和计算错误的内容作必要的澄清、说明或补正。澄清、</w:t>
      </w:r>
      <w:r>
        <w:rPr>
          <w:rFonts w:ascii="宋体" w:hAnsi="宋体" w:eastAsia="宋体" w:cs="宋体"/>
          <w:sz w:val="21"/>
          <w:szCs w:val="21"/>
          <w:highlight w:val="none"/>
        </w:rPr>
        <w:t xml:space="preserve"> 说明或补正应以书面方式进行。评标委员会不接受投标人主动提出的澄清、</w:t>
      </w:r>
      <w:r>
        <w:rPr>
          <w:rFonts w:ascii="宋体" w:hAnsi="宋体" w:eastAsia="宋体" w:cs="宋体"/>
          <w:spacing w:val="-1"/>
          <w:sz w:val="21"/>
          <w:szCs w:val="21"/>
          <w:highlight w:val="none"/>
        </w:rPr>
        <w:t>说明或补正。</w:t>
      </w:r>
    </w:p>
    <w:p w14:paraId="1C334F18">
      <w:pPr>
        <w:spacing w:before="152" w:line="277" w:lineRule="auto"/>
        <w:ind w:left="120" w:right="93" w:firstLine="29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3.3.2</w:t>
      </w:r>
      <w:r>
        <w:rPr>
          <w:rFonts w:ascii="Times New Roman" w:hAnsi="Times New Roman" w:eastAsia="Times New Roman" w:cs="Times New Roman"/>
          <w:spacing w:val="42"/>
          <w:sz w:val="22"/>
          <w:szCs w:val="22"/>
          <w:highlight w:val="none"/>
        </w:rPr>
        <w:t xml:space="preserve"> </w:t>
      </w:r>
      <w:r>
        <w:rPr>
          <w:rFonts w:ascii="宋体" w:hAnsi="宋体" w:eastAsia="宋体" w:cs="宋体"/>
          <w:spacing w:val="-3"/>
          <w:sz w:val="22"/>
          <w:szCs w:val="22"/>
          <w:highlight w:val="none"/>
        </w:rPr>
        <w:t>澄清、说明和补正不得超出投标文件的范围且不得改变投标文件的实质性内容</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(算术错误修正的除外)。投标人的书面澄</w:t>
      </w:r>
      <w:r>
        <w:rPr>
          <w:rFonts w:ascii="宋体" w:hAnsi="宋体" w:eastAsia="宋体" w:cs="宋体"/>
          <w:spacing w:val="-10"/>
          <w:sz w:val="22"/>
          <w:szCs w:val="22"/>
          <w:highlight w:val="none"/>
        </w:rPr>
        <w:t>清、说明和补正属于投标文件的组成部分。</w:t>
      </w:r>
    </w:p>
    <w:p w14:paraId="24B0AE3D">
      <w:pPr>
        <w:spacing w:before="149" w:line="273" w:lineRule="auto"/>
        <w:ind w:right="94" w:firstLine="41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3.3.3</w:t>
      </w:r>
      <w:r>
        <w:rPr>
          <w:rFonts w:ascii="Times New Roman" w:hAnsi="Times New Roman" w:eastAsia="Times New Roman" w:cs="Times New Roman"/>
          <w:spacing w:val="34"/>
          <w:w w:val="101"/>
          <w:sz w:val="22"/>
          <w:szCs w:val="22"/>
          <w:highlight w:val="none"/>
        </w:rPr>
        <w:t xml:space="preserve"> </w:t>
      </w:r>
      <w:r>
        <w:rPr>
          <w:rFonts w:ascii="宋体" w:hAnsi="宋体" w:eastAsia="宋体" w:cs="宋体"/>
          <w:spacing w:val="-8"/>
          <w:sz w:val="22"/>
          <w:szCs w:val="22"/>
          <w:highlight w:val="none"/>
        </w:rPr>
        <w:t>评标委员会对投标人提交的澄清、说明或补正有疑问的，</w:t>
      </w:r>
      <w:r>
        <w:rPr>
          <w:rFonts w:ascii="宋体" w:hAnsi="宋体" w:eastAsia="宋体" w:cs="宋体"/>
          <w:spacing w:val="-9"/>
          <w:sz w:val="22"/>
          <w:szCs w:val="22"/>
          <w:highlight w:val="none"/>
        </w:rPr>
        <w:t>可以要求投标人进一步</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澄清、说明或补正，直至满足评标委员会的要求。</w:t>
      </w:r>
    </w:p>
    <w:p w14:paraId="4233D250">
      <w:pPr>
        <w:spacing w:before="150" w:line="289" w:lineRule="auto"/>
        <w:ind w:right="96" w:firstLine="41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3.3.4  </w:t>
      </w:r>
      <w:r>
        <w:rPr>
          <w:rFonts w:ascii="宋体" w:hAnsi="宋体" w:eastAsia="宋体" w:cs="宋体"/>
          <w:spacing w:val="1"/>
          <w:sz w:val="21"/>
          <w:szCs w:val="21"/>
          <w:highlight w:val="none"/>
        </w:rPr>
        <w:t>评标委员会要求投标人对投标文</w:t>
      </w:r>
      <w:r>
        <w:rPr>
          <w:rFonts w:ascii="宋体" w:hAnsi="宋体" w:eastAsia="宋体" w:cs="宋体"/>
          <w:sz w:val="21"/>
          <w:szCs w:val="21"/>
          <w:highlight w:val="none"/>
        </w:rPr>
        <w:t xml:space="preserve">件问题澄清的通知，以及投标人对投标文件的澄 </w:t>
      </w:r>
      <w:r>
        <w:rPr>
          <w:rFonts w:ascii="宋体" w:hAnsi="宋体" w:eastAsia="宋体" w:cs="宋体"/>
          <w:spacing w:val="-5"/>
          <w:sz w:val="21"/>
          <w:szCs w:val="21"/>
          <w:highlight w:val="none"/>
        </w:rPr>
        <w:t>清通过“电子交易平台”“投标文件澄清”菜单以书面形式进行。</w:t>
      </w:r>
    </w:p>
    <w:p w14:paraId="32B24086">
      <w:pPr>
        <w:spacing w:before="304" w:line="220" w:lineRule="auto"/>
        <w:rPr>
          <w:rFonts w:ascii="宋体" w:hAnsi="宋体" w:eastAsia="宋体" w:cs="宋体"/>
          <w:sz w:val="24"/>
          <w:szCs w:val="24"/>
          <w:highlight w:val="none"/>
        </w:rPr>
      </w:pPr>
      <w:r>
        <w:rPr>
          <w:rFonts w:ascii="宋体" w:hAnsi="宋体" w:eastAsia="宋体" w:cs="宋体"/>
          <w:spacing w:val="-5"/>
          <w:sz w:val="24"/>
          <w:szCs w:val="24"/>
          <w:highlight w:val="none"/>
        </w:rPr>
        <w:t>3.4 评标结果</w:t>
      </w:r>
    </w:p>
    <w:p w14:paraId="775AF4B5">
      <w:pPr>
        <w:pStyle w:val="2"/>
        <w:spacing w:line="419" w:lineRule="auto"/>
        <w:rPr>
          <w:highlight w:val="none"/>
        </w:rPr>
      </w:pPr>
    </w:p>
    <w:p w14:paraId="049EFF9B">
      <w:pPr>
        <w:spacing w:before="68" w:line="290" w:lineRule="auto"/>
        <w:ind w:right="80" w:firstLine="41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3.4.1  </w:t>
      </w:r>
      <w:r>
        <w:rPr>
          <w:rFonts w:ascii="宋体" w:hAnsi="宋体" w:eastAsia="宋体" w:cs="宋体"/>
          <w:spacing w:val="1"/>
          <w:sz w:val="21"/>
          <w:szCs w:val="21"/>
          <w:highlight w:val="none"/>
        </w:rPr>
        <w:t>除第二章“投标人须知”前附表授权直接确定中标人外，评标委员会按</w:t>
      </w:r>
      <w:r>
        <w:rPr>
          <w:rFonts w:ascii="宋体" w:hAnsi="宋体" w:eastAsia="宋体" w:cs="宋体"/>
          <w:sz w:val="21"/>
          <w:szCs w:val="21"/>
          <w:highlight w:val="none"/>
        </w:rPr>
        <w:t xml:space="preserve">照得分由 </w:t>
      </w:r>
      <w:r>
        <w:rPr>
          <w:rFonts w:ascii="宋体" w:hAnsi="宋体" w:eastAsia="宋体" w:cs="宋体"/>
          <w:spacing w:val="-3"/>
          <w:sz w:val="21"/>
          <w:szCs w:val="21"/>
          <w:highlight w:val="none"/>
        </w:rPr>
        <w:t>高到低的顺序推荐中标候选人。</w:t>
      </w:r>
    </w:p>
    <w:p w14:paraId="53AA04C7">
      <w:pPr>
        <w:spacing w:before="151" w:line="218" w:lineRule="auto"/>
        <w:ind w:left="410"/>
        <w:rPr>
          <w:rFonts w:ascii="宋体" w:hAnsi="宋体" w:eastAsia="宋体" w:cs="宋体"/>
          <w:sz w:val="22"/>
          <w:szCs w:val="22"/>
          <w:highlight w:val="none"/>
        </w:rPr>
      </w:pPr>
      <w:r>
        <w:rPr>
          <w:rFonts w:ascii="宋体" w:hAnsi="宋体" w:eastAsia="宋体" w:cs="宋体"/>
          <w:spacing w:val="-9"/>
          <w:sz w:val="22"/>
          <w:szCs w:val="22"/>
          <w:highlight w:val="none"/>
        </w:rPr>
        <w:t>3.4.2评标委员会完成评标后，应当向</w:t>
      </w:r>
      <w:r>
        <w:rPr>
          <w:rFonts w:ascii="宋体" w:hAnsi="宋体" w:eastAsia="宋体" w:cs="宋体"/>
          <w:spacing w:val="-10"/>
          <w:sz w:val="22"/>
          <w:szCs w:val="22"/>
          <w:highlight w:val="none"/>
        </w:rPr>
        <w:t>招标人提交书面评标报告。</w:t>
      </w:r>
    </w:p>
    <w:p w14:paraId="3EF54C76">
      <w:pPr>
        <w:spacing w:line="218" w:lineRule="auto"/>
        <w:rPr>
          <w:rFonts w:ascii="宋体" w:hAnsi="宋体" w:eastAsia="宋体" w:cs="宋体"/>
          <w:sz w:val="22"/>
          <w:szCs w:val="22"/>
          <w:highlight w:val="none"/>
        </w:rPr>
        <w:sectPr>
          <w:footerReference r:id="rId67" w:type="default"/>
          <w:pgSz w:w="11910" w:h="16840"/>
          <w:pgMar w:top="400" w:right="1724" w:bottom="1217" w:left="1779" w:header="0" w:footer="1013" w:gutter="0"/>
          <w:cols w:space="720" w:num="1"/>
        </w:sectPr>
      </w:pPr>
    </w:p>
    <w:p w14:paraId="5F72F23F">
      <w:pPr>
        <w:pStyle w:val="2"/>
        <w:spacing w:line="246" w:lineRule="auto"/>
        <w:rPr>
          <w:highlight w:val="none"/>
        </w:rPr>
      </w:pPr>
    </w:p>
    <w:p w14:paraId="0FC911F6">
      <w:pPr>
        <w:pStyle w:val="2"/>
        <w:spacing w:line="246" w:lineRule="auto"/>
        <w:rPr>
          <w:highlight w:val="none"/>
        </w:rPr>
      </w:pPr>
    </w:p>
    <w:p w14:paraId="7CBDBE32">
      <w:pPr>
        <w:pStyle w:val="2"/>
        <w:spacing w:line="246" w:lineRule="auto"/>
        <w:rPr>
          <w:highlight w:val="none"/>
        </w:rPr>
      </w:pPr>
    </w:p>
    <w:p w14:paraId="76A27CB4">
      <w:pPr>
        <w:pStyle w:val="2"/>
        <w:spacing w:line="246" w:lineRule="auto"/>
        <w:rPr>
          <w:highlight w:val="none"/>
        </w:rPr>
      </w:pPr>
    </w:p>
    <w:p w14:paraId="64AEF0DA">
      <w:pPr>
        <w:pStyle w:val="2"/>
        <w:spacing w:line="246" w:lineRule="auto"/>
        <w:rPr>
          <w:highlight w:val="none"/>
        </w:rPr>
      </w:pPr>
    </w:p>
    <w:p w14:paraId="58680832">
      <w:pPr>
        <w:pStyle w:val="2"/>
        <w:spacing w:line="247" w:lineRule="auto"/>
        <w:rPr>
          <w:highlight w:val="none"/>
        </w:rPr>
      </w:pPr>
    </w:p>
    <w:p w14:paraId="7566A343">
      <w:pPr>
        <w:spacing w:before="104" w:line="222" w:lineRule="auto"/>
        <w:ind w:left="2480"/>
        <w:outlineLvl w:val="0"/>
        <w:rPr>
          <w:rFonts w:ascii="黑体" w:hAnsi="黑体" w:eastAsia="黑体" w:cs="黑体"/>
          <w:sz w:val="32"/>
          <w:szCs w:val="32"/>
          <w:highlight w:val="none"/>
        </w:rPr>
      </w:pPr>
      <w:bookmarkStart w:id="68" w:name="bookmark33"/>
      <w:bookmarkEnd w:id="68"/>
      <w:r>
        <w:rPr>
          <w:rFonts w:ascii="黑体" w:hAnsi="黑体" w:eastAsia="黑体" w:cs="黑体"/>
          <w:spacing w:val="19"/>
          <w:sz w:val="32"/>
          <w:szCs w:val="32"/>
          <w:highlight w:val="none"/>
        </w:rPr>
        <w:t>第四章合同条款及格式</w:t>
      </w:r>
    </w:p>
    <w:p w14:paraId="08A27E49">
      <w:pPr>
        <w:pStyle w:val="2"/>
        <w:spacing w:line="279" w:lineRule="auto"/>
        <w:rPr>
          <w:highlight w:val="none"/>
        </w:rPr>
      </w:pPr>
    </w:p>
    <w:p w14:paraId="1DF84395">
      <w:pPr>
        <w:pStyle w:val="2"/>
        <w:spacing w:line="280" w:lineRule="auto"/>
        <w:rPr>
          <w:highlight w:val="none"/>
        </w:rPr>
      </w:pPr>
    </w:p>
    <w:p w14:paraId="3F32AFA0">
      <w:pPr>
        <w:spacing w:before="91" w:line="222" w:lineRule="auto"/>
        <w:ind w:left="2900"/>
        <w:outlineLvl w:val="1"/>
        <w:rPr>
          <w:rFonts w:ascii="黑体" w:hAnsi="黑体" w:eastAsia="黑体" w:cs="黑体"/>
          <w:sz w:val="28"/>
          <w:szCs w:val="28"/>
          <w:highlight w:val="none"/>
        </w:rPr>
      </w:pPr>
      <w:bookmarkStart w:id="69" w:name="bookmark34"/>
      <w:bookmarkEnd w:id="69"/>
      <w:r>
        <w:rPr>
          <w:rFonts w:ascii="黑体" w:hAnsi="黑体" w:eastAsia="黑体" w:cs="黑体"/>
          <w:spacing w:val="4"/>
          <w:sz w:val="28"/>
          <w:szCs w:val="28"/>
          <w:highlight w:val="none"/>
        </w:rPr>
        <w:t>第一节</w:t>
      </w:r>
      <w:r>
        <w:rPr>
          <w:rFonts w:ascii="黑体" w:hAnsi="黑体" w:eastAsia="黑体" w:cs="黑体"/>
          <w:spacing w:val="134"/>
          <w:sz w:val="28"/>
          <w:szCs w:val="28"/>
          <w:highlight w:val="none"/>
        </w:rPr>
        <w:t xml:space="preserve"> </w:t>
      </w:r>
      <w:r>
        <w:rPr>
          <w:rFonts w:ascii="黑体" w:hAnsi="黑体" w:eastAsia="黑体" w:cs="黑体"/>
          <w:spacing w:val="4"/>
          <w:sz w:val="28"/>
          <w:szCs w:val="28"/>
          <w:highlight w:val="none"/>
        </w:rPr>
        <w:t>合同协议书</w:t>
      </w:r>
    </w:p>
    <w:p w14:paraId="437B580D">
      <w:pPr>
        <w:pStyle w:val="2"/>
        <w:spacing w:line="244" w:lineRule="auto"/>
        <w:rPr>
          <w:highlight w:val="none"/>
        </w:rPr>
      </w:pPr>
    </w:p>
    <w:p w14:paraId="56B08554">
      <w:pPr>
        <w:pStyle w:val="2"/>
        <w:spacing w:line="245" w:lineRule="auto"/>
        <w:rPr>
          <w:highlight w:val="none"/>
        </w:rPr>
      </w:pPr>
    </w:p>
    <w:p w14:paraId="4D405FA2">
      <w:pPr>
        <w:spacing w:before="91" w:line="222" w:lineRule="auto"/>
        <w:ind w:left="3450"/>
        <w:rPr>
          <w:rFonts w:ascii="黑体" w:hAnsi="黑体" w:eastAsia="黑体" w:cs="黑体"/>
          <w:sz w:val="28"/>
          <w:szCs w:val="28"/>
          <w:highlight w:val="none"/>
        </w:rPr>
      </w:pPr>
      <w:r>
        <w:rPr>
          <w:rFonts w:ascii="黑体" w:hAnsi="黑体" w:eastAsia="黑体" w:cs="黑体"/>
          <w:spacing w:val="7"/>
          <w:sz w:val="28"/>
          <w:szCs w:val="28"/>
          <w:highlight w:val="none"/>
        </w:rPr>
        <w:t>合同协议书</w:t>
      </w:r>
    </w:p>
    <w:p w14:paraId="49C0F3CC">
      <w:pPr>
        <w:pStyle w:val="2"/>
        <w:spacing w:line="474" w:lineRule="auto"/>
        <w:rPr>
          <w:highlight w:val="none"/>
        </w:rPr>
      </w:pPr>
    </w:p>
    <w:p w14:paraId="4E1C2275">
      <w:pPr>
        <w:spacing w:before="65" w:line="220" w:lineRule="auto"/>
        <w:rPr>
          <w:rFonts w:ascii="宋体" w:hAnsi="宋体" w:eastAsia="宋体" w:cs="宋体"/>
          <w:sz w:val="20"/>
          <w:szCs w:val="20"/>
          <w:highlight w:val="none"/>
        </w:rPr>
      </w:pPr>
      <w:r>
        <w:rPr>
          <w:rFonts w:ascii="宋体" w:hAnsi="宋体" w:eastAsia="宋体" w:cs="宋体"/>
          <w:spacing w:val="20"/>
          <w:sz w:val="20"/>
          <w:szCs w:val="20"/>
          <w:highlight w:val="none"/>
        </w:rPr>
        <w:t>发包人(全称):</w:t>
      </w:r>
      <w:r>
        <w:rPr>
          <w:rFonts w:ascii="宋体" w:hAnsi="宋体" w:eastAsia="宋体" w:cs="宋体"/>
          <w:spacing w:val="-21"/>
          <w:sz w:val="20"/>
          <w:szCs w:val="20"/>
          <w:highlight w:val="none"/>
        </w:rPr>
        <w:t xml:space="preserve"> </w:t>
      </w:r>
      <w:r>
        <w:rPr>
          <w:rFonts w:ascii="宋体" w:hAnsi="宋体" w:eastAsia="宋体" w:cs="宋体"/>
          <w:sz w:val="20"/>
          <w:szCs w:val="20"/>
          <w:highlight w:val="none"/>
          <w:u w:val="single" w:color="auto"/>
        </w:rPr>
        <w:t xml:space="preserve">                                       </w:t>
      </w:r>
    </w:p>
    <w:p w14:paraId="54AB5937">
      <w:pPr>
        <w:spacing w:before="242" w:line="219" w:lineRule="auto"/>
        <w:rPr>
          <w:rFonts w:ascii="宋体" w:hAnsi="宋体" w:eastAsia="宋体" w:cs="宋体"/>
          <w:sz w:val="22"/>
          <w:szCs w:val="22"/>
          <w:highlight w:val="none"/>
        </w:rPr>
      </w:pPr>
      <w:r>
        <w:rPr>
          <w:rFonts w:ascii="宋体" w:hAnsi="宋体" w:eastAsia="宋体" w:cs="宋体"/>
          <w:spacing w:val="5"/>
          <w:sz w:val="22"/>
          <w:szCs w:val="22"/>
          <w:highlight w:val="none"/>
        </w:rPr>
        <w:t xml:space="preserve">承包人(全称): </w:t>
      </w:r>
      <w:r>
        <w:rPr>
          <w:rFonts w:ascii="宋体" w:hAnsi="宋体" w:eastAsia="宋体" w:cs="宋体"/>
          <w:sz w:val="22"/>
          <w:szCs w:val="22"/>
          <w:highlight w:val="none"/>
          <w:u w:val="single" w:color="auto"/>
        </w:rPr>
        <w:t xml:space="preserve">                                   </w:t>
      </w:r>
    </w:p>
    <w:p w14:paraId="56369466">
      <w:pPr>
        <w:spacing w:before="199" w:line="421" w:lineRule="auto"/>
        <w:ind w:right="33" w:firstLine="600"/>
        <w:jc w:val="both"/>
        <w:rPr>
          <w:rFonts w:ascii="宋体" w:hAnsi="宋体" w:eastAsia="宋体" w:cs="宋体"/>
          <w:sz w:val="21"/>
          <w:szCs w:val="21"/>
          <w:highlight w:val="none"/>
        </w:rPr>
      </w:pPr>
      <w:r>
        <w:rPr>
          <w:rFonts w:ascii="宋体" w:hAnsi="宋体" w:eastAsia="宋体" w:cs="宋体"/>
          <w:spacing w:val="-7"/>
          <w:sz w:val="21"/>
          <w:szCs w:val="21"/>
          <w:highlight w:val="none"/>
        </w:rPr>
        <w:t>根据《中华人民共和国民法典》、《中华人民共和国建筑法》及有关法律规定，遵循平</w:t>
      </w:r>
      <w:r>
        <w:rPr>
          <w:rFonts w:ascii="宋体" w:hAnsi="宋体" w:eastAsia="宋体" w:cs="宋体"/>
          <w:spacing w:val="4"/>
          <w:sz w:val="21"/>
          <w:szCs w:val="21"/>
          <w:highlight w:val="none"/>
        </w:rPr>
        <w:t xml:space="preserve"> </w:t>
      </w:r>
      <w:r>
        <w:rPr>
          <w:rFonts w:ascii="宋体" w:hAnsi="宋体" w:eastAsia="宋体" w:cs="宋体"/>
          <w:spacing w:val="-1"/>
          <w:sz w:val="21"/>
          <w:szCs w:val="21"/>
          <w:highlight w:val="none"/>
        </w:rPr>
        <w:t>等、自愿、公平和诚实信用的原则，双方就</w:t>
      </w:r>
      <w:r>
        <w:rPr>
          <w:rFonts w:ascii="宋体" w:hAnsi="宋体" w:eastAsia="宋体" w:cs="宋体"/>
          <w:spacing w:val="-75"/>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90"/>
          <w:sz w:val="21"/>
          <w:szCs w:val="21"/>
          <w:highlight w:val="none"/>
        </w:rPr>
        <w:t xml:space="preserve"> </w:t>
      </w:r>
      <w:r>
        <w:rPr>
          <w:rFonts w:ascii="宋体" w:hAnsi="宋体" w:eastAsia="宋体" w:cs="宋体"/>
          <w:spacing w:val="-1"/>
          <w:sz w:val="21"/>
          <w:szCs w:val="21"/>
          <w:highlight w:val="none"/>
        </w:rPr>
        <w:t>项目的工程总承包及有关事项协</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商一致，共同达成如下协议：</w:t>
      </w:r>
    </w:p>
    <w:p w14:paraId="0CF685E7">
      <w:pPr>
        <w:spacing w:line="219" w:lineRule="auto"/>
        <w:ind w:left="3"/>
        <w:outlineLvl w:val="1"/>
        <w:rPr>
          <w:rFonts w:ascii="宋体" w:hAnsi="宋体" w:eastAsia="宋体" w:cs="宋体"/>
          <w:sz w:val="22"/>
          <w:szCs w:val="22"/>
          <w:highlight w:val="none"/>
        </w:rPr>
      </w:pPr>
      <w:bookmarkStart w:id="70" w:name="bookmark35"/>
      <w:bookmarkEnd w:id="70"/>
      <w:r>
        <w:rPr>
          <w:rFonts w:ascii="宋体" w:hAnsi="宋体" w:eastAsia="宋体" w:cs="宋体"/>
          <w:b/>
          <w:bCs/>
          <w:spacing w:val="-6"/>
          <w:sz w:val="22"/>
          <w:szCs w:val="22"/>
          <w:highlight w:val="none"/>
        </w:rPr>
        <w:t>一、工程概况</w:t>
      </w:r>
    </w:p>
    <w:p w14:paraId="74D2C6F6">
      <w:pPr>
        <w:pStyle w:val="2"/>
        <w:spacing w:line="349" w:lineRule="auto"/>
        <w:rPr>
          <w:highlight w:val="none"/>
        </w:rPr>
      </w:pPr>
    </w:p>
    <w:p w14:paraId="4843B617">
      <w:pPr>
        <w:pStyle w:val="2"/>
        <w:spacing w:before="72" w:line="220" w:lineRule="auto"/>
        <w:ind w:left="600"/>
        <w:rPr>
          <w:sz w:val="6"/>
          <w:szCs w:val="6"/>
          <w:highlight w:val="none"/>
        </w:rPr>
      </w:pPr>
      <w:r>
        <w:rPr>
          <w:rFonts w:ascii="宋体" w:hAnsi="宋体" w:eastAsia="宋体" w:cs="宋体"/>
          <w:spacing w:val="-5"/>
          <w:sz w:val="22"/>
          <w:szCs w:val="22"/>
          <w:highlight w:val="none"/>
        </w:rPr>
        <w:t>1. 工程名称：</w:t>
      </w:r>
      <w:r>
        <w:rPr>
          <w:rFonts w:ascii="宋体" w:hAnsi="宋体" w:eastAsia="宋体" w:cs="宋体"/>
          <w:spacing w:val="1"/>
          <w:sz w:val="22"/>
          <w:szCs w:val="22"/>
          <w:highlight w:val="none"/>
          <w:u w:val="single" w:color="auto"/>
        </w:rPr>
        <w:t xml:space="preserve">                                  </w:t>
      </w:r>
      <w:r>
        <w:rPr>
          <w:rFonts w:ascii="宋体" w:hAnsi="宋体" w:eastAsia="宋体" w:cs="宋体"/>
          <w:spacing w:val="-94"/>
          <w:sz w:val="22"/>
          <w:szCs w:val="22"/>
          <w:highlight w:val="none"/>
        </w:rPr>
        <w:t xml:space="preserve"> </w:t>
      </w:r>
      <w:r>
        <w:rPr>
          <w:spacing w:val="-5"/>
          <w:sz w:val="6"/>
          <w:szCs w:val="6"/>
          <w:highlight w:val="none"/>
        </w:rPr>
        <w:t>_o</w:t>
      </w:r>
    </w:p>
    <w:p w14:paraId="143EFFC8">
      <w:pPr>
        <w:spacing w:before="256" w:line="220" w:lineRule="auto"/>
        <w:ind w:left="600"/>
        <w:rPr>
          <w:rFonts w:ascii="Times New Roman" w:hAnsi="Times New Roman" w:eastAsia="Times New Roman" w:cs="Times New Roman"/>
          <w:sz w:val="7"/>
          <w:szCs w:val="7"/>
          <w:highlight w:val="none"/>
        </w:rPr>
      </w:pPr>
      <w:r>
        <w:rPr>
          <w:rFonts w:ascii="Times New Roman" w:hAnsi="Times New Roman" w:eastAsia="Times New Roman" w:cs="Times New Roman"/>
          <w:spacing w:val="-1"/>
          <w:sz w:val="20"/>
          <w:szCs w:val="20"/>
          <w:highlight w:val="none"/>
        </w:rPr>
        <w:t>2.</w:t>
      </w:r>
      <w:r>
        <w:rPr>
          <w:rFonts w:ascii="Times New Roman" w:hAnsi="Times New Roman" w:eastAsia="Times New Roman" w:cs="Times New Roman"/>
          <w:spacing w:val="5"/>
          <w:sz w:val="20"/>
          <w:szCs w:val="20"/>
          <w:highlight w:val="none"/>
        </w:rPr>
        <w:t xml:space="preserve">   </w:t>
      </w:r>
      <w:r>
        <w:rPr>
          <w:rFonts w:ascii="宋体" w:hAnsi="宋体" w:eastAsia="宋体" w:cs="宋体"/>
          <w:spacing w:val="-1"/>
          <w:sz w:val="20"/>
          <w:szCs w:val="20"/>
          <w:highlight w:val="none"/>
        </w:rPr>
        <w:t>工程地点：</w:t>
      </w:r>
      <w:r>
        <w:rPr>
          <w:rFonts w:ascii="宋体" w:hAnsi="宋体" w:eastAsia="宋体" w:cs="宋体"/>
          <w:spacing w:val="2"/>
          <w:sz w:val="20"/>
          <w:szCs w:val="20"/>
          <w:highlight w:val="none"/>
          <w:u w:val="single" w:color="auto"/>
        </w:rPr>
        <w:t xml:space="preserve">                       </w:t>
      </w:r>
      <w:r>
        <w:rPr>
          <w:rFonts w:ascii="宋体" w:hAnsi="宋体" w:eastAsia="宋体" w:cs="宋体"/>
          <w:spacing w:val="1"/>
          <w:sz w:val="20"/>
          <w:szCs w:val="20"/>
          <w:highlight w:val="none"/>
          <w:u w:val="single" w:color="auto"/>
        </w:rPr>
        <w:t xml:space="preserve">               </w:t>
      </w:r>
      <w:r>
        <w:rPr>
          <w:rFonts w:ascii="Times New Roman" w:hAnsi="Times New Roman" w:eastAsia="Times New Roman" w:cs="Times New Roman"/>
          <w:spacing w:val="-1"/>
          <w:position w:val="3"/>
          <w:sz w:val="7"/>
          <w:szCs w:val="7"/>
          <w:highlight w:val="none"/>
        </w:rPr>
        <w:t>0</w:t>
      </w:r>
    </w:p>
    <w:p w14:paraId="3DAF6ACA">
      <w:pPr>
        <w:spacing w:before="222" w:line="184" w:lineRule="auto"/>
        <w:ind w:left="600"/>
        <w:rPr>
          <w:rFonts w:ascii="宋体" w:hAnsi="宋体" w:eastAsia="宋体" w:cs="宋体"/>
          <w:sz w:val="20"/>
          <w:szCs w:val="20"/>
          <w:highlight w:val="none"/>
        </w:rPr>
      </w:pPr>
      <w:r>
        <w:rPr>
          <w:highlight w:val="none"/>
        </w:rPr>
        <w:pict>
          <v:shape id="_x0000_s1026" o:spid="_x0000_s1026" o:spt="202" type="#_x0000_t202" style="position:absolute;left:0pt;margin-left:181.5pt;margin-top:19.5pt;height:4.25pt;width:109.6pt;z-index:251662336;mso-width-relative:page;mso-height-relative:page;" filled="f" stroked="f" coordsize="21600,21600">
            <v:path/>
            <v:fill on="f" focussize="0,0"/>
            <v:stroke on="f"/>
            <v:imagedata o:title=""/>
            <o:lock v:ext="edit" aspectratio="f"/>
            <v:textbox inset="0mm,0mm,0mm,0mm">
              <w:txbxContent>
                <w:p w14:paraId="778C409A">
                  <w:pPr>
                    <w:pStyle w:val="2"/>
                    <w:tabs>
                      <w:tab w:val="left" w:pos="2138"/>
                    </w:tabs>
                    <w:spacing w:before="20" w:line="44" w:lineRule="exact"/>
                    <w:ind w:left="20"/>
                    <w:rPr>
                      <w:sz w:val="6"/>
                      <w:szCs w:val="6"/>
                    </w:rPr>
                  </w:pPr>
                  <w:r>
                    <w:rPr>
                      <w:strike/>
                      <w:sz w:val="6"/>
                      <w:szCs w:val="6"/>
                    </w:rPr>
                    <w:tab/>
                  </w:r>
                  <w:r>
                    <w:rPr>
                      <w:sz w:val="6"/>
                      <w:szCs w:val="6"/>
                    </w:rPr>
                    <w:t>o</w:t>
                  </w:r>
                </w:p>
              </w:txbxContent>
            </v:textbox>
          </v:shape>
        </w:pict>
      </w:r>
      <w:r>
        <w:rPr>
          <w:rFonts w:ascii="Times New Roman" w:hAnsi="Times New Roman" w:eastAsia="Times New Roman" w:cs="Times New Roman"/>
          <w:spacing w:val="6"/>
          <w:sz w:val="20"/>
          <w:szCs w:val="20"/>
          <w:highlight w:val="none"/>
        </w:rPr>
        <w:t xml:space="preserve">3.   </w:t>
      </w:r>
      <w:r>
        <w:rPr>
          <w:rFonts w:ascii="宋体" w:hAnsi="宋体" w:eastAsia="宋体" w:cs="宋体"/>
          <w:spacing w:val="6"/>
          <w:sz w:val="20"/>
          <w:szCs w:val="20"/>
          <w:highlight w:val="none"/>
        </w:rPr>
        <w:t>工程审批、核准或备案文号：</w:t>
      </w:r>
    </w:p>
    <w:p w14:paraId="1E64FBDD">
      <w:pPr>
        <w:spacing w:before="281" w:line="184" w:lineRule="auto"/>
        <w:ind w:left="600"/>
        <w:rPr>
          <w:rFonts w:ascii="宋体" w:hAnsi="宋体" w:eastAsia="宋体" w:cs="宋体"/>
          <w:sz w:val="22"/>
          <w:szCs w:val="22"/>
          <w:highlight w:val="none"/>
        </w:rPr>
      </w:pPr>
      <w:r>
        <w:rPr>
          <w:highlight w:val="none"/>
        </w:rPr>
        <w:pict>
          <v:shape id="_x0000_s1027" o:spid="_x0000_s1027" o:spt="202" type="#_x0000_t202" style="position:absolute;left:0pt;margin-left:287.5pt;margin-top:19.15pt;height:5.2pt;width:3.65pt;z-index:251664384;mso-width-relative:page;mso-height-relative:page;" filled="f" stroked="f" coordsize="21600,21600">
            <v:path/>
            <v:fill on="f" focussize="0,0"/>
            <v:stroke on="f"/>
            <v:imagedata o:title=""/>
            <o:lock v:ext="edit" aspectratio="f"/>
            <v:textbox inset="0mm,0mm,0mm,0mm">
              <w:txbxContent>
                <w:p w14:paraId="3C95064C">
                  <w:pPr>
                    <w:spacing w:before="20" w:line="188" w:lineRule="auto"/>
                    <w:ind w:left="20"/>
                    <w:rPr>
                      <w:rFonts w:ascii="Times New Roman" w:hAnsi="Times New Roman" w:eastAsia="Times New Roman" w:cs="Times New Roman"/>
                      <w:sz w:val="7"/>
                      <w:szCs w:val="7"/>
                    </w:rPr>
                  </w:pPr>
                  <w:r>
                    <w:rPr>
                      <w:rFonts w:ascii="Times New Roman" w:hAnsi="Times New Roman" w:eastAsia="Times New Roman" w:cs="Times New Roman"/>
                      <w:sz w:val="7"/>
                      <w:szCs w:val="7"/>
                    </w:rPr>
                    <w:t>0</w:t>
                  </w:r>
                </w:p>
              </w:txbxContent>
            </v:textbox>
          </v:shape>
        </w:pict>
      </w:r>
      <w:r>
        <w:rPr>
          <w:rFonts w:ascii="宋体" w:hAnsi="宋体" w:eastAsia="宋体" w:cs="宋体"/>
          <w:spacing w:val="-7"/>
          <w:sz w:val="22"/>
          <w:szCs w:val="22"/>
          <w:highlight w:val="none"/>
        </w:rPr>
        <w:t>4. 资金来源：</w:t>
      </w:r>
      <w:r>
        <w:rPr>
          <w:rFonts w:ascii="宋体" w:hAnsi="宋体" w:eastAsia="宋体" w:cs="宋体"/>
          <w:sz w:val="22"/>
          <w:szCs w:val="22"/>
          <w:highlight w:val="none"/>
          <w:u w:val="single" w:color="auto"/>
        </w:rPr>
        <w:t xml:space="preserve">                                   </w:t>
      </w:r>
    </w:p>
    <w:p w14:paraId="14C30E80">
      <w:pPr>
        <w:spacing w:before="231" w:line="184" w:lineRule="auto"/>
        <w:ind w:left="600"/>
        <w:rPr>
          <w:rFonts w:ascii="宋体" w:hAnsi="宋体" w:eastAsia="宋体" w:cs="宋体"/>
          <w:sz w:val="22"/>
          <w:szCs w:val="22"/>
          <w:highlight w:val="none"/>
        </w:rPr>
      </w:pPr>
      <w:r>
        <w:rPr>
          <w:highlight w:val="none"/>
        </w:rPr>
        <w:pict>
          <v:shape id="_x0000_s1028" o:spid="_x0000_s1028" o:spt="202" type="#_x0000_t202" style="position:absolute;left:0pt;margin-left:288pt;margin-top:17.55pt;height:6.5pt;width:5.1pt;z-index:251663360;mso-width-relative:page;mso-height-relative:page;" filled="f" stroked="f" coordsize="21600,21600">
            <v:path/>
            <v:fill on="f" focussize="0,0"/>
            <v:stroke on="f"/>
            <v:imagedata o:title=""/>
            <o:lock v:ext="edit" aspectratio="f"/>
            <v:textbox inset="0mm,0mm,0mm,0mm">
              <w:txbxContent>
                <w:p w14:paraId="4A2BD8DC">
                  <w:pPr>
                    <w:spacing w:before="19" w:line="237" w:lineRule="auto"/>
                    <w:ind w:left="20"/>
                    <w:rPr>
                      <w:rFonts w:ascii="宋体" w:hAnsi="宋体" w:eastAsia="宋体" w:cs="宋体"/>
                      <w:sz w:val="7"/>
                      <w:szCs w:val="7"/>
                    </w:rPr>
                  </w:pPr>
                  <w:r>
                    <w:rPr>
                      <w:rFonts w:ascii="宋体" w:hAnsi="宋体" w:eastAsia="宋体" w:cs="宋体"/>
                      <w:sz w:val="7"/>
                      <w:szCs w:val="7"/>
                    </w:rPr>
                    <w:t>◎</w:t>
                  </w:r>
                </w:p>
              </w:txbxContent>
            </v:textbox>
          </v:shape>
        </w:pict>
      </w:r>
      <w:r>
        <w:rPr>
          <w:rFonts w:ascii="Times New Roman" w:hAnsi="Times New Roman" w:eastAsia="Times New Roman" w:cs="Times New Roman"/>
          <w:spacing w:val="-6"/>
          <w:sz w:val="22"/>
          <w:szCs w:val="22"/>
          <w:highlight w:val="none"/>
        </w:rPr>
        <w:t>5.</w:t>
      </w:r>
      <w:r>
        <w:rPr>
          <w:rFonts w:ascii="Times New Roman" w:hAnsi="Times New Roman" w:eastAsia="Times New Roman" w:cs="Times New Roman"/>
          <w:spacing w:val="22"/>
          <w:sz w:val="22"/>
          <w:szCs w:val="22"/>
          <w:highlight w:val="none"/>
        </w:rPr>
        <w:t xml:space="preserve">  </w:t>
      </w:r>
      <w:r>
        <w:rPr>
          <w:rFonts w:ascii="宋体" w:hAnsi="宋体" w:eastAsia="宋体" w:cs="宋体"/>
          <w:spacing w:val="-6"/>
          <w:sz w:val="22"/>
          <w:szCs w:val="22"/>
          <w:highlight w:val="none"/>
        </w:rPr>
        <w:t>工程内容及规模：</w:t>
      </w:r>
      <w:r>
        <w:rPr>
          <w:rFonts w:ascii="宋体" w:hAnsi="宋体" w:eastAsia="宋体" w:cs="宋体"/>
          <w:sz w:val="22"/>
          <w:szCs w:val="22"/>
          <w:highlight w:val="none"/>
          <w:u w:val="single" w:color="auto"/>
        </w:rPr>
        <w:t xml:space="preserve">                             </w:t>
      </w:r>
    </w:p>
    <w:p w14:paraId="422D67F6">
      <w:pPr>
        <w:pStyle w:val="2"/>
        <w:spacing w:line="253" w:lineRule="auto"/>
        <w:rPr>
          <w:highlight w:val="none"/>
        </w:rPr>
      </w:pPr>
    </w:p>
    <w:p w14:paraId="4BC1AE5E">
      <w:pPr>
        <w:spacing w:before="65" w:line="219" w:lineRule="auto"/>
        <w:ind w:left="600"/>
        <w:rPr>
          <w:rFonts w:ascii="Times New Roman" w:hAnsi="Times New Roman" w:eastAsia="Times New Roman" w:cs="Times New Roman"/>
          <w:sz w:val="7"/>
          <w:szCs w:val="7"/>
          <w:highlight w:val="none"/>
        </w:rPr>
      </w:pPr>
      <w:r>
        <w:rPr>
          <w:rFonts w:ascii="Times New Roman" w:hAnsi="Times New Roman" w:eastAsia="Times New Roman" w:cs="Times New Roman"/>
          <w:spacing w:val="-4"/>
          <w:sz w:val="20"/>
          <w:szCs w:val="20"/>
          <w:highlight w:val="none"/>
        </w:rPr>
        <w:t>6.</w:t>
      </w:r>
      <w:r>
        <w:rPr>
          <w:rFonts w:ascii="Times New Roman" w:hAnsi="Times New Roman" w:eastAsia="Times New Roman" w:cs="Times New Roman"/>
          <w:spacing w:val="6"/>
          <w:sz w:val="20"/>
          <w:szCs w:val="20"/>
          <w:highlight w:val="none"/>
        </w:rPr>
        <w:t xml:space="preserve">   </w:t>
      </w:r>
      <w:r>
        <w:rPr>
          <w:rFonts w:ascii="宋体" w:hAnsi="宋体" w:eastAsia="宋体" w:cs="宋体"/>
          <w:spacing w:val="-4"/>
          <w:sz w:val="20"/>
          <w:szCs w:val="20"/>
          <w:highlight w:val="none"/>
        </w:rPr>
        <w:t>工程承包范围：</w:t>
      </w:r>
      <w:r>
        <w:rPr>
          <w:rFonts w:ascii="宋体" w:hAnsi="宋体" w:eastAsia="宋体" w:cs="宋体"/>
          <w:spacing w:val="3"/>
          <w:sz w:val="20"/>
          <w:szCs w:val="20"/>
          <w:highlight w:val="none"/>
          <w:u w:val="single" w:color="auto"/>
        </w:rPr>
        <w:t xml:space="preserve">                      </w:t>
      </w:r>
      <w:r>
        <w:rPr>
          <w:rFonts w:ascii="宋体" w:hAnsi="宋体" w:eastAsia="宋体" w:cs="宋体"/>
          <w:spacing w:val="2"/>
          <w:sz w:val="20"/>
          <w:szCs w:val="20"/>
          <w:highlight w:val="none"/>
          <w:u w:val="single" w:color="auto"/>
        </w:rPr>
        <w:t xml:space="preserve">            </w:t>
      </w:r>
      <w:r>
        <w:rPr>
          <w:rFonts w:ascii="Times New Roman" w:hAnsi="Times New Roman" w:eastAsia="Times New Roman" w:cs="Times New Roman"/>
          <w:spacing w:val="-4"/>
          <w:position w:val="3"/>
          <w:sz w:val="7"/>
          <w:szCs w:val="7"/>
          <w:highlight w:val="none"/>
        </w:rPr>
        <w:t>0</w:t>
      </w:r>
    </w:p>
    <w:p w14:paraId="03C8B890">
      <w:pPr>
        <w:spacing w:before="191" w:line="220" w:lineRule="auto"/>
        <w:ind w:left="3"/>
        <w:outlineLvl w:val="1"/>
        <w:rPr>
          <w:rFonts w:ascii="宋体" w:hAnsi="宋体" w:eastAsia="宋体" w:cs="宋体"/>
          <w:sz w:val="22"/>
          <w:szCs w:val="22"/>
          <w:highlight w:val="none"/>
        </w:rPr>
      </w:pPr>
      <w:bookmarkStart w:id="71" w:name="bookmark36"/>
      <w:bookmarkEnd w:id="71"/>
      <w:r>
        <w:rPr>
          <w:rFonts w:ascii="宋体" w:hAnsi="宋体" w:eastAsia="宋体" w:cs="宋体"/>
          <w:b/>
          <w:bCs/>
          <w:spacing w:val="-5"/>
          <w:sz w:val="22"/>
          <w:szCs w:val="22"/>
          <w:highlight w:val="none"/>
        </w:rPr>
        <w:t>二</w:t>
      </w:r>
      <w:r>
        <w:rPr>
          <w:rFonts w:ascii="宋体" w:hAnsi="宋体" w:eastAsia="宋体" w:cs="宋体"/>
          <w:spacing w:val="-5"/>
          <w:sz w:val="22"/>
          <w:szCs w:val="22"/>
          <w:highlight w:val="none"/>
        </w:rPr>
        <w:t>、</w:t>
      </w:r>
      <w:r>
        <w:rPr>
          <w:rFonts w:ascii="宋体" w:hAnsi="宋体" w:eastAsia="宋体" w:cs="宋体"/>
          <w:b/>
          <w:bCs/>
          <w:spacing w:val="-5"/>
          <w:sz w:val="22"/>
          <w:szCs w:val="22"/>
          <w:highlight w:val="none"/>
        </w:rPr>
        <w:t>合同工期</w:t>
      </w:r>
    </w:p>
    <w:p w14:paraId="10C76747">
      <w:pPr>
        <w:pStyle w:val="2"/>
        <w:spacing w:line="336" w:lineRule="auto"/>
        <w:rPr>
          <w:highlight w:val="none"/>
        </w:rPr>
      </w:pPr>
    </w:p>
    <w:p w14:paraId="60EF4CD2">
      <w:pPr>
        <w:spacing w:before="73" w:line="219" w:lineRule="auto"/>
        <w:ind w:left="600"/>
        <w:rPr>
          <w:rFonts w:ascii="宋体" w:hAnsi="宋体" w:eastAsia="宋体" w:cs="宋体"/>
          <w:sz w:val="22"/>
          <w:szCs w:val="22"/>
          <w:highlight w:val="none"/>
        </w:rPr>
      </w:pPr>
      <w:r>
        <w:rPr>
          <w:rFonts w:ascii="宋体" w:hAnsi="宋体" w:eastAsia="宋体" w:cs="宋体"/>
          <w:spacing w:val="-20"/>
          <w:sz w:val="22"/>
          <w:szCs w:val="22"/>
          <w:highlight w:val="none"/>
        </w:rPr>
        <w:t>计划开始工作日期：</w:t>
      </w:r>
      <w:r>
        <w:rPr>
          <w:rFonts w:ascii="宋体" w:hAnsi="宋体" w:eastAsia="宋体" w:cs="宋体"/>
          <w:spacing w:val="8"/>
          <w:sz w:val="22"/>
          <w:szCs w:val="22"/>
          <w:highlight w:val="none"/>
          <w:u w:val="single" w:color="auto"/>
        </w:rPr>
        <w:t xml:space="preserve">        </w:t>
      </w:r>
      <w:r>
        <w:rPr>
          <w:rFonts w:ascii="宋体" w:hAnsi="宋体" w:eastAsia="宋体" w:cs="宋体"/>
          <w:spacing w:val="-104"/>
          <w:sz w:val="22"/>
          <w:szCs w:val="22"/>
          <w:highlight w:val="none"/>
        </w:rPr>
        <w:t xml:space="preserve"> </w:t>
      </w:r>
      <w:r>
        <w:rPr>
          <w:rFonts w:ascii="宋体" w:hAnsi="宋体" w:eastAsia="宋体" w:cs="宋体"/>
          <w:spacing w:val="-20"/>
          <w:sz w:val="22"/>
          <w:szCs w:val="22"/>
          <w:highlight w:val="none"/>
        </w:rPr>
        <w:t>年</w:t>
      </w:r>
      <w:r>
        <w:rPr>
          <w:rFonts w:ascii="宋体" w:hAnsi="宋体" w:eastAsia="宋体" w:cs="宋体"/>
          <w:spacing w:val="-88"/>
          <w:sz w:val="22"/>
          <w:szCs w:val="22"/>
          <w:highlight w:val="none"/>
        </w:rPr>
        <w:t xml:space="preserve"> </w:t>
      </w:r>
      <w:r>
        <w:rPr>
          <w:rFonts w:ascii="宋体" w:hAnsi="宋体" w:eastAsia="宋体" w:cs="宋体"/>
          <w:spacing w:val="8"/>
          <w:sz w:val="22"/>
          <w:szCs w:val="22"/>
          <w:highlight w:val="none"/>
          <w:u w:val="single" w:color="auto"/>
        </w:rPr>
        <w:t xml:space="preserve">     </w:t>
      </w:r>
      <w:r>
        <w:rPr>
          <w:rFonts w:ascii="宋体" w:hAnsi="宋体" w:eastAsia="宋体" w:cs="宋体"/>
          <w:spacing w:val="-100"/>
          <w:sz w:val="22"/>
          <w:szCs w:val="22"/>
          <w:highlight w:val="none"/>
        </w:rPr>
        <w:t xml:space="preserve"> </w:t>
      </w:r>
      <w:r>
        <w:rPr>
          <w:rFonts w:ascii="宋体" w:hAnsi="宋体" w:eastAsia="宋体" w:cs="宋体"/>
          <w:spacing w:val="-20"/>
          <w:sz w:val="22"/>
          <w:szCs w:val="22"/>
          <w:highlight w:val="none"/>
        </w:rPr>
        <w:t>月</w:t>
      </w:r>
      <w:r>
        <w:rPr>
          <w:rFonts w:ascii="宋体" w:hAnsi="宋体" w:eastAsia="宋体" w:cs="宋体"/>
          <w:spacing w:val="7"/>
          <w:sz w:val="22"/>
          <w:szCs w:val="22"/>
          <w:highlight w:val="none"/>
          <w:u w:val="single" w:color="auto"/>
        </w:rPr>
        <w:t xml:space="preserve">     </w:t>
      </w:r>
      <w:r>
        <w:rPr>
          <w:rFonts w:ascii="宋体" w:hAnsi="宋体" w:eastAsia="宋体" w:cs="宋体"/>
          <w:spacing w:val="-88"/>
          <w:sz w:val="22"/>
          <w:szCs w:val="22"/>
          <w:highlight w:val="none"/>
        </w:rPr>
        <w:t xml:space="preserve"> </w:t>
      </w:r>
      <w:r>
        <w:rPr>
          <w:rFonts w:ascii="宋体" w:hAnsi="宋体" w:eastAsia="宋体" w:cs="宋体"/>
          <w:spacing w:val="-20"/>
          <w:sz w:val="22"/>
          <w:szCs w:val="22"/>
          <w:highlight w:val="none"/>
        </w:rPr>
        <w:t>日。</w:t>
      </w:r>
    </w:p>
    <w:p w14:paraId="516DE1B2">
      <w:pPr>
        <w:spacing w:before="208" w:line="219" w:lineRule="auto"/>
        <w:ind w:left="600"/>
        <w:rPr>
          <w:rFonts w:ascii="宋体" w:hAnsi="宋体" w:eastAsia="宋体" w:cs="宋体"/>
          <w:sz w:val="22"/>
          <w:szCs w:val="22"/>
          <w:highlight w:val="none"/>
        </w:rPr>
      </w:pPr>
      <w:r>
        <w:rPr>
          <w:rFonts w:ascii="宋体" w:hAnsi="宋体" w:eastAsia="宋体" w:cs="宋体"/>
          <w:spacing w:val="-12"/>
          <w:sz w:val="22"/>
          <w:szCs w:val="22"/>
          <w:highlight w:val="none"/>
        </w:rPr>
        <w:t>计划开始现场施工日期：</w:t>
      </w:r>
      <w:r>
        <w:rPr>
          <w:rFonts w:ascii="宋体" w:hAnsi="宋体" w:eastAsia="宋体" w:cs="宋体"/>
          <w:spacing w:val="-12"/>
          <w:sz w:val="22"/>
          <w:szCs w:val="22"/>
          <w:highlight w:val="none"/>
          <w:u w:val="single" w:color="auto"/>
        </w:rPr>
        <w:t xml:space="preserve">         </w:t>
      </w:r>
      <w:r>
        <w:rPr>
          <w:rFonts w:ascii="宋体" w:hAnsi="宋体" w:eastAsia="宋体" w:cs="宋体"/>
          <w:spacing w:val="-12"/>
          <w:sz w:val="22"/>
          <w:szCs w:val="22"/>
          <w:highlight w:val="none"/>
        </w:rPr>
        <w:t>年</w:t>
      </w:r>
      <w:r>
        <w:rPr>
          <w:rFonts w:ascii="宋体" w:hAnsi="宋体" w:eastAsia="宋体" w:cs="宋体"/>
          <w:spacing w:val="-12"/>
          <w:sz w:val="22"/>
          <w:szCs w:val="22"/>
          <w:highlight w:val="none"/>
          <w:u w:val="single" w:color="auto"/>
        </w:rPr>
        <w:t xml:space="preserve">      </w:t>
      </w:r>
      <w:r>
        <w:rPr>
          <w:rFonts w:ascii="宋体" w:hAnsi="宋体" w:eastAsia="宋体" w:cs="宋体"/>
          <w:spacing w:val="-12"/>
          <w:sz w:val="22"/>
          <w:szCs w:val="22"/>
          <w:highlight w:val="none"/>
        </w:rPr>
        <w:t>月</w:t>
      </w:r>
      <w:r>
        <w:rPr>
          <w:rFonts w:ascii="宋体" w:hAnsi="宋体" w:eastAsia="宋体" w:cs="宋体"/>
          <w:spacing w:val="-12"/>
          <w:sz w:val="22"/>
          <w:szCs w:val="22"/>
          <w:highlight w:val="none"/>
          <w:u w:val="single" w:color="auto"/>
        </w:rPr>
        <w:t xml:space="preserve">      </w:t>
      </w:r>
      <w:r>
        <w:rPr>
          <w:rFonts w:ascii="宋体" w:hAnsi="宋体" w:eastAsia="宋体" w:cs="宋体"/>
          <w:spacing w:val="-12"/>
          <w:sz w:val="22"/>
          <w:szCs w:val="22"/>
          <w:highlight w:val="none"/>
        </w:rPr>
        <w:t>日。</w:t>
      </w:r>
    </w:p>
    <w:p w14:paraId="09966036">
      <w:pPr>
        <w:spacing w:before="209" w:line="219" w:lineRule="auto"/>
        <w:ind w:left="600"/>
        <w:rPr>
          <w:rFonts w:ascii="宋体" w:hAnsi="宋体" w:eastAsia="宋体" w:cs="宋体"/>
          <w:sz w:val="22"/>
          <w:szCs w:val="22"/>
          <w:highlight w:val="none"/>
        </w:rPr>
      </w:pPr>
      <w:r>
        <w:rPr>
          <w:rFonts w:ascii="宋体" w:hAnsi="宋体" w:eastAsia="宋体" w:cs="宋体"/>
          <w:spacing w:val="-10"/>
          <w:sz w:val="22"/>
          <w:szCs w:val="22"/>
          <w:highlight w:val="none"/>
        </w:rPr>
        <w:t>计划竣工日期：</w:t>
      </w:r>
      <w:r>
        <w:rPr>
          <w:rFonts w:ascii="宋体" w:hAnsi="宋体" w:eastAsia="宋体" w:cs="宋体"/>
          <w:spacing w:val="-10"/>
          <w:sz w:val="22"/>
          <w:szCs w:val="22"/>
          <w:highlight w:val="none"/>
          <w:u w:val="single" w:color="auto"/>
        </w:rPr>
        <w:t xml:space="preserve">         </w:t>
      </w:r>
      <w:r>
        <w:rPr>
          <w:rFonts w:ascii="宋体" w:hAnsi="宋体" w:eastAsia="宋体" w:cs="宋体"/>
          <w:spacing w:val="-10"/>
          <w:sz w:val="22"/>
          <w:szCs w:val="22"/>
          <w:highlight w:val="none"/>
        </w:rPr>
        <w:t>年</w:t>
      </w:r>
      <w:r>
        <w:rPr>
          <w:rFonts w:ascii="宋体" w:hAnsi="宋体" w:eastAsia="宋体" w:cs="宋体"/>
          <w:spacing w:val="-10"/>
          <w:sz w:val="22"/>
          <w:szCs w:val="22"/>
          <w:highlight w:val="none"/>
          <w:u w:val="single" w:color="auto"/>
        </w:rPr>
        <w:t xml:space="preserve">     月      </w:t>
      </w:r>
      <w:r>
        <w:rPr>
          <w:rFonts w:ascii="宋体" w:hAnsi="宋体" w:eastAsia="宋体" w:cs="宋体"/>
          <w:spacing w:val="-10"/>
          <w:sz w:val="22"/>
          <w:szCs w:val="22"/>
          <w:highlight w:val="none"/>
        </w:rPr>
        <w:t>日。</w:t>
      </w:r>
    </w:p>
    <w:p w14:paraId="7F2EFF24">
      <w:pPr>
        <w:spacing w:before="220" w:line="396" w:lineRule="auto"/>
        <w:ind w:right="34" w:firstLine="600"/>
        <w:rPr>
          <w:rFonts w:ascii="宋体" w:hAnsi="宋体" w:eastAsia="宋体" w:cs="宋体"/>
          <w:sz w:val="22"/>
          <w:szCs w:val="22"/>
          <w:highlight w:val="none"/>
        </w:rPr>
      </w:pPr>
      <w:r>
        <w:rPr>
          <w:rFonts w:ascii="宋体" w:hAnsi="宋体" w:eastAsia="宋体" w:cs="宋体"/>
          <w:spacing w:val="-10"/>
          <w:sz w:val="22"/>
          <w:szCs w:val="22"/>
          <w:highlight w:val="none"/>
        </w:rPr>
        <w:t>工期总日历天数：</w:t>
      </w:r>
      <w:r>
        <w:rPr>
          <w:rFonts w:ascii="宋体" w:hAnsi="宋体" w:eastAsia="宋体" w:cs="宋体"/>
          <w:spacing w:val="-10"/>
          <w:sz w:val="22"/>
          <w:szCs w:val="22"/>
          <w:highlight w:val="none"/>
          <w:u w:val="single" w:color="auto"/>
        </w:rPr>
        <w:t xml:space="preserve">        </w:t>
      </w:r>
      <w:r>
        <w:rPr>
          <w:rFonts w:ascii="宋体" w:hAnsi="宋体" w:eastAsia="宋体" w:cs="宋体"/>
          <w:spacing w:val="-110"/>
          <w:sz w:val="22"/>
          <w:szCs w:val="22"/>
          <w:highlight w:val="none"/>
        </w:rPr>
        <w:t xml:space="preserve"> </w:t>
      </w:r>
      <w:r>
        <w:rPr>
          <w:rFonts w:ascii="宋体" w:hAnsi="宋体" w:eastAsia="宋体" w:cs="宋体"/>
          <w:spacing w:val="-10"/>
          <w:sz w:val="22"/>
          <w:szCs w:val="22"/>
          <w:highlight w:val="none"/>
        </w:rPr>
        <w:t>天，工期总日历天数与根据前</w:t>
      </w:r>
      <w:r>
        <w:rPr>
          <w:rFonts w:ascii="宋体" w:hAnsi="宋体" w:eastAsia="宋体" w:cs="宋体"/>
          <w:spacing w:val="-11"/>
          <w:sz w:val="22"/>
          <w:szCs w:val="22"/>
          <w:highlight w:val="none"/>
        </w:rPr>
        <w:t>述计划日期计算的工期天数</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不一致的，以工期总日历天数为准。</w:t>
      </w:r>
    </w:p>
    <w:p w14:paraId="3C529148">
      <w:pPr>
        <w:spacing w:before="33" w:line="220" w:lineRule="auto"/>
        <w:outlineLvl w:val="1"/>
        <w:rPr>
          <w:rFonts w:ascii="宋体" w:hAnsi="宋体" w:eastAsia="宋体" w:cs="宋体"/>
          <w:sz w:val="22"/>
          <w:szCs w:val="22"/>
          <w:highlight w:val="none"/>
        </w:rPr>
      </w:pPr>
      <w:bookmarkStart w:id="72" w:name="bookmark37"/>
      <w:bookmarkEnd w:id="72"/>
      <w:r>
        <w:rPr>
          <w:rFonts w:ascii="宋体" w:hAnsi="宋体" w:eastAsia="宋体" w:cs="宋体"/>
          <w:spacing w:val="-4"/>
          <w:sz w:val="22"/>
          <w:szCs w:val="22"/>
          <w:highlight w:val="none"/>
        </w:rPr>
        <w:t>三、</w:t>
      </w:r>
      <w:r>
        <w:rPr>
          <w:rFonts w:ascii="宋体" w:hAnsi="宋体" w:eastAsia="宋体" w:cs="宋体"/>
          <w:b/>
          <w:bCs/>
          <w:spacing w:val="-4"/>
          <w:sz w:val="22"/>
          <w:szCs w:val="22"/>
          <w:highlight w:val="none"/>
        </w:rPr>
        <w:t>质量标准</w:t>
      </w:r>
    </w:p>
    <w:p w14:paraId="29935DCD">
      <w:pPr>
        <w:pStyle w:val="2"/>
        <w:spacing w:line="382" w:lineRule="auto"/>
        <w:rPr>
          <w:highlight w:val="none"/>
        </w:rPr>
      </w:pPr>
    </w:p>
    <w:p w14:paraId="391F79EA">
      <w:pPr>
        <w:spacing w:before="66" w:line="220" w:lineRule="auto"/>
        <w:ind w:left="600"/>
        <w:rPr>
          <w:sz w:val="20"/>
          <w:szCs w:val="20"/>
          <w:highlight w:val="none"/>
        </w:rPr>
      </w:pPr>
      <w:r>
        <w:rPr>
          <w:rFonts w:ascii="宋体" w:hAnsi="宋体" w:eastAsia="宋体" w:cs="宋体"/>
          <w:sz w:val="20"/>
          <w:szCs w:val="20"/>
          <w:highlight w:val="none"/>
        </w:rPr>
        <w:t>工程质量标准：</w:t>
      </w:r>
      <w:r>
        <w:rPr>
          <w:rFonts w:ascii="宋体" w:hAnsi="宋体" w:eastAsia="宋体" w:cs="宋体"/>
          <w:spacing w:val="-20"/>
          <w:sz w:val="20"/>
          <w:szCs w:val="20"/>
          <w:highlight w:val="none"/>
        </w:rPr>
        <w:t xml:space="preserve"> </w:t>
      </w:r>
      <w:r>
        <w:rPr>
          <w:rFonts w:ascii="宋体" w:hAnsi="宋体" w:eastAsia="宋体" w:cs="宋体"/>
          <w:spacing w:val="2"/>
          <w:sz w:val="20"/>
          <w:szCs w:val="20"/>
          <w:highlight w:val="none"/>
          <w:u w:val="single" w:color="auto"/>
        </w:rPr>
        <w:t xml:space="preserve">                                 </w:t>
      </w:r>
      <w:r>
        <w:rPr>
          <w:rFonts w:ascii="宋体" w:hAnsi="宋体" w:eastAsia="宋体" w:cs="宋体"/>
          <w:spacing w:val="-98"/>
          <w:sz w:val="20"/>
          <w:szCs w:val="20"/>
          <w:highlight w:val="none"/>
        </w:rPr>
        <w:t xml:space="preserve"> </w:t>
      </w:r>
      <w:r>
        <w:rPr>
          <w:position w:val="2"/>
          <w:sz w:val="20"/>
          <w:szCs w:val="20"/>
          <w:highlight w:val="none"/>
        </w:rPr>
        <w:drawing>
          <wp:inline distT="0" distB="0" distL="0" distR="0">
            <wp:extent cx="50800" cy="4445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11"/>
                    <a:stretch>
                      <a:fillRect/>
                    </a:stretch>
                  </pic:blipFill>
                  <pic:spPr>
                    <a:xfrm>
                      <a:off x="0" y="0"/>
                      <a:ext cx="50822" cy="44484"/>
                    </a:xfrm>
                    <a:prstGeom prst="rect">
                      <a:avLst/>
                    </a:prstGeom>
                  </pic:spPr>
                </pic:pic>
              </a:graphicData>
            </a:graphic>
          </wp:inline>
        </w:drawing>
      </w:r>
    </w:p>
    <w:p w14:paraId="3987C128">
      <w:pPr>
        <w:spacing w:before="217" w:line="218" w:lineRule="auto"/>
        <w:ind w:left="3"/>
        <w:outlineLvl w:val="1"/>
        <w:rPr>
          <w:rFonts w:ascii="宋体" w:hAnsi="宋体" w:eastAsia="宋体" w:cs="宋体"/>
          <w:sz w:val="22"/>
          <w:szCs w:val="22"/>
          <w:highlight w:val="none"/>
        </w:rPr>
      </w:pPr>
      <w:bookmarkStart w:id="73" w:name="bookmark38"/>
      <w:bookmarkEnd w:id="73"/>
      <w:r>
        <w:rPr>
          <w:rFonts w:ascii="宋体" w:hAnsi="宋体" w:eastAsia="宋体" w:cs="宋体"/>
          <w:b/>
          <w:bCs/>
          <w:spacing w:val="-9"/>
          <w:sz w:val="22"/>
          <w:szCs w:val="22"/>
          <w:highlight w:val="none"/>
        </w:rPr>
        <w:t>四、签约合同价与合同价格形式</w:t>
      </w:r>
    </w:p>
    <w:p w14:paraId="63674162">
      <w:pPr>
        <w:spacing w:line="218" w:lineRule="auto"/>
        <w:rPr>
          <w:rFonts w:ascii="宋体" w:hAnsi="宋体" w:eastAsia="宋体" w:cs="宋体"/>
          <w:sz w:val="22"/>
          <w:szCs w:val="22"/>
          <w:highlight w:val="none"/>
        </w:rPr>
        <w:sectPr>
          <w:footerReference r:id="rId68" w:type="default"/>
          <w:pgSz w:w="11910" w:h="16840"/>
          <w:pgMar w:top="400" w:right="1786" w:bottom="1217" w:left="1769" w:header="0" w:footer="1013" w:gutter="0"/>
          <w:cols w:space="720" w:num="1"/>
        </w:sectPr>
      </w:pPr>
    </w:p>
    <w:p w14:paraId="6F118530">
      <w:pPr>
        <w:pStyle w:val="2"/>
        <w:spacing w:line="272" w:lineRule="auto"/>
        <w:rPr>
          <w:highlight w:val="none"/>
        </w:rPr>
      </w:pPr>
    </w:p>
    <w:p w14:paraId="1E0C1147">
      <w:pPr>
        <w:pStyle w:val="2"/>
        <w:spacing w:line="273" w:lineRule="auto"/>
        <w:rPr>
          <w:highlight w:val="none"/>
        </w:rPr>
      </w:pPr>
    </w:p>
    <w:p w14:paraId="54C93DD7">
      <w:pPr>
        <w:pStyle w:val="2"/>
        <w:spacing w:line="273" w:lineRule="auto"/>
        <w:rPr>
          <w:highlight w:val="none"/>
        </w:rPr>
      </w:pPr>
    </w:p>
    <w:p w14:paraId="219CF5D5">
      <w:pPr>
        <w:pStyle w:val="2"/>
        <w:spacing w:line="273" w:lineRule="auto"/>
        <w:rPr>
          <w:highlight w:val="none"/>
        </w:rPr>
      </w:pPr>
    </w:p>
    <w:p w14:paraId="1A3E7700">
      <w:pPr>
        <w:spacing w:before="69" w:line="218" w:lineRule="auto"/>
        <w:ind w:left="610"/>
        <w:rPr>
          <w:rFonts w:ascii="宋体" w:hAnsi="宋体" w:eastAsia="宋体" w:cs="宋体"/>
          <w:sz w:val="21"/>
          <w:szCs w:val="21"/>
          <w:highlight w:val="none"/>
        </w:rPr>
      </w:pPr>
      <w:r>
        <w:rPr>
          <w:rFonts w:ascii="宋体" w:hAnsi="宋体" w:eastAsia="宋体" w:cs="宋体"/>
          <w:spacing w:val="8"/>
          <w:sz w:val="21"/>
          <w:szCs w:val="21"/>
          <w:highlight w:val="none"/>
        </w:rPr>
        <w:t>1. 签约合同价(含税)为：</w:t>
      </w:r>
    </w:p>
    <w:p w14:paraId="1BF3F06C">
      <w:pPr>
        <w:spacing w:before="246" w:line="191" w:lineRule="auto"/>
        <w:ind w:left="610"/>
        <w:rPr>
          <w:rFonts w:ascii="宋体" w:hAnsi="宋体" w:eastAsia="宋体" w:cs="宋体"/>
          <w:sz w:val="21"/>
          <w:szCs w:val="21"/>
          <w:highlight w:val="none"/>
        </w:rPr>
      </w:pPr>
      <w:r>
        <w:rPr>
          <w:rFonts w:ascii="宋体" w:hAnsi="宋体" w:eastAsia="宋体" w:cs="宋体"/>
          <w:spacing w:val="-7"/>
          <w:sz w:val="21"/>
          <w:szCs w:val="21"/>
          <w:highlight w:val="none"/>
        </w:rPr>
        <w:t>人民币(大写)</w:t>
      </w:r>
      <w:r>
        <w:rPr>
          <w:rFonts w:ascii="宋体" w:hAnsi="宋体" w:eastAsia="宋体" w:cs="宋体"/>
          <w:spacing w:val="-8"/>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7"/>
          <w:sz w:val="21"/>
          <w:szCs w:val="21"/>
          <w:highlight w:val="none"/>
        </w:rPr>
        <w:t xml:space="preserve"> (¥_</w:t>
      </w:r>
      <w:r>
        <w:rPr>
          <w:rFonts w:ascii="宋体" w:hAnsi="宋体" w:eastAsia="宋体" w:cs="宋体"/>
          <w:spacing w:val="8"/>
          <w:sz w:val="21"/>
          <w:szCs w:val="21"/>
          <w:highlight w:val="none"/>
        </w:rPr>
        <w:t xml:space="preserve">             </w:t>
      </w:r>
      <w:r>
        <w:rPr>
          <w:rFonts w:ascii="宋体" w:hAnsi="宋体" w:eastAsia="宋体" w:cs="宋体"/>
          <w:spacing w:val="-7"/>
          <w:sz w:val="21"/>
          <w:szCs w:val="21"/>
          <w:highlight w:val="none"/>
        </w:rPr>
        <w:t>_元)。</w:t>
      </w:r>
    </w:p>
    <w:p w14:paraId="7138977E">
      <w:pPr>
        <w:spacing w:line="10" w:lineRule="exact"/>
        <w:ind w:left="4080"/>
        <w:rPr>
          <w:highlight w:val="none"/>
        </w:rPr>
      </w:pPr>
      <w:r>
        <w:rPr>
          <w:highlight w:val="none"/>
        </w:rPr>
        <w:drawing>
          <wp:inline distT="0" distB="0" distL="0" distR="0">
            <wp:extent cx="939800" cy="635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312"/>
                    <a:stretch>
                      <a:fillRect/>
                    </a:stretch>
                  </pic:blipFill>
                  <pic:spPr>
                    <a:xfrm>
                      <a:off x="0" y="0"/>
                      <a:ext cx="939835" cy="6667"/>
                    </a:xfrm>
                    <a:prstGeom prst="rect">
                      <a:avLst/>
                    </a:prstGeom>
                  </pic:spPr>
                </pic:pic>
              </a:graphicData>
            </a:graphic>
          </wp:inline>
        </w:drawing>
      </w:r>
    </w:p>
    <w:p w14:paraId="2C63722C">
      <w:pPr>
        <w:spacing w:before="227" w:line="218" w:lineRule="auto"/>
        <w:ind w:left="620"/>
        <w:rPr>
          <w:rFonts w:ascii="宋体" w:hAnsi="宋体" w:eastAsia="宋体" w:cs="宋体"/>
          <w:sz w:val="21"/>
          <w:szCs w:val="21"/>
          <w:highlight w:val="none"/>
        </w:rPr>
      </w:pPr>
      <w:r>
        <w:rPr>
          <w:rFonts w:ascii="宋体" w:hAnsi="宋体" w:eastAsia="宋体" w:cs="宋体"/>
          <w:spacing w:val="-5"/>
          <w:sz w:val="21"/>
          <w:szCs w:val="21"/>
          <w:highlight w:val="none"/>
        </w:rPr>
        <w:t>具体构成详见价格清单。其中：</w:t>
      </w:r>
    </w:p>
    <w:p w14:paraId="299443FF">
      <w:pPr>
        <w:spacing w:before="244" w:line="219" w:lineRule="auto"/>
        <w:ind w:left="710"/>
        <w:rPr>
          <w:rFonts w:ascii="宋体" w:hAnsi="宋体" w:eastAsia="宋体" w:cs="宋体"/>
          <w:sz w:val="21"/>
          <w:szCs w:val="21"/>
          <w:highlight w:val="none"/>
        </w:rPr>
      </w:pPr>
      <w:r>
        <w:rPr>
          <w:rFonts w:ascii="宋体" w:hAnsi="宋体" w:eastAsia="宋体" w:cs="宋体"/>
          <w:spacing w:val="5"/>
          <w:sz w:val="21"/>
          <w:szCs w:val="21"/>
          <w:highlight w:val="none"/>
        </w:rPr>
        <w:t>(1)</w:t>
      </w:r>
      <w:r>
        <w:rPr>
          <w:rFonts w:ascii="宋体" w:hAnsi="宋体" w:eastAsia="宋体" w:cs="宋体"/>
          <w:spacing w:val="28"/>
          <w:sz w:val="21"/>
          <w:szCs w:val="21"/>
          <w:highlight w:val="none"/>
        </w:rPr>
        <w:t xml:space="preserve">  </w:t>
      </w:r>
      <w:r>
        <w:rPr>
          <w:rFonts w:ascii="宋体" w:hAnsi="宋体" w:eastAsia="宋体" w:cs="宋体"/>
          <w:spacing w:val="5"/>
          <w:sz w:val="21"/>
          <w:szCs w:val="21"/>
          <w:highlight w:val="none"/>
        </w:rPr>
        <w:t>设计费(含税):</w:t>
      </w:r>
    </w:p>
    <w:p w14:paraId="5AE59978">
      <w:pPr>
        <w:spacing w:before="203" w:line="399" w:lineRule="auto"/>
        <w:ind w:left="10" w:right="13" w:firstLine="610"/>
        <w:rPr>
          <w:rFonts w:ascii="宋体" w:hAnsi="宋体" w:eastAsia="宋体" w:cs="宋体"/>
          <w:sz w:val="21"/>
          <w:szCs w:val="21"/>
          <w:highlight w:val="none"/>
        </w:rPr>
      </w:pPr>
      <w:r>
        <w:rPr>
          <w:rFonts w:ascii="宋体" w:hAnsi="宋体" w:eastAsia="宋体" w:cs="宋体"/>
          <w:spacing w:val="3"/>
          <w:sz w:val="21"/>
          <w:szCs w:val="21"/>
          <w:highlight w:val="none"/>
        </w:rPr>
        <w:t>人民币(大写)</w:t>
      </w:r>
      <w:r>
        <w:rPr>
          <w:rFonts w:ascii="宋体" w:hAnsi="宋体" w:eastAsia="宋体" w:cs="宋体"/>
          <w:spacing w:val="-21"/>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45"/>
          <w:sz w:val="21"/>
          <w:szCs w:val="21"/>
          <w:highlight w:val="none"/>
        </w:rPr>
        <w:t xml:space="preserve"> </w:t>
      </w:r>
      <w:r>
        <w:rPr>
          <w:rFonts w:ascii="宋体" w:hAnsi="宋体" w:eastAsia="宋体" w:cs="宋体"/>
          <w:spacing w:val="3"/>
          <w:position w:val="3"/>
          <w:sz w:val="21"/>
          <w:szCs w:val="21"/>
          <w:highlight w:val="none"/>
        </w:rPr>
        <w:t>(¥</w:t>
      </w:r>
      <w:r>
        <w:rPr>
          <w:rFonts w:ascii="宋体" w:hAnsi="宋体" w:eastAsia="宋体" w:cs="宋体"/>
          <w:spacing w:val="-60"/>
          <w:position w:val="3"/>
          <w:sz w:val="21"/>
          <w:szCs w:val="21"/>
          <w:highlight w:val="none"/>
        </w:rPr>
        <w:t xml:space="preserve"> </w:t>
      </w:r>
      <w:r>
        <w:rPr>
          <w:rFonts w:ascii="宋体" w:hAnsi="宋体" w:eastAsia="宋体" w:cs="宋体"/>
          <w:position w:val="3"/>
          <w:sz w:val="21"/>
          <w:szCs w:val="21"/>
          <w:highlight w:val="none"/>
          <w:u w:val="single" w:color="auto"/>
        </w:rPr>
        <w:t xml:space="preserve">         </w:t>
      </w:r>
      <w:r>
        <w:rPr>
          <w:rFonts w:ascii="宋体" w:hAnsi="宋体" w:eastAsia="宋体" w:cs="宋体"/>
          <w:spacing w:val="-90"/>
          <w:position w:val="3"/>
          <w:sz w:val="21"/>
          <w:szCs w:val="21"/>
          <w:highlight w:val="none"/>
        </w:rPr>
        <w:t xml:space="preserve"> </w:t>
      </w:r>
      <w:r>
        <w:rPr>
          <w:rFonts w:ascii="宋体" w:hAnsi="宋体" w:eastAsia="宋体" w:cs="宋体"/>
          <w:spacing w:val="3"/>
          <w:sz w:val="21"/>
          <w:szCs w:val="21"/>
          <w:highlight w:val="none"/>
        </w:rPr>
        <w:t>元);适用税率：</w:t>
      </w:r>
      <w:r>
        <w:rPr>
          <w:rFonts w:ascii="宋体" w:hAnsi="宋体" w:eastAsia="宋体" w:cs="宋体"/>
          <w:spacing w:val="17"/>
          <w:sz w:val="21"/>
          <w:szCs w:val="21"/>
          <w:highlight w:val="none"/>
          <w:u w:val="single" w:color="auto"/>
        </w:rPr>
        <w:t xml:space="preserve">    </w:t>
      </w:r>
      <w:r>
        <w:rPr>
          <w:rFonts w:ascii="宋体" w:hAnsi="宋体" w:eastAsia="宋体" w:cs="宋体"/>
          <w:spacing w:val="-93"/>
          <w:sz w:val="21"/>
          <w:szCs w:val="21"/>
          <w:highlight w:val="none"/>
        </w:rPr>
        <w:t xml:space="preserve"> </w:t>
      </w:r>
      <w:r>
        <w:rPr>
          <w:rFonts w:ascii="宋体" w:hAnsi="宋体" w:eastAsia="宋体" w:cs="宋体"/>
          <w:spacing w:val="3"/>
          <w:sz w:val="21"/>
          <w:szCs w:val="21"/>
          <w:highlight w:val="none"/>
        </w:rPr>
        <w:t>6,税</w:t>
      </w:r>
      <w:r>
        <w:rPr>
          <w:rFonts w:ascii="宋体" w:hAnsi="宋体" w:eastAsia="宋体" w:cs="宋体"/>
          <w:spacing w:val="2"/>
          <w:sz w:val="21"/>
          <w:szCs w:val="21"/>
          <w:highlight w:val="none"/>
        </w:rPr>
        <w:t>金为人民币(大</w:t>
      </w:r>
      <w:r>
        <w:rPr>
          <w:rFonts w:ascii="宋体" w:hAnsi="宋体" w:eastAsia="宋体" w:cs="宋体"/>
          <w:sz w:val="21"/>
          <w:szCs w:val="21"/>
          <w:highlight w:val="none"/>
        </w:rPr>
        <w:t xml:space="preserve"> </w:t>
      </w:r>
      <w:r>
        <w:rPr>
          <w:rFonts w:ascii="宋体" w:hAnsi="宋体" w:eastAsia="宋体" w:cs="宋体"/>
          <w:spacing w:val="-11"/>
          <w:sz w:val="21"/>
          <w:szCs w:val="21"/>
          <w:highlight w:val="none"/>
        </w:rPr>
        <w:t>写)</w:t>
      </w:r>
      <w:r>
        <w:rPr>
          <w:rFonts w:ascii="宋体" w:hAnsi="宋体" w:eastAsia="宋体" w:cs="宋体"/>
          <w:spacing w:val="8"/>
          <w:sz w:val="21"/>
          <w:szCs w:val="21"/>
          <w:highlight w:val="none"/>
          <w:u w:val="single" w:color="auto"/>
        </w:rPr>
        <w:t xml:space="preserve">          </w:t>
      </w:r>
      <w:r>
        <w:rPr>
          <w:rFonts w:ascii="宋体" w:hAnsi="宋体" w:eastAsia="宋体" w:cs="宋体"/>
          <w:spacing w:val="-18"/>
          <w:sz w:val="21"/>
          <w:szCs w:val="21"/>
          <w:highlight w:val="none"/>
        </w:rPr>
        <w:t xml:space="preserve"> </w:t>
      </w:r>
      <w:r>
        <w:rPr>
          <w:rFonts w:ascii="宋体" w:hAnsi="宋体" w:eastAsia="宋体" w:cs="宋体"/>
          <w:spacing w:val="-11"/>
          <w:sz w:val="21"/>
          <w:szCs w:val="21"/>
          <w:highlight w:val="none"/>
        </w:rPr>
        <w:t>(¥_</w:t>
      </w:r>
      <w:r>
        <w:rPr>
          <w:rFonts w:ascii="宋体" w:hAnsi="宋体" w:eastAsia="宋体" w:cs="宋体"/>
          <w:spacing w:val="-95"/>
          <w:sz w:val="21"/>
          <w:szCs w:val="21"/>
          <w:highlight w:val="none"/>
        </w:rPr>
        <w:t xml:space="preserve"> </w:t>
      </w:r>
      <w:r>
        <w:rPr>
          <w:rFonts w:ascii="宋体" w:hAnsi="宋体" w:eastAsia="宋体" w:cs="宋体"/>
          <w:spacing w:val="11"/>
          <w:sz w:val="21"/>
          <w:szCs w:val="21"/>
          <w:highlight w:val="none"/>
          <w:u w:val="single" w:color="auto"/>
        </w:rPr>
        <w:t xml:space="preserve">         </w:t>
      </w:r>
      <w:r>
        <w:rPr>
          <w:rFonts w:ascii="宋体" w:hAnsi="宋体" w:eastAsia="宋体" w:cs="宋体"/>
          <w:spacing w:val="-11"/>
          <w:sz w:val="21"/>
          <w:szCs w:val="21"/>
          <w:highlight w:val="none"/>
        </w:rPr>
        <w:t>元);</w:t>
      </w:r>
    </w:p>
    <w:p w14:paraId="58CF5D55">
      <w:pPr>
        <w:spacing w:before="29" w:line="219" w:lineRule="auto"/>
        <w:ind w:left="720"/>
        <w:rPr>
          <w:rFonts w:ascii="宋体" w:hAnsi="宋体" w:eastAsia="宋体" w:cs="宋体"/>
          <w:sz w:val="21"/>
          <w:szCs w:val="21"/>
          <w:highlight w:val="none"/>
        </w:rPr>
      </w:pPr>
      <w:r>
        <w:rPr>
          <w:rFonts w:ascii="宋体" w:hAnsi="宋体" w:eastAsia="宋体" w:cs="宋体"/>
          <w:spacing w:val="4"/>
          <w:sz w:val="21"/>
          <w:szCs w:val="21"/>
          <w:highlight w:val="none"/>
        </w:rPr>
        <w:t>(2)</w:t>
      </w:r>
      <w:r>
        <w:rPr>
          <w:rFonts w:ascii="宋体" w:hAnsi="宋体" w:eastAsia="宋体" w:cs="宋体"/>
          <w:spacing w:val="24"/>
          <w:sz w:val="21"/>
          <w:szCs w:val="21"/>
          <w:highlight w:val="none"/>
        </w:rPr>
        <w:t xml:space="preserve">  </w:t>
      </w:r>
      <w:r>
        <w:rPr>
          <w:rFonts w:ascii="宋体" w:hAnsi="宋体" w:eastAsia="宋体" w:cs="宋体"/>
          <w:spacing w:val="4"/>
          <w:sz w:val="21"/>
          <w:szCs w:val="21"/>
          <w:highlight w:val="none"/>
        </w:rPr>
        <w:t>设备购置费(含税):</w:t>
      </w:r>
    </w:p>
    <w:p w14:paraId="2DC81300">
      <w:pPr>
        <w:spacing w:before="204" w:line="412" w:lineRule="auto"/>
        <w:ind w:right="43" w:firstLine="630"/>
        <w:rPr>
          <w:rFonts w:ascii="宋体" w:hAnsi="宋体" w:eastAsia="宋体" w:cs="宋体"/>
          <w:sz w:val="21"/>
          <w:szCs w:val="21"/>
          <w:highlight w:val="none"/>
        </w:rPr>
      </w:pPr>
      <w:r>
        <w:rPr>
          <w:rFonts w:ascii="宋体" w:hAnsi="宋体" w:eastAsia="宋体" w:cs="宋体"/>
          <w:spacing w:val="7"/>
          <w:position w:val="-1"/>
          <w:sz w:val="21"/>
          <w:szCs w:val="21"/>
          <w:highlight w:val="none"/>
        </w:rPr>
        <w:t>人民币(大写)</w:t>
      </w:r>
      <w:r>
        <w:rPr>
          <w:rFonts w:ascii="宋体" w:hAnsi="宋体" w:eastAsia="宋体" w:cs="宋体"/>
          <w:spacing w:val="-31"/>
          <w:position w:val="-1"/>
          <w:sz w:val="21"/>
          <w:szCs w:val="21"/>
          <w:highlight w:val="none"/>
        </w:rPr>
        <w:t xml:space="preserve"> </w:t>
      </w:r>
      <w:r>
        <w:rPr>
          <w:rFonts w:ascii="宋体" w:hAnsi="宋体" w:eastAsia="宋体" w:cs="宋体"/>
          <w:position w:val="-1"/>
          <w:sz w:val="21"/>
          <w:szCs w:val="21"/>
          <w:highlight w:val="none"/>
          <w:u w:val="single" w:color="auto"/>
        </w:rPr>
        <w:t xml:space="preserve">            </w:t>
      </w:r>
      <w:r>
        <w:rPr>
          <w:rFonts w:ascii="宋体" w:hAnsi="宋体" w:eastAsia="宋体" w:cs="宋体"/>
          <w:spacing w:val="-15"/>
          <w:position w:val="-1"/>
          <w:sz w:val="21"/>
          <w:szCs w:val="21"/>
          <w:highlight w:val="none"/>
        </w:rPr>
        <w:t xml:space="preserve"> </w:t>
      </w:r>
      <w:r>
        <w:rPr>
          <w:rFonts w:ascii="宋体" w:hAnsi="宋体" w:eastAsia="宋体" w:cs="宋体"/>
          <w:spacing w:val="7"/>
          <w:position w:val="2"/>
          <w:sz w:val="21"/>
          <w:szCs w:val="21"/>
          <w:highlight w:val="none"/>
        </w:rPr>
        <w:t>(¥</w:t>
      </w:r>
      <w:r>
        <w:rPr>
          <w:rFonts w:ascii="宋体" w:hAnsi="宋体" w:eastAsia="宋体" w:cs="宋体"/>
          <w:spacing w:val="-60"/>
          <w:position w:val="2"/>
          <w:sz w:val="21"/>
          <w:szCs w:val="21"/>
          <w:highlight w:val="none"/>
        </w:rPr>
        <w:t xml:space="preserve"> </w:t>
      </w:r>
      <w:r>
        <w:rPr>
          <w:rFonts w:ascii="宋体" w:hAnsi="宋体" w:eastAsia="宋体" w:cs="宋体"/>
          <w:spacing w:val="1"/>
          <w:position w:val="2"/>
          <w:sz w:val="21"/>
          <w:szCs w:val="21"/>
          <w:highlight w:val="none"/>
          <w:u w:val="single" w:color="auto"/>
        </w:rPr>
        <w:t xml:space="preserve">        </w:t>
      </w:r>
      <w:r>
        <w:rPr>
          <w:rFonts w:ascii="宋体" w:hAnsi="宋体" w:eastAsia="宋体" w:cs="宋体"/>
          <w:spacing w:val="-93"/>
          <w:position w:val="2"/>
          <w:sz w:val="21"/>
          <w:szCs w:val="21"/>
          <w:highlight w:val="none"/>
        </w:rPr>
        <w:t xml:space="preserve"> </w:t>
      </w:r>
      <w:r>
        <w:rPr>
          <w:rFonts w:ascii="宋体" w:hAnsi="宋体" w:eastAsia="宋体" w:cs="宋体"/>
          <w:spacing w:val="7"/>
          <w:sz w:val="21"/>
          <w:szCs w:val="21"/>
          <w:highlight w:val="none"/>
        </w:rPr>
        <w:t>元);适用税率：</w:t>
      </w:r>
      <w:r>
        <w:rPr>
          <w:rFonts w:ascii="宋体" w:hAnsi="宋体" w:eastAsia="宋体" w:cs="宋体"/>
          <w:spacing w:val="-65"/>
          <w:sz w:val="21"/>
          <w:szCs w:val="21"/>
          <w:highlight w:val="none"/>
        </w:rPr>
        <w:t xml:space="preserve"> </w:t>
      </w:r>
      <w:r>
        <w:rPr>
          <w:rFonts w:ascii="宋体" w:hAnsi="宋体" w:eastAsia="宋体" w:cs="宋体"/>
          <w:spacing w:val="25"/>
          <w:sz w:val="21"/>
          <w:szCs w:val="21"/>
          <w:highlight w:val="none"/>
          <w:u w:val="single" w:color="auto"/>
        </w:rPr>
        <w:t xml:space="preserve">   </w:t>
      </w:r>
      <w:r>
        <w:rPr>
          <w:rFonts w:ascii="宋体" w:hAnsi="宋体" w:eastAsia="宋体" w:cs="宋体"/>
          <w:spacing w:val="-105"/>
          <w:sz w:val="21"/>
          <w:szCs w:val="21"/>
          <w:highlight w:val="none"/>
        </w:rPr>
        <w:t xml:space="preserve"> </w:t>
      </w:r>
      <w:r>
        <w:rPr>
          <w:rFonts w:ascii="宋体" w:hAnsi="宋体" w:eastAsia="宋体" w:cs="宋体"/>
          <w:spacing w:val="7"/>
          <w:sz w:val="21"/>
          <w:szCs w:val="21"/>
          <w:highlight w:val="none"/>
        </w:rPr>
        <w:t>%,税金为</w:t>
      </w:r>
      <w:r>
        <w:rPr>
          <w:rFonts w:ascii="宋体" w:hAnsi="宋体" w:eastAsia="宋体" w:cs="宋体"/>
          <w:spacing w:val="6"/>
          <w:sz w:val="21"/>
          <w:szCs w:val="21"/>
          <w:highlight w:val="none"/>
        </w:rPr>
        <w:t>人民币(大</w:t>
      </w:r>
      <w:r>
        <w:rPr>
          <w:rFonts w:ascii="宋体" w:hAnsi="宋体" w:eastAsia="宋体" w:cs="宋体"/>
          <w:sz w:val="21"/>
          <w:szCs w:val="21"/>
          <w:highlight w:val="none"/>
        </w:rPr>
        <w:t xml:space="preserve"> </w:t>
      </w:r>
      <w:r>
        <w:rPr>
          <w:rFonts w:ascii="宋体" w:hAnsi="宋体" w:eastAsia="宋体" w:cs="宋体"/>
          <w:spacing w:val="-5"/>
          <w:position w:val="-1"/>
          <w:sz w:val="21"/>
          <w:szCs w:val="21"/>
          <w:highlight w:val="none"/>
        </w:rPr>
        <w:t>写)</w:t>
      </w:r>
      <w:r>
        <w:rPr>
          <w:rFonts w:ascii="宋体" w:hAnsi="宋体" w:eastAsia="宋体" w:cs="宋体"/>
          <w:spacing w:val="11"/>
          <w:position w:val="-1"/>
          <w:sz w:val="21"/>
          <w:szCs w:val="21"/>
          <w:highlight w:val="none"/>
          <w:u w:val="single" w:color="auto"/>
        </w:rPr>
        <w:t xml:space="preserve">         </w:t>
      </w:r>
      <w:r>
        <w:rPr>
          <w:rFonts w:ascii="宋体" w:hAnsi="宋体" w:eastAsia="宋体" w:cs="宋体"/>
          <w:spacing w:val="-13"/>
          <w:position w:val="-1"/>
          <w:sz w:val="21"/>
          <w:szCs w:val="21"/>
          <w:highlight w:val="none"/>
        </w:rPr>
        <w:t xml:space="preserve"> </w:t>
      </w:r>
      <w:r>
        <w:rPr>
          <w:rFonts w:ascii="宋体" w:hAnsi="宋体" w:eastAsia="宋体" w:cs="宋体"/>
          <w:spacing w:val="-5"/>
          <w:sz w:val="21"/>
          <w:szCs w:val="21"/>
          <w:highlight w:val="none"/>
        </w:rPr>
        <w:t>(¥</w:t>
      </w:r>
      <w:r>
        <w:rPr>
          <w:rFonts w:ascii="宋体" w:hAnsi="宋体" w:eastAsia="宋体" w:cs="宋体"/>
          <w:spacing w:val="-60"/>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93"/>
          <w:sz w:val="21"/>
          <w:szCs w:val="21"/>
          <w:highlight w:val="none"/>
        </w:rPr>
        <w:t xml:space="preserve"> </w:t>
      </w:r>
      <w:r>
        <w:rPr>
          <w:rFonts w:ascii="宋体" w:hAnsi="宋体" w:eastAsia="宋体" w:cs="宋体"/>
          <w:spacing w:val="-5"/>
          <w:position w:val="1"/>
          <w:sz w:val="21"/>
          <w:szCs w:val="21"/>
          <w:highlight w:val="none"/>
        </w:rPr>
        <w:t>元);</w:t>
      </w:r>
    </w:p>
    <w:p w14:paraId="5712663E">
      <w:pPr>
        <w:spacing w:line="219" w:lineRule="auto"/>
        <w:ind w:left="720"/>
        <w:rPr>
          <w:rFonts w:ascii="宋体" w:hAnsi="宋体" w:eastAsia="宋体" w:cs="宋体"/>
          <w:sz w:val="21"/>
          <w:szCs w:val="21"/>
          <w:highlight w:val="none"/>
        </w:rPr>
      </w:pPr>
      <w:r>
        <w:rPr>
          <w:rFonts w:ascii="宋体" w:hAnsi="宋体" w:eastAsia="宋体" w:cs="宋体"/>
          <w:spacing w:val="5"/>
          <w:sz w:val="21"/>
          <w:szCs w:val="21"/>
          <w:highlight w:val="none"/>
        </w:rPr>
        <w:t>(3)  建筑安装工程费(含税):</w:t>
      </w:r>
    </w:p>
    <w:p w14:paraId="0FF0E567">
      <w:pPr>
        <w:spacing w:before="205" w:line="415" w:lineRule="auto"/>
        <w:ind w:right="33" w:firstLine="620"/>
        <w:rPr>
          <w:rFonts w:ascii="宋体" w:hAnsi="宋体" w:eastAsia="宋体" w:cs="宋体"/>
          <w:sz w:val="21"/>
          <w:szCs w:val="21"/>
          <w:highlight w:val="none"/>
        </w:rPr>
      </w:pPr>
      <w:r>
        <w:rPr>
          <w:rFonts w:ascii="宋体" w:hAnsi="宋体" w:eastAsia="宋体" w:cs="宋体"/>
          <w:spacing w:val="2"/>
          <w:sz w:val="21"/>
          <w:szCs w:val="21"/>
          <w:highlight w:val="none"/>
        </w:rPr>
        <w:t>人民币(大写)_</w:t>
      </w:r>
      <w:r>
        <w:rPr>
          <w:rFonts w:ascii="宋体" w:hAnsi="宋体" w:eastAsia="宋体" w:cs="宋体"/>
          <w:spacing w:val="-78"/>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20"/>
          <w:sz w:val="21"/>
          <w:szCs w:val="21"/>
          <w:highlight w:val="none"/>
        </w:rPr>
        <w:t xml:space="preserve"> </w:t>
      </w:r>
      <w:r>
        <w:rPr>
          <w:rFonts w:ascii="宋体" w:hAnsi="宋体" w:eastAsia="宋体" w:cs="宋体"/>
          <w:spacing w:val="2"/>
          <w:position w:val="3"/>
          <w:sz w:val="21"/>
          <w:szCs w:val="21"/>
          <w:highlight w:val="none"/>
        </w:rPr>
        <w:t>(¥</w:t>
      </w:r>
      <w:r>
        <w:rPr>
          <w:rFonts w:ascii="宋体" w:hAnsi="宋体" w:eastAsia="宋体" w:cs="宋体"/>
          <w:spacing w:val="-60"/>
          <w:position w:val="3"/>
          <w:sz w:val="21"/>
          <w:szCs w:val="21"/>
          <w:highlight w:val="none"/>
        </w:rPr>
        <w:t xml:space="preserve"> </w:t>
      </w:r>
      <w:r>
        <w:rPr>
          <w:rFonts w:ascii="宋体" w:hAnsi="宋体" w:eastAsia="宋体" w:cs="宋体"/>
          <w:spacing w:val="1"/>
          <w:position w:val="3"/>
          <w:sz w:val="21"/>
          <w:szCs w:val="21"/>
          <w:highlight w:val="none"/>
          <w:u w:val="single" w:color="auto"/>
        </w:rPr>
        <w:t xml:space="preserve">        </w:t>
      </w:r>
      <w:r>
        <w:rPr>
          <w:rFonts w:ascii="宋体" w:hAnsi="宋体" w:eastAsia="宋体" w:cs="宋体"/>
          <w:spacing w:val="-93"/>
          <w:position w:val="3"/>
          <w:sz w:val="21"/>
          <w:szCs w:val="21"/>
          <w:highlight w:val="none"/>
        </w:rPr>
        <w:t xml:space="preserve"> </w:t>
      </w:r>
      <w:r>
        <w:rPr>
          <w:rFonts w:ascii="宋体" w:hAnsi="宋体" w:eastAsia="宋体" w:cs="宋体"/>
          <w:spacing w:val="2"/>
          <w:sz w:val="21"/>
          <w:szCs w:val="21"/>
          <w:highlight w:val="none"/>
        </w:rPr>
        <w:t>元);适用税率：</w:t>
      </w:r>
      <w:r>
        <w:rPr>
          <w:rFonts w:ascii="宋体" w:hAnsi="宋体" w:eastAsia="宋体" w:cs="宋体"/>
          <w:spacing w:val="-55"/>
          <w:sz w:val="21"/>
          <w:szCs w:val="21"/>
          <w:highlight w:val="none"/>
        </w:rPr>
        <w:t xml:space="preserve"> </w:t>
      </w:r>
      <w:r>
        <w:rPr>
          <w:rFonts w:ascii="宋体" w:hAnsi="宋体" w:eastAsia="宋体" w:cs="宋体"/>
          <w:spacing w:val="18"/>
          <w:sz w:val="21"/>
          <w:szCs w:val="21"/>
          <w:highlight w:val="none"/>
          <w:u w:val="single" w:color="auto"/>
        </w:rPr>
        <w:t xml:space="preserve">   </w:t>
      </w:r>
      <w:r>
        <w:rPr>
          <w:rFonts w:ascii="宋体" w:hAnsi="宋体" w:eastAsia="宋体" w:cs="宋体"/>
          <w:spacing w:val="-104"/>
          <w:sz w:val="21"/>
          <w:szCs w:val="21"/>
          <w:highlight w:val="none"/>
        </w:rPr>
        <w:t xml:space="preserve"> </w:t>
      </w:r>
      <w:r>
        <w:rPr>
          <w:rFonts w:ascii="宋体" w:hAnsi="宋体" w:eastAsia="宋体" w:cs="宋体"/>
          <w:spacing w:val="2"/>
          <w:sz w:val="21"/>
          <w:szCs w:val="21"/>
          <w:highlight w:val="none"/>
        </w:rPr>
        <w:t>%,税金为人民币(大</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写)</w:t>
      </w:r>
      <w:r>
        <w:rPr>
          <w:rFonts w:ascii="宋体" w:hAnsi="宋体" w:eastAsia="宋体" w:cs="宋体"/>
          <w:spacing w:val="11"/>
          <w:sz w:val="21"/>
          <w:szCs w:val="21"/>
          <w:highlight w:val="none"/>
          <w:u w:val="single" w:color="auto"/>
        </w:rPr>
        <w:t xml:space="preserve">         </w:t>
      </w:r>
      <w:r>
        <w:rPr>
          <w:rFonts w:ascii="宋体" w:hAnsi="宋体" w:eastAsia="宋体" w:cs="宋体"/>
          <w:spacing w:val="-13"/>
          <w:sz w:val="21"/>
          <w:szCs w:val="21"/>
          <w:highlight w:val="none"/>
        </w:rPr>
        <w:t xml:space="preserve"> </w:t>
      </w:r>
      <w:r>
        <w:rPr>
          <w:rFonts w:ascii="宋体" w:hAnsi="宋体" w:eastAsia="宋体" w:cs="宋体"/>
          <w:spacing w:val="-5"/>
          <w:sz w:val="21"/>
          <w:szCs w:val="21"/>
          <w:highlight w:val="none"/>
        </w:rPr>
        <w:t>(¥</w:t>
      </w:r>
      <w:r>
        <w:rPr>
          <w:rFonts w:ascii="宋体" w:hAnsi="宋体" w:eastAsia="宋体" w:cs="宋体"/>
          <w:spacing w:val="-60"/>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93"/>
          <w:sz w:val="21"/>
          <w:szCs w:val="21"/>
          <w:highlight w:val="none"/>
        </w:rPr>
        <w:t xml:space="preserve"> </w:t>
      </w:r>
      <w:r>
        <w:rPr>
          <w:rFonts w:ascii="宋体" w:hAnsi="宋体" w:eastAsia="宋体" w:cs="宋体"/>
          <w:spacing w:val="-5"/>
          <w:position w:val="1"/>
          <w:sz w:val="21"/>
          <w:szCs w:val="21"/>
          <w:highlight w:val="none"/>
        </w:rPr>
        <w:t>元);</w:t>
      </w:r>
    </w:p>
    <w:p w14:paraId="005EFA00">
      <w:pPr>
        <w:spacing w:before="1" w:line="217" w:lineRule="auto"/>
        <w:ind w:left="730"/>
        <w:rPr>
          <w:rFonts w:ascii="宋体" w:hAnsi="宋体" w:eastAsia="宋体" w:cs="宋体"/>
          <w:sz w:val="21"/>
          <w:szCs w:val="21"/>
          <w:highlight w:val="none"/>
        </w:rPr>
      </w:pPr>
      <w:r>
        <w:rPr>
          <w:rFonts w:ascii="宋体" w:hAnsi="宋体" w:eastAsia="宋体" w:cs="宋体"/>
          <w:spacing w:val="6"/>
          <w:sz w:val="21"/>
          <w:szCs w:val="21"/>
          <w:highlight w:val="none"/>
        </w:rPr>
        <w:t>(4)  暂估价(含税):</w:t>
      </w:r>
    </w:p>
    <w:p w14:paraId="0D419F53">
      <w:pPr>
        <w:spacing w:before="217" w:line="224" w:lineRule="auto"/>
        <w:ind w:left="620"/>
        <w:rPr>
          <w:rFonts w:ascii="宋体" w:hAnsi="宋体" w:eastAsia="宋体" w:cs="宋体"/>
          <w:sz w:val="21"/>
          <w:szCs w:val="21"/>
          <w:highlight w:val="none"/>
        </w:rPr>
      </w:pPr>
      <w:r>
        <w:rPr>
          <w:rFonts w:ascii="宋体" w:hAnsi="宋体" w:eastAsia="宋体" w:cs="宋体"/>
          <w:spacing w:val="-1"/>
          <w:position w:val="-1"/>
          <w:sz w:val="21"/>
          <w:szCs w:val="21"/>
          <w:highlight w:val="none"/>
        </w:rPr>
        <w:t>人民币(大写)</w:t>
      </w:r>
      <w:r>
        <w:rPr>
          <w:rFonts w:ascii="宋体" w:hAnsi="宋体" w:eastAsia="宋体" w:cs="宋体"/>
          <w:spacing w:val="-1"/>
          <w:position w:val="-1"/>
          <w:sz w:val="21"/>
          <w:szCs w:val="21"/>
          <w:highlight w:val="none"/>
          <w:u w:val="single" w:color="auto"/>
        </w:rPr>
        <w:t xml:space="preserve">                 </w:t>
      </w:r>
      <w:r>
        <w:rPr>
          <w:rFonts w:ascii="宋体" w:hAnsi="宋体" w:eastAsia="宋体" w:cs="宋体"/>
          <w:spacing w:val="-1"/>
          <w:position w:val="-1"/>
          <w:sz w:val="21"/>
          <w:szCs w:val="21"/>
          <w:highlight w:val="none"/>
        </w:rPr>
        <w:t xml:space="preserve"> </w:t>
      </w:r>
      <w:r>
        <w:rPr>
          <w:rFonts w:ascii="宋体" w:hAnsi="宋体" w:eastAsia="宋体" w:cs="宋体"/>
          <w:spacing w:val="-1"/>
          <w:position w:val="3"/>
          <w:sz w:val="21"/>
          <w:szCs w:val="21"/>
          <w:highlight w:val="none"/>
        </w:rPr>
        <w:t>(¥</w:t>
      </w:r>
      <w:r>
        <w:rPr>
          <w:rFonts w:ascii="宋体" w:hAnsi="宋体" w:eastAsia="宋体" w:cs="宋体"/>
          <w:spacing w:val="-66"/>
          <w:position w:val="3"/>
          <w:sz w:val="21"/>
          <w:szCs w:val="21"/>
          <w:highlight w:val="none"/>
        </w:rPr>
        <w:t xml:space="preserve"> </w:t>
      </w:r>
      <w:r>
        <w:rPr>
          <w:rFonts w:ascii="宋体" w:hAnsi="宋体" w:eastAsia="宋体" w:cs="宋体"/>
          <w:spacing w:val="-1"/>
          <w:position w:val="3"/>
          <w:sz w:val="21"/>
          <w:szCs w:val="21"/>
          <w:highlight w:val="none"/>
          <w:u w:val="single" w:color="auto"/>
        </w:rPr>
        <w:t xml:space="preserve">            </w:t>
      </w:r>
      <w:r>
        <w:rPr>
          <w:rFonts w:ascii="宋体" w:hAnsi="宋体" w:eastAsia="宋体" w:cs="宋体"/>
          <w:spacing w:val="-1"/>
          <w:sz w:val="21"/>
          <w:szCs w:val="21"/>
          <w:highlight w:val="none"/>
        </w:rPr>
        <w:t>_元)。</w:t>
      </w:r>
    </w:p>
    <w:p w14:paraId="6B57567C">
      <w:pPr>
        <w:spacing w:before="202" w:line="219" w:lineRule="auto"/>
        <w:ind w:left="720"/>
        <w:rPr>
          <w:rFonts w:ascii="宋体" w:hAnsi="宋体" w:eastAsia="宋体" w:cs="宋体"/>
          <w:sz w:val="21"/>
          <w:szCs w:val="21"/>
          <w:highlight w:val="none"/>
        </w:rPr>
      </w:pPr>
      <w:r>
        <w:rPr>
          <w:rFonts w:ascii="宋体" w:hAnsi="宋体" w:eastAsia="宋体" w:cs="宋体"/>
          <w:spacing w:val="6"/>
          <w:sz w:val="21"/>
          <w:szCs w:val="21"/>
          <w:highlight w:val="none"/>
        </w:rPr>
        <w:t>(5)</w:t>
      </w:r>
      <w:r>
        <w:rPr>
          <w:rFonts w:ascii="宋体" w:hAnsi="宋体" w:eastAsia="宋体" w:cs="宋体"/>
          <w:spacing w:val="20"/>
          <w:sz w:val="21"/>
          <w:szCs w:val="21"/>
          <w:highlight w:val="none"/>
        </w:rPr>
        <w:t xml:space="preserve">  </w:t>
      </w:r>
      <w:r>
        <w:rPr>
          <w:rFonts w:ascii="宋体" w:hAnsi="宋体" w:eastAsia="宋体" w:cs="宋体"/>
          <w:spacing w:val="6"/>
          <w:sz w:val="21"/>
          <w:szCs w:val="21"/>
          <w:highlight w:val="none"/>
        </w:rPr>
        <w:t>暂列金额(含税):</w:t>
      </w:r>
    </w:p>
    <w:p w14:paraId="0A6269AC">
      <w:pPr>
        <w:spacing w:before="194" w:line="225" w:lineRule="auto"/>
        <w:ind w:left="610"/>
        <w:rPr>
          <w:rFonts w:ascii="宋体" w:hAnsi="宋体" w:eastAsia="宋体" w:cs="宋体"/>
          <w:sz w:val="21"/>
          <w:szCs w:val="21"/>
          <w:highlight w:val="none"/>
        </w:rPr>
      </w:pPr>
      <w:r>
        <w:rPr>
          <w:rFonts w:ascii="宋体" w:hAnsi="宋体" w:eastAsia="宋体" w:cs="宋体"/>
          <w:sz w:val="21"/>
          <w:szCs w:val="21"/>
          <w:highlight w:val="none"/>
        </w:rPr>
        <w:t>人民币(大写)</w:t>
      </w:r>
      <w:r>
        <w:rPr>
          <w:rFonts w:ascii="宋体" w:hAnsi="宋体" w:eastAsia="宋体" w:cs="宋体"/>
          <w:spacing w:val="-91"/>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z w:val="21"/>
          <w:szCs w:val="21"/>
          <w:highlight w:val="none"/>
        </w:rPr>
        <w:t xml:space="preserve"> </w:t>
      </w:r>
      <w:r>
        <w:rPr>
          <w:rFonts w:ascii="宋体" w:hAnsi="宋体" w:eastAsia="宋体" w:cs="宋体"/>
          <w:position w:val="2"/>
          <w:sz w:val="21"/>
          <w:szCs w:val="21"/>
          <w:highlight w:val="none"/>
        </w:rPr>
        <w:t>(¥</w:t>
      </w:r>
      <w:r>
        <w:rPr>
          <w:rFonts w:ascii="宋体" w:hAnsi="宋体" w:eastAsia="宋体" w:cs="宋体"/>
          <w:spacing w:val="-45"/>
          <w:position w:val="2"/>
          <w:sz w:val="21"/>
          <w:szCs w:val="21"/>
          <w:highlight w:val="none"/>
        </w:rPr>
        <w:t xml:space="preserve"> </w:t>
      </w:r>
      <w:r>
        <w:rPr>
          <w:rFonts w:ascii="宋体" w:hAnsi="宋体" w:eastAsia="宋体" w:cs="宋体"/>
          <w:position w:val="2"/>
          <w:sz w:val="21"/>
          <w:szCs w:val="21"/>
          <w:highlight w:val="none"/>
          <w:u w:val="single" w:color="auto"/>
        </w:rPr>
        <w:t xml:space="preserve">            </w:t>
      </w:r>
      <w:r>
        <w:rPr>
          <w:rFonts w:ascii="宋体" w:hAnsi="宋体" w:eastAsia="宋体" w:cs="宋体"/>
          <w:spacing w:val="-85"/>
          <w:position w:val="2"/>
          <w:sz w:val="21"/>
          <w:szCs w:val="21"/>
          <w:highlight w:val="none"/>
        </w:rPr>
        <w:t xml:space="preserve"> </w:t>
      </w:r>
      <w:r>
        <w:rPr>
          <w:rFonts w:ascii="宋体" w:hAnsi="宋体" w:eastAsia="宋体" w:cs="宋体"/>
          <w:sz w:val="21"/>
          <w:szCs w:val="21"/>
          <w:highlight w:val="none"/>
        </w:rPr>
        <w:t>元)。</w:t>
      </w:r>
    </w:p>
    <w:p w14:paraId="6B565F02">
      <w:pPr>
        <w:spacing w:before="231" w:line="219" w:lineRule="auto"/>
        <w:ind w:left="720"/>
        <w:rPr>
          <w:rFonts w:ascii="宋体" w:hAnsi="宋体" w:eastAsia="宋体" w:cs="宋体"/>
          <w:sz w:val="21"/>
          <w:szCs w:val="21"/>
          <w:highlight w:val="none"/>
        </w:rPr>
      </w:pPr>
      <w:r>
        <w:rPr>
          <w:rFonts w:ascii="宋体" w:hAnsi="宋体" w:eastAsia="宋体" w:cs="宋体"/>
          <w:spacing w:val="4"/>
          <w:sz w:val="21"/>
          <w:szCs w:val="21"/>
          <w:highlight w:val="none"/>
        </w:rPr>
        <w:t>(6)  双方约定的其他费用(含税):</w:t>
      </w:r>
    </w:p>
    <w:p w14:paraId="1C35FC63">
      <w:pPr>
        <w:spacing w:before="213" w:line="383" w:lineRule="auto"/>
        <w:ind w:left="10" w:right="74" w:firstLine="610"/>
        <w:rPr>
          <w:rFonts w:ascii="宋体" w:hAnsi="宋体" w:eastAsia="宋体" w:cs="宋体"/>
          <w:sz w:val="21"/>
          <w:szCs w:val="21"/>
          <w:highlight w:val="none"/>
        </w:rPr>
      </w:pPr>
      <w:r>
        <w:rPr>
          <w:rFonts w:ascii="宋体" w:hAnsi="宋体" w:eastAsia="宋体" w:cs="宋体"/>
          <w:spacing w:val="6"/>
          <w:position w:val="-1"/>
          <w:sz w:val="21"/>
          <w:szCs w:val="21"/>
          <w:highlight w:val="none"/>
        </w:rPr>
        <w:t>人民币(大写)</w:t>
      </w:r>
      <w:r>
        <w:rPr>
          <w:rFonts w:ascii="宋体" w:hAnsi="宋体" w:eastAsia="宋体" w:cs="宋体"/>
          <w:spacing w:val="6"/>
          <w:position w:val="-1"/>
          <w:sz w:val="21"/>
          <w:szCs w:val="21"/>
          <w:highlight w:val="none"/>
          <w:u w:val="single" w:color="auto"/>
        </w:rPr>
        <w:t xml:space="preserve">               </w:t>
      </w:r>
      <w:r>
        <w:rPr>
          <w:rFonts w:ascii="宋体" w:hAnsi="宋体" w:eastAsia="宋体" w:cs="宋体"/>
          <w:spacing w:val="6"/>
          <w:position w:val="-1"/>
          <w:sz w:val="21"/>
          <w:szCs w:val="21"/>
          <w:highlight w:val="none"/>
        </w:rPr>
        <w:t xml:space="preserve"> </w:t>
      </w:r>
      <w:r>
        <w:rPr>
          <w:rFonts w:ascii="宋体" w:hAnsi="宋体" w:eastAsia="宋体" w:cs="宋体"/>
          <w:spacing w:val="6"/>
          <w:position w:val="3"/>
          <w:sz w:val="21"/>
          <w:szCs w:val="21"/>
          <w:highlight w:val="none"/>
        </w:rPr>
        <w:t>(¥</w:t>
      </w:r>
      <w:r>
        <w:rPr>
          <w:rFonts w:ascii="宋体" w:hAnsi="宋体" w:eastAsia="宋体" w:cs="宋体"/>
          <w:spacing w:val="-40"/>
          <w:position w:val="3"/>
          <w:sz w:val="21"/>
          <w:szCs w:val="21"/>
          <w:highlight w:val="none"/>
        </w:rPr>
        <w:t xml:space="preserve"> </w:t>
      </w:r>
      <w:r>
        <w:rPr>
          <w:rFonts w:ascii="宋体" w:hAnsi="宋体" w:eastAsia="宋体" w:cs="宋体"/>
          <w:spacing w:val="10"/>
          <w:position w:val="3"/>
          <w:sz w:val="21"/>
          <w:szCs w:val="21"/>
          <w:highlight w:val="none"/>
          <w:u w:val="single" w:color="auto"/>
        </w:rPr>
        <w:t xml:space="preserve">         </w:t>
      </w:r>
      <w:r>
        <w:rPr>
          <w:rFonts w:ascii="宋体" w:hAnsi="宋体" w:eastAsia="宋体" w:cs="宋体"/>
          <w:spacing w:val="6"/>
          <w:sz w:val="21"/>
          <w:szCs w:val="21"/>
          <w:highlight w:val="none"/>
        </w:rPr>
        <w:t xml:space="preserve">元);适用税率： </w:t>
      </w:r>
      <w:r>
        <w:rPr>
          <w:rFonts w:ascii="宋体" w:hAnsi="宋体" w:eastAsia="宋体" w:cs="宋体"/>
          <w:spacing w:val="1"/>
          <w:sz w:val="21"/>
          <w:szCs w:val="21"/>
          <w:highlight w:val="none"/>
          <w:u w:val="single" w:color="auto"/>
        </w:rPr>
        <w:t xml:space="preserve">         </w:t>
      </w:r>
      <w:r>
        <w:rPr>
          <w:rFonts w:ascii="宋体" w:hAnsi="宋体" w:eastAsia="宋体" w:cs="宋体"/>
          <w:spacing w:val="-94"/>
          <w:sz w:val="21"/>
          <w:szCs w:val="21"/>
          <w:highlight w:val="none"/>
        </w:rPr>
        <w:t xml:space="preserve"> </w:t>
      </w:r>
      <w:r>
        <w:rPr>
          <w:rFonts w:ascii="宋体" w:hAnsi="宋体" w:eastAsia="宋体" w:cs="宋体"/>
          <w:spacing w:val="6"/>
          <w:sz w:val="21"/>
          <w:szCs w:val="21"/>
          <w:highlight w:val="none"/>
        </w:rPr>
        <w:t>%,税金</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为人民币(大写)_</w:t>
      </w:r>
      <w:r>
        <w:rPr>
          <w:rFonts w:ascii="宋体" w:hAnsi="宋体" w:eastAsia="宋体" w:cs="宋体"/>
          <w:spacing w:val="-86"/>
          <w:sz w:val="21"/>
          <w:szCs w:val="21"/>
          <w:highlight w:val="none"/>
        </w:rPr>
        <w:t xml:space="preserve"> </w:t>
      </w:r>
      <w:r>
        <w:rPr>
          <w:rFonts w:ascii="宋体" w:hAnsi="宋体" w:eastAsia="宋体" w:cs="宋体"/>
          <w:spacing w:val="-7"/>
          <w:sz w:val="21"/>
          <w:szCs w:val="21"/>
          <w:highlight w:val="none"/>
          <w:u w:val="single" w:color="auto"/>
        </w:rPr>
        <w:t xml:space="preserve">                  </w:t>
      </w:r>
      <w:r>
        <w:rPr>
          <w:rFonts w:ascii="宋体" w:hAnsi="宋体" w:eastAsia="宋体" w:cs="宋体"/>
          <w:spacing w:val="-7"/>
          <w:sz w:val="21"/>
          <w:szCs w:val="21"/>
          <w:highlight w:val="none"/>
        </w:rPr>
        <w:t xml:space="preserve"> </w:t>
      </w:r>
      <w:r>
        <w:rPr>
          <w:rFonts w:ascii="宋体" w:hAnsi="宋体" w:eastAsia="宋体" w:cs="宋体"/>
          <w:spacing w:val="-7"/>
          <w:position w:val="3"/>
          <w:sz w:val="21"/>
          <w:szCs w:val="21"/>
          <w:highlight w:val="none"/>
        </w:rPr>
        <w:t>(¥</w:t>
      </w:r>
      <w:r>
        <w:rPr>
          <w:rFonts w:ascii="宋体" w:hAnsi="宋体" w:eastAsia="宋体" w:cs="宋体"/>
          <w:spacing w:val="-80"/>
          <w:position w:val="3"/>
          <w:sz w:val="21"/>
          <w:szCs w:val="21"/>
          <w:highlight w:val="none"/>
        </w:rPr>
        <w:t xml:space="preserve"> </w:t>
      </w:r>
      <w:r>
        <w:rPr>
          <w:rFonts w:ascii="宋体" w:hAnsi="宋体" w:eastAsia="宋体" w:cs="宋体"/>
          <w:spacing w:val="8"/>
          <w:position w:val="3"/>
          <w:sz w:val="21"/>
          <w:szCs w:val="21"/>
          <w:highlight w:val="none"/>
          <w:u w:val="single" w:color="auto"/>
        </w:rPr>
        <w:t xml:space="preserve">           </w:t>
      </w:r>
      <w:r>
        <w:rPr>
          <w:rFonts w:ascii="宋体" w:hAnsi="宋体" w:eastAsia="宋体" w:cs="宋体"/>
          <w:spacing w:val="-7"/>
          <w:sz w:val="21"/>
          <w:szCs w:val="21"/>
          <w:highlight w:val="none"/>
        </w:rPr>
        <w:t>_元)。</w:t>
      </w:r>
    </w:p>
    <w:p w14:paraId="0FE3D60B">
      <w:pPr>
        <w:spacing w:before="25" w:line="218" w:lineRule="auto"/>
        <w:ind w:left="610"/>
        <w:rPr>
          <w:rFonts w:ascii="宋体" w:hAnsi="宋体" w:eastAsia="宋体" w:cs="宋体"/>
          <w:sz w:val="21"/>
          <w:szCs w:val="21"/>
          <w:highlight w:val="none"/>
        </w:rPr>
      </w:pPr>
      <w:r>
        <w:rPr>
          <w:rFonts w:ascii="宋体" w:hAnsi="宋体" w:eastAsia="宋体" w:cs="宋体"/>
          <w:spacing w:val="-5"/>
          <w:sz w:val="21"/>
          <w:szCs w:val="21"/>
          <w:highlight w:val="none"/>
        </w:rPr>
        <w:t>2. 合同价格形式：</w:t>
      </w:r>
    </w:p>
    <w:p w14:paraId="4129AB9C">
      <w:pPr>
        <w:spacing w:before="241" w:line="418" w:lineRule="auto"/>
        <w:ind w:left="20" w:right="20" w:firstLine="610"/>
        <w:rPr>
          <w:rFonts w:ascii="宋体" w:hAnsi="宋体" w:eastAsia="宋体" w:cs="宋体"/>
          <w:sz w:val="21"/>
          <w:szCs w:val="21"/>
          <w:highlight w:val="none"/>
        </w:rPr>
      </w:pPr>
      <w:r>
        <w:rPr>
          <w:rFonts w:ascii="宋体" w:hAnsi="宋体" w:eastAsia="宋体" w:cs="宋体"/>
          <w:spacing w:val="4"/>
          <w:sz w:val="21"/>
          <w:szCs w:val="21"/>
          <w:highlight w:val="none"/>
        </w:rPr>
        <w:t>合同价格形式为总价合同，除根据合同约定的在工程实</w:t>
      </w:r>
      <w:r>
        <w:rPr>
          <w:rFonts w:ascii="宋体" w:hAnsi="宋体" w:eastAsia="宋体" w:cs="宋体"/>
          <w:spacing w:val="3"/>
          <w:sz w:val="21"/>
          <w:szCs w:val="21"/>
          <w:highlight w:val="none"/>
        </w:rPr>
        <w:t>施过程中需进行增减的款项</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外，合同价格不予调整，但合同当事人另有约定的除外。</w:t>
      </w:r>
    </w:p>
    <w:p w14:paraId="49B95A3B">
      <w:pPr>
        <w:spacing w:line="229" w:lineRule="auto"/>
        <w:ind w:left="520"/>
        <w:rPr>
          <w:rFonts w:ascii="宋体" w:hAnsi="宋体" w:eastAsia="宋体" w:cs="宋体"/>
          <w:sz w:val="21"/>
          <w:szCs w:val="21"/>
          <w:highlight w:val="none"/>
        </w:rPr>
      </w:pPr>
      <w:r>
        <w:rPr>
          <w:rFonts w:ascii="宋体" w:hAnsi="宋体" w:eastAsia="宋体" w:cs="宋体"/>
          <w:spacing w:val="-1"/>
          <w:sz w:val="21"/>
          <w:szCs w:val="21"/>
          <w:highlight w:val="none"/>
        </w:rPr>
        <w:t>合同当事人对合同价格形式的其他约定：</w:t>
      </w:r>
      <w:r>
        <w:rPr>
          <w:rFonts w:ascii="宋体" w:hAnsi="宋体" w:eastAsia="宋体" w:cs="宋体"/>
          <w:spacing w:val="-1"/>
          <w:sz w:val="21"/>
          <w:szCs w:val="21"/>
          <w:highlight w:val="none"/>
          <w:u w:val="single" w:color="auto"/>
        </w:rPr>
        <w:t xml:space="preserve">               </w:t>
      </w:r>
      <w:r>
        <w:rPr>
          <w:rFonts w:ascii="宋体" w:hAnsi="宋体" w:eastAsia="宋体" w:cs="宋体"/>
          <w:spacing w:val="-1"/>
          <w:position w:val="-1"/>
          <w:sz w:val="21"/>
          <w:szCs w:val="21"/>
          <w:highlight w:val="none"/>
        </w:rPr>
        <w:t>8</w:t>
      </w:r>
    </w:p>
    <w:p w14:paraId="094B4455">
      <w:pPr>
        <w:spacing w:before="108" w:line="219" w:lineRule="auto"/>
        <w:ind w:left="13"/>
        <w:outlineLvl w:val="1"/>
        <w:rPr>
          <w:rFonts w:ascii="宋体" w:hAnsi="宋体" w:eastAsia="宋体" w:cs="宋体"/>
          <w:sz w:val="21"/>
          <w:szCs w:val="21"/>
          <w:highlight w:val="none"/>
        </w:rPr>
      </w:pPr>
      <w:bookmarkStart w:id="74" w:name="bookmark39"/>
      <w:bookmarkEnd w:id="74"/>
      <w:r>
        <w:rPr>
          <w:rFonts w:ascii="宋体" w:hAnsi="宋体" w:eastAsia="宋体" w:cs="宋体"/>
          <w:b/>
          <w:bCs/>
          <w:spacing w:val="2"/>
          <w:sz w:val="21"/>
          <w:szCs w:val="21"/>
          <w:highlight w:val="none"/>
        </w:rPr>
        <w:t>五、工程总承包项目经理</w:t>
      </w:r>
    </w:p>
    <w:p w14:paraId="50D19AE1">
      <w:pPr>
        <w:pStyle w:val="2"/>
        <w:spacing w:line="363" w:lineRule="auto"/>
        <w:rPr>
          <w:highlight w:val="none"/>
        </w:rPr>
      </w:pPr>
    </w:p>
    <w:p w14:paraId="1E036F69">
      <w:pPr>
        <w:spacing w:before="69" w:line="248" w:lineRule="auto"/>
        <w:ind w:left="620"/>
        <w:rPr>
          <w:rFonts w:ascii="宋体" w:hAnsi="宋体" w:eastAsia="宋体" w:cs="宋体"/>
          <w:sz w:val="21"/>
          <w:szCs w:val="21"/>
          <w:highlight w:val="none"/>
        </w:rPr>
      </w:pPr>
      <w:r>
        <w:rPr>
          <w:rFonts w:ascii="宋体" w:hAnsi="宋体" w:eastAsia="宋体" w:cs="宋体"/>
          <w:sz w:val="21"/>
          <w:szCs w:val="21"/>
          <w:highlight w:val="none"/>
        </w:rPr>
        <w:t>工程总承包项目经理：</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b/>
          <w:bCs/>
          <w:spacing w:val="-1"/>
          <w:position w:val="-3"/>
          <w:sz w:val="21"/>
          <w:szCs w:val="21"/>
          <w:highlight w:val="none"/>
        </w:rPr>
        <w:t>0</w:t>
      </w:r>
    </w:p>
    <w:p w14:paraId="349E0F67">
      <w:pPr>
        <w:spacing w:before="25" w:line="219" w:lineRule="auto"/>
        <w:ind w:left="13"/>
        <w:outlineLvl w:val="1"/>
        <w:rPr>
          <w:rFonts w:ascii="宋体" w:hAnsi="宋体" w:eastAsia="宋体" w:cs="宋体"/>
          <w:sz w:val="21"/>
          <w:szCs w:val="21"/>
          <w:highlight w:val="none"/>
        </w:rPr>
      </w:pPr>
      <w:bookmarkStart w:id="75" w:name="bookmark40"/>
      <w:bookmarkEnd w:id="75"/>
      <w:r>
        <w:rPr>
          <w:rFonts w:ascii="宋体" w:hAnsi="宋体" w:eastAsia="宋体" w:cs="宋体"/>
          <w:b/>
          <w:bCs/>
          <w:spacing w:val="3"/>
          <w:sz w:val="21"/>
          <w:szCs w:val="21"/>
          <w:highlight w:val="none"/>
        </w:rPr>
        <w:t>六、合同文件构成</w:t>
      </w:r>
    </w:p>
    <w:p w14:paraId="2C4C1D39">
      <w:pPr>
        <w:pStyle w:val="2"/>
        <w:spacing w:line="381" w:lineRule="auto"/>
        <w:rPr>
          <w:highlight w:val="none"/>
        </w:rPr>
      </w:pPr>
    </w:p>
    <w:p w14:paraId="173A8B80">
      <w:pPr>
        <w:spacing w:before="69" w:line="219" w:lineRule="auto"/>
        <w:ind w:left="620"/>
        <w:rPr>
          <w:rFonts w:ascii="宋体" w:hAnsi="宋体" w:eastAsia="宋体" w:cs="宋体"/>
          <w:sz w:val="21"/>
          <w:szCs w:val="21"/>
          <w:highlight w:val="none"/>
        </w:rPr>
      </w:pPr>
      <w:r>
        <w:rPr>
          <w:rFonts w:ascii="宋体" w:hAnsi="宋体" w:eastAsia="宋体" w:cs="宋体"/>
          <w:spacing w:val="-3"/>
          <w:sz w:val="21"/>
          <w:szCs w:val="21"/>
          <w:highlight w:val="none"/>
        </w:rPr>
        <w:t>本协议书与下列文件一起构成合同文件：</w:t>
      </w:r>
    </w:p>
    <w:p w14:paraId="7B1FA4A1">
      <w:pPr>
        <w:spacing w:before="221" w:line="219" w:lineRule="auto"/>
        <w:ind w:left="710"/>
        <w:rPr>
          <w:rFonts w:ascii="宋体" w:hAnsi="宋体" w:eastAsia="宋体" w:cs="宋体"/>
          <w:sz w:val="21"/>
          <w:szCs w:val="21"/>
          <w:highlight w:val="none"/>
        </w:rPr>
      </w:pPr>
      <w:r>
        <w:rPr>
          <w:rFonts w:ascii="宋体" w:hAnsi="宋体" w:eastAsia="宋体" w:cs="宋体"/>
          <w:spacing w:val="22"/>
          <w:sz w:val="21"/>
          <w:szCs w:val="21"/>
          <w:highlight w:val="none"/>
        </w:rPr>
        <w:t>(1)中标通知书(如果有);</w:t>
      </w:r>
    </w:p>
    <w:p w14:paraId="3C4EF6A4">
      <w:pPr>
        <w:spacing w:before="231" w:line="219" w:lineRule="auto"/>
        <w:ind w:left="710"/>
        <w:rPr>
          <w:rFonts w:ascii="宋体" w:hAnsi="宋体" w:eastAsia="宋体" w:cs="宋体"/>
          <w:sz w:val="21"/>
          <w:szCs w:val="21"/>
          <w:highlight w:val="none"/>
        </w:rPr>
      </w:pPr>
      <w:r>
        <w:rPr>
          <w:rFonts w:ascii="宋体" w:hAnsi="宋体" w:eastAsia="宋体" w:cs="宋体"/>
          <w:spacing w:val="17"/>
          <w:sz w:val="21"/>
          <w:szCs w:val="21"/>
          <w:highlight w:val="none"/>
        </w:rPr>
        <w:t>(2)投标函及投标函附录(如果有);</w:t>
      </w:r>
    </w:p>
    <w:p w14:paraId="7FF992C1">
      <w:pPr>
        <w:spacing w:line="219" w:lineRule="auto"/>
        <w:rPr>
          <w:rFonts w:ascii="宋体" w:hAnsi="宋体" w:eastAsia="宋体" w:cs="宋体"/>
          <w:sz w:val="21"/>
          <w:szCs w:val="21"/>
          <w:highlight w:val="none"/>
        </w:rPr>
        <w:sectPr>
          <w:footerReference r:id="rId69" w:type="default"/>
          <w:pgSz w:w="11910" w:h="16840"/>
          <w:pgMar w:top="400" w:right="1786" w:bottom="1240" w:left="1779" w:header="0" w:footer="968" w:gutter="0"/>
          <w:cols w:space="720" w:num="1"/>
        </w:sectPr>
      </w:pPr>
    </w:p>
    <w:p w14:paraId="3E6C39DF">
      <w:pPr>
        <w:pStyle w:val="2"/>
        <w:spacing w:line="269" w:lineRule="auto"/>
        <w:rPr>
          <w:highlight w:val="none"/>
        </w:rPr>
      </w:pPr>
    </w:p>
    <w:p w14:paraId="48D5906D">
      <w:pPr>
        <w:pStyle w:val="2"/>
        <w:spacing w:line="270" w:lineRule="auto"/>
        <w:rPr>
          <w:highlight w:val="none"/>
        </w:rPr>
      </w:pPr>
    </w:p>
    <w:p w14:paraId="6835BF62">
      <w:pPr>
        <w:pStyle w:val="2"/>
        <w:spacing w:line="270" w:lineRule="auto"/>
        <w:rPr>
          <w:highlight w:val="none"/>
        </w:rPr>
      </w:pPr>
    </w:p>
    <w:p w14:paraId="0A6C782E">
      <w:pPr>
        <w:pStyle w:val="2"/>
        <w:spacing w:line="270" w:lineRule="auto"/>
        <w:rPr>
          <w:highlight w:val="none"/>
        </w:rPr>
      </w:pPr>
    </w:p>
    <w:p w14:paraId="1C1AC9A6">
      <w:pPr>
        <w:spacing w:before="72" w:line="219" w:lineRule="auto"/>
        <w:ind w:left="799"/>
        <w:rPr>
          <w:rFonts w:ascii="宋体" w:hAnsi="宋体" w:eastAsia="宋体" w:cs="宋体"/>
          <w:sz w:val="22"/>
          <w:szCs w:val="22"/>
          <w:highlight w:val="none"/>
        </w:rPr>
      </w:pPr>
      <w:r>
        <w:rPr>
          <w:rFonts w:ascii="宋体" w:hAnsi="宋体" w:eastAsia="宋体" w:cs="宋体"/>
          <w:spacing w:val="-10"/>
          <w:sz w:val="22"/>
          <w:szCs w:val="22"/>
          <w:highlight w:val="none"/>
        </w:rPr>
        <w:t>(3)  专用合同条件及《发包人要求》等附件；</w:t>
      </w:r>
    </w:p>
    <w:p w14:paraId="56902F66">
      <w:pPr>
        <w:spacing w:before="239" w:line="219" w:lineRule="auto"/>
        <w:ind w:left="799"/>
        <w:rPr>
          <w:rFonts w:ascii="宋体" w:hAnsi="宋体" w:eastAsia="宋体" w:cs="宋体"/>
          <w:sz w:val="20"/>
          <w:szCs w:val="20"/>
          <w:highlight w:val="none"/>
        </w:rPr>
      </w:pPr>
      <w:r>
        <w:rPr>
          <w:rFonts w:ascii="宋体" w:hAnsi="宋体" w:eastAsia="宋体" w:cs="宋体"/>
          <w:spacing w:val="-1"/>
          <w:sz w:val="20"/>
          <w:szCs w:val="20"/>
          <w:highlight w:val="none"/>
        </w:rPr>
        <w:t>(4)</w:t>
      </w:r>
      <w:r>
        <w:rPr>
          <w:rFonts w:ascii="宋体" w:hAnsi="宋体" w:eastAsia="宋体" w:cs="宋体"/>
          <w:spacing w:val="34"/>
          <w:sz w:val="20"/>
          <w:szCs w:val="20"/>
          <w:highlight w:val="none"/>
        </w:rPr>
        <w:t xml:space="preserve">  </w:t>
      </w:r>
      <w:r>
        <w:rPr>
          <w:rFonts w:ascii="宋体" w:hAnsi="宋体" w:eastAsia="宋体" w:cs="宋体"/>
          <w:spacing w:val="-1"/>
          <w:sz w:val="20"/>
          <w:szCs w:val="20"/>
          <w:highlight w:val="none"/>
        </w:rPr>
        <w:t>通用合同条件；</w:t>
      </w:r>
    </w:p>
    <w:p w14:paraId="658B1A67">
      <w:pPr>
        <w:spacing w:before="231" w:line="219" w:lineRule="auto"/>
        <w:ind w:left="799"/>
        <w:rPr>
          <w:rFonts w:ascii="宋体" w:hAnsi="宋体" w:eastAsia="宋体" w:cs="宋体"/>
          <w:sz w:val="20"/>
          <w:szCs w:val="20"/>
          <w:highlight w:val="none"/>
        </w:rPr>
      </w:pPr>
      <w:r>
        <w:rPr>
          <w:rFonts w:ascii="宋体" w:hAnsi="宋体" w:eastAsia="宋体" w:cs="宋体"/>
          <w:spacing w:val="25"/>
          <w:sz w:val="20"/>
          <w:szCs w:val="20"/>
          <w:highlight w:val="none"/>
        </w:rPr>
        <w:t>(5)承包人建议书；</w:t>
      </w:r>
    </w:p>
    <w:p w14:paraId="727F87FE">
      <w:pPr>
        <w:spacing w:before="252" w:line="218" w:lineRule="auto"/>
        <w:ind w:left="799"/>
        <w:rPr>
          <w:rFonts w:ascii="宋体" w:hAnsi="宋体" w:eastAsia="宋体" w:cs="宋体"/>
          <w:sz w:val="20"/>
          <w:szCs w:val="20"/>
          <w:highlight w:val="none"/>
        </w:rPr>
      </w:pPr>
      <w:r>
        <w:rPr>
          <w:rFonts w:ascii="宋体" w:hAnsi="宋体" w:eastAsia="宋体" w:cs="宋体"/>
          <w:spacing w:val="28"/>
          <w:sz w:val="20"/>
          <w:szCs w:val="20"/>
          <w:highlight w:val="none"/>
        </w:rPr>
        <w:t>(6)价格清单；</w:t>
      </w:r>
    </w:p>
    <w:p w14:paraId="045D80C3">
      <w:pPr>
        <w:spacing w:before="226" w:line="219" w:lineRule="auto"/>
        <w:ind w:left="799"/>
        <w:rPr>
          <w:rFonts w:ascii="宋体" w:hAnsi="宋体" w:eastAsia="宋体" w:cs="宋体"/>
          <w:sz w:val="22"/>
          <w:szCs w:val="22"/>
          <w:highlight w:val="none"/>
        </w:rPr>
      </w:pPr>
      <w:r>
        <w:rPr>
          <w:rFonts w:ascii="宋体" w:hAnsi="宋体" w:eastAsia="宋体" w:cs="宋体"/>
          <w:spacing w:val="-11"/>
          <w:sz w:val="22"/>
          <w:szCs w:val="22"/>
          <w:highlight w:val="none"/>
        </w:rPr>
        <w:t>(7)</w:t>
      </w:r>
      <w:r>
        <w:rPr>
          <w:rFonts w:ascii="宋体" w:hAnsi="宋体" w:eastAsia="宋体" w:cs="宋体"/>
          <w:spacing w:val="11"/>
          <w:sz w:val="22"/>
          <w:szCs w:val="22"/>
          <w:highlight w:val="none"/>
        </w:rPr>
        <w:t xml:space="preserve">  </w:t>
      </w:r>
      <w:r>
        <w:rPr>
          <w:rFonts w:ascii="宋体" w:hAnsi="宋体" w:eastAsia="宋体" w:cs="宋体"/>
          <w:spacing w:val="-11"/>
          <w:sz w:val="22"/>
          <w:szCs w:val="22"/>
          <w:highlight w:val="none"/>
        </w:rPr>
        <w:t>双方约定的其他合同文件。</w:t>
      </w:r>
    </w:p>
    <w:p w14:paraId="50DAB02B">
      <w:pPr>
        <w:spacing w:before="199" w:line="219" w:lineRule="auto"/>
        <w:ind w:left="689"/>
        <w:rPr>
          <w:rFonts w:ascii="宋体" w:hAnsi="宋体" w:eastAsia="宋体" w:cs="宋体"/>
          <w:sz w:val="22"/>
          <w:szCs w:val="22"/>
          <w:highlight w:val="none"/>
        </w:rPr>
      </w:pPr>
      <w:r>
        <w:rPr>
          <w:rFonts w:ascii="宋体" w:hAnsi="宋体" w:eastAsia="宋体" w:cs="宋体"/>
          <w:spacing w:val="-12"/>
          <w:sz w:val="22"/>
          <w:szCs w:val="22"/>
          <w:highlight w:val="none"/>
        </w:rPr>
        <w:t>上述各项合同文件包括双方就该项合同文件所作出的补充和修改，属于同一类内容的</w:t>
      </w:r>
    </w:p>
    <w:p w14:paraId="4850EDCC">
      <w:pPr>
        <w:spacing w:before="207" w:line="219" w:lineRule="auto"/>
        <w:ind w:left="79"/>
        <w:rPr>
          <w:rFonts w:ascii="宋体" w:hAnsi="宋体" w:eastAsia="宋体" w:cs="宋体"/>
          <w:sz w:val="22"/>
          <w:szCs w:val="22"/>
          <w:highlight w:val="none"/>
        </w:rPr>
      </w:pPr>
      <w:r>
        <w:rPr>
          <w:rFonts w:ascii="宋体" w:hAnsi="宋体" w:eastAsia="宋体" w:cs="宋体"/>
          <w:spacing w:val="-10"/>
          <w:sz w:val="22"/>
          <w:szCs w:val="22"/>
          <w:highlight w:val="none"/>
        </w:rPr>
        <w:t>合同文件应以最新签署的为准。专用合同条件及其附件须经合同当事人签字或盖章。</w:t>
      </w:r>
    </w:p>
    <w:p w14:paraId="02303992">
      <w:pPr>
        <w:spacing w:before="111" w:line="219" w:lineRule="auto"/>
        <w:ind w:left="79"/>
        <w:outlineLvl w:val="1"/>
        <w:rPr>
          <w:rFonts w:ascii="宋体" w:hAnsi="宋体" w:eastAsia="宋体" w:cs="宋体"/>
          <w:sz w:val="22"/>
          <w:szCs w:val="22"/>
          <w:highlight w:val="none"/>
        </w:rPr>
      </w:pPr>
      <w:bookmarkStart w:id="76" w:name="bookmark41"/>
      <w:bookmarkEnd w:id="76"/>
      <w:r>
        <w:rPr>
          <w:rFonts w:ascii="宋体" w:hAnsi="宋体" w:eastAsia="宋体" w:cs="宋体"/>
          <w:spacing w:val="-2"/>
          <w:sz w:val="22"/>
          <w:szCs w:val="22"/>
          <w:highlight w:val="none"/>
        </w:rPr>
        <w:t>七、承诺</w:t>
      </w:r>
    </w:p>
    <w:p w14:paraId="06277394">
      <w:pPr>
        <w:pStyle w:val="2"/>
        <w:spacing w:line="368" w:lineRule="auto"/>
        <w:rPr>
          <w:highlight w:val="none"/>
        </w:rPr>
      </w:pPr>
    </w:p>
    <w:p w14:paraId="16FDB149">
      <w:pPr>
        <w:spacing w:before="68" w:line="413" w:lineRule="auto"/>
        <w:ind w:left="79" w:right="59" w:firstLine="61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1.</w:t>
      </w:r>
      <w:r>
        <w:rPr>
          <w:rFonts w:ascii="Times New Roman" w:hAnsi="Times New Roman" w:eastAsia="Times New Roman" w:cs="Times New Roman"/>
          <w:spacing w:val="26"/>
          <w:sz w:val="21"/>
          <w:szCs w:val="21"/>
          <w:highlight w:val="none"/>
        </w:rPr>
        <w:t xml:space="preserve">  </w:t>
      </w:r>
      <w:r>
        <w:rPr>
          <w:rFonts w:ascii="宋体" w:hAnsi="宋体" w:eastAsia="宋体" w:cs="宋体"/>
          <w:spacing w:val="1"/>
          <w:sz w:val="21"/>
          <w:szCs w:val="21"/>
          <w:highlight w:val="none"/>
        </w:rPr>
        <w:t>发包人承诺按照法律规定履行项目审批手续、筹集工程建设</w:t>
      </w:r>
      <w:r>
        <w:rPr>
          <w:rFonts w:ascii="宋体" w:hAnsi="宋体" w:eastAsia="宋体" w:cs="宋体"/>
          <w:sz w:val="21"/>
          <w:szCs w:val="21"/>
          <w:highlight w:val="none"/>
        </w:rPr>
        <w:t xml:space="preserve">资金并按照合同约定 </w:t>
      </w:r>
      <w:r>
        <w:rPr>
          <w:rFonts w:ascii="宋体" w:hAnsi="宋体" w:eastAsia="宋体" w:cs="宋体"/>
          <w:spacing w:val="-2"/>
          <w:sz w:val="21"/>
          <w:szCs w:val="21"/>
          <w:highlight w:val="none"/>
        </w:rPr>
        <w:t>的期限和方式支付合同价款。</w:t>
      </w:r>
    </w:p>
    <w:p w14:paraId="0372D8A6">
      <w:pPr>
        <w:spacing w:before="21" w:line="384" w:lineRule="auto"/>
        <w:ind w:left="79" w:right="46" w:firstLine="610"/>
        <w:jc w:val="both"/>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w:t>
      </w:r>
      <w:r>
        <w:rPr>
          <w:rFonts w:ascii="Times New Roman" w:hAnsi="Times New Roman" w:eastAsia="Times New Roman" w:cs="Times New Roman"/>
          <w:spacing w:val="21"/>
          <w:sz w:val="21"/>
          <w:szCs w:val="21"/>
          <w:highlight w:val="none"/>
        </w:rPr>
        <w:t xml:space="preserve">  </w:t>
      </w:r>
      <w:r>
        <w:rPr>
          <w:rFonts w:ascii="宋体" w:hAnsi="宋体" w:eastAsia="宋体" w:cs="宋体"/>
          <w:spacing w:val="1"/>
          <w:sz w:val="21"/>
          <w:szCs w:val="21"/>
          <w:highlight w:val="none"/>
        </w:rPr>
        <w:t>承包人承诺按照法律规定及合同约定组</w:t>
      </w:r>
      <w:r>
        <w:rPr>
          <w:rFonts w:ascii="宋体" w:hAnsi="宋体" w:eastAsia="宋体" w:cs="宋体"/>
          <w:sz w:val="21"/>
          <w:szCs w:val="21"/>
          <w:highlight w:val="none"/>
        </w:rPr>
        <w:t xml:space="preserve">织完成工程的设计、采购和施工等工作， </w:t>
      </w:r>
      <w:r>
        <w:rPr>
          <w:rFonts w:ascii="宋体" w:hAnsi="宋体" w:eastAsia="宋体" w:cs="宋体"/>
          <w:spacing w:val="-2"/>
          <w:sz w:val="21"/>
          <w:szCs w:val="21"/>
          <w:highlight w:val="none"/>
        </w:rPr>
        <w:t>确保工程质量和安全，不进行转包及违法分包，并在缺陷责任期及保修期内承担相</w:t>
      </w:r>
      <w:r>
        <w:rPr>
          <w:rFonts w:ascii="宋体" w:hAnsi="宋体" w:eastAsia="宋体" w:cs="宋体"/>
          <w:spacing w:val="-3"/>
          <w:sz w:val="21"/>
          <w:szCs w:val="21"/>
          <w:highlight w:val="none"/>
        </w:rPr>
        <w:t>应的工程</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维修责任。</w:t>
      </w:r>
    </w:p>
    <w:p w14:paraId="3841CD83">
      <w:pPr>
        <w:spacing w:line="220" w:lineRule="auto"/>
        <w:ind w:left="79"/>
        <w:outlineLvl w:val="1"/>
        <w:rPr>
          <w:rFonts w:ascii="宋体" w:hAnsi="宋体" w:eastAsia="宋体" w:cs="宋体"/>
          <w:sz w:val="22"/>
          <w:szCs w:val="22"/>
          <w:highlight w:val="none"/>
        </w:rPr>
      </w:pPr>
      <w:bookmarkStart w:id="77" w:name="bookmark42"/>
      <w:bookmarkEnd w:id="77"/>
      <w:r>
        <w:rPr>
          <w:rFonts w:ascii="宋体" w:hAnsi="宋体" w:eastAsia="宋体" w:cs="宋体"/>
          <w:spacing w:val="-4"/>
          <w:sz w:val="22"/>
          <w:szCs w:val="22"/>
          <w:highlight w:val="none"/>
        </w:rPr>
        <w:t>八、订立时间</w:t>
      </w:r>
    </w:p>
    <w:p w14:paraId="72ACAEF3">
      <w:pPr>
        <w:pStyle w:val="2"/>
        <w:spacing w:line="342" w:lineRule="auto"/>
        <w:rPr>
          <w:highlight w:val="none"/>
        </w:rPr>
      </w:pPr>
    </w:p>
    <w:p w14:paraId="08C2A3C6">
      <w:pPr>
        <w:spacing w:before="72" w:line="228" w:lineRule="auto"/>
        <w:ind w:left="689"/>
        <w:rPr>
          <w:rFonts w:ascii="宋体" w:hAnsi="宋体" w:eastAsia="宋体" w:cs="宋体"/>
          <w:sz w:val="20"/>
          <w:szCs w:val="20"/>
          <w:highlight w:val="none"/>
        </w:rPr>
      </w:pPr>
      <w:r>
        <w:rPr>
          <w:rFonts w:ascii="宋体" w:hAnsi="宋体" w:eastAsia="宋体" w:cs="宋体"/>
          <w:spacing w:val="-4"/>
          <w:position w:val="-1"/>
          <w:sz w:val="20"/>
          <w:szCs w:val="20"/>
          <w:highlight w:val="none"/>
        </w:rPr>
        <w:t>本合同于</w:t>
      </w:r>
      <w:r>
        <w:rPr>
          <w:rFonts w:ascii="宋体" w:hAnsi="宋体" w:eastAsia="宋体" w:cs="宋体"/>
          <w:spacing w:val="7"/>
          <w:position w:val="-1"/>
          <w:sz w:val="20"/>
          <w:szCs w:val="20"/>
          <w:highlight w:val="none"/>
          <w:u w:val="single" w:color="auto"/>
        </w:rPr>
        <w:t xml:space="preserve">        </w:t>
      </w:r>
      <w:r>
        <w:rPr>
          <w:rFonts w:ascii="宋体" w:hAnsi="宋体" w:eastAsia="宋体" w:cs="宋体"/>
          <w:spacing w:val="-4"/>
          <w:position w:val="1"/>
          <w:sz w:val="22"/>
          <w:szCs w:val="22"/>
          <w:highlight w:val="none"/>
        </w:rPr>
        <w:t>年</w:t>
      </w:r>
      <w:r>
        <w:rPr>
          <w:rFonts w:ascii="宋体" w:hAnsi="宋体" w:eastAsia="宋体" w:cs="宋体"/>
          <w:spacing w:val="-4"/>
          <w:position w:val="1"/>
          <w:sz w:val="22"/>
          <w:szCs w:val="22"/>
          <w:highlight w:val="none"/>
          <w:u w:val="single" w:color="auto"/>
        </w:rPr>
        <w:t xml:space="preserve">     </w:t>
      </w:r>
      <w:r>
        <w:rPr>
          <w:rFonts w:ascii="宋体" w:hAnsi="宋体" w:eastAsia="宋体" w:cs="宋体"/>
          <w:spacing w:val="-4"/>
          <w:position w:val="1"/>
          <w:sz w:val="22"/>
          <w:szCs w:val="22"/>
          <w:highlight w:val="none"/>
        </w:rPr>
        <w:t>月</w:t>
      </w:r>
      <w:r>
        <w:rPr>
          <w:rFonts w:ascii="宋体" w:hAnsi="宋体" w:eastAsia="宋体" w:cs="宋体"/>
          <w:spacing w:val="6"/>
          <w:position w:val="1"/>
          <w:sz w:val="22"/>
          <w:szCs w:val="22"/>
          <w:highlight w:val="none"/>
          <w:u w:val="single" w:color="auto"/>
        </w:rPr>
        <w:t xml:space="preserve">     </w:t>
      </w:r>
      <w:r>
        <w:rPr>
          <w:rFonts w:ascii="宋体" w:hAnsi="宋体" w:eastAsia="宋体" w:cs="宋体"/>
          <w:spacing w:val="-4"/>
          <w:sz w:val="20"/>
          <w:szCs w:val="20"/>
          <w:highlight w:val="none"/>
        </w:rPr>
        <w:t>日订立。</w:t>
      </w:r>
    </w:p>
    <w:p w14:paraId="2E129565">
      <w:pPr>
        <w:spacing w:before="63" w:line="224" w:lineRule="auto"/>
        <w:ind w:left="83"/>
        <w:outlineLvl w:val="1"/>
        <w:rPr>
          <w:rFonts w:ascii="宋体" w:hAnsi="宋体" w:eastAsia="宋体" w:cs="宋体"/>
          <w:sz w:val="22"/>
          <w:szCs w:val="22"/>
          <w:highlight w:val="none"/>
        </w:rPr>
      </w:pPr>
      <w:bookmarkStart w:id="78" w:name="bookmark43"/>
      <w:bookmarkEnd w:id="78"/>
      <w:r>
        <w:rPr>
          <w:rFonts w:ascii="仿宋" w:hAnsi="仿宋" w:eastAsia="仿宋" w:cs="仿宋"/>
          <w:b/>
          <w:bCs/>
          <w:spacing w:val="-5"/>
          <w:sz w:val="22"/>
          <w:szCs w:val="22"/>
          <w:highlight w:val="none"/>
        </w:rPr>
        <w:t>九、</w:t>
      </w:r>
      <w:r>
        <w:rPr>
          <w:rFonts w:ascii="宋体" w:hAnsi="宋体" w:eastAsia="宋体" w:cs="宋体"/>
          <w:spacing w:val="-5"/>
          <w:sz w:val="22"/>
          <w:szCs w:val="22"/>
          <w:highlight w:val="none"/>
        </w:rPr>
        <w:t>订立地点</w:t>
      </w:r>
    </w:p>
    <w:p w14:paraId="5D8DD98A">
      <w:pPr>
        <w:pStyle w:val="2"/>
        <w:spacing w:line="364" w:lineRule="auto"/>
        <w:rPr>
          <w:highlight w:val="none"/>
        </w:rPr>
      </w:pPr>
    </w:p>
    <w:p w14:paraId="4CEF4687">
      <w:pPr>
        <w:spacing w:before="72" w:line="233" w:lineRule="auto"/>
        <w:ind w:left="689"/>
        <w:rPr>
          <w:rFonts w:ascii="宋体" w:hAnsi="宋体" w:eastAsia="宋体" w:cs="宋体"/>
          <w:sz w:val="22"/>
          <w:szCs w:val="22"/>
          <w:highlight w:val="none"/>
        </w:rPr>
      </w:pPr>
      <w:r>
        <w:rPr>
          <w:rFonts w:ascii="宋体" w:hAnsi="宋体" w:eastAsia="宋体" w:cs="宋体"/>
          <w:spacing w:val="-16"/>
          <w:sz w:val="20"/>
          <w:szCs w:val="20"/>
          <w:highlight w:val="none"/>
        </w:rPr>
        <w:t>本合同在</w:t>
      </w:r>
      <w:r>
        <w:rPr>
          <w:rFonts w:ascii="宋体" w:hAnsi="宋体" w:eastAsia="宋体" w:cs="宋体"/>
          <w:spacing w:val="-78"/>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86"/>
          <w:sz w:val="20"/>
          <w:szCs w:val="20"/>
          <w:highlight w:val="none"/>
        </w:rPr>
        <w:t xml:space="preserve"> </w:t>
      </w:r>
      <w:r>
        <w:rPr>
          <w:rFonts w:ascii="宋体" w:hAnsi="宋体" w:eastAsia="宋体" w:cs="宋体"/>
          <w:spacing w:val="-16"/>
          <w:sz w:val="22"/>
          <w:szCs w:val="22"/>
          <w:highlight w:val="none"/>
        </w:rPr>
        <w:t>订立。</w:t>
      </w:r>
    </w:p>
    <w:p w14:paraId="1A0771F6">
      <w:pPr>
        <w:spacing w:before="67" w:line="220" w:lineRule="auto"/>
        <w:ind w:left="83"/>
        <w:outlineLvl w:val="1"/>
        <w:rPr>
          <w:rFonts w:ascii="宋体" w:hAnsi="宋体" w:eastAsia="宋体" w:cs="宋体"/>
          <w:sz w:val="22"/>
          <w:szCs w:val="22"/>
          <w:highlight w:val="none"/>
        </w:rPr>
      </w:pPr>
      <w:bookmarkStart w:id="79" w:name="bookmark44"/>
      <w:bookmarkEnd w:id="79"/>
      <w:r>
        <w:rPr>
          <w:rFonts w:ascii="宋体" w:hAnsi="宋体" w:eastAsia="宋体" w:cs="宋体"/>
          <w:b/>
          <w:bCs/>
          <w:spacing w:val="-7"/>
          <w:sz w:val="22"/>
          <w:szCs w:val="22"/>
          <w:highlight w:val="none"/>
        </w:rPr>
        <w:t>十、合同生效</w:t>
      </w:r>
    </w:p>
    <w:p w14:paraId="408DBFC8">
      <w:pPr>
        <w:pStyle w:val="2"/>
        <w:spacing w:line="356" w:lineRule="auto"/>
        <w:rPr>
          <w:highlight w:val="none"/>
        </w:rPr>
      </w:pPr>
    </w:p>
    <w:p w14:paraId="0790EE23">
      <w:pPr>
        <w:spacing w:before="72" w:line="227" w:lineRule="auto"/>
        <w:ind w:left="689"/>
        <w:rPr>
          <w:rFonts w:ascii="宋体" w:hAnsi="宋体" w:eastAsia="宋体" w:cs="宋体"/>
          <w:sz w:val="22"/>
          <w:szCs w:val="22"/>
          <w:highlight w:val="none"/>
        </w:rPr>
      </w:pPr>
      <w:r>
        <w:rPr>
          <w:rFonts w:ascii="宋体" w:hAnsi="宋体" w:eastAsia="宋体" w:cs="宋体"/>
          <w:spacing w:val="7"/>
          <w:sz w:val="20"/>
          <w:szCs w:val="20"/>
          <w:highlight w:val="none"/>
        </w:rPr>
        <w:t>本合同经双方签字或盖章后成立，并自</w:t>
      </w:r>
      <w:r>
        <w:rPr>
          <w:rFonts w:ascii="宋体" w:hAnsi="宋体" w:eastAsia="宋体" w:cs="宋体"/>
          <w:spacing w:val="7"/>
          <w:sz w:val="20"/>
          <w:szCs w:val="20"/>
          <w:highlight w:val="none"/>
          <w:u w:val="single" w:color="auto"/>
        </w:rPr>
        <w:t xml:space="preserve">            </w:t>
      </w:r>
      <w:r>
        <w:rPr>
          <w:rFonts w:ascii="宋体" w:hAnsi="宋体" w:eastAsia="宋体" w:cs="宋体"/>
          <w:spacing w:val="7"/>
          <w:position w:val="2"/>
          <w:sz w:val="22"/>
          <w:szCs w:val="22"/>
          <w:highlight w:val="none"/>
        </w:rPr>
        <w:t>生</w:t>
      </w:r>
      <w:r>
        <w:rPr>
          <w:rFonts w:ascii="宋体" w:hAnsi="宋体" w:eastAsia="宋体" w:cs="宋体"/>
          <w:spacing w:val="6"/>
          <w:position w:val="2"/>
          <w:sz w:val="22"/>
          <w:szCs w:val="22"/>
          <w:highlight w:val="none"/>
        </w:rPr>
        <w:t>效。</w:t>
      </w:r>
    </w:p>
    <w:p w14:paraId="217D5C3F">
      <w:pPr>
        <w:spacing w:before="92" w:line="219" w:lineRule="auto"/>
        <w:ind w:left="83"/>
        <w:outlineLvl w:val="1"/>
        <w:rPr>
          <w:rFonts w:ascii="宋体" w:hAnsi="宋体" w:eastAsia="宋体" w:cs="宋体"/>
          <w:sz w:val="22"/>
          <w:szCs w:val="22"/>
          <w:highlight w:val="none"/>
        </w:rPr>
      </w:pPr>
      <w:bookmarkStart w:id="80" w:name="bookmark45"/>
      <w:bookmarkEnd w:id="80"/>
      <w:r>
        <w:rPr>
          <w:rFonts w:ascii="宋体" w:hAnsi="宋体" w:eastAsia="宋体" w:cs="宋体"/>
          <w:b/>
          <w:bCs/>
          <w:spacing w:val="-2"/>
          <w:sz w:val="22"/>
          <w:szCs w:val="22"/>
          <w:highlight w:val="none"/>
        </w:rPr>
        <w:t>十一、合同份数</w:t>
      </w:r>
    </w:p>
    <w:p w14:paraId="2AC17681">
      <w:pPr>
        <w:pStyle w:val="2"/>
        <w:spacing w:line="338" w:lineRule="auto"/>
        <w:rPr>
          <w:highlight w:val="none"/>
        </w:rPr>
      </w:pPr>
    </w:p>
    <w:p w14:paraId="2BEBD7CD">
      <w:pPr>
        <w:spacing w:before="72" w:line="219" w:lineRule="auto"/>
        <w:ind w:left="689"/>
        <w:rPr>
          <w:rFonts w:ascii="宋体" w:hAnsi="宋体" w:eastAsia="宋体" w:cs="宋体"/>
          <w:sz w:val="22"/>
          <w:szCs w:val="22"/>
          <w:highlight w:val="none"/>
        </w:rPr>
      </w:pPr>
      <w:r>
        <w:rPr>
          <w:rFonts w:ascii="宋体" w:hAnsi="宋体" w:eastAsia="宋体" w:cs="宋体"/>
          <w:spacing w:val="-9"/>
          <w:sz w:val="21"/>
          <w:szCs w:val="21"/>
          <w:highlight w:val="none"/>
        </w:rPr>
        <w:t>本合同一式</w:t>
      </w:r>
      <w:r>
        <w:rPr>
          <w:rFonts w:ascii="宋体" w:hAnsi="宋体" w:eastAsia="宋体" w:cs="宋体"/>
          <w:spacing w:val="-93"/>
          <w:sz w:val="21"/>
          <w:szCs w:val="21"/>
          <w:highlight w:val="none"/>
        </w:rPr>
        <w:t xml:space="preserve"> </w:t>
      </w:r>
      <w:r>
        <w:rPr>
          <w:rFonts w:ascii="宋体" w:hAnsi="宋体" w:eastAsia="宋体" w:cs="宋体"/>
          <w:spacing w:val="22"/>
          <w:sz w:val="21"/>
          <w:szCs w:val="21"/>
          <w:highlight w:val="none"/>
          <w:u w:val="single" w:color="auto"/>
        </w:rPr>
        <w:t xml:space="preserve">    </w:t>
      </w:r>
      <w:r>
        <w:rPr>
          <w:rFonts w:ascii="宋体" w:hAnsi="宋体" w:eastAsia="宋体" w:cs="宋体"/>
          <w:spacing w:val="-93"/>
          <w:sz w:val="21"/>
          <w:szCs w:val="21"/>
          <w:highlight w:val="none"/>
        </w:rPr>
        <w:t xml:space="preserve"> </w:t>
      </w:r>
      <w:r>
        <w:rPr>
          <w:rFonts w:ascii="宋体" w:hAnsi="宋体" w:eastAsia="宋体" w:cs="宋体"/>
          <w:spacing w:val="-9"/>
          <w:sz w:val="21"/>
          <w:szCs w:val="21"/>
          <w:highlight w:val="none"/>
        </w:rPr>
        <w:t>份，均具有同等法律效力，发包人</w:t>
      </w:r>
      <w:r>
        <w:rPr>
          <w:rFonts w:ascii="宋体" w:hAnsi="宋体" w:eastAsia="宋体" w:cs="宋体"/>
          <w:spacing w:val="-10"/>
          <w:sz w:val="21"/>
          <w:szCs w:val="21"/>
          <w:highlight w:val="none"/>
        </w:rPr>
        <w:t>执</w:t>
      </w:r>
      <w:r>
        <w:rPr>
          <w:rFonts w:ascii="宋体" w:hAnsi="宋体" w:eastAsia="宋体" w:cs="宋体"/>
          <w:spacing w:val="20"/>
          <w:sz w:val="21"/>
          <w:szCs w:val="21"/>
          <w:highlight w:val="none"/>
          <w:u w:val="single" w:color="auto"/>
        </w:rPr>
        <w:t xml:space="preserve">    </w:t>
      </w:r>
      <w:r>
        <w:rPr>
          <w:rFonts w:ascii="宋体" w:hAnsi="宋体" w:eastAsia="宋体" w:cs="宋体"/>
          <w:spacing w:val="-10"/>
          <w:sz w:val="21"/>
          <w:szCs w:val="21"/>
          <w:highlight w:val="none"/>
        </w:rPr>
        <w:t>份，承包人执</w:t>
      </w:r>
      <w:r>
        <w:rPr>
          <w:rFonts w:ascii="宋体" w:hAnsi="宋体" w:eastAsia="宋体" w:cs="宋体"/>
          <w:spacing w:val="-94"/>
          <w:sz w:val="21"/>
          <w:szCs w:val="21"/>
          <w:highlight w:val="none"/>
        </w:rPr>
        <w:t xml:space="preserve"> </w:t>
      </w:r>
      <w:r>
        <w:rPr>
          <w:rFonts w:ascii="宋体" w:hAnsi="宋体" w:eastAsia="宋体" w:cs="宋体"/>
          <w:spacing w:val="22"/>
          <w:sz w:val="21"/>
          <w:szCs w:val="21"/>
          <w:highlight w:val="none"/>
          <w:u w:val="single" w:color="auto"/>
        </w:rPr>
        <w:t xml:space="preserve">    </w:t>
      </w:r>
      <w:r>
        <w:rPr>
          <w:rFonts w:ascii="宋体" w:hAnsi="宋体" w:eastAsia="宋体" w:cs="宋体"/>
          <w:spacing w:val="-93"/>
          <w:sz w:val="21"/>
          <w:szCs w:val="21"/>
          <w:highlight w:val="none"/>
        </w:rPr>
        <w:t xml:space="preserve"> </w:t>
      </w:r>
      <w:r>
        <w:rPr>
          <w:rFonts w:ascii="宋体" w:hAnsi="宋体" w:eastAsia="宋体" w:cs="宋体"/>
          <w:spacing w:val="-10"/>
          <w:sz w:val="22"/>
          <w:szCs w:val="22"/>
          <w:highlight w:val="none"/>
        </w:rPr>
        <w:t>份。</w:t>
      </w:r>
    </w:p>
    <w:p w14:paraId="4A1351C6">
      <w:pPr>
        <w:spacing w:before="13"/>
        <w:rPr>
          <w:highlight w:val="none"/>
        </w:rPr>
      </w:pPr>
    </w:p>
    <w:p w14:paraId="3D314ECB">
      <w:pPr>
        <w:spacing w:before="13"/>
        <w:rPr>
          <w:highlight w:val="none"/>
        </w:rPr>
      </w:pPr>
    </w:p>
    <w:p w14:paraId="3886B0BF">
      <w:pPr>
        <w:spacing w:before="13"/>
        <w:rPr>
          <w:highlight w:val="none"/>
        </w:rPr>
      </w:pPr>
    </w:p>
    <w:p w14:paraId="6514591F">
      <w:pPr>
        <w:spacing w:before="12"/>
        <w:rPr>
          <w:highlight w:val="none"/>
        </w:rPr>
      </w:pPr>
    </w:p>
    <w:p w14:paraId="1318DC48">
      <w:pPr>
        <w:rPr>
          <w:highlight w:val="none"/>
        </w:rPr>
        <w:sectPr>
          <w:footerReference r:id="rId70" w:type="default"/>
          <w:pgSz w:w="11910" w:h="16840"/>
          <w:pgMar w:top="400" w:right="1786" w:bottom="1217" w:left="1680" w:header="0" w:footer="1013" w:gutter="0"/>
          <w:cols w:equalWidth="0" w:num="1">
            <w:col w:w="8444"/>
          </w:cols>
        </w:sectPr>
      </w:pPr>
    </w:p>
    <w:p w14:paraId="04A4ED92">
      <w:pPr>
        <w:spacing w:before="40" w:line="219" w:lineRule="auto"/>
        <w:rPr>
          <w:rFonts w:ascii="宋体" w:hAnsi="宋体" w:eastAsia="宋体" w:cs="宋体"/>
          <w:sz w:val="20"/>
          <w:szCs w:val="20"/>
          <w:highlight w:val="none"/>
        </w:rPr>
      </w:pPr>
      <w:r>
        <w:rPr>
          <w:rFonts w:ascii="宋体" w:hAnsi="宋体" w:eastAsia="宋体" w:cs="宋体"/>
          <w:spacing w:val="11"/>
          <w:sz w:val="20"/>
          <w:szCs w:val="20"/>
          <w:highlight w:val="none"/>
        </w:rPr>
        <w:t>发包人：(公章)</w:t>
      </w:r>
    </w:p>
    <w:p w14:paraId="2E174211">
      <w:pPr>
        <w:pStyle w:val="2"/>
        <w:spacing w:line="265" w:lineRule="auto"/>
        <w:rPr>
          <w:highlight w:val="none"/>
        </w:rPr>
      </w:pPr>
    </w:p>
    <w:p w14:paraId="05B7DC38">
      <w:pPr>
        <w:pStyle w:val="2"/>
        <w:spacing w:line="266" w:lineRule="auto"/>
        <w:rPr>
          <w:highlight w:val="none"/>
        </w:rPr>
      </w:pPr>
    </w:p>
    <w:p w14:paraId="39C7018F">
      <w:pPr>
        <w:pStyle w:val="2"/>
        <w:spacing w:line="266" w:lineRule="auto"/>
        <w:rPr>
          <w:highlight w:val="none"/>
        </w:rPr>
      </w:pPr>
    </w:p>
    <w:p w14:paraId="64438C81">
      <w:pPr>
        <w:pStyle w:val="2"/>
        <w:spacing w:line="266" w:lineRule="auto"/>
        <w:rPr>
          <w:highlight w:val="none"/>
        </w:rPr>
      </w:pPr>
    </w:p>
    <w:p w14:paraId="1CF7A208">
      <w:pPr>
        <w:spacing w:before="65" w:line="304" w:lineRule="auto"/>
        <w:ind w:left="79" w:right="1729" w:hanging="69"/>
        <w:rPr>
          <w:rFonts w:ascii="宋体" w:hAnsi="宋体" w:eastAsia="宋体" w:cs="宋体"/>
          <w:sz w:val="20"/>
          <w:szCs w:val="20"/>
          <w:highlight w:val="none"/>
        </w:rPr>
      </w:pPr>
      <w:r>
        <w:rPr>
          <w:rFonts w:ascii="宋体" w:hAnsi="宋体" w:eastAsia="宋体" w:cs="宋体"/>
          <w:spacing w:val="6"/>
          <w:sz w:val="20"/>
          <w:szCs w:val="20"/>
          <w:highlight w:val="none"/>
        </w:rPr>
        <w:t>法定代表人或其委托代理人：</w:t>
      </w:r>
      <w:r>
        <w:rPr>
          <w:rFonts w:ascii="宋体" w:hAnsi="宋体" w:eastAsia="宋体" w:cs="宋体"/>
          <w:spacing w:val="1"/>
          <w:sz w:val="20"/>
          <w:szCs w:val="20"/>
          <w:highlight w:val="none"/>
        </w:rPr>
        <w:t xml:space="preserve"> </w:t>
      </w:r>
      <w:r>
        <w:rPr>
          <w:rFonts w:ascii="宋体" w:hAnsi="宋体" w:eastAsia="宋体" w:cs="宋体"/>
          <w:spacing w:val="13"/>
          <w:sz w:val="20"/>
          <w:szCs w:val="20"/>
          <w:highlight w:val="none"/>
        </w:rPr>
        <w:t>(签字)</w:t>
      </w:r>
    </w:p>
    <w:p w14:paraId="5C4549B1">
      <w:pPr>
        <w:pStyle w:val="2"/>
        <w:spacing w:line="14" w:lineRule="auto"/>
        <w:rPr>
          <w:sz w:val="2"/>
          <w:highlight w:val="none"/>
        </w:rPr>
      </w:pPr>
      <w:r>
        <w:rPr>
          <w:sz w:val="2"/>
          <w:szCs w:val="2"/>
          <w:highlight w:val="none"/>
        </w:rPr>
        <w:br w:type="column"/>
      </w:r>
    </w:p>
    <w:p w14:paraId="798712C5">
      <w:pPr>
        <w:spacing w:before="39" w:line="219" w:lineRule="auto"/>
        <w:rPr>
          <w:rFonts w:ascii="宋体" w:hAnsi="宋体" w:eastAsia="宋体" w:cs="宋体"/>
          <w:sz w:val="20"/>
          <w:szCs w:val="20"/>
          <w:highlight w:val="none"/>
        </w:rPr>
      </w:pPr>
      <w:r>
        <w:rPr>
          <w:rFonts w:ascii="宋体" w:hAnsi="宋体" w:eastAsia="宋体" w:cs="宋体"/>
          <w:spacing w:val="12"/>
          <w:sz w:val="20"/>
          <w:szCs w:val="20"/>
          <w:highlight w:val="none"/>
        </w:rPr>
        <w:t>承包人：(公章)</w:t>
      </w:r>
    </w:p>
    <w:p w14:paraId="611198BD">
      <w:pPr>
        <w:pStyle w:val="2"/>
        <w:spacing w:line="265" w:lineRule="auto"/>
        <w:rPr>
          <w:highlight w:val="none"/>
        </w:rPr>
      </w:pPr>
    </w:p>
    <w:p w14:paraId="0C73BA3F">
      <w:pPr>
        <w:pStyle w:val="2"/>
        <w:spacing w:line="266" w:lineRule="auto"/>
        <w:rPr>
          <w:highlight w:val="none"/>
        </w:rPr>
      </w:pPr>
    </w:p>
    <w:p w14:paraId="51FEDDD0">
      <w:pPr>
        <w:pStyle w:val="2"/>
        <w:spacing w:line="266" w:lineRule="auto"/>
        <w:rPr>
          <w:highlight w:val="none"/>
        </w:rPr>
      </w:pPr>
    </w:p>
    <w:p w14:paraId="76470141">
      <w:pPr>
        <w:pStyle w:val="2"/>
        <w:spacing w:line="266" w:lineRule="auto"/>
        <w:rPr>
          <w:highlight w:val="none"/>
        </w:rPr>
      </w:pPr>
    </w:p>
    <w:p w14:paraId="6AE7FD2A">
      <w:pPr>
        <w:spacing w:before="65" w:line="304" w:lineRule="auto"/>
        <w:ind w:left="100" w:right="1233" w:hanging="90"/>
        <w:rPr>
          <w:rFonts w:ascii="宋体" w:hAnsi="宋体" w:eastAsia="宋体" w:cs="宋体"/>
          <w:sz w:val="20"/>
          <w:szCs w:val="20"/>
          <w:highlight w:val="none"/>
        </w:rPr>
      </w:pPr>
      <w:r>
        <w:rPr>
          <w:rFonts w:ascii="宋体" w:hAnsi="宋体" w:eastAsia="宋体" w:cs="宋体"/>
          <w:spacing w:val="6"/>
          <w:sz w:val="20"/>
          <w:szCs w:val="20"/>
          <w:highlight w:val="none"/>
        </w:rPr>
        <w:t>法定代表人或其委托代理人：</w:t>
      </w:r>
      <w:r>
        <w:rPr>
          <w:rFonts w:ascii="宋体" w:hAnsi="宋体" w:eastAsia="宋体" w:cs="宋体"/>
          <w:spacing w:val="1"/>
          <w:sz w:val="20"/>
          <w:szCs w:val="20"/>
          <w:highlight w:val="none"/>
        </w:rPr>
        <w:t xml:space="preserve"> </w:t>
      </w:r>
      <w:r>
        <w:rPr>
          <w:rFonts w:ascii="宋体" w:hAnsi="宋体" w:eastAsia="宋体" w:cs="宋体"/>
          <w:spacing w:val="15"/>
          <w:sz w:val="20"/>
          <w:szCs w:val="20"/>
          <w:highlight w:val="none"/>
        </w:rPr>
        <w:t>(签字)</w:t>
      </w:r>
    </w:p>
    <w:p w14:paraId="1DFBCEBD">
      <w:pPr>
        <w:spacing w:line="304" w:lineRule="auto"/>
        <w:rPr>
          <w:rFonts w:ascii="宋体" w:hAnsi="宋体" w:eastAsia="宋体" w:cs="宋体"/>
          <w:sz w:val="20"/>
          <w:szCs w:val="20"/>
          <w:highlight w:val="none"/>
        </w:rPr>
        <w:sectPr>
          <w:type w:val="continuous"/>
          <w:pgSz w:w="11910" w:h="16840"/>
          <w:pgMar w:top="400" w:right="1786" w:bottom="1217" w:left="1680" w:header="0" w:footer="1013" w:gutter="0"/>
          <w:cols w:equalWidth="0" w:num="2">
            <w:col w:w="4420" w:space="100"/>
            <w:col w:w="3924"/>
          </w:cols>
        </w:sectPr>
      </w:pPr>
    </w:p>
    <w:p w14:paraId="143818DF">
      <w:pPr>
        <w:pStyle w:val="2"/>
        <w:spacing w:line="287" w:lineRule="auto"/>
        <w:rPr>
          <w:highlight w:val="none"/>
        </w:rPr>
      </w:pPr>
    </w:p>
    <w:p w14:paraId="5ECCD6D5">
      <w:pPr>
        <w:pStyle w:val="2"/>
        <w:spacing w:line="287" w:lineRule="auto"/>
        <w:rPr>
          <w:highlight w:val="none"/>
        </w:rPr>
      </w:pPr>
    </w:p>
    <w:p w14:paraId="77F42FAA">
      <w:pPr>
        <w:pStyle w:val="2"/>
        <w:spacing w:line="287" w:lineRule="auto"/>
        <w:rPr>
          <w:highlight w:val="none"/>
        </w:rPr>
      </w:pPr>
    </w:p>
    <w:p w14:paraId="1F083F4D">
      <w:pPr>
        <w:pStyle w:val="2"/>
        <w:spacing w:line="288" w:lineRule="auto"/>
        <w:rPr>
          <w:highlight w:val="none"/>
        </w:rPr>
      </w:pPr>
    </w:p>
    <w:p w14:paraId="29CFE4A8">
      <w:pPr>
        <w:pStyle w:val="2"/>
        <w:spacing w:line="288" w:lineRule="auto"/>
        <w:rPr>
          <w:highlight w:val="none"/>
        </w:rPr>
      </w:pPr>
    </w:p>
    <w:p w14:paraId="2CF9E722">
      <w:pPr>
        <w:spacing w:before="72" w:line="227" w:lineRule="auto"/>
        <w:rPr>
          <w:rFonts w:ascii="宋体" w:hAnsi="宋体" w:eastAsia="宋体" w:cs="宋体"/>
          <w:sz w:val="22"/>
          <w:szCs w:val="22"/>
          <w:highlight w:val="none"/>
        </w:rPr>
      </w:pPr>
      <w:r>
        <w:rPr>
          <w:rFonts w:ascii="宋体" w:hAnsi="宋体" w:eastAsia="宋体" w:cs="宋体"/>
          <w:spacing w:val="-10"/>
          <w:position w:val="1"/>
          <w:sz w:val="21"/>
          <w:szCs w:val="21"/>
          <w:highlight w:val="none"/>
        </w:rPr>
        <w:t>统一社会信用代码：</w:t>
      </w:r>
      <w:r>
        <w:rPr>
          <w:rFonts w:ascii="宋体" w:hAnsi="宋体" w:eastAsia="宋体" w:cs="宋体"/>
          <w:spacing w:val="-10"/>
          <w:position w:val="1"/>
          <w:sz w:val="21"/>
          <w:szCs w:val="21"/>
          <w:highlight w:val="none"/>
          <w:u w:val="single" w:color="auto"/>
        </w:rPr>
        <w:t xml:space="preserve">            </w:t>
      </w:r>
      <w:r>
        <w:rPr>
          <w:rFonts w:ascii="宋体" w:hAnsi="宋体" w:eastAsia="宋体" w:cs="宋体"/>
          <w:spacing w:val="6"/>
          <w:position w:val="1"/>
          <w:sz w:val="21"/>
          <w:szCs w:val="21"/>
          <w:highlight w:val="none"/>
        </w:rPr>
        <w:t xml:space="preserve">             </w:t>
      </w:r>
      <w:r>
        <w:rPr>
          <w:rFonts w:ascii="宋体" w:hAnsi="宋体" w:eastAsia="宋体" w:cs="宋体"/>
          <w:spacing w:val="-10"/>
          <w:position w:val="-1"/>
          <w:sz w:val="22"/>
          <w:szCs w:val="22"/>
          <w:highlight w:val="none"/>
        </w:rPr>
        <w:t>统一社会信用代</w:t>
      </w:r>
      <w:r>
        <w:rPr>
          <w:rFonts w:ascii="宋体" w:hAnsi="宋体" w:eastAsia="宋体" w:cs="宋体"/>
          <w:spacing w:val="-11"/>
          <w:position w:val="-1"/>
          <w:sz w:val="22"/>
          <w:szCs w:val="22"/>
          <w:highlight w:val="none"/>
        </w:rPr>
        <w:t>码：</w:t>
      </w:r>
      <w:r>
        <w:rPr>
          <w:rFonts w:ascii="宋体" w:hAnsi="宋体" w:eastAsia="宋体" w:cs="宋体"/>
          <w:position w:val="-1"/>
          <w:sz w:val="22"/>
          <w:szCs w:val="22"/>
          <w:highlight w:val="none"/>
          <w:u w:val="single" w:color="auto"/>
        </w:rPr>
        <w:t xml:space="preserve">             </w:t>
      </w:r>
    </w:p>
    <w:p w14:paraId="38818A90">
      <w:pPr>
        <w:spacing w:before="191" w:line="229" w:lineRule="auto"/>
        <w:rPr>
          <w:rFonts w:ascii="宋体" w:hAnsi="宋体" w:eastAsia="宋体" w:cs="宋体"/>
          <w:sz w:val="22"/>
          <w:szCs w:val="22"/>
          <w:highlight w:val="none"/>
        </w:rPr>
      </w:pPr>
      <w:r>
        <w:rPr>
          <w:rFonts w:ascii="宋体" w:hAnsi="宋体" w:eastAsia="宋体" w:cs="宋体"/>
          <w:spacing w:val="-27"/>
          <w:w w:val="91"/>
          <w:sz w:val="22"/>
          <w:szCs w:val="22"/>
          <w:highlight w:val="none"/>
        </w:rPr>
        <w:t>地址：</w:t>
      </w:r>
      <w:r>
        <w:rPr>
          <w:rFonts w:ascii="宋体" w:hAnsi="宋体" w:eastAsia="宋体" w:cs="宋体"/>
          <w:sz w:val="22"/>
          <w:szCs w:val="22"/>
          <w:highlight w:val="none"/>
          <w:u w:val="single" w:color="auto"/>
        </w:rPr>
        <w:t xml:space="preserve">                       </w:t>
      </w:r>
      <w:r>
        <w:rPr>
          <w:rFonts w:ascii="宋体" w:hAnsi="宋体" w:eastAsia="宋体" w:cs="宋体"/>
          <w:spacing w:val="3"/>
          <w:sz w:val="22"/>
          <w:szCs w:val="22"/>
          <w:highlight w:val="none"/>
        </w:rPr>
        <w:t xml:space="preserve">             </w:t>
      </w:r>
      <w:r>
        <w:rPr>
          <w:rFonts w:ascii="宋体" w:hAnsi="宋体" w:eastAsia="宋体" w:cs="宋体"/>
          <w:spacing w:val="-27"/>
          <w:w w:val="91"/>
          <w:sz w:val="22"/>
          <w:szCs w:val="22"/>
          <w:highlight w:val="none"/>
        </w:rPr>
        <w:t>地址：</w:t>
      </w:r>
      <w:r>
        <w:rPr>
          <w:rFonts w:ascii="宋体" w:hAnsi="宋体" w:eastAsia="宋体" w:cs="宋体"/>
          <w:sz w:val="22"/>
          <w:szCs w:val="22"/>
          <w:highlight w:val="none"/>
          <w:u w:val="single" w:color="auto"/>
        </w:rPr>
        <w:t xml:space="preserve">                        </w:t>
      </w:r>
    </w:p>
    <w:p w14:paraId="7EFD9431">
      <w:pPr>
        <w:spacing w:before="185" w:line="220" w:lineRule="auto"/>
        <w:rPr>
          <w:rFonts w:ascii="宋体" w:hAnsi="宋体" w:eastAsia="宋体" w:cs="宋体"/>
          <w:sz w:val="22"/>
          <w:szCs w:val="22"/>
          <w:highlight w:val="none"/>
        </w:rPr>
      </w:pPr>
      <w:r>
        <w:rPr>
          <w:rFonts w:ascii="宋体" w:hAnsi="宋体" w:eastAsia="宋体" w:cs="宋体"/>
          <w:spacing w:val="-6"/>
          <w:sz w:val="20"/>
          <w:szCs w:val="20"/>
          <w:highlight w:val="none"/>
        </w:rPr>
        <w:t>邮政编码：</w:t>
      </w:r>
      <w:r>
        <w:rPr>
          <w:rFonts w:ascii="宋体" w:hAnsi="宋体" w:eastAsia="宋体" w:cs="宋体"/>
          <w:spacing w:val="-62"/>
          <w:sz w:val="20"/>
          <w:szCs w:val="20"/>
          <w:highlight w:val="none"/>
        </w:rPr>
        <w:t xml:space="preserve"> </w:t>
      </w:r>
      <w:r>
        <w:rPr>
          <w:rFonts w:ascii="宋体" w:hAnsi="宋体" w:eastAsia="宋体" w:cs="宋体"/>
          <w:spacing w:val="2"/>
          <w:sz w:val="20"/>
          <w:szCs w:val="20"/>
          <w:highlight w:val="none"/>
          <w:u w:val="single" w:color="auto"/>
        </w:rPr>
        <w:t xml:space="preserve">                    </w:t>
      </w:r>
      <w:r>
        <w:rPr>
          <w:rFonts w:ascii="宋体" w:hAnsi="宋体" w:eastAsia="宋体" w:cs="宋体"/>
          <w:spacing w:val="3"/>
          <w:sz w:val="20"/>
          <w:szCs w:val="20"/>
          <w:highlight w:val="none"/>
        </w:rPr>
        <w:t xml:space="preserve">              </w:t>
      </w:r>
      <w:r>
        <w:rPr>
          <w:rFonts w:ascii="宋体" w:hAnsi="宋体" w:eastAsia="宋体" w:cs="宋体"/>
          <w:spacing w:val="-6"/>
          <w:sz w:val="22"/>
          <w:szCs w:val="22"/>
          <w:highlight w:val="none"/>
        </w:rPr>
        <w:t>邮政编码：</w:t>
      </w:r>
      <w:r>
        <w:rPr>
          <w:rFonts w:ascii="宋体" w:hAnsi="宋体" w:eastAsia="宋体" w:cs="宋体"/>
          <w:sz w:val="22"/>
          <w:szCs w:val="22"/>
          <w:highlight w:val="none"/>
          <w:u w:val="single" w:color="auto"/>
        </w:rPr>
        <w:t xml:space="preserve">                    </w:t>
      </w:r>
    </w:p>
    <w:p w14:paraId="7221C606">
      <w:pPr>
        <w:spacing w:before="208" w:line="219" w:lineRule="auto"/>
        <w:rPr>
          <w:rFonts w:ascii="宋体" w:hAnsi="宋体" w:eastAsia="宋体" w:cs="宋体"/>
          <w:sz w:val="20"/>
          <w:szCs w:val="20"/>
          <w:highlight w:val="none"/>
        </w:rPr>
      </w:pPr>
      <w:r>
        <w:rPr>
          <w:rFonts w:ascii="宋体" w:hAnsi="宋体" w:eastAsia="宋体" w:cs="宋体"/>
          <w:sz w:val="20"/>
          <w:szCs w:val="20"/>
          <w:highlight w:val="none"/>
        </w:rPr>
        <w:t>法定代表人：</w:t>
      </w:r>
      <w:r>
        <w:rPr>
          <w:rFonts w:ascii="宋体" w:hAnsi="宋体" w:eastAsia="宋体" w:cs="宋体"/>
          <w:spacing w:val="-31"/>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4"/>
          <w:sz w:val="20"/>
          <w:szCs w:val="20"/>
          <w:highlight w:val="none"/>
        </w:rPr>
        <w:t xml:space="preserve">              </w:t>
      </w:r>
      <w:r>
        <w:rPr>
          <w:rFonts w:ascii="宋体" w:hAnsi="宋体" w:eastAsia="宋体" w:cs="宋体"/>
          <w:sz w:val="20"/>
          <w:szCs w:val="20"/>
          <w:highlight w:val="none"/>
        </w:rPr>
        <w:t>法定代表人：</w:t>
      </w:r>
      <w:r>
        <w:rPr>
          <w:rFonts w:ascii="宋体" w:hAnsi="宋体" w:eastAsia="宋体" w:cs="宋体"/>
          <w:spacing w:val="-22"/>
          <w:sz w:val="20"/>
          <w:szCs w:val="20"/>
          <w:highlight w:val="none"/>
        </w:rPr>
        <w:t xml:space="preserve"> </w:t>
      </w:r>
      <w:r>
        <w:rPr>
          <w:rFonts w:ascii="宋体" w:hAnsi="宋体" w:eastAsia="宋体" w:cs="宋体"/>
          <w:sz w:val="20"/>
          <w:szCs w:val="20"/>
          <w:highlight w:val="none"/>
          <w:u w:val="single" w:color="auto"/>
        </w:rPr>
        <w:t xml:space="preserve">                   </w:t>
      </w:r>
    </w:p>
    <w:p w14:paraId="500B7AD1">
      <w:pPr>
        <w:spacing w:before="194" w:line="219" w:lineRule="auto"/>
        <w:rPr>
          <w:rFonts w:ascii="宋体" w:hAnsi="宋体" w:eastAsia="宋体" w:cs="宋体"/>
          <w:sz w:val="23"/>
          <w:szCs w:val="23"/>
          <w:highlight w:val="none"/>
        </w:rPr>
      </w:pPr>
      <w:r>
        <w:rPr>
          <w:rFonts w:ascii="宋体" w:hAnsi="宋体" w:eastAsia="宋体" w:cs="宋体"/>
          <w:spacing w:val="-17"/>
          <w:sz w:val="23"/>
          <w:szCs w:val="23"/>
          <w:highlight w:val="none"/>
        </w:rPr>
        <w:t>委托代理人：</w:t>
      </w:r>
      <w:r>
        <w:rPr>
          <w:rFonts w:ascii="宋体" w:hAnsi="宋体" w:eastAsia="宋体" w:cs="宋体"/>
          <w:spacing w:val="4"/>
          <w:sz w:val="23"/>
          <w:szCs w:val="23"/>
          <w:highlight w:val="none"/>
          <w:u w:val="single" w:color="auto"/>
        </w:rPr>
        <w:t xml:space="preserve">                </w:t>
      </w:r>
      <w:r>
        <w:rPr>
          <w:rFonts w:ascii="宋体" w:hAnsi="宋体" w:eastAsia="宋体" w:cs="宋体"/>
          <w:spacing w:val="-17"/>
          <w:sz w:val="23"/>
          <w:szCs w:val="23"/>
          <w:highlight w:val="none"/>
        </w:rPr>
        <w:t xml:space="preserve">              委托代理</w:t>
      </w:r>
      <w:r>
        <w:rPr>
          <w:rFonts w:ascii="宋体" w:hAnsi="宋体" w:eastAsia="宋体" w:cs="宋体"/>
          <w:spacing w:val="-18"/>
          <w:sz w:val="23"/>
          <w:szCs w:val="23"/>
          <w:highlight w:val="none"/>
        </w:rPr>
        <w:t>人：</w:t>
      </w:r>
      <w:r>
        <w:rPr>
          <w:rFonts w:ascii="宋体" w:hAnsi="宋体" w:eastAsia="宋体" w:cs="宋体"/>
          <w:spacing w:val="-18"/>
          <w:sz w:val="23"/>
          <w:szCs w:val="23"/>
          <w:highlight w:val="none"/>
          <w:u w:val="single" w:color="auto"/>
        </w:rPr>
        <w:t xml:space="preserve">                   </w:t>
      </w:r>
    </w:p>
    <w:p w14:paraId="45403C85">
      <w:pPr>
        <w:spacing w:before="199" w:line="221" w:lineRule="auto"/>
        <w:ind w:left="40"/>
        <w:rPr>
          <w:rFonts w:ascii="宋体" w:hAnsi="宋体" w:eastAsia="宋体" w:cs="宋体"/>
          <w:sz w:val="22"/>
          <w:szCs w:val="22"/>
          <w:highlight w:val="none"/>
        </w:rPr>
      </w:pPr>
      <w:r>
        <w:rPr>
          <w:rFonts w:ascii="宋体" w:hAnsi="宋体" w:eastAsia="宋体" w:cs="宋体"/>
          <w:spacing w:val="-27"/>
          <w:w w:val="84"/>
          <w:sz w:val="22"/>
          <w:szCs w:val="22"/>
          <w:highlight w:val="none"/>
        </w:rPr>
        <w:t>电话：</w:t>
      </w:r>
      <w:r>
        <w:rPr>
          <w:rFonts w:ascii="宋体" w:hAnsi="宋体" w:eastAsia="宋体" w:cs="宋体"/>
          <w:spacing w:val="1"/>
          <w:sz w:val="22"/>
          <w:szCs w:val="22"/>
          <w:highlight w:val="none"/>
          <w:u w:val="single" w:color="auto"/>
        </w:rPr>
        <w:t xml:space="preserve">                       </w:t>
      </w:r>
      <w:r>
        <w:rPr>
          <w:rFonts w:ascii="宋体" w:hAnsi="宋体" w:eastAsia="宋体" w:cs="宋体"/>
          <w:spacing w:val="2"/>
          <w:sz w:val="22"/>
          <w:szCs w:val="22"/>
          <w:highlight w:val="none"/>
        </w:rPr>
        <w:t xml:space="preserve">             </w:t>
      </w:r>
      <w:r>
        <w:rPr>
          <w:rFonts w:ascii="宋体" w:hAnsi="宋体" w:eastAsia="宋体" w:cs="宋体"/>
          <w:spacing w:val="-27"/>
          <w:w w:val="84"/>
          <w:sz w:val="22"/>
          <w:szCs w:val="22"/>
          <w:highlight w:val="none"/>
        </w:rPr>
        <w:t>电话：</w:t>
      </w:r>
      <w:r>
        <w:rPr>
          <w:rFonts w:ascii="宋体" w:hAnsi="宋体" w:eastAsia="宋体" w:cs="宋体"/>
          <w:sz w:val="22"/>
          <w:szCs w:val="22"/>
          <w:highlight w:val="none"/>
          <w:u w:val="single" w:color="auto"/>
        </w:rPr>
        <w:t xml:space="preserve">                         </w:t>
      </w:r>
    </w:p>
    <w:p w14:paraId="32D22B3F">
      <w:pPr>
        <w:spacing w:before="192" w:line="219" w:lineRule="auto"/>
        <w:rPr>
          <w:rFonts w:ascii="宋体" w:hAnsi="宋体" w:eastAsia="宋体" w:cs="宋体"/>
          <w:sz w:val="22"/>
          <w:szCs w:val="22"/>
          <w:highlight w:val="none"/>
        </w:rPr>
      </w:pPr>
      <w:r>
        <w:rPr>
          <w:rFonts w:ascii="宋体" w:hAnsi="宋体" w:eastAsia="宋体" w:cs="宋体"/>
          <w:spacing w:val="-23"/>
          <w:sz w:val="22"/>
          <w:szCs w:val="22"/>
          <w:highlight w:val="none"/>
        </w:rPr>
        <w:t xml:space="preserve">传真： </w:t>
      </w:r>
      <w:r>
        <w:rPr>
          <w:rFonts w:ascii="宋体" w:hAnsi="宋体" w:eastAsia="宋体" w:cs="宋体"/>
          <w:sz w:val="22"/>
          <w:szCs w:val="22"/>
          <w:highlight w:val="none"/>
          <w:u w:val="single" w:color="auto"/>
        </w:rPr>
        <w:t xml:space="preserve">                     </w:t>
      </w:r>
      <w:r>
        <w:rPr>
          <w:rFonts w:ascii="宋体" w:hAnsi="宋体" w:eastAsia="宋体" w:cs="宋体"/>
          <w:spacing w:val="2"/>
          <w:sz w:val="22"/>
          <w:szCs w:val="22"/>
          <w:highlight w:val="none"/>
        </w:rPr>
        <w:t xml:space="preserve">             </w:t>
      </w:r>
      <w:r>
        <w:rPr>
          <w:rFonts w:ascii="宋体" w:hAnsi="宋体" w:eastAsia="宋体" w:cs="宋体"/>
          <w:spacing w:val="-23"/>
          <w:sz w:val="22"/>
          <w:szCs w:val="22"/>
          <w:highlight w:val="none"/>
        </w:rPr>
        <w:t>传真：</w:t>
      </w:r>
      <w:r>
        <w:rPr>
          <w:rFonts w:ascii="宋体" w:hAnsi="宋体" w:eastAsia="宋体" w:cs="宋体"/>
          <w:sz w:val="22"/>
          <w:szCs w:val="22"/>
          <w:highlight w:val="none"/>
          <w:u w:val="single" w:color="auto"/>
        </w:rPr>
        <w:t xml:space="preserve">                        </w:t>
      </w:r>
    </w:p>
    <w:p w14:paraId="7D2B8CD9">
      <w:pPr>
        <w:spacing w:before="180" w:line="219" w:lineRule="auto"/>
        <w:ind w:left="50"/>
        <w:rPr>
          <w:rFonts w:ascii="宋体" w:hAnsi="宋体" w:eastAsia="宋体" w:cs="宋体"/>
          <w:sz w:val="21"/>
          <w:szCs w:val="21"/>
          <w:highlight w:val="none"/>
        </w:rPr>
      </w:pPr>
      <w:r>
        <w:rPr>
          <w:rFonts w:ascii="宋体" w:hAnsi="宋体" w:eastAsia="宋体" w:cs="宋体"/>
          <w:spacing w:val="-7"/>
          <w:sz w:val="22"/>
          <w:szCs w:val="22"/>
          <w:highlight w:val="none"/>
        </w:rPr>
        <w:t>电子信箱：</w:t>
      </w:r>
      <w:r>
        <w:rPr>
          <w:rFonts w:ascii="宋体" w:hAnsi="宋体" w:eastAsia="宋体" w:cs="宋体"/>
          <w:spacing w:val="-7"/>
          <w:sz w:val="22"/>
          <w:szCs w:val="22"/>
          <w:highlight w:val="none"/>
          <w:u w:val="single" w:color="auto"/>
        </w:rPr>
        <w:t xml:space="preserve">                   </w:t>
      </w:r>
      <w:r>
        <w:rPr>
          <w:rFonts w:ascii="宋体" w:hAnsi="宋体" w:eastAsia="宋体" w:cs="宋体"/>
          <w:spacing w:val="-7"/>
          <w:sz w:val="22"/>
          <w:szCs w:val="22"/>
          <w:highlight w:val="none"/>
        </w:rPr>
        <w:t xml:space="preserve">              </w:t>
      </w:r>
      <w:r>
        <w:rPr>
          <w:rFonts w:ascii="宋体" w:hAnsi="宋体" w:eastAsia="宋体" w:cs="宋体"/>
          <w:spacing w:val="-7"/>
          <w:sz w:val="21"/>
          <w:szCs w:val="21"/>
          <w:highlight w:val="none"/>
        </w:rPr>
        <w:t>电子信箱：</w:t>
      </w:r>
      <w:r>
        <w:rPr>
          <w:rFonts w:ascii="宋体" w:hAnsi="宋体" w:eastAsia="宋体" w:cs="宋体"/>
          <w:spacing w:val="-66"/>
          <w:sz w:val="21"/>
          <w:szCs w:val="21"/>
          <w:highlight w:val="none"/>
        </w:rPr>
        <w:t xml:space="preserve"> </w:t>
      </w:r>
      <w:r>
        <w:rPr>
          <w:rFonts w:ascii="宋体" w:hAnsi="宋体" w:eastAsia="宋体" w:cs="宋体"/>
          <w:sz w:val="21"/>
          <w:szCs w:val="21"/>
          <w:highlight w:val="none"/>
          <w:u w:val="single" w:color="auto"/>
        </w:rPr>
        <w:t xml:space="preserve">                     </w:t>
      </w:r>
    </w:p>
    <w:p w14:paraId="0DA58E65">
      <w:pPr>
        <w:spacing w:before="229" w:line="220" w:lineRule="auto"/>
        <w:rPr>
          <w:rFonts w:ascii="宋体" w:hAnsi="宋体" w:eastAsia="宋体" w:cs="宋体"/>
          <w:sz w:val="20"/>
          <w:szCs w:val="20"/>
          <w:highlight w:val="none"/>
        </w:rPr>
      </w:pPr>
      <w:r>
        <w:rPr>
          <w:rFonts w:ascii="宋体" w:hAnsi="宋体" w:eastAsia="宋体" w:cs="宋体"/>
          <w:sz w:val="20"/>
          <w:szCs w:val="20"/>
          <w:highlight w:val="none"/>
        </w:rPr>
        <w:t>开户银行：</w:t>
      </w:r>
      <w:r>
        <w:rPr>
          <w:rFonts w:ascii="宋体" w:hAnsi="宋体" w:eastAsia="宋体" w:cs="宋体"/>
          <w:spacing w:val="-31"/>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3"/>
          <w:sz w:val="20"/>
          <w:szCs w:val="20"/>
          <w:highlight w:val="none"/>
        </w:rPr>
        <w:t xml:space="preserve">              </w:t>
      </w:r>
      <w:r>
        <w:rPr>
          <w:rFonts w:ascii="宋体" w:hAnsi="宋体" w:eastAsia="宋体" w:cs="宋体"/>
          <w:sz w:val="20"/>
          <w:szCs w:val="20"/>
          <w:highlight w:val="none"/>
        </w:rPr>
        <w:t>开户银行：</w:t>
      </w:r>
      <w:r>
        <w:rPr>
          <w:rFonts w:ascii="宋体" w:hAnsi="宋体" w:eastAsia="宋体" w:cs="宋体"/>
          <w:spacing w:val="-38"/>
          <w:sz w:val="20"/>
          <w:szCs w:val="20"/>
          <w:highlight w:val="none"/>
        </w:rPr>
        <w:t xml:space="preserve"> </w:t>
      </w:r>
      <w:r>
        <w:rPr>
          <w:rFonts w:ascii="宋体" w:hAnsi="宋体" w:eastAsia="宋体" w:cs="宋体"/>
          <w:sz w:val="20"/>
          <w:szCs w:val="20"/>
          <w:highlight w:val="none"/>
          <w:u w:val="single" w:color="auto"/>
        </w:rPr>
        <w:t xml:space="preserve">                      </w:t>
      </w:r>
    </w:p>
    <w:p w14:paraId="643DAFE4">
      <w:pPr>
        <w:spacing w:before="213" w:line="221" w:lineRule="auto"/>
        <w:rPr>
          <w:rFonts w:ascii="宋体" w:hAnsi="宋体" w:eastAsia="宋体" w:cs="宋体"/>
          <w:sz w:val="22"/>
          <w:szCs w:val="22"/>
          <w:highlight w:val="none"/>
        </w:rPr>
      </w:pPr>
      <w:r>
        <w:rPr>
          <w:rFonts w:ascii="宋体" w:hAnsi="宋体" w:eastAsia="宋体" w:cs="宋体"/>
          <w:spacing w:val="-32"/>
          <w:w w:val="93"/>
          <w:sz w:val="22"/>
          <w:szCs w:val="22"/>
          <w:highlight w:val="none"/>
        </w:rPr>
        <w:t>账号：</w:t>
      </w:r>
      <w:r>
        <w:rPr>
          <w:rFonts w:ascii="宋体" w:hAnsi="宋体" w:eastAsia="宋体" w:cs="宋体"/>
          <w:spacing w:val="1"/>
          <w:sz w:val="22"/>
          <w:szCs w:val="22"/>
          <w:highlight w:val="none"/>
          <w:u w:val="single" w:color="auto"/>
        </w:rPr>
        <w:t xml:space="preserve">                       </w:t>
      </w:r>
      <w:r>
        <w:rPr>
          <w:rFonts w:ascii="宋体" w:hAnsi="宋体" w:eastAsia="宋体" w:cs="宋体"/>
          <w:spacing w:val="1"/>
          <w:sz w:val="22"/>
          <w:szCs w:val="22"/>
          <w:highlight w:val="none"/>
        </w:rPr>
        <w:t xml:space="preserve">             </w:t>
      </w:r>
      <w:r>
        <w:rPr>
          <w:rFonts w:ascii="宋体" w:hAnsi="宋体" w:eastAsia="宋体" w:cs="宋体"/>
          <w:spacing w:val="-32"/>
          <w:w w:val="93"/>
          <w:sz w:val="22"/>
          <w:szCs w:val="22"/>
          <w:highlight w:val="none"/>
        </w:rPr>
        <w:t>账号：</w:t>
      </w:r>
      <w:r>
        <w:rPr>
          <w:rFonts w:ascii="宋体" w:hAnsi="宋体" w:eastAsia="宋体" w:cs="宋体"/>
          <w:sz w:val="22"/>
          <w:szCs w:val="22"/>
          <w:highlight w:val="none"/>
          <w:u w:val="single" w:color="auto"/>
        </w:rPr>
        <w:t xml:space="preserve">                        </w:t>
      </w:r>
    </w:p>
    <w:p w14:paraId="6525D20D">
      <w:pPr>
        <w:pStyle w:val="2"/>
        <w:spacing w:line="345" w:lineRule="auto"/>
        <w:rPr>
          <w:highlight w:val="none"/>
        </w:rPr>
      </w:pPr>
    </w:p>
    <w:p w14:paraId="1B983BFE">
      <w:pPr>
        <w:pStyle w:val="2"/>
        <w:spacing w:line="345" w:lineRule="auto"/>
        <w:rPr>
          <w:highlight w:val="none"/>
        </w:rPr>
      </w:pPr>
    </w:p>
    <w:p w14:paraId="27491D8D">
      <w:pPr>
        <w:spacing w:before="91" w:line="222" w:lineRule="auto"/>
        <w:ind w:left="2919"/>
        <w:rPr>
          <w:rFonts w:ascii="黑体" w:hAnsi="黑体" w:eastAsia="黑体" w:cs="黑体"/>
          <w:sz w:val="28"/>
          <w:szCs w:val="28"/>
          <w:highlight w:val="none"/>
        </w:rPr>
      </w:pPr>
      <w:r>
        <w:rPr>
          <w:rFonts w:ascii="黑体" w:hAnsi="黑体" w:eastAsia="黑体" w:cs="黑体"/>
          <w:spacing w:val="19"/>
          <w:sz w:val="28"/>
          <w:szCs w:val="28"/>
          <w:highlight w:val="none"/>
        </w:rPr>
        <w:t>第二节通用合同条件</w:t>
      </w:r>
    </w:p>
    <w:p w14:paraId="1F7F46FE">
      <w:pPr>
        <w:pStyle w:val="2"/>
        <w:spacing w:line="396" w:lineRule="auto"/>
        <w:rPr>
          <w:highlight w:val="none"/>
        </w:rPr>
      </w:pPr>
    </w:p>
    <w:p w14:paraId="3E71571F">
      <w:pPr>
        <w:spacing w:before="98" w:line="222" w:lineRule="auto"/>
        <w:ind w:left="3399"/>
        <w:rPr>
          <w:rFonts w:ascii="黑体" w:hAnsi="黑体" w:eastAsia="黑体" w:cs="黑体"/>
          <w:sz w:val="30"/>
          <w:szCs w:val="30"/>
          <w:highlight w:val="none"/>
        </w:rPr>
      </w:pPr>
      <w:r>
        <w:rPr>
          <w:rFonts w:ascii="黑体" w:hAnsi="黑体" w:eastAsia="黑体" w:cs="黑体"/>
          <w:spacing w:val="-13"/>
          <w:sz w:val="30"/>
          <w:szCs w:val="30"/>
          <w:highlight w:val="none"/>
        </w:rPr>
        <w:t>通用合同条件</w:t>
      </w:r>
    </w:p>
    <w:p w14:paraId="3CA72724">
      <w:pPr>
        <w:pStyle w:val="2"/>
        <w:spacing w:line="260" w:lineRule="auto"/>
        <w:rPr>
          <w:highlight w:val="none"/>
        </w:rPr>
      </w:pPr>
    </w:p>
    <w:p w14:paraId="11305184">
      <w:pPr>
        <w:pStyle w:val="2"/>
        <w:spacing w:line="261" w:lineRule="auto"/>
        <w:rPr>
          <w:highlight w:val="none"/>
        </w:rPr>
      </w:pPr>
    </w:p>
    <w:p w14:paraId="5F6183A2">
      <w:pPr>
        <w:spacing w:before="92" w:line="221" w:lineRule="auto"/>
        <w:ind w:left="109"/>
        <w:rPr>
          <w:rFonts w:ascii="黑体" w:hAnsi="黑体" w:eastAsia="黑体" w:cs="黑体"/>
          <w:sz w:val="28"/>
          <w:szCs w:val="28"/>
          <w:highlight w:val="none"/>
        </w:rPr>
      </w:pPr>
      <w:r>
        <w:rPr>
          <w:rFonts w:ascii="黑体" w:hAnsi="黑体" w:eastAsia="黑体" w:cs="黑体"/>
          <w:spacing w:val="24"/>
          <w:sz w:val="28"/>
          <w:szCs w:val="28"/>
          <w:highlight w:val="none"/>
        </w:rPr>
        <w:t>第1条</w:t>
      </w:r>
      <w:r>
        <w:rPr>
          <w:rFonts w:ascii="黑体" w:hAnsi="黑体" w:eastAsia="黑体" w:cs="黑体"/>
          <w:spacing w:val="-67"/>
          <w:sz w:val="28"/>
          <w:szCs w:val="28"/>
          <w:highlight w:val="none"/>
        </w:rPr>
        <w:t xml:space="preserve"> </w:t>
      </w:r>
      <w:r>
        <w:rPr>
          <w:rFonts w:ascii="黑体" w:hAnsi="黑体" w:eastAsia="黑体" w:cs="黑体"/>
          <w:spacing w:val="24"/>
          <w:sz w:val="28"/>
          <w:szCs w:val="28"/>
          <w:highlight w:val="none"/>
        </w:rPr>
        <w:t>一</w:t>
      </w:r>
      <w:r>
        <w:rPr>
          <w:rFonts w:ascii="黑体" w:hAnsi="黑体" w:eastAsia="黑体" w:cs="黑体"/>
          <w:spacing w:val="-77"/>
          <w:sz w:val="28"/>
          <w:szCs w:val="28"/>
          <w:highlight w:val="none"/>
        </w:rPr>
        <w:t xml:space="preserve"> </w:t>
      </w:r>
      <w:r>
        <w:rPr>
          <w:rFonts w:ascii="黑体" w:hAnsi="黑体" w:eastAsia="黑体" w:cs="黑体"/>
          <w:spacing w:val="24"/>
          <w:sz w:val="28"/>
          <w:szCs w:val="28"/>
          <w:highlight w:val="none"/>
        </w:rPr>
        <w:t>般约定</w:t>
      </w:r>
    </w:p>
    <w:p w14:paraId="06740145">
      <w:pPr>
        <w:pStyle w:val="2"/>
        <w:spacing w:line="351" w:lineRule="auto"/>
        <w:rPr>
          <w:highlight w:val="none"/>
        </w:rPr>
      </w:pPr>
    </w:p>
    <w:p w14:paraId="2E0BA404">
      <w:pPr>
        <w:pStyle w:val="2"/>
        <w:spacing w:before="71" w:line="222" w:lineRule="auto"/>
        <w:ind w:left="109"/>
        <w:rPr>
          <w:rFonts w:ascii="黑体" w:hAnsi="黑体" w:eastAsia="黑体" w:cs="黑体"/>
          <w:sz w:val="22"/>
          <w:szCs w:val="22"/>
          <w:highlight w:val="none"/>
        </w:rPr>
      </w:pPr>
      <w:r>
        <w:rPr>
          <w:spacing w:val="-7"/>
          <w:sz w:val="22"/>
          <w:szCs w:val="22"/>
          <w:highlight w:val="none"/>
        </w:rPr>
        <w:t xml:space="preserve">1.1  </w:t>
      </w:r>
      <w:r>
        <w:rPr>
          <w:rFonts w:ascii="黑体" w:hAnsi="黑体" w:eastAsia="黑体" w:cs="黑体"/>
          <w:spacing w:val="-7"/>
          <w:sz w:val="22"/>
          <w:szCs w:val="22"/>
          <w:highlight w:val="none"/>
        </w:rPr>
        <w:t>词语定义和解释</w:t>
      </w:r>
    </w:p>
    <w:p w14:paraId="6DE759D7">
      <w:pPr>
        <w:spacing w:before="215" w:line="219" w:lineRule="auto"/>
        <w:ind w:left="550"/>
        <w:rPr>
          <w:rFonts w:ascii="宋体" w:hAnsi="宋体" w:eastAsia="宋体" w:cs="宋体"/>
          <w:sz w:val="22"/>
          <w:szCs w:val="22"/>
          <w:highlight w:val="none"/>
        </w:rPr>
      </w:pPr>
      <w:r>
        <w:rPr>
          <w:rFonts w:ascii="宋体" w:hAnsi="宋体" w:eastAsia="宋体" w:cs="宋体"/>
          <w:spacing w:val="-11"/>
          <w:sz w:val="22"/>
          <w:szCs w:val="22"/>
          <w:highlight w:val="none"/>
        </w:rPr>
        <w:t>合同协议书、通用合同条件、专用合同条件中的下列词语应具有本款所赋予的含义：</w:t>
      </w:r>
    </w:p>
    <w:p w14:paraId="346ABAB2">
      <w:pPr>
        <w:spacing w:before="102" w:line="221" w:lineRule="auto"/>
        <w:ind w:left="550"/>
        <w:rPr>
          <w:rFonts w:ascii="宋体" w:hAnsi="宋体" w:eastAsia="宋体" w:cs="宋体"/>
          <w:sz w:val="20"/>
          <w:szCs w:val="20"/>
          <w:highlight w:val="none"/>
        </w:rPr>
      </w:pPr>
      <w:r>
        <w:rPr>
          <w:rFonts w:ascii="Times New Roman" w:hAnsi="Times New Roman" w:eastAsia="Times New Roman" w:cs="Times New Roman"/>
          <w:sz w:val="20"/>
          <w:szCs w:val="20"/>
          <w:highlight w:val="none"/>
        </w:rPr>
        <w:t>1.1.1</w:t>
      </w:r>
      <w:r>
        <w:rPr>
          <w:rFonts w:ascii="Times New Roman" w:hAnsi="Times New Roman" w:eastAsia="Times New Roman" w:cs="Times New Roman"/>
          <w:spacing w:val="9"/>
          <w:sz w:val="20"/>
          <w:szCs w:val="20"/>
          <w:highlight w:val="none"/>
        </w:rPr>
        <w:t xml:space="preserve">    </w:t>
      </w:r>
      <w:r>
        <w:rPr>
          <w:rFonts w:ascii="宋体" w:hAnsi="宋体" w:eastAsia="宋体" w:cs="宋体"/>
          <w:sz w:val="20"/>
          <w:szCs w:val="20"/>
          <w:highlight w:val="none"/>
        </w:rPr>
        <w:t>合同</w:t>
      </w:r>
    </w:p>
    <w:p w14:paraId="4A5F5C80">
      <w:pPr>
        <w:pStyle w:val="2"/>
        <w:spacing w:line="275" w:lineRule="auto"/>
        <w:rPr>
          <w:highlight w:val="none"/>
        </w:rPr>
      </w:pPr>
    </w:p>
    <w:p w14:paraId="7253A079">
      <w:pPr>
        <w:spacing w:before="69" w:line="319" w:lineRule="auto"/>
        <w:ind w:left="109" w:right="164" w:firstLine="640"/>
        <w:rPr>
          <w:rFonts w:ascii="宋体" w:hAnsi="宋体" w:eastAsia="宋体" w:cs="宋体"/>
          <w:sz w:val="21"/>
          <w:szCs w:val="21"/>
          <w:highlight w:val="none"/>
        </w:rPr>
      </w:pPr>
      <w:r>
        <w:rPr>
          <w:rFonts w:ascii="宋体" w:hAnsi="宋体" w:eastAsia="宋体" w:cs="宋体"/>
          <w:spacing w:val="1"/>
          <w:sz w:val="21"/>
          <w:szCs w:val="21"/>
          <w:highlight w:val="none"/>
        </w:rPr>
        <w:t>1.1.1.1合同：是指根据法律规定和合</w:t>
      </w:r>
      <w:r>
        <w:rPr>
          <w:rFonts w:ascii="宋体" w:hAnsi="宋体" w:eastAsia="宋体" w:cs="宋体"/>
          <w:sz w:val="21"/>
          <w:szCs w:val="21"/>
          <w:highlight w:val="none"/>
        </w:rPr>
        <w:t xml:space="preserve">同当事人约定具有约束力的文件，构成合同的 </w:t>
      </w:r>
      <w:r>
        <w:rPr>
          <w:rFonts w:ascii="宋体" w:hAnsi="宋体" w:eastAsia="宋体" w:cs="宋体"/>
          <w:spacing w:val="4"/>
          <w:sz w:val="21"/>
          <w:szCs w:val="21"/>
          <w:highlight w:val="none"/>
        </w:rPr>
        <w:t>文件包括合同协议书、中标通知书(如果有)、投标函及其附</w:t>
      </w:r>
      <w:r>
        <w:rPr>
          <w:rFonts w:ascii="宋体" w:hAnsi="宋体" w:eastAsia="宋体" w:cs="宋体"/>
          <w:spacing w:val="3"/>
          <w:sz w:val="21"/>
          <w:szCs w:val="21"/>
          <w:highlight w:val="none"/>
        </w:rPr>
        <w:t>录(如果有)、专用合同条件及</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其附件、通用合同条件、《发包人要求》、承包人建议书、价格清单以及双方约定的其他合同</w:t>
      </w:r>
      <w:r>
        <w:rPr>
          <w:rFonts w:ascii="宋体" w:hAnsi="宋体" w:eastAsia="宋体" w:cs="宋体"/>
          <w:spacing w:val="5"/>
          <w:sz w:val="21"/>
          <w:szCs w:val="21"/>
          <w:highlight w:val="none"/>
        </w:rPr>
        <w:t xml:space="preserve"> </w:t>
      </w:r>
      <w:r>
        <w:rPr>
          <w:rFonts w:ascii="宋体" w:hAnsi="宋体" w:eastAsia="宋体" w:cs="宋体"/>
          <w:spacing w:val="-9"/>
          <w:sz w:val="21"/>
          <w:szCs w:val="21"/>
          <w:highlight w:val="none"/>
        </w:rPr>
        <w:t>文件。</w:t>
      </w:r>
    </w:p>
    <w:p w14:paraId="309271EA">
      <w:pPr>
        <w:pStyle w:val="2"/>
        <w:spacing w:line="274" w:lineRule="auto"/>
        <w:rPr>
          <w:highlight w:val="none"/>
        </w:rPr>
      </w:pPr>
    </w:p>
    <w:p w14:paraId="1FA7F246">
      <w:pPr>
        <w:spacing w:before="65" w:line="298" w:lineRule="auto"/>
        <w:ind w:left="109" w:right="187" w:firstLine="640"/>
        <w:rPr>
          <w:rFonts w:ascii="宋体" w:hAnsi="宋体" w:eastAsia="宋体" w:cs="宋体"/>
          <w:sz w:val="20"/>
          <w:szCs w:val="20"/>
          <w:highlight w:val="none"/>
        </w:rPr>
      </w:pPr>
      <w:r>
        <w:rPr>
          <w:rFonts w:ascii="宋体" w:hAnsi="宋体" w:eastAsia="宋体" w:cs="宋体"/>
          <w:spacing w:val="9"/>
          <w:sz w:val="20"/>
          <w:szCs w:val="20"/>
          <w:highlight w:val="none"/>
        </w:rPr>
        <w:t>1.1.1.2合同协议书：是指构成合同的由发包人和承包人共同签署的称为“合同协议</w:t>
      </w:r>
      <w:r>
        <w:rPr>
          <w:rFonts w:ascii="宋体" w:hAnsi="宋体" w:eastAsia="宋体" w:cs="宋体"/>
          <w:spacing w:val="18"/>
          <w:sz w:val="20"/>
          <w:szCs w:val="20"/>
          <w:highlight w:val="none"/>
        </w:rPr>
        <w:t xml:space="preserve"> </w:t>
      </w:r>
      <w:r>
        <w:rPr>
          <w:rFonts w:ascii="宋体" w:hAnsi="宋体" w:eastAsia="宋体" w:cs="宋体"/>
          <w:spacing w:val="3"/>
          <w:sz w:val="20"/>
          <w:szCs w:val="20"/>
          <w:highlight w:val="none"/>
        </w:rPr>
        <w:t>书”的书面文件。</w:t>
      </w:r>
    </w:p>
    <w:p w14:paraId="790821EC">
      <w:pPr>
        <w:pStyle w:val="2"/>
        <w:spacing w:line="273" w:lineRule="auto"/>
        <w:rPr>
          <w:highlight w:val="none"/>
        </w:rPr>
      </w:pPr>
    </w:p>
    <w:p w14:paraId="684F4501">
      <w:pPr>
        <w:spacing w:before="68" w:line="281" w:lineRule="auto"/>
        <w:ind w:left="109" w:right="188" w:firstLine="64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1.1.1.3     </w:t>
      </w:r>
      <w:r>
        <w:rPr>
          <w:rFonts w:ascii="宋体" w:hAnsi="宋体" w:eastAsia="宋体" w:cs="宋体"/>
          <w:spacing w:val="-2"/>
          <w:sz w:val="21"/>
          <w:szCs w:val="21"/>
          <w:highlight w:val="none"/>
        </w:rPr>
        <w:t>中标通知书：是指构成合同的由发包人通知承包人中标的书面文件。</w:t>
      </w:r>
      <w:r>
        <w:rPr>
          <w:rFonts w:ascii="宋体" w:hAnsi="宋体" w:eastAsia="宋体" w:cs="宋体"/>
          <w:spacing w:val="-3"/>
          <w:sz w:val="21"/>
          <w:szCs w:val="21"/>
          <w:highlight w:val="none"/>
        </w:rPr>
        <w:t>中标通</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知书随附的澄清、说明、补正事项纪要等，</w:t>
      </w:r>
      <w:r>
        <w:rPr>
          <w:rFonts w:ascii="宋体" w:hAnsi="宋体" w:eastAsia="宋体" w:cs="宋体"/>
          <w:spacing w:val="-2"/>
          <w:sz w:val="21"/>
          <w:szCs w:val="21"/>
          <w:highlight w:val="none"/>
        </w:rPr>
        <w:t>是中标通知书的组成部分。</w:t>
      </w:r>
    </w:p>
    <w:p w14:paraId="08C8A5DF">
      <w:pPr>
        <w:pStyle w:val="2"/>
        <w:spacing w:line="275" w:lineRule="auto"/>
        <w:rPr>
          <w:highlight w:val="none"/>
        </w:rPr>
      </w:pPr>
    </w:p>
    <w:p w14:paraId="2EBEC53F">
      <w:pPr>
        <w:spacing w:before="66" w:line="219" w:lineRule="auto"/>
        <w:jc w:val="right"/>
        <w:rPr>
          <w:rFonts w:ascii="宋体" w:hAnsi="宋体" w:eastAsia="宋体" w:cs="宋体"/>
          <w:sz w:val="20"/>
          <w:szCs w:val="20"/>
          <w:highlight w:val="none"/>
        </w:rPr>
      </w:pPr>
      <w:r>
        <w:rPr>
          <w:rFonts w:ascii="宋体" w:hAnsi="宋体" w:eastAsia="宋体" w:cs="宋体"/>
          <w:spacing w:val="14"/>
          <w:sz w:val="20"/>
          <w:szCs w:val="20"/>
          <w:highlight w:val="none"/>
        </w:rPr>
        <w:t>1.1.1.4投标函：是指构成合同的由承包人填写并签署的用于投标的称为“投标函”</w:t>
      </w:r>
    </w:p>
    <w:p w14:paraId="6C3EA9D2">
      <w:pPr>
        <w:spacing w:line="219" w:lineRule="auto"/>
        <w:rPr>
          <w:rFonts w:ascii="宋体" w:hAnsi="宋体" w:eastAsia="宋体" w:cs="宋体"/>
          <w:sz w:val="20"/>
          <w:szCs w:val="20"/>
          <w:highlight w:val="none"/>
        </w:rPr>
        <w:sectPr>
          <w:footerReference r:id="rId71" w:type="default"/>
          <w:pgSz w:w="11910" w:h="16840"/>
          <w:pgMar w:top="400" w:right="1623" w:bottom="1217" w:left="1670" w:header="0" w:footer="1013" w:gutter="0"/>
          <w:cols w:space="720" w:num="1"/>
        </w:sectPr>
      </w:pPr>
    </w:p>
    <w:p w14:paraId="17C89BB5">
      <w:pPr>
        <w:pStyle w:val="2"/>
        <w:spacing w:line="241" w:lineRule="auto"/>
        <w:rPr>
          <w:highlight w:val="none"/>
        </w:rPr>
      </w:pPr>
    </w:p>
    <w:p w14:paraId="15BA753B">
      <w:pPr>
        <w:pStyle w:val="2"/>
        <w:spacing w:line="241" w:lineRule="auto"/>
        <w:rPr>
          <w:highlight w:val="none"/>
        </w:rPr>
      </w:pPr>
    </w:p>
    <w:p w14:paraId="5A5BA642">
      <w:pPr>
        <w:pStyle w:val="2"/>
        <w:spacing w:line="241" w:lineRule="auto"/>
        <w:rPr>
          <w:highlight w:val="none"/>
        </w:rPr>
      </w:pPr>
    </w:p>
    <w:p w14:paraId="61E4E120">
      <w:pPr>
        <w:pStyle w:val="2"/>
        <w:spacing w:line="241" w:lineRule="auto"/>
        <w:rPr>
          <w:highlight w:val="none"/>
        </w:rPr>
      </w:pPr>
    </w:p>
    <w:p w14:paraId="04FDC4DB">
      <w:pPr>
        <w:spacing w:before="68" w:line="219" w:lineRule="auto"/>
        <w:rPr>
          <w:rFonts w:ascii="宋体" w:hAnsi="宋体" w:eastAsia="宋体" w:cs="宋体"/>
          <w:sz w:val="21"/>
          <w:szCs w:val="21"/>
          <w:highlight w:val="none"/>
        </w:rPr>
      </w:pPr>
      <w:r>
        <w:rPr>
          <w:rFonts w:ascii="宋体" w:hAnsi="宋体" w:eastAsia="宋体" w:cs="宋体"/>
          <w:spacing w:val="-11"/>
          <w:sz w:val="21"/>
          <w:szCs w:val="21"/>
          <w:highlight w:val="none"/>
        </w:rPr>
        <w:t>的文件。</w:t>
      </w:r>
    </w:p>
    <w:p w14:paraId="03126C72">
      <w:pPr>
        <w:pStyle w:val="2"/>
        <w:spacing w:line="262" w:lineRule="auto"/>
        <w:rPr>
          <w:highlight w:val="none"/>
        </w:rPr>
      </w:pPr>
    </w:p>
    <w:p w14:paraId="0859C078">
      <w:pPr>
        <w:spacing w:before="65" w:line="219" w:lineRule="auto"/>
        <w:jc w:val="right"/>
        <w:rPr>
          <w:rFonts w:ascii="宋体" w:hAnsi="宋体" w:eastAsia="宋体" w:cs="宋体"/>
          <w:sz w:val="20"/>
          <w:szCs w:val="20"/>
          <w:highlight w:val="none"/>
        </w:rPr>
      </w:pPr>
      <w:r>
        <w:rPr>
          <w:rFonts w:ascii="Times New Roman" w:hAnsi="Times New Roman" w:eastAsia="Times New Roman" w:cs="Times New Roman"/>
          <w:spacing w:val="8"/>
          <w:sz w:val="20"/>
          <w:szCs w:val="20"/>
          <w:highlight w:val="none"/>
        </w:rPr>
        <w:t xml:space="preserve">1.1.1.5     </w:t>
      </w:r>
      <w:r>
        <w:rPr>
          <w:rFonts w:ascii="宋体" w:hAnsi="宋体" w:eastAsia="宋体" w:cs="宋体"/>
          <w:spacing w:val="8"/>
          <w:sz w:val="20"/>
          <w:szCs w:val="20"/>
          <w:highlight w:val="none"/>
        </w:rPr>
        <w:t>投标函附录：是指构成合同的附在投标函后的称为“投标函附录”的文件。</w:t>
      </w:r>
    </w:p>
    <w:p w14:paraId="6E79B7C9">
      <w:pPr>
        <w:pStyle w:val="2"/>
        <w:spacing w:line="282" w:lineRule="auto"/>
        <w:rPr>
          <w:highlight w:val="none"/>
        </w:rPr>
      </w:pPr>
    </w:p>
    <w:p w14:paraId="2814FFA4">
      <w:pPr>
        <w:spacing w:before="69" w:line="302" w:lineRule="auto"/>
        <w:ind w:right="92" w:firstLine="640"/>
        <w:rPr>
          <w:rFonts w:ascii="宋体" w:hAnsi="宋体" w:eastAsia="宋体" w:cs="宋体"/>
          <w:sz w:val="21"/>
          <w:szCs w:val="21"/>
          <w:highlight w:val="none"/>
        </w:rPr>
      </w:pPr>
      <w:r>
        <w:rPr>
          <w:rFonts w:ascii="宋体" w:hAnsi="宋体" w:eastAsia="宋体" w:cs="宋体"/>
          <w:spacing w:val="2"/>
          <w:sz w:val="21"/>
          <w:szCs w:val="21"/>
          <w:highlight w:val="none"/>
        </w:rPr>
        <w:t>1.1.1.6《发包人要求》:指构成合同文件组成</w:t>
      </w:r>
      <w:r>
        <w:rPr>
          <w:rFonts w:ascii="宋体" w:hAnsi="宋体" w:eastAsia="宋体" w:cs="宋体"/>
          <w:spacing w:val="1"/>
          <w:sz w:val="21"/>
          <w:szCs w:val="21"/>
          <w:highlight w:val="none"/>
        </w:rPr>
        <w:t>部分的名为《发包人要求》的文件，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其中列明工程的目的、范围、设计与其他技术标准和要求，</w:t>
      </w:r>
      <w:r>
        <w:rPr>
          <w:rFonts w:ascii="宋体" w:hAnsi="宋体" w:eastAsia="宋体" w:cs="宋体"/>
          <w:spacing w:val="-3"/>
          <w:sz w:val="21"/>
          <w:szCs w:val="21"/>
          <w:highlight w:val="none"/>
        </w:rPr>
        <w:t>以及合同双方当事人约定对其所</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作的修改或补充。</w:t>
      </w:r>
    </w:p>
    <w:p w14:paraId="028D07F4">
      <w:pPr>
        <w:pStyle w:val="2"/>
        <w:spacing w:line="266" w:lineRule="auto"/>
        <w:rPr>
          <w:highlight w:val="none"/>
        </w:rPr>
      </w:pPr>
    </w:p>
    <w:p w14:paraId="292728CA">
      <w:pPr>
        <w:spacing w:before="71" w:line="289" w:lineRule="auto"/>
        <w:ind w:right="90" w:firstLine="640"/>
        <w:rPr>
          <w:rFonts w:ascii="宋体" w:hAnsi="宋体" w:eastAsia="宋体" w:cs="宋体"/>
          <w:sz w:val="22"/>
          <w:szCs w:val="22"/>
          <w:highlight w:val="none"/>
        </w:rPr>
      </w:pPr>
      <w:r>
        <w:rPr>
          <w:rFonts w:ascii="宋体" w:hAnsi="宋体" w:eastAsia="宋体" w:cs="宋体"/>
          <w:spacing w:val="-4"/>
          <w:sz w:val="22"/>
          <w:szCs w:val="22"/>
          <w:highlight w:val="none"/>
        </w:rPr>
        <w:t>1.1.1.7项目清单：是指发包人提供的载明工程总承包项目勘察费(如果有)、设计</w:t>
      </w:r>
      <w:r>
        <w:rPr>
          <w:rFonts w:ascii="宋体" w:hAnsi="宋体" w:eastAsia="宋体" w:cs="宋体"/>
          <w:spacing w:val="18"/>
          <w:sz w:val="22"/>
          <w:szCs w:val="22"/>
          <w:highlight w:val="none"/>
        </w:rPr>
        <w:t xml:space="preserve"> </w:t>
      </w:r>
      <w:r>
        <w:rPr>
          <w:rFonts w:ascii="宋体" w:hAnsi="宋体" w:eastAsia="宋体" w:cs="宋体"/>
          <w:spacing w:val="-12"/>
          <w:sz w:val="22"/>
          <w:szCs w:val="22"/>
          <w:highlight w:val="none"/>
        </w:rPr>
        <w:t>费、建筑安装工程费、设备购置费、暂估价、暂列金额和双方约</w:t>
      </w:r>
      <w:r>
        <w:rPr>
          <w:rFonts w:ascii="宋体" w:hAnsi="宋体" w:eastAsia="宋体" w:cs="宋体"/>
          <w:spacing w:val="-13"/>
          <w:sz w:val="22"/>
          <w:szCs w:val="22"/>
          <w:highlight w:val="none"/>
        </w:rPr>
        <w:t>定的其他费用的名称和相应</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数量等内容的项目明细。</w:t>
      </w:r>
    </w:p>
    <w:p w14:paraId="2DF818F4">
      <w:pPr>
        <w:pStyle w:val="2"/>
        <w:spacing w:line="265" w:lineRule="auto"/>
        <w:rPr>
          <w:highlight w:val="none"/>
        </w:rPr>
      </w:pPr>
    </w:p>
    <w:p w14:paraId="4867B8A9">
      <w:pPr>
        <w:spacing w:before="69" w:line="294" w:lineRule="auto"/>
        <w:ind w:right="90" w:firstLine="640"/>
        <w:rPr>
          <w:rFonts w:ascii="宋体" w:hAnsi="宋体" w:eastAsia="宋体" w:cs="宋体"/>
          <w:sz w:val="21"/>
          <w:szCs w:val="21"/>
          <w:highlight w:val="none"/>
        </w:rPr>
      </w:pPr>
      <w:r>
        <w:rPr>
          <w:rFonts w:ascii="宋体" w:hAnsi="宋体" w:eastAsia="宋体" w:cs="宋体"/>
          <w:sz w:val="21"/>
          <w:szCs w:val="21"/>
          <w:highlight w:val="none"/>
        </w:rPr>
        <w:t>1.1.1.8价格清单：指构成合同文件组成部分的由承包人按发包人提供的项目清单规</w:t>
      </w:r>
      <w:r>
        <w:rPr>
          <w:rFonts w:ascii="宋体" w:hAnsi="宋体" w:eastAsia="宋体" w:cs="宋体"/>
          <w:spacing w:val="3"/>
          <w:sz w:val="21"/>
          <w:szCs w:val="21"/>
          <w:highlight w:val="none"/>
        </w:rPr>
        <w:t xml:space="preserve"> </w:t>
      </w:r>
      <w:r>
        <w:rPr>
          <w:rFonts w:ascii="宋体" w:hAnsi="宋体" w:eastAsia="宋体" w:cs="宋体"/>
          <w:spacing w:val="-1"/>
          <w:sz w:val="21"/>
          <w:szCs w:val="21"/>
          <w:highlight w:val="none"/>
        </w:rPr>
        <w:t>定的格式和要求填写并标明价格的清单。</w:t>
      </w:r>
    </w:p>
    <w:p w14:paraId="3A5FC2A8">
      <w:pPr>
        <w:pStyle w:val="2"/>
        <w:spacing w:line="252" w:lineRule="auto"/>
        <w:rPr>
          <w:highlight w:val="none"/>
        </w:rPr>
      </w:pPr>
    </w:p>
    <w:p w14:paraId="392BEA5A">
      <w:pPr>
        <w:spacing w:before="69" w:line="281" w:lineRule="auto"/>
        <w:ind w:right="90" w:firstLine="640"/>
        <w:rPr>
          <w:rFonts w:ascii="宋体" w:hAnsi="宋体" w:eastAsia="宋体" w:cs="宋体"/>
          <w:sz w:val="21"/>
          <w:szCs w:val="21"/>
          <w:highlight w:val="none"/>
        </w:rPr>
      </w:pPr>
      <w:r>
        <w:rPr>
          <w:rFonts w:ascii="宋体" w:hAnsi="宋体" w:eastAsia="宋体" w:cs="宋体"/>
          <w:sz w:val="21"/>
          <w:szCs w:val="21"/>
          <w:highlight w:val="none"/>
        </w:rPr>
        <w:t>1.1.1.9承包人建议书：指构成合同文件组成部分的名为承包人建议书的文件。承包</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人建议书由承包人随投标函一起提交。</w:t>
      </w:r>
    </w:p>
    <w:p w14:paraId="76F36CD8">
      <w:pPr>
        <w:pStyle w:val="2"/>
        <w:spacing w:line="261" w:lineRule="auto"/>
        <w:rPr>
          <w:highlight w:val="none"/>
        </w:rPr>
      </w:pPr>
    </w:p>
    <w:p w14:paraId="44A610FB">
      <w:pPr>
        <w:spacing w:before="69" w:line="285" w:lineRule="auto"/>
        <w:ind w:right="89" w:firstLine="640"/>
        <w:rPr>
          <w:rFonts w:ascii="宋体" w:hAnsi="宋体" w:eastAsia="宋体" w:cs="宋体"/>
          <w:sz w:val="21"/>
          <w:szCs w:val="21"/>
          <w:highlight w:val="none"/>
        </w:rPr>
      </w:pPr>
      <w:r>
        <w:rPr>
          <w:rFonts w:ascii="宋体" w:hAnsi="宋体" w:eastAsia="宋体" w:cs="宋体"/>
          <w:spacing w:val="3"/>
          <w:sz w:val="21"/>
          <w:szCs w:val="21"/>
          <w:highlight w:val="none"/>
        </w:rPr>
        <w:t>1.1.1.10其他合同文件：是指经合同当事人约定的与工程</w:t>
      </w:r>
      <w:r>
        <w:rPr>
          <w:rFonts w:ascii="宋体" w:hAnsi="宋体" w:eastAsia="宋体" w:cs="宋体"/>
          <w:spacing w:val="2"/>
          <w:sz w:val="21"/>
          <w:szCs w:val="21"/>
          <w:highlight w:val="none"/>
        </w:rPr>
        <w:t>实施有关的具有合同约束</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力的文件或书面协议。合同当事人可以在专用合同条件中进行约定。</w:t>
      </w:r>
    </w:p>
    <w:p w14:paraId="21C9DE15">
      <w:pPr>
        <w:spacing w:before="303" w:line="220"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1.1.2</w:t>
      </w:r>
      <w:r>
        <w:rPr>
          <w:rFonts w:ascii="Times New Roman" w:hAnsi="Times New Roman" w:eastAsia="Times New Roman" w:cs="Times New Roman"/>
          <w:spacing w:val="14"/>
          <w:sz w:val="22"/>
          <w:szCs w:val="22"/>
          <w:highlight w:val="none"/>
        </w:rPr>
        <w:t xml:space="preserve">   </w:t>
      </w:r>
      <w:r>
        <w:rPr>
          <w:rFonts w:ascii="宋体" w:hAnsi="宋体" w:eastAsia="宋体" w:cs="宋体"/>
          <w:spacing w:val="-7"/>
          <w:sz w:val="22"/>
          <w:szCs w:val="22"/>
          <w:highlight w:val="none"/>
        </w:rPr>
        <w:t>合同当事人及其他相关方</w:t>
      </w:r>
    </w:p>
    <w:p w14:paraId="45A7AD3B">
      <w:pPr>
        <w:pStyle w:val="2"/>
        <w:spacing w:line="259" w:lineRule="auto"/>
        <w:rPr>
          <w:highlight w:val="none"/>
        </w:rPr>
      </w:pPr>
    </w:p>
    <w:p w14:paraId="2BAE04F4">
      <w:pPr>
        <w:spacing w:before="66" w:line="219" w:lineRule="auto"/>
        <w:ind w:left="640"/>
        <w:rPr>
          <w:rFonts w:ascii="宋体" w:hAnsi="宋体" w:eastAsia="宋体" w:cs="宋体"/>
          <w:sz w:val="20"/>
          <w:szCs w:val="20"/>
          <w:highlight w:val="none"/>
        </w:rPr>
      </w:pPr>
      <w:r>
        <w:rPr>
          <w:rFonts w:ascii="Times New Roman" w:hAnsi="Times New Roman" w:eastAsia="Times New Roman" w:cs="Times New Roman"/>
          <w:spacing w:val="12"/>
          <w:sz w:val="20"/>
          <w:szCs w:val="20"/>
          <w:highlight w:val="none"/>
        </w:rPr>
        <w:t xml:space="preserve">1.1.2.1     </w:t>
      </w:r>
      <w:r>
        <w:rPr>
          <w:rFonts w:ascii="宋体" w:hAnsi="宋体" w:eastAsia="宋体" w:cs="宋体"/>
          <w:spacing w:val="12"/>
          <w:sz w:val="20"/>
          <w:szCs w:val="20"/>
          <w:highlight w:val="none"/>
        </w:rPr>
        <w:t>合同当事人：是指发包人和(或)承包人。</w:t>
      </w:r>
    </w:p>
    <w:p w14:paraId="4C44C3CE">
      <w:pPr>
        <w:pStyle w:val="2"/>
        <w:spacing w:line="259" w:lineRule="auto"/>
        <w:rPr>
          <w:highlight w:val="none"/>
        </w:rPr>
      </w:pPr>
    </w:p>
    <w:p w14:paraId="4D331766">
      <w:pPr>
        <w:spacing w:before="72" w:line="273" w:lineRule="auto"/>
        <w:ind w:right="93" w:firstLine="6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1.1.2.2    </w:t>
      </w:r>
      <w:r>
        <w:rPr>
          <w:rFonts w:ascii="宋体" w:hAnsi="宋体" w:eastAsia="宋体" w:cs="宋体"/>
          <w:spacing w:val="-9"/>
          <w:sz w:val="22"/>
          <w:szCs w:val="22"/>
          <w:highlight w:val="none"/>
        </w:rPr>
        <w:t>发包人：是指与承包人</w:t>
      </w:r>
      <w:r>
        <w:rPr>
          <w:rFonts w:ascii="宋体" w:hAnsi="宋体" w:eastAsia="宋体" w:cs="宋体"/>
          <w:spacing w:val="-10"/>
          <w:sz w:val="22"/>
          <w:szCs w:val="22"/>
          <w:highlight w:val="none"/>
        </w:rPr>
        <w:t>订立合同协议书的当事人及取得该当事人资格的合法</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继受人。本合同中“因发包人原因”里的“发包人”包括发包人及所有发包人人员。</w:t>
      </w:r>
    </w:p>
    <w:p w14:paraId="4F14BC3B">
      <w:pPr>
        <w:pStyle w:val="2"/>
        <w:spacing w:line="255" w:lineRule="auto"/>
        <w:rPr>
          <w:highlight w:val="none"/>
        </w:rPr>
      </w:pPr>
    </w:p>
    <w:p w14:paraId="3B466B0D">
      <w:pPr>
        <w:spacing w:before="71" w:line="272" w:lineRule="auto"/>
        <w:ind w:right="93" w:firstLine="6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1.1.2.3    </w:t>
      </w:r>
      <w:r>
        <w:rPr>
          <w:rFonts w:ascii="宋体" w:hAnsi="宋体" w:eastAsia="宋体" w:cs="宋体"/>
          <w:spacing w:val="-9"/>
          <w:sz w:val="22"/>
          <w:szCs w:val="22"/>
          <w:highlight w:val="none"/>
        </w:rPr>
        <w:t>承包人：是指与发包人</w:t>
      </w:r>
      <w:r>
        <w:rPr>
          <w:rFonts w:ascii="宋体" w:hAnsi="宋体" w:eastAsia="宋体" w:cs="宋体"/>
          <w:spacing w:val="-10"/>
          <w:sz w:val="22"/>
          <w:szCs w:val="22"/>
          <w:highlight w:val="none"/>
        </w:rPr>
        <w:t>订立合同协议书的当事人及取得该当事人资格的合法</w:t>
      </w:r>
      <w:r>
        <w:rPr>
          <w:rFonts w:ascii="宋体" w:hAnsi="宋体" w:eastAsia="宋体" w:cs="宋体"/>
          <w:sz w:val="22"/>
          <w:szCs w:val="22"/>
          <w:highlight w:val="none"/>
        </w:rPr>
        <w:t xml:space="preserve"> </w:t>
      </w:r>
      <w:r>
        <w:rPr>
          <w:rFonts w:ascii="宋体" w:hAnsi="宋体" w:eastAsia="宋体" w:cs="宋体"/>
          <w:spacing w:val="-15"/>
          <w:sz w:val="22"/>
          <w:szCs w:val="22"/>
          <w:highlight w:val="none"/>
        </w:rPr>
        <w:t>继受人。</w:t>
      </w:r>
    </w:p>
    <w:p w14:paraId="6B587160">
      <w:pPr>
        <w:pStyle w:val="2"/>
        <w:spacing w:line="252" w:lineRule="auto"/>
        <w:rPr>
          <w:highlight w:val="none"/>
        </w:rPr>
      </w:pPr>
    </w:p>
    <w:p w14:paraId="70EC98DA">
      <w:pPr>
        <w:spacing w:before="69" w:line="294" w:lineRule="auto"/>
        <w:ind w:right="86" w:firstLine="64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1.1.2.4     </w:t>
      </w:r>
      <w:r>
        <w:rPr>
          <w:rFonts w:ascii="宋体" w:hAnsi="宋体" w:eastAsia="宋体" w:cs="宋体"/>
          <w:spacing w:val="-2"/>
          <w:sz w:val="21"/>
          <w:szCs w:val="21"/>
          <w:highlight w:val="none"/>
        </w:rPr>
        <w:t>联合体：是指经发包人同意由两个或两个以上法人或者其</w:t>
      </w:r>
      <w:r>
        <w:rPr>
          <w:rFonts w:ascii="宋体" w:hAnsi="宋体" w:eastAsia="宋体" w:cs="宋体"/>
          <w:spacing w:val="-3"/>
          <w:sz w:val="21"/>
          <w:szCs w:val="21"/>
          <w:highlight w:val="none"/>
        </w:rPr>
        <w:t>他组织组成的，作</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为承包人的临时机构。</w:t>
      </w:r>
    </w:p>
    <w:p w14:paraId="1AC2AEE1">
      <w:pPr>
        <w:spacing w:before="304" w:line="277" w:lineRule="auto"/>
        <w:ind w:right="89" w:firstLine="6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1.1.2.5    </w:t>
      </w:r>
      <w:r>
        <w:rPr>
          <w:rFonts w:ascii="宋体" w:hAnsi="宋体" w:eastAsia="宋体" w:cs="宋体"/>
          <w:spacing w:val="-9"/>
          <w:sz w:val="22"/>
          <w:szCs w:val="22"/>
          <w:highlight w:val="none"/>
        </w:rPr>
        <w:t>发包人代表：是指由发包人任</w:t>
      </w:r>
      <w:r>
        <w:rPr>
          <w:rFonts w:ascii="宋体" w:hAnsi="宋体" w:eastAsia="宋体" w:cs="宋体"/>
          <w:spacing w:val="-10"/>
          <w:sz w:val="22"/>
          <w:szCs w:val="22"/>
          <w:highlight w:val="none"/>
        </w:rPr>
        <w:t>命并派驻工作现场，在发包人授权范围内行使</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发包人权利和履行发包人义务的人。</w:t>
      </w:r>
    </w:p>
    <w:p w14:paraId="5D0F4ADB">
      <w:pPr>
        <w:pStyle w:val="2"/>
        <w:spacing w:line="256" w:lineRule="auto"/>
        <w:rPr>
          <w:highlight w:val="none"/>
        </w:rPr>
      </w:pPr>
    </w:p>
    <w:p w14:paraId="47484C63">
      <w:pPr>
        <w:spacing w:before="68" w:line="319" w:lineRule="auto"/>
        <w:ind w:right="90" w:firstLine="64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1.1.2.6     </w:t>
      </w:r>
      <w:r>
        <w:rPr>
          <w:rFonts w:ascii="宋体" w:hAnsi="宋体" w:eastAsia="宋体" w:cs="宋体"/>
          <w:spacing w:val="-2"/>
          <w:sz w:val="21"/>
          <w:szCs w:val="21"/>
          <w:highlight w:val="none"/>
        </w:rPr>
        <w:t>工程师：是指在专用合同条件中指明的，受发包</w:t>
      </w:r>
      <w:r>
        <w:rPr>
          <w:rFonts w:ascii="宋体" w:hAnsi="宋体" w:eastAsia="宋体" w:cs="宋体"/>
          <w:spacing w:val="-3"/>
          <w:sz w:val="21"/>
          <w:szCs w:val="21"/>
          <w:highlight w:val="none"/>
        </w:rPr>
        <w:t>人委托按照法律规定和发包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人的授权进行合同履行管理、工程监督管理等工作的法人或其他</w:t>
      </w:r>
      <w:r>
        <w:rPr>
          <w:rFonts w:ascii="宋体" w:hAnsi="宋体" w:eastAsia="宋体" w:cs="宋体"/>
          <w:spacing w:val="-3"/>
          <w:sz w:val="21"/>
          <w:szCs w:val="21"/>
          <w:highlight w:val="none"/>
        </w:rPr>
        <w:t>组织；该法人或其他组织应</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雇用一名具有相应执业资格和职业能力的自然人作为工程师代表</w:t>
      </w:r>
      <w:r>
        <w:rPr>
          <w:rFonts w:ascii="宋体" w:hAnsi="宋体" w:eastAsia="宋体" w:cs="宋体"/>
          <w:spacing w:val="-3"/>
          <w:sz w:val="21"/>
          <w:szCs w:val="21"/>
          <w:highlight w:val="none"/>
        </w:rPr>
        <w:t>，并授予其根据本合同代表</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工程师行事的权利。</w:t>
      </w:r>
    </w:p>
    <w:p w14:paraId="638A0427">
      <w:pPr>
        <w:pStyle w:val="2"/>
        <w:spacing w:line="258" w:lineRule="auto"/>
        <w:rPr>
          <w:highlight w:val="none"/>
        </w:rPr>
      </w:pPr>
    </w:p>
    <w:p w14:paraId="3F3D2ABF">
      <w:pPr>
        <w:spacing w:before="72" w:line="219" w:lineRule="auto"/>
        <w:ind w:left="6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1.1.2.7    </w:t>
      </w:r>
      <w:r>
        <w:rPr>
          <w:rFonts w:ascii="宋体" w:hAnsi="宋体" w:eastAsia="宋体" w:cs="宋体"/>
          <w:spacing w:val="-9"/>
          <w:sz w:val="22"/>
          <w:szCs w:val="22"/>
          <w:highlight w:val="none"/>
        </w:rPr>
        <w:t>工程总承包项目经理：是指由承包人任命的，在承包人授权范围内负责合同</w:t>
      </w:r>
    </w:p>
    <w:p w14:paraId="7E9EB070">
      <w:pPr>
        <w:spacing w:line="219" w:lineRule="auto"/>
        <w:rPr>
          <w:rFonts w:ascii="宋体" w:hAnsi="宋体" w:eastAsia="宋体" w:cs="宋体"/>
          <w:sz w:val="22"/>
          <w:szCs w:val="22"/>
          <w:highlight w:val="none"/>
        </w:rPr>
        <w:sectPr>
          <w:footerReference r:id="rId72" w:type="default"/>
          <w:pgSz w:w="11910" w:h="16840"/>
          <w:pgMar w:top="400" w:right="1729" w:bottom="1217" w:left="1779" w:header="0" w:footer="1013" w:gutter="0"/>
          <w:cols w:space="720" w:num="1"/>
        </w:sectPr>
      </w:pPr>
    </w:p>
    <w:p w14:paraId="155FA9C5">
      <w:pPr>
        <w:pStyle w:val="2"/>
        <w:rPr>
          <w:highlight w:val="none"/>
        </w:rPr>
      </w:pPr>
    </w:p>
    <w:p w14:paraId="4690A028">
      <w:pPr>
        <w:pStyle w:val="2"/>
        <w:rPr>
          <w:highlight w:val="none"/>
        </w:rPr>
      </w:pPr>
    </w:p>
    <w:p w14:paraId="7105F3BE">
      <w:pPr>
        <w:pStyle w:val="2"/>
        <w:rPr>
          <w:highlight w:val="none"/>
        </w:rPr>
      </w:pPr>
    </w:p>
    <w:p w14:paraId="06184AF5">
      <w:pPr>
        <w:pStyle w:val="2"/>
        <w:spacing w:line="241" w:lineRule="auto"/>
        <w:rPr>
          <w:highlight w:val="none"/>
        </w:rPr>
      </w:pPr>
    </w:p>
    <w:p w14:paraId="0E50828D">
      <w:pPr>
        <w:spacing w:before="72" w:line="219" w:lineRule="auto"/>
        <w:rPr>
          <w:rFonts w:ascii="宋体" w:hAnsi="宋体" w:eastAsia="宋体" w:cs="宋体"/>
          <w:sz w:val="22"/>
          <w:szCs w:val="22"/>
          <w:highlight w:val="none"/>
        </w:rPr>
      </w:pPr>
      <w:bookmarkStart w:id="81" w:name="bookmark218"/>
      <w:bookmarkEnd w:id="81"/>
      <w:r>
        <w:rPr>
          <w:rFonts w:ascii="宋体" w:hAnsi="宋体" w:eastAsia="宋体" w:cs="宋体"/>
          <w:spacing w:val="-11"/>
          <w:sz w:val="22"/>
          <w:szCs w:val="22"/>
          <w:highlight w:val="none"/>
        </w:rPr>
        <w:t>履行的管理，且按照法律规定具有相应资格的项目负责人。</w:t>
      </w:r>
    </w:p>
    <w:p w14:paraId="6CE15BDF">
      <w:pPr>
        <w:pStyle w:val="2"/>
        <w:spacing w:line="248" w:lineRule="auto"/>
        <w:rPr>
          <w:highlight w:val="none"/>
        </w:rPr>
      </w:pPr>
    </w:p>
    <w:p w14:paraId="26AAC9A9">
      <w:pPr>
        <w:spacing w:before="68" w:line="345" w:lineRule="auto"/>
        <w:ind w:right="89" w:firstLine="640"/>
        <w:rPr>
          <w:rFonts w:ascii="宋体" w:hAnsi="宋体" w:eastAsia="宋体" w:cs="宋体"/>
          <w:sz w:val="21"/>
          <w:szCs w:val="21"/>
          <w:highlight w:val="none"/>
        </w:rPr>
      </w:pPr>
      <w:r>
        <w:rPr>
          <w:rFonts w:ascii="宋体" w:hAnsi="宋体" w:eastAsia="宋体" w:cs="宋体"/>
          <w:sz w:val="21"/>
          <w:szCs w:val="21"/>
          <w:highlight w:val="none"/>
        </w:rPr>
        <w:t>1.1.2.8设计负责人：是指承包人指定负责组织、指导、协调设计工作并具有相应资</w:t>
      </w:r>
      <w:r>
        <w:rPr>
          <w:rFonts w:ascii="宋体" w:hAnsi="宋体" w:eastAsia="宋体" w:cs="宋体"/>
          <w:spacing w:val="9"/>
          <w:sz w:val="21"/>
          <w:szCs w:val="21"/>
          <w:highlight w:val="none"/>
        </w:rPr>
        <w:t xml:space="preserve"> </w:t>
      </w:r>
      <w:r>
        <w:rPr>
          <w:rFonts w:ascii="宋体" w:hAnsi="宋体" w:eastAsia="宋体" w:cs="宋体"/>
          <w:spacing w:val="-7"/>
          <w:sz w:val="21"/>
          <w:szCs w:val="21"/>
          <w:highlight w:val="none"/>
        </w:rPr>
        <w:t>格的人员。</w:t>
      </w:r>
    </w:p>
    <w:p w14:paraId="56BE26A3">
      <w:pPr>
        <w:spacing w:before="174" w:line="219" w:lineRule="auto"/>
        <w:ind w:left="640"/>
        <w:rPr>
          <w:rFonts w:ascii="宋体" w:hAnsi="宋体" w:eastAsia="宋体" w:cs="宋体"/>
          <w:sz w:val="22"/>
          <w:szCs w:val="22"/>
          <w:highlight w:val="none"/>
        </w:rPr>
      </w:pPr>
      <w:r>
        <w:rPr>
          <w:rFonts w:ascii="宋体" w:hAnsi="宋体" w:eastAsia="宋体" w:cs="宋体"/>
          <w:spacing w:val="-6"/>
          <w:sz w:val="22"/>
          <w:szCs w:val="22"/>
          <w:highlight w:val="none"/>
        </w:rPr>
        <w:t>1.1.2.9采购负责人：是指承包人指定负</w:t>
      </w:r>
      <w:r>
        <w:rPr>
          <w:rFonts w:ascii="宋体" w:hAnsi="宋体" w:eastAsia="宋体" w:cs="宋体"/>
          <w:spacing w:val="-7"/>
          <w:sz w:val="22"/>
          <w:szCs w:val="22"/>
          <w:highlight w:val="none"/>
        </w:rPr>
        <w:t>责组织、指导、协调采购工作的人员。</w:t>
      </w:r>
    </w:p>
    <w:p w14:paraId="5AE0EB51">
      <w:pPr>
        <w:pStyle w:val="2"/>
        <w:spacing w:line="257" w:lineRule="auto"/>
        <w:rPr>
          <w:highlight w:val="none"/>
        </w:rPr>
      </w:pPr>
    </w:p>
    <w:p w14:paraId="362D6C0C">
      <w:pPr>
        <w:spacing w:before="72" w:line="273" w:lineRule="auto"/>
        <w:ind w:right="96" w:firstLine="640"/>
        <w:rPr>
          <w:rFonts w:ascii="宋体" w:hAnsi="宋体" w:eastAsia="宋体" w:cs="宋体"/>
          <w:sz w:val="22"/>
          <w:szCs w:val="22"/>
          <w:highlight w:val="none"/>
        </w:rPr>
      </w:pPr>
      <w:r>
        <w:rPr>
          <w:highlight w:val="none"/>
        </w:rPr>
        <w:fldChar w:fldCharType="begin"/>
      </w:r>
      <w:r>
        <w:rPr>
          <w:highlight w:val="none"/>
        </w:rPr>
        <w:instrText xml:space="preserve"> HYPERLINK "1.1.2.10" </w:instrText>
      </w:r>
      <w:r>
        <w:rPr>
          <w:highlight w:val="none"/>
        </w:rPr>
        <w:fldChar w:fldCharType="separate"/>
      </w:r>
      <w:r>
        <w:rPr>
          <w:rFonts w:ascii="Times New Roman" w:hAnsi="Times New Roman" w:eastAsia="Times New Roman" w:cs="Times New Roman"/>
          <w:spacing w:val="-7"/>
          <w:sz w:val="22"/>
          <w:szCs w:val="22"/>
          <w:highlight w:val="none"/>
        </w:rPr>
        <w:t>1.1.2.10</w:t>
      </w:r>
      <w:r>
        <w:rPr>
          <w:rFonts w:ascii="Times New Roman" w:hAnsi="Times New Roman" w:eastAsia="Times New Roman" w:cs="Times New Roman"/>
          <w:spacing w:val="-7"/>
          <w:sz w:val="22"/>
          <w:szCs w:val="22"/>
          <w:highlight w:val="none"/>
        </w:rPr>
        <w:fldChar w:fldCharType="end"/>
      </w:r>
      <w:r>
        <w:rPr>
          <w:rFonts w:ascii="Times New Roman" w:hAnsi="Times New Roman" w:eastAsia="Times New Roman" w:cs="Times New Roman"/>
          <w:spacing w:val="-7"/>
          <w:sz w:val="22"/>
          <w:szCs w:val="22"/>
          <w:highlight w:val="none"/>
        </w:rPr>
        <w:t xml:space="preserve">    </w:t>
      </w:r>
      <w:r>
        <w:rPr>
          <w:rFonts w:ascii="宋体" w:hAnsi="宋体" w:eastAsia="宋体" w:cs="宋体"/>
          <w:spacing w:val="-7"/>
          <w:sz w:val="22"/>
          <w:szCs w:val="22"/>
          <w:highlight w:val="none"/>
        </w:rPr>
        <w:t>施工负责人：是指承包人指定负责组织、指导、协调施工工作并具有相应</w:t>
      </w:r>
      <w:r>
        <w:rPr>
          <w:rFonts w:ascii="宋体" w:hAnsi="宋体" w:eastAsia="宋体" w:cs="宋体"/>
          <w:spacing w:val="1"/>
          <w:sz w:val="22"/>
          <w:szCs w:val="22"/>
          <w:highlight w:val="none"/>
        </w:rPr>
        <w:t xml:space="preserve"> </w:t>
      </w:r>
      <w:r>
        <w:rPr>
          <w:rFonts w:ascii="宋体" w:hAnsi="宋体" w:eastAsia="宋体" w:cs="宋体"/>
          <w:spacing w:val="-13"/>
          <w:sz w:val="22"/>
          <w:szCs w:val="22"/>
          <w:highlight w:val="none"/>
        </w:rPr>
        <w:t>资格的人员。</w:t>
      </w:r>
    </w:p>
    <w:p w14:paraId="609B53C2">
      <w:pPr>
        <w:pStyle w:val="2"/>
        <w:spacing w:line="248" w:lineRule="auto"/>
        <w:rPr>
          <w:highlight w:val="none"/>
        </w:rPr>
      </w:pPr>
    </w:p>
    <w:p w14:paraId="4C305C7F">
      <w:pPr>
        <w:spacing w:before="68" w:line="281" w:lineRule="auto"/>
        <w:ind w:right="95" w:firstLine="640"/>
        <w:rPr>
          <w:rFonts w:ascii="宋体" w:hAnsi="宋体" w:eastAsia="宋体" w:cs="宋体"/>
          <w:sz w:val="21"/>
          <w:szCs w:val="21"/>
          <w:highlight w:val="none"/>
        </w:rPr>
      </w:pPr>
      <w:r>
        <w:rPr>
          <w:highlight w:val="none"/>
        </w:rPr>
        <w:fldChar w:fldCharType="begin"/>
      </w:r>
      <w:r>
        <w:rPr>
          <w:highlight w:val="none"/>
        </w:rPr>
        <w:instrText xml:space="preserve"> HYPERLINK "1.1.2.11" </w:instrText>
      </w:r>
      <w:r>
        <w:rPr>
          <w:highlight w:val="none"/>
        </w:rPr>
        <w:fldChar w:fldCharType="separate"/>
      </w:r>
      <w:r>
        <w:rPr>
          <w:rFonts w:ascii="Times New Roman" w:hAnsi="Times New Roman" w:eastAsia="Times New Roman" w:cs="Times New Roman"/>
          <w:sz w:val="21"/>
          <w:szCs w:val="21"/>
          <w:highlight w:val="none"/>
        </w:rPr>
        <w:t>1.1.2.11</w:t>
      </w:r>
      <w:r>
        <w:rPr>
          <w:rFonts w:ascii="Times New Roman" w:hAnsi="Times New Roman" w:eastAsia="Times New Roman" w:cs="Times New Roman"/>
          <w:sz w:val="21"/>
          <w:szCs w:val="21"/>
          <w:highlight w:val="none"/>
        </w:rPr>
        <w:fldChar w:fldCharType="end"/>
      </w:r>
      <w:r>
        <w:rPr>
          <w:rFonts w:ascii="Times New Roman" w:hAnsi="Times New Roman" w:eastAsia="Times New Roman" w:cs="Times New Roman"/>
          <w:sz w:val="21"/>
          <w:szCs w:val="21"/>
          <w:highlight w:val="none"/>
        </w:rPr>
        <w:t xml:space="preserve">     </w:t>
      </w:r>
      <w:r>
        <w:rPr>
          <w:rFonts w:ascii="宋体" w:hAnsi="宋体" w:eastAsia="宋体" w:cs="宋体"/>
          <w:sz w:val="21"/>
          <w:szCs w:val="21"/>
          <w:highlight w:val="none"/>
        </w:rPr>
        <w:t>分包人：是指按照法律规定和合同约定，分包部分工程或工作，并与承包</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人订立分包合同的具有相应资质或资格的法人或其他组织。</w:t>
      </w:r>
    </w:p>
    <w:p w14:paraId="0DF3B8FD">
      <w:pPr>
        <w:pStyle w:val="2"/>
        <w:spacing w:line="248" w:lineRule="auto"/>
        <w:rPr>
          <w:highlight w:val="none"/>
        </w:rPr>
      </w:pPr>
    </w:p>
    <w:p w14:paraId="2CD8A11E">
      <w:pPr>
        <w:spacing w:before="72" w:line="220"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1.1.3    </w:t>
      </w:r>
      <w:r>
        <w:rPr>
          <w:rFonts w:ascii="宋体" w:hAnsi="宋体" w:eastAsia="宋体" w:cs="宋体"/>
          <w:spacing w:val="-6"/>
          <w:sz w:val="22"/>
          <w:szCs w:val="22"/>
          <w:highlight w:val="none"/>
        </w:rPr>
        <w:t>工程和设备</w:t>
      </w:r>
    </w:p>
    <w:p w14:paraId="5681961A">
      <w:pPr>
        <w:spacing w:before="306" w:line="219" w:lineRule="auto"/>
        <w:ind w:right="19"/>
        <w:jc w:val="right"/>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1.1.3.1     </w:t>
      </w:r>
      <w:r>
        <w:rPr>
          <w:rFonts w:ascii="宋体" w:hAnsi="宋体" w:eastAsia="宋体" w:cs="宋体"/>
          <w:sz w:val="21"/>
          <w:szCs w:val="21"/>
          <w:highlight w:val="none"/>
        </w:rPr>
        <w:t>工程：是指与合同</w:t>
      </w:r>
      <w:r>
        <w:rPr>
          <w:rFonts w:ascii="宋体" w:hAnsi="宋体" w:eastAsia="宋体" w:cs="宋体"/>
          <w:spacing w:val="-1"/>
          <w:sz w:val="21"/>
          <w:szCs w:val="21"/>
          <w:highlight w:val="none"/>
        </w:rPr>
        <w:t>协议书中工程承包范围对应的永久工程和(或)临时工程。</w:t>
      </w:r>
    </w:p>
    <w:p w14:paraId="67DCBEB9">
      <w:pPr>
        <w:pStyle w:val="2"/>
        <w:spacing w:line="269" w:lineRule="auto"/>
        <w:rPr>
          <w:highlight w:val="none"/>
        </w:rPr>
      </w:pPr>
    </w:p>
    <w:p w14:paraId="23D648A6">
      <w:pPr>
        <w:spacing w:before="72" w:line="269" w:lineRule="auto"/>
        <w:ind w:right="88" w:firstLine="6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1.1.3.2    </w:t>
      </w:r>
      <w:r>
        <w:rPr>
          <w:rFonts w:ascii="宋体" w:hAnsi="宋体" w:eastAsia="宋体" w:cs="宋体"/>
          <w:spacing w:val="-9"/>
          <w:sz w:val="22"/>
          <w:szCs w:val="22"/>
          <w:highlight w:val="none"/>
        </w:rPr>
        <w:t>工程实施：是指进行工程的设计、采购、施</w:t>
      </w:r>
      <w:r>
        <w:rPr>
          <w:rFonts w:ascii="宋体" w:hAnsi="宋体" w:eastAsia="宋体" w:cs="宋体"/>
          <w:spacing w:val="-10"/>
          <w:sz w:val="22"/>
          <w:szCs w:val="22"/>
          <w:highlight w:val="none"/>
        </w:rPr>
        <w:t>工和竣工以及对工程任何缺陷的</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修复。</w:t>
      </w:r>
    </w:p>
    <w:p w14:paraId="0532627D">
      <w:pPr>
        <w:pStyle w:val="2"/>
        <w:spacing w:line="258" w:lineRule="auto"/>
        <w:rPr>
          <w:highlight w:val="none"/>
        </w:rPr>
      </w:pPr>
    </w:p>
    <w:p w14:paraId="2E97EE8D">
      <w:pPr>
        <w:spacing w:before="69" w:line="219" w:lineRule="auto"/>
        <w:ind w:left="64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1.1.3.3    </w:t>
      </w:r>
      <w:r>
        <w:rPr>
          <w:rFonts w:ascii="宋体" w:hAnsi="宋体" w:eastAsia="宋体" w:cs="宋体"/>
          <w:spacing w:val="1"/>
          <w:sz w:val="21"/>
          <w:szCs w:val="21"/>
          <w:highlight w:val="none"/>
        </w:rPr>
        <w:t>永久工程：是指按合同约定建造并移交给发包人的工程，</w:t>
      </w:r>
      <w:r>
        <w:rPr>
          <w:rFonts w:ascii="宋体" w:hAnsi="宋体" w:eastAsia="宋体" w:cs="宋体"/>
          <w:sz w:val="21"/>
          <w:szCs w:val="21"/>
          <w:highlight w:val="none"/>
        </w:rPr>
        <w:t>包括工程设备。</w:t>
      </w:r>
    </w:p>
    <w:p w14:paraId="53458554">
      <w:pPr>
        <w:spacing w:before="310" w:line="275" w:lineRule="auto"/>
        <w:ind w:right="95" w:firstLine="6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1.1.3.4    </w:t>
      </w:r>
      <w:r>
        <w:rPr>
          <w:rFonts w:ascii="宋体" w:hAnsi="宋体" w:eastAsia="宋体" w:cs="宋体"/>
          <w:spacing w:val="-9"/>
          <w:sz w:val="22"/>
          <w:szCs w:val="22"/>
          <w:highlight w:val="none"/>
        </w:rPr>
        <w:t>临时工程：是指为完成合同</w:t>
      </w:r>
      <w:r>
        <w:rPr>
          <w:rFonts w:ascii="宋体" w:hAnsi="宋体" w:eastAsia="宋体" w:cs="宋体"/>
          <w:spacing w:val="-10"/>
          <w:sz w:val="22"/>
          <w:szCs w:val="22"/>
          <w:highlight w:val="none"/>
        </w:rPr>
        <w:t>约定的永久工程所修建的各类临时性工程，不包</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括施工设备。</w:t>
      </w:r>
    </w:p>
    <w:p w14:paraId="3481591D">
      <w:pPr>
        <w:pStyle w:val="2"/>
        <w:spacing w:line="275" w:lineRule="auto"/>
        <w:rPr>
          <w:highlight w:val="none"/>
        </w:rPr>
      </w:pPr>
    </w:p>
    <w:p w14:paraId="5296FA83">
      <w:pPr>
        <w:spacing w:before="69" w:line="277" w:lineRule="auto"/>
        <w:ind w:right="94" w:firstLine="64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1.1.3.5     </w:t>
      </w:r>
      <w:r>
        <w:rPr>
          <w:rFonts w:ascii="宋体" w:hAnsi="宋体" w:eastAsia="宋体" w:cs="宋体"/>
          <w:sz w:val="21"/>
          <w:szCs w:val="21"/>
          <w:highlight w:val="none"/>
        </w:rPr>
        <w:t>单位/区段工程：是指在专用合同条件中指明特定范围的，能单独接收并使</w:t>
      </w:r>
      <w:r>
        <w:rPr>
          <w:rFonts w:ascii="宋体" w:hAnsi="宋体" w:eastAsia="宋体" w:cs="宋体"/>
          <w:spacing w:val="4"/>
          <w:sz w:val="21"/>
          <w:szCs w:val="21"/>
          <w:highlight w:val="none"/>
        </w:rPr>
        <w:t xml:space="preserve"> </w:t>
      </w:r>
      <w:r>
        <w:rPr>
          <w:rFonts w:ascii="宋体" w:hAnsi="宋体" w:eastAsia="宋体" w:cs="宋体"/>
          <w:spacing w:val="-5"/>
          <w:sz w:val="21"/>
          <w:szCs w:val="21"/>
          <w:highlight w:val="none"/>
        </w:rPr>
        <w:t>用的永久工程。</w:t>
      </w:r>
    </w:p>
    <w:p w14:paraId="5A2E7969">
      <w:pPr>
        <w:pStyle w:val="2"/>
        <w:spacing w:line="245" w:lineRule="auto"/>
        <w:rPr>
          <w:highlight w:val="none"/>
        </w:rPr>
      </w:pPr>
    </w:p>
    <w:p w14:paraId="66F92668">
      <w:pPr>
        <w:spacing w:before="72" w:line="282" w:lineRule="auto"/>
        <w:ind w:right="88" w:firstLine="6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1.1.3.6    </w:t>
      </w:r>
      <w:r>
        <w:rPr>
          <w:rFonts w:ascii="宋体" w:hAnsi="宋体" w:eastAsia="宋体" w:cs="宋体"/>
          <w:spacing w:val="-9"/>
          <w:sz w:val="22"/>
          <w:szCs w:val="22"/>
          <w:highlight w:val="none"/>
        </w:rPr>
        <w:t>工程设备：指构成永久工程的机电设备、仪</w:t>
      </w:r>
      <w:r>
        <w:rPr>
          <w:rFonts w:ascii="宋体" w:hAnsi="宋体" w:eastAsia="宋体" w:cs="宋体"/>
          <w:spacing w:val="-10"/>
          <w:sz w:val="22"/>
          <w:szCs w:val="22"/>
          <w:highlight w:val="none"/>
        </w:rPr>
        <w:t>器装置、运载工具及其他类似的</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设备和装置，包括其配件及备品、备件、易损易耗件等。</w:t>
      </w:r>
    </w:p>
    <w:p w14:paraId="4A9D5F6A">
      <w:pPr>
        <w:pStyle w:val="2"/>
        <w:spacing w:line="258" w:lineRule="auto"/>
        <w:rPr>
          <w:highlight w:val="none"/>
        </w:rPr>
      </w:pPr>
    </w:p>
    <w:p w14:paraId="523B2502">
      <w:pPr>
        <w:spacing w:before="69" w:line="276" w:lineRule="auto"/>
        <w:ind w:right="93" w:firstLine="640"/>
        <w:rPr>
          <w:rFonts w:ascii="宋体" w:hAnsi="宋体" w:eastAsia="宋体" w:cs="宋体"/>
          <w:sz w:val="21"/>
          <w:szCs w:val="21"/>
          <w:highlight w:val="none"/>
        </w:rPr>
      </w:pPr>
      <w:r>
        <w:rPr>
          <w:rFonts w:ascii="宋体" w:hAnsi="宋体" w:eastAsia="宋体" w:cs="宋体"/>
          <w:sz w:val="21"/>
          <w:szCs w:val="21"/>
          <w:highlight w:val="none"/>
        </w:rPr>
        <w:t>1.1.3.7施工设备：指为完成合同约定的各项工作所需的设备、器具和其他物品，不</w:t>
      </w:r>
      <w:r>
        <w:rPr>
          <w:rFonts w:ascii="宋体" w:hAnsi="宋体" w:eastAsia="宋体" w:cs="宋体"/>
          <w:spacing w:val="5"/>
          <w:sz w:val="21"/>
          <w:szCs w:val="21"/>
          <w:highlight w:val="none"/>
        </w:rPr>
        <w:t xml:space="preserve"> </w:t>
      </w:r>
      <w:r>
        <w:rPr>
          <w:rFonts w:ascii="宋体" w:hAnsi="宋体" w:eastAsia="宋体" w:cs="宋体"/>
          <w:spacing w:val="-1"/>
          <w:sz w:val="21"/>
          <w:szCs w:val="21"/>
          <w:highlight w:val="none"/>
        </w:rPr>
        <w:t>包括工程设备、临时工程和材料。</w:t>
      </w:r>
    </w:p>
    <w:p w14:paraId="0BFFE088">
      <w:pPr>
        <w:pStyle w:val="2"/>
        <w:spacing w:line="262" w:lineRule="auto"/>
        <w:rPr>
          <w:highlight w:val="none"/>
        </w:rPr>
      </w:pPr>
    </w:p>
    <w:p w14:paraId="3DAC11FA">
      <w:pPr>
        <w:spacing w:before="69" w:line="219" w:lineRule="auto"/>
        <w:jc w:val="right"/>
        <w:rPr>
          <w:rFonts w:ascii="宋体" w:hAnsi="宋体" w:eastAsia="宋体" w:cs="宋体"/>
          <w:sz w:val="21"/>
          <w:szCs w:val="21"/>
          <w:highlight w:val="none"/>
        </w:rPr>
      </w:pPr>
      <w:r>
        <w:rPr>
          <w:rFonts w:ascii="宋体" w:hAnsi="宋体" w:eastAsia="宋体" w:cs="宋体"/>
          <w:spacing w:val="3"/>
          <w:sz w:val="21"/>
          <w:szCs w:val="21"/>
          <w:highlight w:val="none"/>
        </w:rPr>
        <w:t>1.1.3.8临时设施：指为完成合同约</w:t>
      </w:r>
      <w:r>
        <w:rPr>
          <w:rFonts w:ascii="宋体" w:hAnsi="宋体" w:eastAsia="宋体" w:cs="宋体"/>
          <w:spacing w:val="2"/>
          <w:sz w:val="21"/>
          <w:szCs w:val="21"/>
          <w:highlight w:val="none"/>
        </w:rPr>
        <w:t>定的各项工作所服务的临时性生产和生活设施。</w:t>
      </w:r>
    </w:p>
    <w:p w14:paraId="47D503EB">
      <w:pPr>
        <w:pStyle w:val="2"/>
        <w:spacing w:line="258" w:lineRule="auto"/>
        <w:rPr>
          <w:highlight w:val="none"/>
        </w:rPr>
      </w:pPr>
    </w:p>
    <w:p w14:paraId="38992CC0">
      <w:pPr>
        <w:spacing w:before="72" w:line="273" w:lineRule="auto"/>
        <w:ind w:right="93" w:firstLine="640"/>
        <w:rPr>
          <w:rFonts w:ascii="宋体" w:hAnsi="宋体" w:eastAsia="宋体" w:cs="宋体"/>
          <w:sz w:val="22"/>
          <w:szCs w:val="22"/>
          <w:highlight w:val="none"/>
        </w:rPr>
      </w:pPr>
      <w:r>
        <w:rPr>
          <w:rFonts w:ascii="宋体" w:hAnsi="宋体" w:eastAsia="宋体" w:cs="宋体"/>
          <w:spacing w:val="-9"/>
          <w:sz w:val="22"/>
          <w:szCs w:val="22"/>
          <w:highlight w:val="none"/>
        </w:rPr>
        <w:t>1.1.3.9施工现场：是指用于工程施工的场所，以及在专用合同条件中指明作为施工</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场所组成部分的其他场所，包括永久占地和临时占地。</w:t>
      </w:r>
    </w:p>
    <w:p w14:paraId="53628FDF">
      <w:pPr>
        <w:spacing w:before="308" w:line="219" w:lineRule="auto"/>
        <w:ind w:left="640"/>
        <w:rPr>
          <w:rFonts w:ascii="宋体" w:hAnsi="宋体" w:eastAsia="宋体" w:cs="宋体"/>
          <w:sz w:val="21"/>
          <w:szCs w:val="21"/>
          <w:highlight w:val="none"/>
        </w:rPr>
      </w:pPr>
      <w:r>
        <w:rPr>
          <w:highlight w:val="none"/>
        </w:rPr>
        <w:fldChar w:fldCharType="begin"/>
      </w:r>
      <w:r>
        <w:rPr>
          <w:highlight w:val="none"/>
        </w:rPr>
        <w:instrText xml:space="preserve"> HYPERLINK "1.1.3.10" </w:instrText>
      </w:r>
      <w:r>
        <w:rPr>
          <w:highlight w:val="none"/>
        </w:rPr>
        <w:fldChar w:fldCharType="separate"/>
      </w:r>
      <w:r>
        <w:rPr>
          <w:rFonts w:ascii="Times New Roman" w:hAnsi="Times New Roman" w:eastAsia="Times New Roman" w:cs="Times New Roman"/>
          <w:sz w:val="21"/>
          <w:szCs w:val="21"/>
          <w:highlight w:val="none"/>
        </w:rPr>
        <w:t>1.1.3.10</w:t>
      </w:r>
      <w:r>
        <w:rPr>
          <w:rFonts w:ascii="Times New Roman" w:hAnsi="Times New Roman" w:eastAsia="Times New Roman" w:cs="Times New Roman"/>
          <w:sz w:val="21"/>
          <w:szCs w:val="21"/>
          <w:highlight w:val="none"/>
        </w:rPr>
        <w:fldChar w:fldCharType="end"/>
      </w:r>
      <w:r>
        <w:rPr>
          <w:rFonts w:ascii="Times New Roman" w:hAnsi="Times New Roman" w:eastAsia="Times New Roman" w:cs="Times New Roman"/>
          <w:sz w:val="21"/>
          <w:szCs w:val="21"/>
          <w:highlight w:val="none"/>
        </w:rPr>
        <w:t xml:space="preserve">     </w:t>
      </w:r>
      <w:r>
        <w:rPr>
          <w:rFonts w:ascii="宋体" w:hAnsi="宋体" w:eastAsia="宋体" w:cs="宋体"/>
          <w:sz w:val="21"/>
          <w:szCs w:val="21"/>
          <w:highlight w:val="none"/>
        </w:rPr>
        <w:t>永久占地：是指专</w:t>
      </w:r>
      <w:r>
        <w:rPr>
          <w:rFonts w:ascii="宋体" w:hAnsi="宋体" w:eastAsia="宋体" w:cs="宋体"/>
          <w:spacing w:val="-1"/>
          <w:sz w:val="21"/>
          <w:szCs w:val="21"/>
          <w:highlight w:val="none"/>
        </w:rPr>
        <w:t>用合同条件中指明为实施工程需永久占用的土地。</w:t>
      </w:r>
    </w:p>
    <w:p w14:paraId="29820A47">
      <w:pPr>
        <w:spacing w:before="292" w:line="219" w:lineRule="auto"/>
        <w:ind w:left="640"/>
        <w:rPr>
          <w:rFonts w:ascii="宋体" w:hAnsi="宋体" w:eastAsia="宋体" w:cs="宋体"/>
          <w:sz w:val="22"/>
          <w:szCs w:val="22"/>
          <w:highlight w:val="none"/>
        </w:rPr>
      </w:pPr>
      <w:r>
        <w:rPr>
          <w:highlight w:val="none"/>
        </w:rPr>
        <w:fldChar w:fldCharType="begin"/>
      </w:r>
      <w:r>
        <w:rPr>
          <w:highlight w:val="none"/>
        </w:rPr>
        <w:instrText xml:space="preserve"> HYPERLINK "1.1.3.11" </w:instrText>
      </w:r>
      <w:r>
        <w:rPr>
          <w:highlight w:val="none"/>
        </w:rPr>
        <w:fldChar w:fldCharType="separate"/>
      </w:r>
      <w:r>
        <w:rPr>
          <w:rFonts w:ascii="Times New Roman" w:hAnsi="Times New Roman" w:eastAsia="Times New Roman" w:cs="Times New Roman"/>
          <w:spacing w:val="-7"/>
          <w:sz w:val="22"/>
          <w:szCs w:val="22"/>
          <w:highlight w:val="none"/>
        </w:rPr>
        <w:t>1.1.3.11</w:t>
      </w:r>
      <w:r>
        <w:rPr>
          <w:rFonts w:ascii="Times New Roman" w:hAnsi="Times New Roman" w:eastAsia="Times New Roman" w:cs="Times New Roman"/>
          <w:spacing w:val="-7"/>
          <w:sz w:val="22"/>
          <w:szCs w:val="22"/>
          <w:highlight w:val="none"/>
        </w:rPr>
        <w:fldChar w:fldCharType="end"/>
      </w:r>
      <w:r>
        <w:rPr>
          <w:rFonts w:ascii="Times New Roman" w:hAnsi="Times New Roman" w:eastAsia="Times New Roman" w:cs="Times New Roman"/>
          <w:spacing w:val="-7"/>
          <w:sz w:val="22"/>
          <w:szCs w:val="22"/>
          <w:highlight w:val="none"/>
        </w:rPr>
        <w:t xml:space="preserve">    </w:t>
      </w:r>
      <w:r>
        <w:rPr>
          <w:rFonts w:ascii="宋体" w:hAnsi="宋体" w:eastAsia="宋体" w:cs="宋体"/>
          <w:spacing w:val="-7"/>
          <w:sz w:val="22"/>
          <w:szCs w:val="22"/>
          <w:highlight w:val="none"/>
        </w:rPr>
        <w:t>临时占地：是指专用合同条件中指明为实施工程需临时占用的土</w:t>
      </w:r>
      <w:r>
        <w:rPr>
          <w:rFonts w:ascii="宋体" w:hAnsi="宋体" w:eastAsia="宋体" w:cs="宋体"/>
          <w:spacing w:val="-8"/>
          <w:sz w:val="22"/>
          <w:szCs w:val="22"/>
          <w:highlight w:val="none"/>
        </w:rPr>
        <w:t>地。</w:t>
      </w:r>
    </w:p>
    <w:p w14:paraId="482B0527">
      <w:pPr>
        <w:pStyle w:val="2"/>
        <w:spacing w:line="246" w:lineRule="auto"/>
        <w:rPr>
          <w:highlight w:val="none"/>
        </w:rPr>
      </w:pPr>
    </w:p>
    <w:p w14:paraId="364B102C">
      <w:pPr>
        <w:spacing w:before="72" w:line="220"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1.1.4日期和期限</w:t>
      </w:r>
    </w:p>
    <w:p w14:paraId="7912C10E">
      <w:pPr>
        <w:spacing w:line="220" w:lineRule="auto"/>
        <w:rPr>
          <w:rFonts w:ascii="宋体" w:hAnsi="宋体" w:eastAsia="宋体" w:cs="宋体"/>
          <w:sz w:val="22"/>
          <w:szCs w:val="22"/>
          <w:highlight w:val="none"/>
        </w:rPr>
        <w:sectPr>
          <w:footerReference r:id="rId73" w:type="default"/>
          <w:pgSz w:w="11910" w:h="16840"/>
          <w:pgMar w:top="400" w:right="1724" w:bottom="1217" w:left="1779" w:header="0" w:footer="1013" w:gutter="0"/>
          <w:cols w:space="720" w:num="1"/>
        </w:sectPr>
      </w:pPr>
    </w:p>
    <w:p w14:paraId="0D31F731">
      <w:pPr>
        <w:pStyle w:val="2"/>
        <w:rPr>
          <w:highlight w:val="none"/>
        </w:rPr>
      </w:pPr>
    </w:p>
    <w:p w14:paraId="0E35ECC7">
      <w:pPr>
        <w:pStyle w:val="2"/>
        <w:rPr>
          <w:highlight w:val="none"/>
        </w:rPr>
      </w:pPr>
    </w:p>
    <w:p w14:paraId="1B031009">
      <w:pPr>
        <w:pStyle w:val="2"/>
        <w:spacing w:line="241" w:lineRule="auto"/>
        <w:rPr>
          <w:highlight w:val="none"/>
        </w:rPr>
      </w:pPr>
    </w:p>
    <w:p w14:paraId="09B8C88E">
      <w:pPr>
        <w:pStyle w:val="2"/>
        <w:spacing w:line="241" w:lineRule="auto"/>
        <w:rPr>
          <w:highlight w:val="none"/>
        </w:rPr>
      </w:pPr>
    </w:p>
    <w:p w14:paraId="39FC4ABC">
      <w:pPr>
        <w:spacing w:before="71" w:line="273" w:lineRule="auto"/>
        <w:ind w:right="100" w:firstLine="640"/>
        <w:rPr>
          <w:rFonts w:ascii="宋体" w:hAnsi="宋体" w:eastAsia="宋体" w:cs="宋体"/>
          <w:sz w:val="22"/>
          <w:szCs w:val="22"/>
          <w:highlight w:val="none"/>
        </w:rPr>
      </w:pPr>
      <w:r>
        <w:rPr>
          <w:rFonts w:ascii="宋体" w:hAnsi="宋体" w:eastAsia="宋体" w:cs="宋体"/>
          <w:spacing w:val="-6"/>
          <w:sz w:val="22"/>
          <w:szCs w:val="22"/>
          <w:highlight w:val="none"/>
        </w:rPr>
        <w:t>1.1.4.1开始工作通知：指工程师按第8.1.2项[开始工作通知]的约定通知承包人开</w:t>
      </w:r>
      <w:r>
        <w:rPr>
          <w:rFonts w:ascii="宋体" w:hAnsi="宋体" w:eastAsia="宋体" w:cs="宋体"/>
          <w:spacing w:val="6"/>
          <w:sz w:val="22"/>
          <w:szCs w:val="22"/>
          <w:highlight w:val="none"/>
        </w:rPr>
        <w:t xml:space="preserve"> </w:t>
      </w:r>
      <w:r>
        <w:rPr>
          <w:rFonts w:ascii="宋体" w:hAnsi="宋体" w:eastAsia="宋体" w:cs="宋体"/>
          <w:spacing w:val="-12"/>
          <w:sz w:val="22"/>
          <w:szCs w:val="22"/>
          <w:highlight w:val="none"/>
        </w:rPr>
        <w:t>始工作的函件。</w:t>
      </w:r>
    </w:p>
    <w:p w14:paraId="0EE9F6BE">
      <w:pPr>
        <w:pStyle w:val="2"/>
        <w:spacing w:line="259" w:lineRule="auto"/>
        <w:rPr>
          <w:highlight w:val="none"/>
        </w:rPr>
      </w:pPr>
    </w:p>
    <w:p w14:paraId="1DEE12CC">
      <w:pPr>
        <w:spacing w:before="69" w:line="313" w:lineRule="auto"/>
        <w:ind w:right="96" w:firstLine="640"/>
        <w:rPr>
          <w:rFonts w:ascii="宋体" w:hAnsi="宋体" w:eastAsia="宋体" w:cs="宋体"/>
          <w:sz w:val="21"/>
          <w:szCs w:val="21"/>
          <w:highlight w:val="none"/>
        </w:rPr>
      </w:pPr>
      <w:r>
        <w:rPr>
          <w:rFonts w:ascii="宋体" w:hAnsi="宋体" w:eastAsia="宋体" w:cs="宋体"/>
          <w:sz w:val="21"/>
          <w:szCs w:val="21"/>
          <w:highlight w:val="none"/>
        </w:rPr>
        <w:t>1.1.4.2开始工作日期：包括计划开始工作日期和实际开始工作日期。计划开始工作</w:t>
      </w:r>
      <w:r>
        <w:rPr>
          <w:rFonts w:ascii="宋体" w:hAnsi="宋体" w:eastAsia="宋体" w:cs="宋体"/>
          <w:spacing w:val="8"/>
          <w:sz w:val="21"/>
          <w:szCs w:val="21"/>
          <w:highlight w:val="none"/>
        </w:rPr>
        <w:t xml:space="preserve"> </w:t>
      </w:r>
      <w:r>
        <w:rPr>
          <w:rFonts w:ascii="宋体" w:hAnsi="宋体" w:eastAsia="宋体" w:cs="宋体"/>
          <w:spacing w:val="-3"/>
          <w:sz w:val="21"/>
          <w:szCs w:val="21"/>
          <w:highlight w:val="none"/>
        </w:rPr>
        <w:t>日期是指合同协议书约定的开始工作日期；实际开始工作日期是指工程师按照第8.1款[开始</w:t>
      </w:r>
      <w:r>
        <w:rPr>
          <w:rFonts w:ascii="宋体" w:hAnsi="宋体" w:eastAsia="宋体" w:cs="宋体"/>
          <w:spacing w:val="18"/>
          <w:sz w:val="21"/>
          <w:szCs w:val="21"/>
          <w:highlight w:val="none"/>
        </w:rPr>
        <w:t xml:space="preserve"> </w:t>
      </w:r>
      <w:r>
        <w:rPr>
          <w:rFonts w:ascii="宋体" w:hAnsi="宋体" w:eastAsia="宋体" w:cs="宋体"/>
          <w:spacing w:val="-1"/>
          <w:sz w:val="21"/>
          <w:szCs w:val="21"/>
          <w:highlight w:val="none"/>
        </w:rPr>
        <w:t>工作]约定发出的符合法律规定的开始工作通知中载</w:t>
      </w:r>
      <w:r>
        <w:rPr>
          <w:rFonts w:ascii="宋体" w:hAnsi="宋体" w:eastAsia="宋体" w:cs="宋体"/>
          <w:spacing w:val="-2"/>
          <w:sz w:val="21"/>
          <w:szCs w:val="21"/>
          <w:highlight w:val="none"/>
        </w:rPr>
        <w:t>明的开始工作日期。</w:t>
      </w:r>
    </w:p>
    <w:p w14:paraId="003D3989">
      <w:pPr>
        <w:pStyle w:val="2"/>
        <w:spacing w:line="272" w:lineRule="auto"/>
        <w:rPr>
          <w:highlight w:val="none"/>
        </w:rPr>
      </w:pPr>
    </w:p>
    <w:p w14:paraId="70700799">
      <w:pPr>
        <w:spacing w:before="68" w:line="304" w:lineRule="auto"/>
        <w:ind w:right="4" w:firstLine="640"/>
        <w:rPr>
          <w:rFonts w:ascii="宋体" w:hAnsi="宋体" w:eastAsia="宋体" w:cs="宋体"/>
          <w:sz w:val="21"/>
          <w:szCs w:val="21"/>
          <w:highlight w:val="none"/>
        </w:rPr>
      </w:pPr>
      <w:r>
        <w:rPr>
          <w:rFonts w:ascii="宋体" w:hAnsi="宋体" w:eastAsia="宋体" w:cs="宋体"/>
          <w:spacing w:val="3"/>
          <w:sz w:val="21"/>
          <w:szCs w:val="21"/>
          <w:highlight w:val="none"/>
        </w:rPr>
        <w:t>1.1.4.3开始现场施工日期：包括计</w:t>
      </w:r>
      <w:r>
        <w:rPr>
          <w:rFonts w:ascii="宋体" w:hAnsi="宋体" w:eastAsia="宋体" w:cs="宋体"/>
          <w:spacing w:val="2"/>
          <w:sz w:val="21"/>
          <w:szCs w:val="21"/>
          <w:highlight w:val="none"/>
        </w:rPr>
        <w:t>划开始现场施工日期和实际开始现场施工日期。</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计划开始现场施工日期是指合同协议书约定的开始现场施工日期；</w:t>
      </w:r>
      <w:r>
        <w:rPr>
          <w:rFonts w:ascii="宋体" w:hAnsi="宋体" w:eastAsia="宋体" w:cs="宋体"/>
          <w:spacing w:val="-3"/>
          <w:sz w:val="21"/>
          <w:szCs w:val="21"/>
          <w:highlight w:val="none"/>
        </w:rPr>
        <w:t>实际开始现场施工日期是</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指工程师发出的符合法律规定的开工通知中载明</w:t>
      </w:r>
      <w:r>
        <w:rPr>
          <w:rFonts w:ascii="宋体" w:hAnsi="宋体" w:eastAsia="宋体" w:cs="宋体"/>
          <w:spacing w:val="-2"/>
          <w:sz w:val="21"/>
          <w:szCs w:val="21"/>
          <w:highlight w:val="none"/>
        </w:rPr>
        <w:t>的开始现场施工日期。</w:t>
      </w:r>
    </w:p>
    <w:p w14:paraId="0EFD8741">
      <w:pPr>
        <w:pStyle w:val="2"/>
        <w:spacing w:line="270" w:lineRule="auto"/>
        <w:rPr>
          <w:highlight w:val="none"/>
        </w:rPr>
      </w:pPr>
    </w:p>
    <w:p w14:paraId="3E276394">
      <w:pPr>
        <w:spacing w:before="68" w:line="276" w:lineRule="auto"/>
        <w:ind w:right="99" w:firstLine="640"/>
        <w:rPr>
          <w:rFonts w:ascii="宋体" w:hAnsi="宋体" w:eastAsia="宋体" w:cs="宋体"/>
          <w:sz w:val="21"/>
          <w:szCs w:val="21"/>
          <w:highlight w:val="none"/>
        </w:rPr>
      </w:pPr>
      <w:r>
        <w:rPr>
          <w:rFonts w:ascii="宋体" w:hAnsi="宋体" w:eastAsia="宋体" w:cs="宋体"/>
          <w:sz w:val="21"/>
          <w:szCs w:val="21"/>
          <w:highlight w:val="none"/>
        </w:rPr>
        <w:t>1.1.4.4竣工日期：包括计划竣工日期和实际竣工日期。计划竣工日期是指合同协议</w:t>
      </w:r>
      <w:r>
        <w:rPr>
          <w:rFonts w:ascii="宋体" w:hAnsi="宋体" w:eastAsia="宋体" w:cs="宋体"/>
          <w:spacing w:val="4"/>
          <w:sz w:val="21"/>
          <w:szCs w:val="21"/>
          <w:highlight w:val="none"/>
        </w:rPr>
        <w:t xml:space="preserve"> </w:t>
      </w:r>
      <w:r>
        <w:rPr>
          <w:rFonts w:ascii="宋体" w:hAnsi="宋体" w:eastAsia="宋体" w:cs="宋体"/>
          <w:spacing w:val="-1"/>
          <w:sz w:val="21"/>
          <w:szCs w:val="21"/>
          <w:highlight w:val="none"/>
        </w:rPr>
        <w:t>书约定的竣工日期；实际竣工日期按照第8.2款[竣工日期</w:t>
      </w:r>
      <w:r>
        <w:rPr>
          <w:rFonts w:ascii="宋体" w:hAnsi="宋体" w:eastAsia="宋体" w:cs="宋体"/>
          <w:spacing w:val="-2"/>
          <w:sz w:val="21"/>
          <w:szCs w:val="21"/>
          <w:highlight w:val="none"/>
        </w:rPr>
        <w:t>]的约定确定。</w:t>
      </w:r>
    </w:p>
    <w:p w14:paraId="552B4BDF">
      <w:pPr>
        <w:pStyle w:val="2"/>
        <w:spacing w:line="281" w:lineRule="auto"/>
        <w:rPr>
          <w:highlight w:val="none"/>
        </w:rPr>
      </w:pPr>
    </w:p>
    <w:p w14:paraId="6B8FD60E">
      <w:pPr>
        <w:spacing w:before="69" w:line="277" w:lineRule="auto"/>
        <w:ind w:right="92" w:firstLine="64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1.1.4.5     </w:t>
      </w:r>
      <w:r>
        <w:rPr>
          <w:rFonts w:ascii="宋体" w:hAnsi="宋体" w:eastAsia="宋体" w:cs="宋体"/>
          <w:spacing w:val="-2"/>
          <w:sz w:val="21"/>
          <w:szCs w:val="21"/>
          <w:highlight w:val="none"/>
        </w:rPr>
        <w:t>工期：是指在合同协议书约定的承包人完成合同工作所需的期限，</w:t>
      </w:r>
      <w:r>
        <w:rPr>
          <w:rFonts w:ascii="宋体" w:hAnsi="宋体" w:eastAsia="宋体" w:cs="宋体"/>
          <w:spacing w:val="-3"/>
          <w:sz w:val="21"/>
          <w:szCs w:val="21"/>
          <w:highlight w:val="none"/>
        </w:rPr>
        <w:t>包括按照</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合同约定所作的期限变更及按合同约定承包人</w:t>
      </w:r>
      <w:r>
        <w:rPr>
          <w:rFonts w:ascii="宋体" w:hAnsi="宋体" w:eastAsia="宋体" w:cs="宋体"/>
          <w:spacing w:val="-2"/>
          <w:sz w:val="21"/>
          <w:szCs w:val="21"/>
          <w:highlight w:val="none"/>
        </w:rPr>
        <w:t>有权取得的工期延长。</w:t>
      </w:r>
    </w:p>
    <w:p w14:paraId="0D6DB6D8">
      <w:pPr>
        <w:pStyle w:val="2"/>
        <w:spacing w:line="258" w:lineRule="auto"/>
        <w:rPr>
          <w:highlight w:val="none"/>
        </w:rPr>
      </w:pPr>
    </w:p>
    <w:p w14:paraId="6A4D5DF4">
      <w:pPr>
        <w:spacing w:before="72" w:line="273" w:lineRule="auto"/>
        <w:ind w:right="100" w:firstLine="640"/>
        <w:rPr>
          <w:rFonts w:ascii="宋体" w:hAnsi="宋体" w:eastAsia="宋体" w:cs="宋体"/>
          <w:sz w:val="22"/>
          <w:szCs w:val="22"/>
          <w:highlight w:val="none"/>
        </w:rPr>
      </w:pPr>
      <w:r>
        <w:rPr>
          <w:rFonts w:ascii="宋体" w:hAnsi="宋体" w:eastAsia="宋体" w:cs="宋体"/>
          <w:spacing w:val="-3"/>
          <w:sz w:val="22"/>
          <w:szCs w:val="22"/>
          <w:highlight w:val="none"/>
        </w:rPr>
        <w:t>1.1.4.6缺陷责任期：是指发包人预留工程</w:t>
      </w:r>
      <w:r>
        <w:rPr>
          <w:rFonts w:ascii="宋体" w:hAnsi="宋体" w:eastAsia="宋体" w:cs="宋体"/>
          <w:spacing w:val="-4"/>
          <w:sz w:val="22"/>
          <w:szCs w:val="22"/>
          <w:highlight w:val="none"/>
        </w:rPr>
        <w:t>质量保证金以保证承包人履行第11.3款</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[缺陷调查]下质量缺陷责任的期限。</w:t>
      </w:r>
    </w:p>
    <w:p w14:paraId="531B04B9">
      <w:pPr>
        <w:pStyle w:val="2"/>
        <w:spacing w:line="256" w:lineRule="auto"/>
        <w:rPr>
          <w:highlight w:val="none"/>
        </w:rPr>
      </w:pPr>
    </w:p>
    <w:p w14:paraId="0405BE55">
      <w:pPr>
        <w:spacing w:before="71" w:line="273" w:lineRule="auto"/>
        <w:ind w:right="96" w:firstLine="6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1.1.4.7    </w:t>
      </w:r>
      <w:r>
        <w:rPr>
          <w:rFonts w:ascii="宋体" w:hAnsi="宋体" w:eastAsia="宋体" w:cs="宋体"/>
          <w:spacing w:val="-9"/>
          <w:sz w:val="22"/>
          <w:szCs w:val="22"/>
          <w:highlight w:val="none"/>
        </w:rPr>
        <w:t>保修期：是指承包人按照合同约定和</w:t>
      </w:r>
      <w:r>
        <w:rPr>
          <w:rFonts w:ascii="宋体" w:hAnsi="宋体" w:eastAsia="宋体" w:cs="宋体"/>
          <w:spacing w:val="-10"/>
          <w:sz w:val="22"/>
          <w:szCs w:val="22"/>
          <w:highlight w:val="none"/>
        </w:rPr>
        <w:t>法律规定对工程质量承担保修责任的期</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限，该期限自缺陷责任期起算之日起计算。</w:t>
      </w:r>
    </w:p>
    <w:p w14:paraId="120DB445">
      <w:pPr>
        <w:pStyle w:val="2"/>
        <w:spacing w:line="260" w:lineRule="auto"/>
        <w:rPr>
          <w:highlight w:val="none"/>
        </w:rPr>
      </w:pPr>
    </w:p>
    <w:p w14:paraId="6F0F99F1">
      <w:pPr>
        <w:spacing w:before="69" w:line="281" w:lineRule="auto"/>
        <w:ind w:right="100" w:firstLine="640"/>
        <w:rPr>
          <w:rFonts w:ascii="宋体" w:hAnsi="宋体" w:eastAsia="宋体" w:cs="宋体"/>
          <w:sz w:val="21"/>
          <w:szCs w:val="21"/>
          <w:highlight w:val="none"/>
        </w:rPr>
      </w:pPr>
      <w:r>
        <w:rPr>
          <w:rFonts w:ascii="宋体" w:hAnsi="宋体" w:eastAsia="宋体" w:cs="宋体"/>
          <w:sz w:val="21"/>
          <w:szCs w:val="21"/>
          <w:highlight w:val="none"/>
        </w:rPr>
        <w:t>1.1.4.8基准日期：招标发包的工程以投标截止日前28天的日期为基准日期，直接发</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包的工程以合同订立日前28天的日期为基准日期。</w:t>
      </w:r>
    </w:p>
    <w:p w14:paraId="5C0DF64D">
      <w:pPr>
        <w:pStyle w:val="2"/>
        <w:spacing w:line="256" w:lineRule="auto"/>
        <w:rPr>
          <w:highlight w:val="none"/>
        </w:rPr>
      </w:pPr>
    </w:p>
    <w:p w14:paraId="7FFD588C">
      <w:pPr>
        <w:spacing w:before="72" w:line="273" w:lineRule="auto"/>
        <w:ind w:firstLine="640"/>
        <w:rPr>
          <w:rFonts w:ascii="宋体" w:hAnsi="宋体" w:eastAsia="宋体" w:cs="宋体"/>
          <w:sz w:val="22"/>
          <w:szCs w:val="22"/>
          <w:highlight w:val="none"/>
        </w:rPr>
      </w:pPr>
      <w:r>
        <w:rPr>
          <w:rFonts w:ascii="宋体" w:hAnsi="宋体" w:eastAsia="宋体" w:cs="宋体"/>
          <w:spacing w:val="-12"/>
          <w:sz w:val="22"/>
          <w:szCs w:val="22"/>
          <w:highlight w:val="none"/>
        </w:rPr>
        <w:t>1.1.4.9天：除特别指明外，均指日历天。合同中按天计算时间的，开始当天不计入，</w:t>
      </w:r>
      <w:r>
        <w:rPr>
          <w:rFonts w:ascii="宋体" w:hAnsi="宋体" w:eastAsia="宋体" w:cs="宋体"/>
          <w:spacing w:val="11"/>
          <w:sz w:val="22"/>
          <w:szCs w:val="22"/>
          <w:highlight w:val="none"/>
        </w:rPr>
        <w:t xml:space="preserve"> </w:t>
      </w:r>
      <w:r>
        <w:rPr>
          <w:rFonts w:ascii="宋体" w:hAnsi="宋体" w:eastAsia="宋体" w:cs="宋体"/>
          <w:spacing w:val="-10"/>
          <w:sz w:val="22"/>
          <w:szCs w:val="22"/>
          <w:highlight w:val="none"/>
        </w:rPr>
        <w:t>从次日开始计算。期限最后一天的截止时间为当天24:00。</w:t>
      </w:r>
    </w:p>
    <w:p w14:paraId="6C80013C">
      <w:pPr>
        <w:pStyle w:val="2"/>
        <w:spacing w:line="251" w:lineRule="auto"/>
        <w:rPr>
          <w:highlight w:val="none"/>
        </w:rPr>
      </w:pPr>
    </w:p>
    <w:p w14:paraId="2E2D8DB5">
      <w:pPr>
        <w:spacing w:before="66" w:line="219" w:lineRule="auto"/>
        <w:ind w:right="30"/>
        <w:jc w:val="right"/>
        <w:rPr>
          <w:rFonts w:ascii="宋体" w:hAnsi="宋体" w:eastAsia="宋体" w:cs="宋体"/>
          <w:sz w:val="20"/>
          <w:szCs w:val="20"/>
          <w:highlight w:val="none"/>
        </w:rPr>
      </w:pPr>
      <w:r>
        <w:rPr>
          <w:highlight w:val="none"/>
        </w:rPr>
        <w:fldChar w:fldCharType="begin"/>
      </w:r>
      <w:r>
        <w:rPr>
          <w:highlight w:val="none"/>
        </w:rPr>
        <w:instrText xml:space="preserve"> HYPERLINK "1.1.4.10" </w:instrText>
      </w:r>
      <w:r>
        <w:rPr>
          <w:highlight w:val="none"/>
        </w:rPr>
        <w:fldChar w:fldCharType="separate"/>
      </w:r>
      <w:r>
        <w:rPr>
          <w:rFonts w:ascii="Times New Roman" w:hAnsi="Times New Roman" w:eastAsia="Times New Roman" w:cs="Times New Roman"/>
          <w:spacing w:val="3"/>
          <w:sz w:val="20"/>
          <w:szCs w:val="20"/>
          <w:highlight w:val="none"/>
        </w:rPr>
        <w:t>1.1.4.10</w:t>
      </w:r>
      <w:r>
        <w:rPr>
          <w:rFonts w:ascii="Times New Roman" w:hAnsi="Times New Roman" w:eastAsia="Times New Roman" w:cs="Times New Roman"/>
          <w:spacing w:val="3"/>
          <w:sz w:val="20"/>
          <w:szCs w:val="20"/>
          <w:highlight w:val="none"/>
        </w:rPr>
        <w:fldChar w:fldCharType="end"/>
      </w:r>
      <w:r>
        <w:rPr>
          <w:rFonts w:ascii="Times New Roman" w:hAnsi="Times New Roman" w:eastAsia="Times New Roman" w:cs="Times New Roman"/>
          <w:spacing w:val="3"/>
          <w:sz w:val="20"/>
          <w:szCs w:val="20"/>
          <w:highlight w:val="none"/>
        </w:rPr>
        <w:t xml:space="preserve">     </w:t>
      </w:r>
      <w:r>
        <w:rPr>
          <w:rFonts w:ascii="宋体" w:hAnsi="宋体" w:eastAsia="宋体" w:cs="宋体"/>
          <w:spacing w:val="3"/>
          <w:sz w:val="20"/>
          <w:szCs w:val="20"/>
          <w:highlight w:val="none"/>
        </w:rPr>
        <w:t>竣工试验：是指在工程竣工验收前，根据第9条[竣工试验]要求进</w:t>
      </w:r>
      <w:r>
        <w:rPr>
          <w:rFonts w:ascii="宋体" w:hAnsi="宋体" w:eastAsia="宋体" w:cs="宋体"/>
          <w:spacing w:val="2"/>
          <w:sz w:val="20"/>
          <w:szCs w:val="20"/>
          <w:highlight w:val="none"/>
        </w:rPr>
        <w:t>行的试验。</w:t>
      </w:r>
    </w:p>
    <w:p w14:paraId="79A0EE74">
      <w:pPr>
        <w:pStyle w:val="2"/>
        <w:spacing w:line="260" w:lineRule="auto"/>
        <w:rPr>
          <w:highlight w:val="none"/>
        </w:rPr>
      </w:pPr>
    </w:p>
    <w:p w14:paraId="22A370B0">
      <w:pPr>
        <w:spacing w:before="72" w:line="273" w:lineRule="auto"/>
        <w:ind w:right="100" w:firstLine="640"/>
        <w:rPr>
          <w:rFonts w:ascii="宋体" w:hAnsi="宋体" w:eastAsia="宋体" w:cs="宋体"/>
          <w:sz w:val="22"/>
          <w:szCs w:val="22"/>
          <w:highlight w:val="none"/>
        </w:rPr>
      </w:pPr>
      <w:r>
        <w:rPr>
          <w:highlight w:val="none"/>
        </w:rPr>
        <w:fldChar w:fldCharType="begin"/>
      </w:r>
      <w:r>
        <w:rPr>
          <w:highlight w:val="none"/>
        </w:rPr>
        <w:instrText xml:space="preserve"> HYPERLINK "1.1.4.11" </w:instrText>
      </w:r>
      <w:r>
        <w:rPr>
          <w:highlight w:val="none"/>
        </w:rPr>
        <w:fldChar w:fldCharType="separate"/>
      </w:r>
      <w:r>
        <w:rPr>
          <w:rFonts w:ascii="Times New Roman" w:hAnsi="Times New Roman" w:eastAsia="Times New Roman" w:cs="Times New Roman"/>
          <w:spacing w:val="-7"/>
          <w:sz w:val="22"/>
          <w:szCs w:val="22"/>
          <w:highlight w:val="none"/>
        </w:rPr>
        <w:t>1.1.4.11</w:t>
      </w:r>
      <w:r>
        <w:rPr>
          <w:rFonts w:ascii="Times New Roman" w:hAnsi="Times New Roman" w:eastAsia="Times New Roman" w:cs="Times New Roman"/>
          <w:spacing w:val="-7"/>
          <w:sz w:val="22"/>
          <w:szCs w:val="22"/>
          <w:highlight w:val="none"/>
        </w:rPr>
        <w:fldChar w:fldCharType="end"/>
      </w:r>
      <w:r>
        <w:rPr>
          <w:rFonts w:ascii="Times New Roman" w:hAnsi="Times New Roman" w:eastAsia="Times New Roman" w:cs="Times New Roman"/>
          <w:spacing w:val="-7"/>
          <w:sz w:val="22"/>
          <w:szCs w:val="22"/>
          <w:highlight w:val="none"/>
        </w:rPr>
        <w:t xml:space="preserve">    </w:t>
      </w:r>
      <w:r>
        <w:rPr>
          <w:rFonts w:ascii="宋体" w:hAnsi="宋体" w:eastAsia="宋体" w:cs="宋体"/>
          <w:spacing w:val="-7"/>
          <w:sz w:val="22"/>
          <w:szCs w:val="22"/>
          <w:highlight w:val="none"/>
        </w:rPr>
        <w:t>竣工验收：是指承包人完成了合同约定的各项内容后，发包人按合同要求</w:t>
      </w:r>
      <w:r>
        <w:rPr>
          <w:rFonts w:ascii="宋体" w:hAnsi="宋体" w:eastAsia="宋体" w:cs="宋体"/>
          <w:spacing w:val="1"/>
          <w:sz w:val="22"/>
          <w:szCs w:val="22"/>
          <w:highlight w:val="none"/>
        </w:rPr>
        <w:t xml:space="preserve"> </w:t>
      </w:r>
      <w:r>
        <w:rPr>
          <w:rFonts w:ascii="宋体" w:hAnsi="宋体" w:eastAsia="宋体" w:cs="宋体"/>
          <w:spacing w:val="-13"/>
          <w:sz w:val="22"/>
          <w:szCs w:val="22"/>
          <w:highlight w:val="none"/>
        </w:rPr>
        <w:t>进行的验收。</w:t>
      </w:r>
    </w:p>
    <w:p w14:paraId="330ED4AC">
      <w:pPr>
        <w:pStyle w:val="2"/>
        <w:spacing w:line="267" w:lineRule="auto"/>
        <w:rPr>
          <w:highlight w:val="none"/>
        </w:rPr>
      </w:pPr>
    </w:p>
    <w:p w14:paraId="49C77CAB">
      <w:pPr>
        <w:spacing w:before="69" w:line="283" w:lineRule="auto"/>
        <w:ind w:right="99" w:firstLine="640"/>
        <w:rPr>
          <w:rFonts w:ascii="宋体" w:hAnsi="宋体" w:eastAsia="宋体" w:cs="宋体"/>
          <w:sz w:val="21"/>
          <w:szCs w:val="21"/>
          <w:highlight w:val="none"/>
        </w:rPr>
      </w:pPr>
      <w:r>
        <w:rPr>
          <w:highlight w:val="none"/>
        </w:rPr>
        <w:fldChar w:fldCharType="begin"/>
      </w:r>
      <w:r>
        <w:rPr>
          <w:highlight w:val="none"/>
        </w:rPr>
        <w:instrText xml:space="preserve"> HYPERLINK "1.1.4.12" </w:instrText>
      </w:r>
      <w:r>
        <w:rPr>
          <w:highlight w:val="none"/>
        </w:rPr>
        <w:fldChar w:fldCharType="separate"/>
      </w:r>
      <w:r>
        <w:rPr>
          <w:rFonts w:ascii="Times New Roman" w:hAnsi="Times New Roman" w:eastAsia="Times New Roman" w:cs="Times New Roman"/>
          <w:spacing w:val="1"/>
          <w:sz w:val="21"/>
          <w:szCs w:val="21"/>
          <w:highlight w:val="none"/>
        </w:rPr>
        <w:t>1.1.4.12</w:t>
      </w:r>
      <w:r>
        <w:rPr>
          <w:rFonts w:ascii="Times New Roman" w:hAnsi="Times New Roman" w:eastAsia="Times New Roman" w:cs="Times New Roman"/>
          <w:spacing w:val="1"/>
          <w:sz w:val="21"/>
          <w:szCs w:val="21"/>
          <w:highlight w:val="none"/>
        </w:rPr>
        <w:fldChar w:fldCharType="end"/>
      </w:r>
      <w:r>
        <w:rPr>
          <w:rFonts w:ascii="Times New Roman" w:hAnsi="Times New Roman" w:eastAsia="Times New Roman" w:cs="Times New Roman"/>
          <w:spacing w:val="1"/>
          <w:sz w:val="21"/>
          <w:szCs w:val="21"/>
          <w:highlight w:val="none"/>
        </w:rPr>
        <w:t xml:space="preserve">    </w:t>
      </w:r>
      <w:r>
        <w:rPr>
          <w:rFonts w:ascii="宋体" w:hAnsi="宋体" w:eastAsia="宋体" w:cs="宋体"/>
          <w:spacing w:val="1"/>
          <w:sz w:val="21"/>
          <w:szCs w:val="21"/>
          <w:highlight w:val="none"/>
        </w:rPr>
        <w:t>竣工后试验：是指在工程竣工验收后，根据第12条[竣工后试验]约定进行</w:t>
      </w:r>
      <w:r>
        <w:rPr>
          <w:rFonts w:ascii="宋体" w:hAnsi="宋体" w:eastAsia="宋体" w:cs="宋体"/>
          <w:spacing w:val="11"/>
          <w:sz w:val="21"/>
          <w:szCs w:val="21"/>
          <w:highlight w:val="none"/>
        </w:rPr>
        <w:t xml:space="preserve"> </w:t>
      </w:r>
      <w:r>
        <w:rPr>
          <w:rFonts w:ascii="宋体" w:hAnsi="宋体" w:eastAsia="宋体" w:cs="宋体"/>
          <w:spacing w:val="-11"/>
          <w:sz w:val="21"/>
          <w:szCs w:val="21"/>
          <w:highlight w:val="none"/>
        </w:rPr>
        <w:t>的试验。</w:t>
      </w:r>
    </w:p>
    <w:p w14:paraId="321A101B">
      <w:pPr>
        <w:pStyle w:val="2"/>
        <w:spacing w:line="258" w:lineRule="auto"/>
        <w:rPr>
          <w:highlight w:val="none"/>
        </w:rPr>
      </w:pPr>
    </w:p>
    <w:p w14:paraId="446281CB">
      <w:pPr>
        <w:spacing w:before="66" w:line="218" w:lineRule="auto"/>
        <w:ind w:left="430"/>
        <w:rPr>
          <w:rFonts w:ascii="宋体" w:hAnsi="宋体" w:eastAsia="宋体" w:cs="宋体"/>
          <w:sz w:val="20"/>
          <w:szCs w:val="20"/>
          <w:highlight w:val="none"/>
        </w:rPr>
      </w:pPr>
      <w:r>
        <w:rPr>
          <w:rFonts w:ascii="宋体" w:hAnsi="宋体" w:eastAsia="宋体" w:cs="宋体"/>
          <w:spacing w:val="13"/>
          <w:sz w:val="20"/>
          <w:szCs w:val="20"/>
          <w:highlight w:val="none"/>
        </w:rPr>
        <w:t>1.</w:t>
      </w:r>
      <w:r>
        <w:rPr>
          <w:rFonts w:ascii="宋体" w:hAnsi="宋体" w:eastAsia="宋体" w:cs="宋体"/>
          <w:spacing w:val="-53"/>
          <w:sz w:val="20"/>
          <w:szCs w:val="20"/>
          <w:highlight w:val="none"/>
        </w:rPr>
        <w:t xml:space="preserve"> </w:t>
      </w:r>
      <w:r>
        <w:rPr>
          <w:rFonts w:ascii="宋体" w:hAnsi="宋体" w:eastAsia="宋体" w:cs="宋体"/>
          <w:spacing w:val="13"/>
          <w:sz w:val="20"/>
          <w:szCs w:val="20"/>
          <w:highlight w:val="none"/>
        </w:rPr>
        <w:t>1.5合同价格和费用</w:t>
      </w:r>
    </w:p>
    <w:p w14:paraId="3CCCA047">
      <w:pPr>
        <w:pStyle w:val="2"/>
        <w:spacing w:line="275" w:lineRule="auto"/>
        <w:rPr>
          <w:highlight w:val="none"/>
        </w:rPr>
      </w:pPr>
    </w:p>
    <w:p w14:paraId="2F448932">
      <w:pPr>
        <w:spacing w:before="68" w:line="280" w:lineRule="auto"/>
        <w:ind w:right="100" w:firstLine="64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1.1.5.1    </w:t>
      </w:r>
      <w:r>
        <w:rPr>
          <w:rFonts w:ascii="宋体" w:hAnsi="宋体" w:eastAsia="宋体" w:cs="宋体"/>
          <w:spacing w:val="-1"/>
          <w:sz w:val="21"/>
          <w:szCs w:val="21"/>
          <w:highlight w:val="none"/>
        </w:rPr>
        <w:t>签约合同价：是指发包人和承包人在合同协议书中确定的总金额</w:t>
      </w:r>
      <w:r>
        <w:rPr>
          <w:rFonts w:ascii="宋体" w:hAnsi="宋体" w:eastAsia="宋体" w:cs="宋体"/>
          <w:spacing w:val="-2"/>
          <w:sz w:val="21"/>
          <w:szCs w:val="21"/>
          <w:highlight w:val="none"/>
        </w:rPr>
        <w:t>，包括暂估</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价及暂列金额等。</w:t>
      </w:r>
    </w:p>
    <w:p w14:paraId="712E3F7C">
      <w:pPr>
        <w:pStyle w:val="2"/>
        <w:spacing w:line="265" w:lineRule="auto"/>
        <w:rPr>
          <w:highlight w:val="none"/>
        </w:rPr>
      </w:pPr>
    </w:p>
    <w:p w14:paraId="72841A8B">
      <w:pPr>
        <w:spacing w:before="65" w:line="218" w:lineRule="auto"/>
        <w:ind w:left="64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1.1.5.2     </w:t>
      </w:r>
      <w:r>
        <w:rPr>
          <w:rFonts w:ascii="宋体" w:hAnsi="宋体" w:eastAsia="宋体" w:cs="宋体"/>
          <w:spacing w:val="6"/>
          <w:sz w:val="20"/>
          <w:szCs w:val="20"/>
          <w:highlight w:val="none"/>
        </w:rPr>
        <w:t>合同价格：是指发包人用于支付承包人按照合同约定完成承包范围内全部工</w:t>
      </w:r>
    </w:p>
    <w:p w14:paraId="4F817170">
      <w:pPr>
        <w:spacing w:line="218" w:lineRule="auto"/>
        <w:rPr>
          <w:rFonts w:ascii="宋体" w:hAnsi="宋体" w:eastAsia="宋体" w:cs="宋体"/>
          <w:sz w:val="20"/>
          <w:szCs w:val="20"/>
          <w:highlight w:val="none"/>
        </w:rPr>
        <w:sectPr>
          <w:footerReference r:id="rId74" w:type="default"/>
          <w:pgSz w:w="11910" w:h="16840"/>
          <w:pgMar w:top="400" w:right="1719" w:bottom="1217" w:left="1779" w:header="0" w:footer="1013" w:gutter="0"/>
          <w:cols w:space="720" w:num="1"/>
        </w:sectPr>
      </w:pPr>
    </w:p>
    <w:p w14:paraId="22EC06F4">
      <w:pPr>
        <w:pStyle w:val="2"/>
        <w:spacing w:line="246" w:lineRule="auto"/>
        <w:rPr>
          <w:highlight w:val="none"/>
        </w:rPr>
      </w:pPr>
    </w:p>
    <w:p w14:paraId="68D4A6BD">
      <w:pPr>
        <w:pStyle w:val="2"/>
        <w:spacing w:line="246" w:lineRule="auto"/>
        <w:rPr>
          <w:highlight w:val="none"/>
        </w:rPr>
      </w:pPr>
    </w:p>
    <w:p w14:paraId="72783C6D">
      <w:pPr>
        <w:pStyle w:val="2"/>
        <w:spacing w:line="246" w:lineRule="auto"/>
        <w:rPr>
          <w:highlight w:val="none"/>
        </w:rPr>
      </w:pPr>
    </w:p>
    <w:p w14:paraId="4FA4B58E">
      <w:pPr>
        <w:pStyle w:val="2"/>
        <w:spacing w:line="247" w:lineRule="auto"/>
        <w:rPr>
          <w:highlight w:val="none"/>
        </w:rPr>
      </w:pPr>
    </w:p>
    <w:p w14:paraId="1988EF43">
      <w:pPr>
        <w:spacing w:before="65" w:line="218" w:lineRule="auto"/>
        <w:rPr>
          <w:rFonts w:ascii="宋体" w:hAnsi="宋体" w:eastAsia="宋体" w:cs="宋体"/>
          <w:sz w:val="20"/>
          <w:szCs w:val="20"/>
          <w:highlight w:val="none"/>
        </w:rPr>
      </w:pPr>
      <w:r>
        <w:rPr>
          <w:rFonts w:ascii="宋体" w:hAnsi="宋体" w:eastAsia="宋体" w:cs="宋体"/>
          <w:spacing w:val="8"/>
          <w:sz w:val="20"/>
          <w:szCs w:val="20"/>
          <w:highlight w:val="none"/>
        </w:rPr>
        <w:t>作的金额，包括合同履行过程中按合同约定发生的价格变化。</w:t>
      </w:r>
    </w:p>
    <w:p w14:paraId="1F26BF87">
      <w:pPr>
        <w:pStyle w:val="2"/>
        <w:spacing w:line="268" w:lineRule="auto"/>
        <w:rPr>
          <w:highlight w:val="none"/>
        </w:rPr>
      </w:pPr>
    </w:p>
    <w:p w14:paraId="68F0C2D6">
      <w:pPr>
        <w:spacing w:before="65" w:line="290" w:lineRule="auto"/>
        <w:ind w:right="93" w:firstLine="65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1.1.5.3     </w:t>
      </w:r>
      <w:r>
        <w:rPr>
          <w:rFonts w:ascii="宋体" w:hAnsi="宋体" w:eastAsia="宋体" w:cs="宋体"/>
          <w:spacing w:val="6"/>
          <w:sz w:val="20"/>
          <w:szCs w:val="20"/>
          <w:highlight w:val="none"/>
        </w:rPr>
        <w:t>费用：是指为履行合同所发生的或将要发生的所有合理开支，包括管理费和</w:t>
      </w:r>
      <w:r>
        <w:rPr>
          <w:rFonts w:ascii="宋体" w:hAnsi="宋体" w:eastAsia="宋体" w:cs="宋体"/>
          <w:spacing w:val="5"/>
          <w:sz w:val="20"/>
          <w:szCs w:val="20"/>
          <w:highlight w:val="none"/>
        </w:rPr>
        <w:t xml:space="preserve"> </w:t>
      </w:r>
      <w:r>
        <w:rPr>
          <w:rFonts w:ascii="宋体" w:hAnsi="宋体" w:eastAsia="宋体" w:cs="宋体"/>
          <w:spacing w:val="8"/>
          <w:sz w:val="20"/>
          <w:szCs w:val="20"/>
          <w:highlight w:val="none"/>
        </w:rPr>
        <w:t>应分摊的其他费用，但不包括利润。</w:t>
      </w:r>
    </w:p>
    <w:p w14:paraId="7A1DCAB1">
      <w:pPr>
        <w:pStyle w:val="2"/>
        <w:spacing w:line="259" w:lineRule="auto"/>
        <w:rPr>
          <w:highlight w:val="none"/>
        </w:rPr>
      </w:pPr>
    </w:p>
    <w:p w14:paraId="29B79048">
      <w:pPr>
        <w:spacing w:before="71" w:line="275" w:lineRule="auto"/>
        <w:ind w:right="96" w:firstLine="65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 xml:space="preserve">1.1.5.4    </w:t>
      </w:r>
      <w:r>
        <w:rPr>
          <w:rFonts w:ascii="宋体" w:hAnsi="宋体" w:eastAsia="宋体" w:cs="宋体"/>
          <w:spacing w:val="-4"/>
          <w:sz w:val="22"/>
          <w:szCs w:val="22"/>
          <w:highlight w:val="none"/>
        </w:rPr>
        <w:t>人工费：是指支付给直接</w:t>
      </w:r>
      <w:r>
        <w:rPr>
          <w:rFonts w:ascii="宋体" w:hAnsi="宋体" w:eastAsia="宋体" w:cs="宋体"/>
          <w:spacing w:val="-5"/>
          <w:sz w:val="22"/>
          <w:szCs w:val="22"/>
          <w:highlight w:val="none"/>
        </w:rPr>
        <w:t>从事建筑安装工程施工作业的建筑工人的各项费</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用。</w:t>
      </w:r>
    </w:p>
    <w:p w14:paraId="033BDFF7">
      <w:pPr>
        <w:pStyle w:val="2"/>
        <w:spacing w:line="249" w:lineRule="auto"/>
        <w:rPr>
          <w:highlight w:val="none"/>
        </w:rPr>
      </w:pPr>
    </w:p>
    <w:p w14:paraId="58837F36">
      <w:pPr>
        <w:spacing w:before="72" w:line="273" w:lineRule="auto"/>
        <w:ind w:right="93" w:firstLine="65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1.1.5.5    </w:t>
      </w:r>
      <w:r>
        <w:rPr>
          <w:rFonts w:ascii="宋体" w:hAnsi="宋体" w:eastAsia="宋体" w:cs="宋体"/>
          <w:spacing w:val="-9"/>
          <w:sz w:val="22"/>
          <w:szCs w:val="22"/>
          <w:highlight w:val="none"/>
        </w:rPr>
        <w:t>暂估价：是指发包人在项目清单中给定的，</w:t>
      </w:r>
      <w:r>
        <w:rPr>
          <w:rFonts w:ascii="宋体" w:hAnsi="宋体" w:eastAsia="宋体" w:cs="宋体"/>
          <w:spacing w:val="-10"/>
          <w:sz w:val="22"/>
          <w:szCs w:val="22"/>
          <w:highlight w:val="none"/>
        </w:rPr>
        <w:t>用于支付必然发生但暂时不能确</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定价格的专业服务、材料、设备、专业工程的金额。</w:t>
      </w:r>
    </w:p>
    <w:p w14:paraId="14197C72">
      <w:pPr>
        <w:pStyle w:val="2"/>
        <w:spacing w:line="258" w:lineRule="auto"/>
        <w:rPr>
          <w:highlight w:val="none"/>
        </w:rPr>
      </w:pPr>
    </w:p>
    <w:p w14:paraId="21E725A0">
      <w:pPr>
        <w:spacing w:before="71" w:line="297" w:lineRule="auto"/>
        <w:ind w:right="96" w:firstLine="65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1.1.5.6    </w:t>
      </w:r>
      <w:r>
        <w:rPr>
          <w:rFonts w:ascii="宋体" w:hAnsi="宋体" w:eastAsia="宋体" w:cs="宋体"/>
          <w:spacing w:val="-9"/>
          <w:sz w:val="22"/>
          <w:szCs w:val="22"/>
          <w:highlight w:val="none"/>
        </w:rPr>
        <w:t>暂列金额：是指发包人在项目清单中</w:t>
      </w:r>
      <w:r>
        <w:rPr>
          <w:rFonts w:ascii="宋体" w:hAnsi="宋体" w:eastAsia="宋体" w:cs="宋体"/>
          <w:spacing w:val="-10"/>
          <w:sz w:val="22"/>
          <w:szCs w:val="22"/>
          <w:highlight w:val="none"/>
        </w:rPr>
        <w:t>给定的，用于在订立协议书时尚未确定</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或不可预见变更的设计、施工及其所需材料、工程设备、服务等的金额，包括以计日</w:t>
      </w:r>
      <w:r>
        <w:rPr>
          <w:rFonts w:ascii="宋体" w:hAnsi="宋体" w:eastAsia="宋体" w:cs="宋体"/>
          <w:spacing w:val="-13"/>
          <w:sz w:val="22"/>
          <w:szCs w:val="22"/>
          <w:highlight w:val="none"/>
        </w:rPr>
        <w:t>工方式</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支付的金额。</w:t>
      </w:r>
    </w:p>
    <w:p w14:paraId="02CE83D8">
      <w:pPr>
        <w:pStyle w:val="2"/>
        <w:spacing w:line="245" w:lineRule="auto"/>
        <w:rPr>
          <w:highlight w:val="none"/>
        </w:rPr>
      </w:pPr>
    </w:p>
    <w:p w14:paraId="423E08CD">
      <w:pPr>
        <w:spacing w:before="72" w:line="272" w:lineRule="auto"/>
        <w:ind w:right="100" w:firstLine="650"/>
        <w:rPr>
          <w:rFonts w:ascii="宋体" w:hAnsi="宋体" w:eastAsia="宋体" w:cs="宋体"/>
          <w:sz w:val="22"/>
          <w:szCs w:val="22"/>
          <w:highlight w:val="none"/>
        </w:rPr>
      </w:pPr>
      <w:r>
        <w:rPr>
          <w:rFonts w:ascii="宋体" w:hAnsi="宋体" w:eastAsia="宋体" w:cs="宋体"/>
          <w:spacing w:val="-9"/>
          <w:sz w:val="22"/>
          <w:szCs w:val="22"/>
          <w:highlight w:val="none"/>
        </w:rPr>
        <w:t>1.1.5.7计日工：是指合同履行过程中，承包人完成发包人提出的零星工作或需</w:t>
      </w:r>
      <w:r>
        <w:rPr>
          <w:rFonts w:ascii="宋体" w:hAnsi="宋体" w:eastAsia="宋体" w:cs="宋体"/>
          <w:spacing w:val="-10"/>
          <w:sz w:val="22"/>
          <w:szCs w:val="22"/>
          <w:highlight w:val="none"/>
        </w:rPr>
        <w:t>要采</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用计日工计价的变更工作时，按合同中约定的单价计价的一种方式。</w:t>
      </w:r>
    </w:p>
    <w:p w14:paraId="641DE356">
      <w:pPr>
        <w:pStyle w:val="2"/>
        <w:spacing w:line="248" w:lineRule="auto"/>
        <w:rPr>
          <w:highlight w:val="none"/>
        </w:rPr>
      </w:pPr>
    </w:p>
    <w:p w14:paraId="57EC188C">
      <w:pPr>
        <w:spacing w:before="71" w:line="282" w:lineRule="auto"/>
        <w:ind w:right="96" w:firstLine="650"/>
        <w:rPr>
          <w:rFonts w:ascii="宋体" w:hAnsi="宋体" w:eastAsia="宋体" w:cs="宋体"/>
          <w:sz w:val="22"/>
          <w:szCs w:val="22"/>
          <w:highlight w:val="none"/>
        </w:rPr>
      </w:pPr>
      <w:r>
        <w:rPr>
          <w:rFonts w:ascii="宋体" w:hAnsi="宋体" w:eastAsia="宋体" w:cs="宋体"/>
          <w:spacing w:val="-8"/>
          <w:sz w:val="22"/>
          <w:szCs w:val="22"/>
          <w:highlight w:val="none"/>
        </w:rPr>
        <w:t>1.1.5.8质量保证金：是指按第14.6款[质量保证金]</w:t>
      </w:r>
      <w:r>
        <w:rPr>
          <w:rFonts w:ascii="宋体" w:hAnsi="宋体" w:eastAsia="宋体" w:cs="宋体"/>
          <w:spacing w:val="-9"/>
          <w:sz w:val="22"/>
          <w:szCs w:val="22"/>
          <w:highlight w:val="none"/>
        </w:rPr>
        <w:t>约定承包人用于保证其在缺陷责</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任期内履行缺陷修复义务的担保。</w:t>
      </w:r>
    </w:p>
    <w:p w14:paraId="0D6E964E">
      <w:pPr>
        <w:spacing w:before="280" w:line="220" w:lineRule="auto"/>
        <w:ind w:left="430"/>
        <w:rPr>
          <w:rFonts w:ascii="宋体" w:hAnsi="宋体" w:eastAsia="宋体" w:cs="宋体"/>
          <w:sz w:val="22"/>
          <w:szCs w:val="22"/>
          <w:highlight w:val="none"/>
        </w:rPr>
      </w:pPr>
      <w:r>
        <w:rPr>
          <w:rFonts w:ascii="宋体" w:hAnsi="宋体" w:eastAsia="宋体" w:cs="宋体"/>
          <w:spacing w:val="-8"/>
          <w:sz w:val="22"/>
          <w:szCs w:val="22"/>
          <w:highlight w:val="none"/>
        </w:rPr>
        <w:t>1.1.6</w:t>
      </w:r>
      <w:r>
        <w:rPr>
          <w:rFonts w:ascii="宋体" w:hAnsi="宋体" w:eastAsia="宋体" w:cs="宋体"/>
          <w:spacing w:val="10"/>
          <w:sz w:val="22"/>
          <w:szCs w:val="22"/>
          <w:highlight w:val="none"/>
        </w:rPr>
        <w:t xml:space="preserve"> </w:t>
      </w:r>
      <w:r>
        <w:rPr>
          <w:rFonts w:ascii="宋体" w:hAnsi="宋体" w:eastAsia="宋体" w:cs="宋体"/>
          <w:spacing w:val="-8"/>
          <w:sz w:val="22"/>
          <w:szCs w:val="22"/>
          <w:highlight w:val="none"/>
        </w:rPr>
        <w:t>其他</w:t>
      </w:r>
    </w:p>
    <w:p w14:paraId="6C27A2A9">
      <w:pPr>
        <w:pStyle w:val="2"/>
        <w:spacing w:line="252" w:lineRule="auto"/>
        <w:rPr>
          <w:highlight w:val="none"/>
        </w:rPr>
      </w:pPr>
    </w:p>
    <w:p w14:paraId="43FFFD7C">
      <w:pPr>
        <w:spacing w:before="72" w:line="278" w:lineRule="auto"/>
        <w:ind w:right="98" w:firstLine="65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1.1.6.1    </w:t>
      </w:r>
      <w:r>
        <w:rPr>
          <w:rFonts w:ascii="宋体" w:hAnsi="宋体" w:eastAsia="宋体" w:cs="宋体"/>
          <w:spacing w:val="-9"/>
          <w:sz w:val="22"/>
          <w:szCs w:val="22"/>
          <w:highlight w:val="none"/>
        </w:rPr>
        <w:t>书面形式：指合同文件、信函、</w:t>
      </w:r>
      <w:r>
        <w:rPr>
          <w:rFonts w:ascii="宋体" w:hAnsi="宋体" w:eastAsia="宋体" w:cs="宋体"/>
          <w:spacing w:val="-10"/>
          <w:sz w:val="22"/>
          <w:szCs w:val="22"/>
          <w:highlight w:val="none"/>
        </w:rPr>
        <w:t>电报、传真、数据电文、电子邮件、会议纪</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要等可以有形地表现所载内容的形式。</w:t>
      </w:r>
    </w:p>
    <w:p w14:paraId="5D72F623">
      <w:pPr>
        <w:pStyle w:val="2"/>
        <w:spacing w:line="245" w:lineRule="auto"/>
        <w:rPr>
          <w:highlight w:val="none"/>
        </w:rPr>
      </w:pPr>
    </w:p>
    <w:p w14:paraId="2B4B5900">
      <w:pPr>
        <w:spacing w:before="72" w:line="277" w:lineRule="auto"/>
        <w:ind w:right="101" w:firstLine="65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1.1.6.2    </w:t>
      </w:r>
      <w:r>
        <w:rPr>
          <w:rFonts w:ascii="宋体" w:hAnsi="宋体" w:eastAsia="宋体" w:cs="宋体"/>
          <w:spacing w:val="-9"/>
          <w:sz w:val="22"/>
          <w:szCs w:val="22"/>
          <w:highlight w:val="none"/>
        </w:rPr>
        <w:t>承包人文件：指由承包人</w:t>
      </w:r>
      <w:r>
        <w:rPr>
          <w:rFonts w:ascii="宋体" w:hAnsi="宋体" w:eastAsia="宋体" w:cs="宋体"/>
          <w:spacing w:val="-10"/>
          <w:sz w:val="22"/>
          <w:szCs w:val="22"/>
          <w:highlight w:val="none"/>
        </w:rPr>
        <w:t>根据合同约定应提交的所有图纸、手册、模型、计</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算书、软件、函件、洽商性文件和其他技术性文件。</w:t>
      </w:r>
    </w:p>
    <w:p w14:paraId="0ADD34EE">
      <w:pPr>
        <w:pStyle w:val="2"/>
        <w:spacing w:line="257" w:lineRule="auto"/>
        <w:rPr>
          <w:highlight w:val="none"/>
        </w:rPr>
      </w:pPr>
    </w:p>
    <w:p w14:paraId="3BAC3213">
      <w:pPr>
        <w:spacing w:before="72" w:line="273" w:lineRule="auto"/>
        <w:ind w:firstLine="650"/>
        <w:rPr>
          <w:rFonts w:ascii="宋体" w:hAnsi="宋体" w:eastAsia="宋体" w:cs="宋体"/>
          <w:sz w:val="22"/>
          <w:szCs w:val="22"/>
          <w:highlight w:val="none"/>
        </w:rPr>
      </w:pPr>
      <w:r>
        <w:rPr>
          <w:rFonts w:ascii="宋体" w:hAnsi="宋体" w:eastAsia="宋体" w:cs="宋体"/>
          <w:spacing w:val="-6"/>
          <w:sz w:val="22"/>
          <w:szCs w:val="22"/>
          <w:highlight w:val="none"/>
        </w:rPr>
        <w:t>1.1.6.3变更：指根据第13条[变更与调整]的约定，经指示或批</w:t>
      </w:r>
      <w:r>
        <w:rPr>
          <w:rFonts w:ascii="宋体" w:hAnsi="宋体" w:eastAsia="宋体" w:cs="宋体"/>
          <w:spacing w:val="-7"/>
          <w:sz w:val="22"/>
          <w:szCs w:val="22"/>
          <w:highlight w:val="none"/>
        </w:rPr>
        <w:t>准对《发包人要求》</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或工程所做的改变。</w:t>
      </w:r>
    </w:p>
    <w:p w14:paraId="189A2768">
      <w:pPr>
        <w:pStyle w:val="2"/>
        <w:spacing w:line="392" w:lineRule="auto"/>
        <w:rPr>
          <w:highlight w:val="none"/>
        </w:rPr>
      </w:pPr>
    </w:p>
    <w:p w14:paraId="1000B49D">
      <w:pPr>
        <w:spacing w:before="62" w:line="222" w:lineRule="auto"/>
        <w:rPr>
          <w:rFonts w:ascii="黑体" w:hAnsi="黑体" w:eastAsia="黑体" w:cs="黑体"/>
          <w:sz w:val="19"/>
          <w:szCs w:val="19"/>
          <w:highlight w:val="none"/>
        </w:rPr>
      </w:pPr>
      <w:r>
        <w:rPr>
          <w:rFonts w:ascii="黑体" w:hAnsi="黑体" w:eastAsia="黑体" w:cs="黑体"/>
          <w:spacing w:val="16"/>
          <w:sz w:val="19"/>
          <w:szCs w:val="19"/>
          <w:highlight w:val="none"/>
        </w:rPr>
        <w:t>1</w:t>
      </w:r>
      <w:r>
        <w:rPr>
          <w:rFonts w:ascii="黑体" w:hAnsi="黑体" w:eastAsia="黑体" w:cs="黑体"/>
          <w:spacing w:val="-38"/>
          <w:sz w:val="19"/>
          <w:szCs w:val="19"/>
          <w:highlight w:val="none"/>
        </w:rPr>
        <w:t xml:space="preserve"> </w:t>
      </w:r>
      <w:r>
        <w:rPr>
          <w:rFonts w:ascii="黑体" w:hAnsi="黑体" w:eastAsia="黑体" w:cs="黑体"/>
          <w:spacing w:val="16"/>
          <w:sz w:val="19"/>
          <w:szCs w:val="19"/>
          <w:highlight w:val="none"/>
        </w:rPr>
        <w:t>.</w:t>
      </w:r>
      <w:r>
        <w:rPr>
          <w:rFonts w:ascii="黑体" w:hAnsi="黑体" w:eastAsia="黑体" w:cs="黑体"/>
          <w:spacing w:val="-50"/>
          <w:sz w:val="19"/>
          <w:szCs w:val="19"/>
          <w:highlight w:val="none"/>
        </w:rPr>
        <w:t xml:space="preserve"> </w:t>
      </w:r>
      <w:r>
        <w:rPr>
          <w:rFonts w:ascii="黑体" w:hAnsi="黑体" w:eastAsia="黑体" w:cs="黑体"/>
          <w:spacing w:val="16"/>
          <w:sz w:val="19"/>
          <w:szCs w:val="19"/>
          <w:highlight w:val="none"/>
        </w:rPr>
        <w:t>2语言文字</w:t>
      </w:r>
    </w:p>
    <w:p w14:paraId="733AE82B">
      <w:pPr>
        <w:spacing w:before="195" w:line="408" w:lineRule="auto"/>
        <w:ind w:right="87" w:firstLine="430"/>
        <w:jc w:val="both"/>
        <w:rPr>
          <w:rFonts w:ascii="宋体" w:hAnsi="宋体" w:eastAsia="宋体" w:cs="宋体"/>
          <w:sz w:val="22"/>
          <w:szCs w:val="22"/>
          <w:highlight w:val="none"/>
        </w:rPr>
      </w:pPr>
      <w:r>
        <w:rPr>
          <w:rFonts w:ascii="宋体" w:hAnsi="宋体" w:eastAsia="宋体" w:cs="宋体"/>
          <w:spacing w:val="-12"/>
          <w:sz w:val="22"/>
          <w:szCs w:val="22"/>
          <w:highlight w:val="none"/>
        </w:rPr>
        <w:t>合同文件以中国的汉语简体语言文字编写、解释和说</w:t>
      </w:r>
      <w:r>
        <w:rPr>
          <w:rFonts w:ascii="宋体" w:hAnsi="宋体" w:eastAsia="宋体" w:cs="宋体"/>
          <w:spacing w:val="-13"/>
          <w:sz w:val="22"/>
          <w:szCs w:val="22"/>
          <w:highlight w:val="none"/>
        </w:rPr>
        <w:t>明。专用术语使用外文的，应附有</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中文注释。合同当事人在专用合同条件约定使用两种及以上语言时，汉语为优先解释和说明</w:t>
      </w:r>
      <w:r>
        <w:rPr>
          <w:rFonts w:ascii="宋体" w:hAnsi="宋体" w:eastAsia="宋体" w:cs="宋体"/>
          <w:spacing w:val="11"/>
          <w:sz w:val="22"/>
          <w:szCs w:val="22"/>
          <w:highlight w:val="none"/>
        </w:rPr>
        <w:t xml:space="preserve"> </w:t>
      </w:r>
      <w:r>
        <w:rPr>
          <w:rFonts w:ascii="宋体" w:hAnsi="宋体" w:eastAsia="宋体" w:cs="宋体"/>
          <w:spacing w:val="-13"/>
          <w:sz w:val="22"/>
          <w:szCs w:val="22"/>
          <w:highlight w:val="none"/>
        </w:rPr>
        <w:t>合同的语言。</w:t>
      </w:r>
    </w:p>
    <w:p w14:paraId="0C9FCE2B">
      <w:pPr>
        <w:spacing w:line="423" w:lineRule="auto"/>
        <w:ind w:right="101" w:firstLine="430"/>
        <w:rPr>
          <w:rFonts w:ascii="宋体" w:hAnsi="宋体" w:eastAsia="宋体" w:cs="宋体"/>
          <w:sz w:val="21"/>
          <w:szCs w:val="21"/>
          <w:highlight w:val="none"/>
        </w:rPr>
      </w:pPr>
      <w:r>
        <w:rPr>
          <w:rFonts w:ascii="宋体" w:hAnsi="宋体" w:eastAsia="宋体" w:cs="宋体"/>
          <w:spacing w:val="-2"/>
          <w:sz w:val="21"/>
          <w:szCs w:val="21"/>
          <w:highlight w:val="none"/>
        </w:rPr>
        <w:t>与合同有关的联络应使用专用合同条件约定的语</w:t>
      </w:r>
      <w:r>
        <w:rPr>
          <w:rFonts w:ascii="宋体" w:hAnsi="宋体" w:eastAsia="宋体" w:cs="宋体"/>
          <w:spacing w:val="-3"/>
          <w:sz w:val="21"/>
          <w:szCs w:val="21"/>
          <w:highlight w:val="none"/>
        </w:rPr>
        <w:t>言。如没有约定，则应使用中国的汉语</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简体语言文字。</w:t>
      </w:r>
    </w:p>
    <w:p w14:paraId="263F646E">
      <w:pPr>
        <w:spacing w:line="423" w:lineRule="auto"/>
        <w:rPr>
          <w:rFonts w:ascii="宋体" w:hAnsi="宋体" w:eastAsia="宋体" w:cs="宋体"/>
          <w:sz w:val="21"/>
          <w:szCs w:val="21"/>
          <w:highlight w:val="none"/>
        </w:rPr>
        <w:sectPr>
          <w:footerReference r:id="rId75" w:type="default"/>
          <w:pgSz w:w="11910" w:h="16840"/>
          <w:pgMar w:top="400" w:right="1719" w:bottom="1238" w:left="1769" w:header="0" w:footer="1006" w:gutter="0"/>
          <w:cols w:space="720" w:num="1"/>
        </w:sectPr>
      </w:pPr>
    </w:p>
    <w:p w14:paraId="5E06284D">
      <w:pPr>
        <w:pStyle w:val="2"/>
        <w:spacing w:line="277" w:lineRule="auto"/>
        <w:rPr>
          <w:highlight w:val="none"/>
        </w:rPr>
      </w:pPr>
    </w:p>
    <w:p w14:paraId="6A282778">
      <w:pPr>
        <w:pStyle w:val="2"/>
        <w:spacing w:line="277" w:lineRule="auto"/>
        <w:rPr>
          <w:highlight w:val="none"/>
        </w:rPr>
      </w:pPr>
    </w:p>
    <w:p w14:paraId="24C75FC8">
      <w:pPr>
        <w:pStyle w:val="2"/>
        <w:spacing w:line="277" w:lineRule="auto"/>
        <w:rPr>
          <w:highlight w:val="none"/>
        </w:rPr>
      </w:pPr>
    </w:p>
    <w:p w14:paraId="2DE9E064">
      <w:pPr>
        <w:pStyle w:val="2"/>
        <w:spacing w:line="278" w:lineRule="auto"/>
        <w:rPr>
          <w:highlight w:val="none"/>
        </w:rPr>
      </w:pPr>
    </w:p>
    <w:p w14:paraId="3BC3CE0F">
      <w:pPr>
        <w:spacing w:before="62" w:line="222" w:lineRule="auto"/>
        <w:rPr>
          <w:rFonts w:ascii="黑体" w:hAnsi="黑体" w:eastAsia="黑体" w:cs="黑体"/>
          <w:sz w:val="19"/>
          <w:szCs w:val="19"/>
          <w:highlight w:val="none"/>
        </w:rPr>
      </w:pPr>
      <w:r>
        <w:rPr>
          <w:rFonts w:ascii="黑体" w:hAnsi="黑体" w:eastAsia="黑体" w:cs="黑体"/>
          <w:spacing w:val="-10"/>
          <w:sz w:val="19"/>
          <w:szCs w:val="19"/>
          <w:highlight w:val="none"/>
        </w:rPr>
        <w:t>1</w:t>
      </w:r>
      <w:r>
        <w:rPr>
          <w:rFonts w:ascii="黑体" w:hAnsi="黑体" w:eastAsia="黑体" w:cs="黑体"/>
          <w:spacing w:val="-32"/>
          <w:sz w:val="19"/>
          <w:szCs w:val="19"/>
          <w:highlight w:val="none"/>
        </w:rPr>
        <w:t xml:space="preserve"> </w:t>
      </w:r>
      <w:r>
        <w:rPr>
          <w:rFonts w:ascii="黑体" w:hAnsi="黑体" w:eastAsia="黑体" w:cs="黑体"/>
          <w:spacing w:val="-10"/>
          <w:sz w:val="19"/>
          <w:szCs w:val="19"/>
          <w:highlight w:val="none"/>
        </w:rPr>
        <w:t>.</w:t>
      </w:r>
      <w:r>
        <w:rPr>
          <w:rFonts w:ascii="黑体" w:hAnsi="黑体" w:eastAsia="黑体" w:cs="黑体"/>
          <w:spacing w:val="-40"/>
          <w:sz w:val="19"/>
          <w:szCs w:val="19"/>
          <w:highlight w:val="none"/>
        </w:rPr>
        <w:t xml:space="preserve"> </w:t>
      </w:r>
      <w:r>
        <w:rPr>
          <w:rFonts w:ascii="黑体" w:hAnsi="黑体" w:eastAsia="黑体" w:cs="黑体"/>
          <w:spacing w:val="-10"/>
          <w:sz w:val="19"/>
          <w:szCs w:val="19"/>
          <w:highlight w:val="none"/>
        </w:rPr>
        <w:t>3</w:t>
      </w:r>
      <w:r>
        <w:rPr>
          <w:rFonts w:ascii="黑体" w:hAnsi="黑体" w:eastAsia="黑体" w:cs="黑体"/>
          <w:spacing w:val="-38"/>
          <w:sz w:val="19"/>
          <w:szCs w:val="19"/>
          <w:highlight w:val="none"/>
        </w:rPr>
        <w:t xml:space="preserve"> </w:t>
      </w:r>
      <w:r>
        <w:rPr>
          <w:rFonts w:ascii="黑体" w:hAnsi="黑体" w:eastAsia="黑体" w:cs="黑体"/>
          <w:spacing w:val="-10"/>
          <w:sz w:val="19"/>
          <w:szCs w:val="19"/>
          <w:highlight w:val="none"/>
        </w:rPr>
        <w:t>法</w:t>
      </w:r>
      <w:r>
        <w:rPr>
          <w:rFonts w:ascii="黑体" w:hAnsi="黑体" w:eastAsia="黑体" w:cs="黑体"/>
          <w:spacing w:val="-40"/>
          <w:sz w:val="19"/>
          <w:szCs w:val="19"/>
          <w:highlight w:val="none"/>
        </w:rPr>
        <w:t xml:space="preserve"> </w:t>
      </w:r>
      <w:r>
        <w:rPr>
          <w:rFonts w:ascii="黑体" w:hAnsi="黑体" w:eastAsia="黑体" w:cs="黑体"/>
          <w:spacing w:val="-10"/>
          <w:sz w:val="19"/>
          <w:szCs w:val="19"/>
          <w:highlight w:val="none"/>
        </w:rPr>
        <w:t>律</w:t>
      </w:r>
    </w:p>
    <w:p w14:paraId="5553F72B">
      <w:pPr>
        <w:spacing w:before="240" w:line="414" w:lineRule="auto"/>
        <w:ind w:right="71" w:firstLine="420"/>
        <w:rPr>
          <w:rFonts w:ascii="宋体" w:hAnsi="宋体" w:eastAsia="宋体" w:cs="宋体"/>
          <w:sz w:val="21"/>
          <w:szCs w:val="21"/>
          <w:highlight w:val="none"/>
        </w:rPr>
      </w:pPr>
      <w:r>
        <w:rPr>
          <w:rFonts w:ascii="宋体" w:hAnsi="宋体" w:eastAsia="宋体" w:cs="宋体"/>
          <w:spacing w:val="-2"/>
          <w:sz w:val="21"/>
          <w:szCs w:val="21"/>
          <w:highlight w:val="none"/>
        </w:rPr>
        <w:t>合同所称法律是指中华人民共和国法律、行政法规、部门规章，以及工</w:t>
      </w:r>
      <w:r>
        <w:rPr>
          <w:rFonts w:ascii="宋体" w:hAnsi="宋体" w:eastAsia="宋体" w:cs="宋体"/>
          <w:spacing w:val="-3"/>
          <w:sz w:val="21"/>
          <w:szCs w:val="21"/>
          <w:highlight w:val="none"/>
        </w:rPr>
        <w:t>程所在地的地方</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法规、自治条例、单行条例和地方政府规章等。</w:t>
      </w:r>
    </w:p>
    <w:p w14:paraId="388327D7">
      <w:pPr>
        <w:spacing w:line="219"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合同当事人可以在专用合同条件中约定合同适用的其他规范性文件。</w:t>
      </w:r>
    </w:p>
    <w:p w14:paraId="30D7765E">
      <w:pPr>
        <w:pStyle w:val="2"/>
        <w:spacing w:line="316" w:lineRule="auto"/>
        <w:rPr>
          <w:highlight w:val="none"/>
        </w:rPr>
      </w:pPr>
    </w:p>
    <w:p w14:paraId="4E4CCFF4">
      <w:pPr>
        <w:spacing w:before="71" w:line="223" w:lineRule="auto"/>
        <w:rPr>
          <w:rFonts w:ascii="黑体" w:hAnsi="黑体" w:eastAsia="黑体" w:cs="黑体"/>
          <w:sz w:val="22"/>
          <w:szCs w:val="22"/>
          <w:highlight w:val="none"/>
        </w:rPr>
      </w:pPr>
      <w:r>
        <w:rPr>
          <w:rFonts w:ascii="黑体" w:hAnsi="黑体" w:eastAsia="黑体" w:cs="黑体"/>
          <w:spacing w:val="5"/>
          <w:sz w:val="22"/>
          <w:szCs w:val="22"/>
          <w:highlight w:val="none"/>
        </w:rPr>
        <w:t>1.4标准和规范</w:t>
      </w:r>
    </w:p>
    <w:p w14:paraId="63DF94B9">
      <w:pPr>
        <w:spacing w:before="103" w:line="265" w:lineRule="auto"/>
        <w:ind w:firstLine="420"/>
        <w:rPr>
          <w:rFonts w:ascii="宋体" w:hAnsi="宋体" w:eastAsia="宋体" w:cs="宋体"/>
          <w:sz w:val="22"/>
          <w:szCs w:val="22"/>
          <w:highlight w:val="none"/>
        </w:rPr>
      </w:pPr>
      <w:r>
        <w:rPr>
          <w:rFonts w:ascii="Times New Roman" w:hAnsi="Times New Roman" w:eastAsia="Times New Roman" w:cs="Times New Roman"/>
          <w:spacing w:val="-14"/>
          <w:sz w:val="22"/>
          <w:szCs w:val="22"/>
          <w:highlight w:val="none"/>
        </w:rPr>
        <w:t>1.4.1</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14"/>
          <w:sz w:val="22"/>
          <w:szCs w:val="22"/>
          <w:highlight w:val="none"/>
        </w:rPr>
        <w:t>适用于工程的国家标准、行业标准、工程所在地的地</w:t>
      </w:r>
      <w:r>
        <w:rPr>
          <w:rFonts w:ascii="宋体" w:hAnsi="宋体" w:eastAsia="宋体" w:cs="宋体"/>
          <w:spacing w:val="-15"/>
          <w:sz w:val="22"/>
          <w:szCs w:val="22"/>
          <w:highlight w:val="none"/>
        </w:rPr>
        <w:t>方性标准，以及相应的规范、</w:t>
      </w:r>
      <w:r>
        <w:rPr>
          <w:rFonts w:ascii="宋体" w:hAnsi="宋体" w:eastAsia="宋体" w:cs="宋体"/>
          <w:spacing w:val="1"/>
          <w:sz w:val="22"/>
          <w:szCs w:val="22"/>
          <w:highlight w:val="none"/>
        </w:rPr>
        <w:t xml:space="preserve"> </w:t>
      </w:r>
      <w:r>
        <w:rPr>
          <w:rFonts w:ascii="宋体" w:hAnsi="宋体" w:eastAsia="宋体" w:cs="宋体"/>
          <w:spacing w:val="-11"/>
          <w:sz w:val="22"/>
          <w:szCs w:val="22"/>
          <w:highlight w:val="none"/>
        </w:rPr>
        <w:t>规程等，合同当事人有特别要求的，应在专用合同条件中约定。</w:t>
      </w:r>
    </w:p>
    <w:p w14:paraId="14CDD654">
      <w:pPr>
        <w:pStyle w:val="2"/>
        <w:spacing w:line="276" w:lineRule="auto"/>
        <w:rPr>
          <w:highlight w:val="none"/>
        </w:rPr>
      </w:pPr>
    </w:p>
    <w:p w14:paraId="36E80D31">
      <w:pPr>
        <w:spacing w:before="69" w:line="281" w:lineRule="auto"/>
        <w:ind w:right="68"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1.4.2    </w:t>
      </w:r>
      <w:r>
        <w:rPr>
          <w:rFonts w:ascii="宋体" w:hAnsi="宋体" w:eastAsia="宋体" w:cs="宋体"/>
          <w:spacing w:val="-2"/>
          <w:sz w:val="21"/>
          <w:szCs w:val="21"/>
          <w:highlight w:val="none"/>
        </w:rPr>
        <w:t>发包人要求使用国外标准、规范的，发包人负责提供原文版本和中文译本，并在</w:t>
      </w:r>
      <w:r>
        <w:rPr>
          <w:rFonts w:ascii="宋体" w:hAnsi="宋体" w:eastAsia="宋体" w:cs="宋体"/>
          <w:spacing w:val="8"/>
          <w:sz w:val="21"/>
          <w:szCs w:val="21"/>
          <w:highlight w:val="none"/>
        </w:rPr>
        <w:t xml:space="preserve"> </w:t>
      </w:r>
      <w:r>
        <w:rPr>
          <w:rFonts w:ascii="宋体" w:hAnsi="宋体" w:eastAsia="宋体" w:cs="宋体"/>
          <w:spacing w:val="-2"/>
          <w:sz w:val="21"/>
          <w:szCs w:val="21"/>
          <w:highlight w:val="none"/>
        </w:rPr>
        <w:t>专用合同条件中约定提供标准规范的名称、份数和时间。</w:t>
      </w:r>
    </w:p>
    <w:p w14:paraId="3EAD08BD">
      <w:pPr>
        <w:pStyle w:val="2"/>
        <w:spacing w:line="255" w:lineRule="auto"/>
        <w:rPr>
          <w:highlight w:val="none"/>
        </w:rPr>
      </w:pPr>
    </w:p>
    <w:p w14:paraId="02323AD9">
      <w:pPr>
        <w:spacing w:before="65" w:line="338" w:lineRule="auto"/>
        <w:ind w:right="9" w:firstLine="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1.4.3    </w:t>
      </w:r>
      <w:r>
        <w:rPr>
          <w:rFonts w:ascii="宋体" w:hAnsi="宋体" w:eastAsia="宋体" w:cs="宋体"/>
          <w:spacing w:val="7"/>
          <w:sz w:val="20"/>
          <w:szCs w:val="20"/>
          <w:highlight w:val="none"/>
        </w:rPr>
        <w:t>没有相应成文规定的标准、规范时，由发包人在专用合同</w:t>
      </w:r>
      <w:r>
        <w:rPr>
          <w:rFonts w:ascii="宋体" w:hAnsi="宋体" w:eastAsia="宋体" w:cs="宋体"/>
          <w:spacing w:val="6"/>
          <w:sz w:val="20"/>
          <w:szCs w:val="20"/>
          <w:highlight w:val="none"/>
        </w:rPr>
        <w:t>条件中约定的时间向承</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包人列明技术要求，承包人按约定的时间和技术要求提出实施方法，经发包人认可后执行。</w:t>
      </w:r>
      <w:r>
        <w:rPr>
          <w:rFonts w:ascii="宋体" w:hAnsi="宋体" w:eastAsia="宋体" w:cs="宋体"/>
          <w:spacing w:val="18"/>
          <w:sz w:val="20"/>
          <w:szCs w:val="20"/>
          <w:highlight w:val="none"/>
        </w:rPr>
        <w:t xml:space="preserve"> </w:t>
      </w:r>
      <w:r>
        <w:rPr>
          <w:rFonts w:ascii="宋体" w:hAnsi="宋体" w:eastAsia="宋体" w:cs="宋体"/>
          <w:spacing w:val="9"/>
          <w:sz w:val="20"/>
          <w:szCs w:val="20"/>
          <w:highlight w:val="none"/>
        </w:rPr>
        <w:t>承包人需要对实施方法进行研发试验的，或须对项目人员进行特殊培训及其有特殊要求的，</w:t>
      </w:r>
      <w:r>
        <w:rPr>
          <w:rFonts w:ascii="宋体" w:hAnsi="宋体" w:eastAsia="宋体" w:cs="宋体"/>
          <w:spacing w:val="18"/>
          <w:sz w:val="20"/>
          <w:szCs w:val="20"/>
          <w:highlight w:val="none"/>
        </w:rPr>
        <w:t xml:space="preserve"> </w:t>
      </w:r>
      <w:r>
        <w:rPr>
          <w:rFonts w:ascii="宋体" w:hAnsi="宋体" w:eastAsia="宋体" w:cs="宋体"/>
          <w:spacing w:val="4"/>
          <w:sz w:val="20"/>
          <w:szCs w:val="20"/>
          <w:highlight w:val="none"/>
        </w:rPr>
        <w:t>除签约合同价已包含此项费用外，双方应另行订立协议作为合同附件，其费用由发包人承担。</w:t>
      </w:r>
    </w:p>
    <w:p w14:paraId="27A2DC06">
      <w:pPr>
        <w:pStyle w:val="2"/>
        <w:spacing w:line="274" w:lineRule="auto"/>
        <w:rPr>
          <w:highlight w:val="none"/>
        </w:rPr>
      </w:pPr>
    </w:p>
    <w:p w14:paraId="17C283C0">
      <w:pPr>
        <w:spacing w:before="69" w:line="304" w:lineRule="auto"/>
        <w:ind w:right="4" w:firstLine="420"/>
        <w:rPr>
          <w:rFonts w:ascii="宋体" w:hAnsi="宋体" w:eastAsia="宋体" w:cs="宋体"/>
          <w:sz w:val="21"/>
          <w:szCs w:val="21"/>
          <w:highlight w:val="none"/>
        </w:rPr>
      </w:pPr>
      <w:r>
        <w:rPr>
          <w:rFonts w:ascii="Times New Roman" w:hAnsi="Times New Roman" w:eastAsia="Times New Roman" w:cs="Times New Roman"/>
          <w:spacing w:val="-5"/>
          <w:sz w:val="21"/>
          <w:szCs w:val="21"/>
          <w:highlight w:val="none"/>
        </w:rPr>
        <w:t xml:space="preserve">1.4.4    </w:t>
      </w:r>
      <w:r>
        <w:rPr>
          <w:rFonts w:ascii="宋体" w:hAnsi="宋体" w:eastAsia="宋体" w:cs="宋体"/>
          <w:spacing w:val="-5"/>
          <w:sz w:val="21"/>
          <w:szCs w:val="21"/>
          <w:highlight w:val="none"/>
        </w:rPr>
        <w:t>发包人对于工程的技术标准、功能要求高于或严于现行国家、行业或地方标准的，</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应当在《发包人要求》中予以明确。除专用合同条件另有约定外，应视为承包人在订立合同</w:t>
      </w:r>
      <w:r>
        <w:rPr>
          <w:rFonts w:ascii="宋体" w:hAnsi="宋体" w:eastAsia="宋体" w:cs="宋体"/>
          <w:spacing w:val="8"/>
          <w:sz w:val="21"/>
          <w:szCs w:val="21"/>
          <w:highlight w:val="none"/>
        </w:rPr>
        <w:t xml:space="preserve">  </w:t>
      </w:r>
      <w:r>
        <w:rPr>
          <w:rFonts w:ascii="宋体" w:hAnsi="宋体" w:eastAsia="宋体" w:cs="宋体"/>
          <w:sz w:val="21"/>
          <w:szCs w:val="21"/>
          <w:highlight w:val="none"/>
        </w:rPr>
        <w:t>前已充分预见前述技术标准和功能要求的复杂程度，签</w:t>
      </w:r>
      <w:r>
        <w:rPr>
          <w:rFonts w:ascii="宋体" w:hAnsi="宋体" w:eastAsia="宋体" w:cs="宋体"/>
          <w:spacing w:val="-1"/>
          <w:sz w:val="21"/>
          <w:szCs w:val="21"/>
          <w:highlight w:val="none"/>
        </w:rPr>
        <w:t>约合同价中已包含由此产生的费用。</w:t>
      </w:r>
    </w:p>
    <w:p w14:paraId="6F58B210">
      <w:pPr>
        <w:pStyle w:val="2"/>
        <w:spacing w:line="368" w:lineRule="auto"/>
        <w:rPr>
          <w:highlight w:val="none"/>
        </w:rPr>
      </w:pPr>
    </w:p>
    <w:p w14:paraId="25236CF0">
      <w:pPr>
        <w:spacing w:before="72" w:line="221" w:lineRule="auto"/>
        <w:rPr>
          <w:rFonts w:ascii="黑体" w:hAnsi="黑体" w:eastAsia="黑体" w:cs="黑体"/>
          <w:sz w:val="22"/>
          <w:szCs w:val="22"/>
          <w:highlight w:val="none"/>
        </w:rPr>
      </w:pPr>
      <w:r>
        <w:rPr>
          <w:rFonts w:ascii="黑体" w:hAnsi="黑体" w:eastAsia="黑体" w:cs="黑体"/>
          <w:spacing w:val="-2"/>
          <w:sz w:val="22"/>
          <w:szCs w:val="22"/>
          <w:highlight w:val="none"/>
        </w:rPr>
        <w:t>1.5合同文件的优先顺序</w:t>
      </w:r>
    </w:p>
    <w:p w14:paraId="3A192614">
      <w:pPr>
        <w:spacing w:before="219" w:line="396" w:lineRule="auto"/>
        <w:ind w:right="68" w:firstLine="420"/>
        <w:rPr>
          <w:rFonts w:ascii="宋体" w:hAnsi="宋体" w:eastAsia="宋体" w:cs="宋体"/>
          <w:sz w:val="22"/>
          <w:szCs w:val="22"/>
          <w:highlight w:val="none"/>
        </w:rPr>
      </w:pPr>
      <w:r>
        <w:rPr>
          <w:rFonts w:ascii="宋体" w:hAnsi="宋体" w:eastAsia="宋体" w:cs="宋体"/>
          <w:spacing w:val="-12"/>
          <w:sz w:val="22"/>
          <w:szCs w:val="22"/>
          <w:highlight w:val="none"/>
        </w:rPr>
        <w:t>组成合同的各项文件应互相解释，互为说明。除专用合同条件另有约定外，解</w:t>
      </w:r>
      <w:r>
        <w:rPr>
          <w:rFonts w:ascii="宋体" w:hAnsi="宋体" w:eastAsia="宋体" w:cs="宋体"/>
          <w:spacing w:val="-13"/>
          <w:sz w:val="22"/>
          <w:szCs w:val="22"/>
          <w:highlight w:val="none"/>
        </w:rPr>
        <w:t>释合同文</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件的优先顺序如下：</w:t>
      </w:r>
    </w:p>
    <w:p w14:paraId="7E41768D">
      <w:pPr>
        <w:spacing w:before="33" w:line="219" w:lineRule="auto"/>
        <w:ind w:left="529"/>
        <w:rPr>
          <w:rFonts w:ascii="宋体" w:hAnsi="宋体" w:eastAsia="宋体" w:cs="宋体"/>
          <w:sz w:val="20"/>
          <w:szCs w:val="20"/>
          <w:highlight w:val="none"/>
        </w:rPr>
      </w:pPr>
      <w:r>
        <w:rPr>
          <w:rFonts w:ascii="宋体" w:hAnsi="宋体" w:eastAsia="宋体" w:cs="宋体"/>
          <w:spacing w:val="-3"/>
          <w:sz w:val="20"/>
          <w:szCs w:val="20"/>
          <w:highlight w:val="none"/>
        </w:rPr>
        <w:t>(1)</w:t>
      </w:r>
      <w:r>
        <w:rPr>
          <w:rFonts w:ascii="宋体" w:hAnsi="宋体" w:eastAsia="宋体" w:cs="宋体"/>
          <w:spacing w:val="28"/>
          <w:sz w:val="20"/>
          <w:szCs w:val="20"/>
          <w:highlight w:val="none"/>
        </w:rPr>
        <w:t xml:space="preserve">  </w:t>
      </w:r>
      <w:r>
        <w:rPr>
          <w:rFonts w:ascii="宋体" w:hAnsi="宋体" w:eastAsia="宋体" w:cs="宋体"/>
          <w:spacing w:val="-3"/>
          <w:sz w:val="20"/>
          <w:szCs w:val="20"/>
          <w:highlight w:val="none"/>
        </w:rPr>
        <w:t>合同协议书；</w:t>
      </w:r>
    </w:p>
    <w:p w14:paraId="620B2609">
      <w:pPr>
        <w:spacing w:before="224" w:line="219" w:lineRule="auto"/>
        <w:ind w:left="529"/>
        <w:rPr>
          <w:rFonts w:ascii="宋体" w:hAnsi="宋体" w:eastAsia="宋体" w:cs="宋体"/>
          <w:sz w:val="22"/>
          <w:szCs w:val="22"/>
          <w:highlight w:val="none"/>
        </w:rPr>
      </w:pPr>
      <w:r>
        <w:rPr>
          <w:rFonts w:ascii="宋体" w:hAnsi="宋体" w:eastAsia="宋体" w:cs="宋体"/>
          <w:spacing w:val="-2"/>
          <w:sz w:val="22"/>
          <w:szCs w:val="22"/>
          <w:highlight w:val="none"/>
        </w:rPr>
        <w:t>(2)  中标通知书(如果有);</w:t>
      </w:r>
    </w:p>
    <w:p w14:paraId="55D4A03D">
      <w:pPr>
        <w:spacing w:before="228" w:line="219"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(3)</w:t>
      </w:r>
      <w:r>
        <w:rPr>
          <w:rFonts w:ascii="宋体" w:hAnsi="宋体" w:eastAsia="宋体" w:cs="宋体"/>
          <w:spacing w:val="31"/>
          <w:sz w:val="20"/>
          <w:szCs w:val="20"/>
          <w:highlight w:val="none"/>
        </w:rPr>
        <w:t xml:space="preserve">  </w:t>
      </w:r>
      <w:r>
        <w:rPr>
          <w:rFonts w:ascii="宋体" w:hAnsi="宋体" w:eastAsia="宋体" w:cs="宋体"/>
          <w:spacing w:val="11"/>
          <w:sz w:val="20"/>
          <w:szCs w:val="20"/>
          <w:highlight w:val="none"/>
        </w:rPr>
        <w:t>投标函及投标函附录(如果有);</w:t>
      </w:r>
    </w:p>
    <w:p w14:paraId="5C789F3A">
      <w:pPr>
        <w:spacing w:before="224" w:line="219" w:lineRule="auto"/>
        <w:ind w:left="529"/>
        <w:rPr>
          <w:rFonts w:ascii="宋体" w:hAnsi="宋体" w:eastAsia="宋体" w:cs="宋体"/>
          <w:sz w:val="22"/>
          <w:szCs w:val="22"/>
          <w:highlight w:val="none"/>
        </w:rPr>
      </w:pPr>
      <w:r>
        <w:rPr>
          <w:rFonts w:ascii="宋体" w:hAnsi="宋体" w:eastAsia="宋体" w:cs="宋体"/>
          <w:spacing w:val="-10"/>
          <w:sz w:val="22"/>
          <w:szCs w:val="22"/>
          <w:highlight w:val="none"/>
        </w:rPr>
        <w:t>(4)  专用合同条件及《发包人要求》等附件；</w:t>
      </w:r>
    </w:p>
    <w:p w14:paraId="4D32B996">
      <w:pPr>
        <w:spacing w:before="210" w:line="219" w:lineRule="auto"/>
        <w:ind w:left="529"/>
        <w:rPr>
          <w:rFonts w:ascii="宋体" w:hAnsi="宋体" w:eastAsia="宋体" w:cs="宋体"/>
          <w:sz w:val="22"/>
          <w:szCs w:val="22"/>
          <w:highlight w:val="none"/>
        </w:rPr>
      </w:pPr>
      <w:r>
        <w:rPr>
          <w:rFonts w:ascii="宋体" w:hAnsi="宋体" w:eastAsia="宋体" w:cs="宋体"/>
          <w:spacing w:val="-14"/>
          <w:sz w:val="22"/>
          <w:szCs w:val="22"/>
          <w:highlight w:val="none"/>
        </w:rPr>
        <w:t>(5)</w:t>
      </w:r>
      <w:r>
        <w:rPr>
          <w:rFonts w:ascii="宋体" w:hAnsi="宋体" w:eastAsia="宋体" w:cs="宋体"/>
          <w:spacing w:val="6"/>
          <w:sz w:val="22"/>
          <w:szCs w:val="22"/>
          <w:highlight w:val="none"/>
        </w:rPr>
        <w:t xml:space="preserve">  </w:t>
      </w:r>
      <w:r>
        <w:rPr>
          <w:rFonts w:ascii="宋体" w:hAnsi="宋体" w:eastAsia="宋体" w:cs="宋体"/>
          <w:spacing w:val="-14"/>
          <w:sz w:val="22"/>
          <w:szCs w:val="22"/>
          <w:highlight w:val="none"/>
        </w:rPr>
        <w:t>通用合同条件；</w:t>
      </w:r>
    </w:p>
    <w:p w14:paraId="16E1451F">
      <w:pPr>
        <w:spacing w:before="218" w:line="219" w:lineRule="auto"/>
        <w:ind w:left="529"/>
        <w:rPr>
          <w:rFonts w:ascii="宋体" w:hAnsi="宋体" w:eastAsia="宋体" w:cs="宋体"/>
          <w:sz w:val="22"/>
          <w:szCs w:val="22"/>
          <w:highlight w:val="none"/>
        </w:rPr>
      </w:pPr>
      <w:r>
        <w:rPr>
          <w:rFonts w:ascii="宋体" w:hAnsi="宋体" w:eastAsia="宋体" w:cs="宋体"/>
          <w:spacing w:val="8"/>
          <w:sz w:val="22"/>
          <w:szCs w:val="22"/>
          <w:highlight w:val="none"/>
        </w:rPr>
        <w:t>(6)承包人建议书；</w:t>
      </w:r>
    </w:p>
    <w:p w14:paraId="4DD8E2AE">
      <w:pPr>
        <w:spacing w:before="228" w:line="218" w:lineRule="auto"/>
        <w:ind w:left="529"/>
        <w:rPr>
          <w:rFonts w:ascii="宋体" w:hAnsi="宋体" w:eastAsia="宋体" w:cs="宋体"/>
          <w:sz w:val="22"/>
          <w:szCs w:val="22"/>
          <w:highlight w:val="none"/>
        </w:rPr>
      </w:pPr>
      <w:r>
        <w:rPr>
          <w:rFonts w:ascii="宋体" w:hAnsi="宋体" w:eastAsia="宋体" w:cs="宋体"/>
          <w:spacing w:val="-13"/>
          <w:sz w:val="22"/>
          <w:szCs w:val="22"/>
          <w:highlight w:val="none"/>
        </w:rPr>
        <w:t>(7)</w:t>
      </w:r>
      <w:r>
        <w:rPr>
          <w:rFonts w:ascii="宋体" w:hAnsi="宋体" w:eastAsia="宋体" w:cs="宋体"/>
          <w:spacing w:val="7"/>
          <w:sz w:val="22"/>
          <w:szCs w:val="22"/>
          <w:highlight w:val="none"/>
        </w:rPr>
        <w:t xml:space="preserve">  </w:t>
      </w:r>
      <w:r>
        <w:rPr>
          <w:rFonts w:ascii="宋体" w:hAnsi="宋体" w:eastAsia="宋体" w:cs="宋体"/>
          <w:spacing w:val="-13"/>
          <w:sz w:val="22"/>
          <w:szCs w:val="22"/>
          <w:highlight w:val="none"/>
        </w:rPr>
        <w:t>价格清单；</w:t>
      </w:r>
    </w:p>
    <w:p w14:paraId="5C94F27F">
      <w:pPr>
        <w:spacing w:before="242" w:line="219" w:lineRule="auto"/>
        <w:ind w:left="529"/>
        <w:rPr>
          <w:rFonts w:ascii="宋体" w:hAnsi="宋体" w:eastAsia="宋体" w:cs="宋体"/>
          <w:sz w:val="20"/>
          <w:szCs w:val="20"/>
          <w:highlight w:val="none"/>
        </w:rPr>
      </w:pPr>
      <w:r>
        <w:rPr>
          <w:rFonts w:ascii="宋体" w:hAnsi="宋体" w:eastAsia="宋体" w:cs="宋体"/>
          <w:spacing w:val="4"/>
          <w:sz w:val="20"/>
          <w:szCs w:val="20"/>
          <w:highlight w:val="none"/>
        </w:rPr>
        <w:t>(8)</w:t>
      </w:r>
      <w:r>
        <w:rPr>
          <w:rFonts w:ascii="宋体" w:hAnsi="宋体" w:eastAsia="宋体" w:cs="宋体"/>
          <w:spacing w:val="29"/>
          <w:sz w:val="20"/>
          <w:szCs w:val="20"/>
          <w:highlight w:val="none"/>
        </w:rPr>
        <w:t xml:space="preserve">  </w:t>
      </w:r>
      <w:r>
        <w:rPr>
          <w:rFonts w:ascii="宋体" w:hAnsi="宋体" w:eastAsia="宋体" w:cs="宋体"/>
          <w:spacing w:val="4"/>
          <w:sz w:val="20"/>
          <w:szCs w:val="20"/>
          <w:highlight w:val="none"/>
        </w:rPr>
        <w:t>双方约定的其他合同文件。</w:t>
      </w:r>
    </w:p>
    <w:p w14:paraId="360E92FC">
      <w:pPr>
        <w:spacing w:before="211" w:line="442" w:lineRule="auto"/>
        <w:ind w:right="81" w:firstLine="420"/>
        <w:rPr>
          <w:rFonts w:ascii="宋体" w:hAnsi="宋体" w:eastAsia="宋体" w:cs="宋体"/>
          <w:sz w:val="21"/>
          <w:szCs w:val="21"/>
          <w:highlight w:val="none"/>
        </w:rPr>
      </w:pPr>
      <w:r>
        <w:rPr>
          <w:rFonts w:ascii="宋体" w:hAnsi="宋体" w:eastAsia="宋体" w:cs="宋体"/>
          <w:spacing w:val="-2"/>
          <w:sz w:val="21"/>
          <w:szCs w:val="21"/>
          <w:highlight w:val="none"/>
        </w:rPr>
        <w:t>上述各项合同文件包括合同当事人就该项合同文</w:t>
      </w:r>
      <w:r>
        <w:rPr>
          <w:rFonts w:ascii="宋体" w:hAnsi="宋体" w:eastAsia="宋体" w:cs="宋体"/>
          <w:spacing w:val="-3"/>
          <w:sz w:val="21"/>
          <w:szCs w:val="21"/>
          <w:highlight w:val="none"/>
        </w:rPr>
        <w:t>件所作出的补充和修改，属于同一类内</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容的文件，应以最新签署的为准。</w:t>
      </w:r>
    </w:p>
    <w:p w14:paraId="1F629964">
      <w:pPr>
        <w:spacing w:line="442" w:lineRule="auto"/>
        <w:rPr>
          <w:rFonts w:ascii="宋体" w:hAnsi="宋体" w:eastAsia="宋体" w:cs="宋体"/>
          <w:sz w:val="21"/>
          <w:szCs w:val="21"/>
          <w:highlight w:val="none"/>
        </w:rPr>
        <w:sectPr>
          <w:footerReference r:id="rId76" w:type="default"/>
          <w:pgSz w:w="11910" w:h="16840"/>
          <w:pgMar w:top="400" w:right="1739" w:bottom="1184" w:left="1779" w:header="0" w:footer="1024" w:gutter="0"/>
          <w:cols w:space="720" w:num="1"/>
        </w:sectPr>
      </w:pPr>
    </w:p>
    <w:p w14:paraId="6635CFAA">
      <w:pPr>
        <w:pStyle w:val="2"/>
        <w:spacing w:line="275" w:lineRule="auto"/>
        <w:rPr>
          <w:highlight w:val="none"/>
        </w:rPr>
      </w:pPr>
    </w:p>
    <w:p w14:paraId="107B78B0">
      <w:pPr>
        <w:pStyle w:val="2"/>
        <w:spacing w:line="275" w:lineRule="auto"/>
        <w:rPr>
          <w:highlight w:val="none"/>
        </w:rPr>
      </w:pPr>
    </w:p>
    <w:p w14:paraId="3433425E">
      <w:pPr>
        <w:pStyle w:val="2"/>
        <w:spacing w:line="276" w:lineRule="auto"/>
        <w:rPr>
          <w:highlight w:val="none"/>
        </w:rPr>
      </w:pPr>
    </w:p>
    <w:p w14:paraId="0A03D07F">
      <w:pPr>
        <w:pStyle w:val="2"/>
        <w:spacing w:line="276" w:lineRule="auto"/>
        <w:rPr>
          <w:highlight w:val="none"/>
        </w:rPr>
      </w:pPr>
    </w:p>
    <w:p w14:paraId="08300AE4">
      <w:pPr>
        <w:spacing w:before="68" w:line="407" w:lineRule="auto"/>
        <w:ind w:right="76" w:firstLine="430"/>
        <w:rPr>
          <w:rFonts w:ascii="宋体" w:hAnsi="宋体" w:eastAsia="宋体" w:cs="宋体"/>
          <w:sz w:val="21"/>
          <w:szCs w:val="21"/>
          <w:highlight w:val="none"/>
        </w:rPr>
      </w:pPr>
      <w:r>
        <w:rPr>
          <w:rFonts w:ascii="宋体" w:hAnsi="宋体" w:eastAsia="宋体" w:cs="宋体"/>
          <w:spacing w:val="-3"/>
          <w:sz w:val="21"/>
          <w:szCs w:val="21"/>
          <w:highlight w:val="none"/>
        </w:rPr>
        <w:t>在合同订立及履行过程中形成的与合同有关的文件均构成合同文件组成部分，并根据其</w:t>
      </w:r>
      <w:r>
        <w:rPr>
          <w:rFonts w:ascii="宋体" w:hAnsi="宋体" w:eastAsia="宋体" w:cs="宋体"/>
          <w:spacing w:val="11"/>
          <w:sz w:val="21"/>
          <w:szCs w:val="21"/>
          <w:highlight w:val="none"/>
        </w:rPr>
        <w:t xml:space="preserve"> </w:t>
      </w:r>
      <w:r>
        <w:rPr>
          <w:rFonts w:ascii="宋体" w:hAnsi="宋体" w:eastAsia="宋体" w:cs="宋体"/>
          <w:spacing w:val="-4"/>
          <w:sz w:val="21"/>
          <w:szCs w:val="21"/>
          <w:highlight w:val="none"/>
        </w:rPr>
        <w:t>性质确定优先解释顺序。</w:t>
      </w:r>
    </w:p>
    <w:p w14:paraId="55C20809">
      <w:pPr>
        <w:spacing w:before="164" w:line="222" w:lineRule="auto"/>
        <w:rPr>
          <w:rFonts w:ascii="黑体" w:hAnsi="黑体" w:eastAsia="黑体" w:cs="黑体"/>
          <w:sz w:val="22"/>
          <w:szCs w:val="22"/>
          <w:highlight w:val="none"/>
        </w:rPr>
      </w:pPr>
      <w:r>
        <w:rPr>
          <w:rFonts w:ascii="黑体" w:hAnsi="黑体" w:eastAsia="黑体" w:cs="黑体"/>
          <w:spacing w:val="-2"/>
          <w:sz w:val="22"/>
          <w:szCs w:val="22"/>
          <w:highlight w:val="none"/>
        </w:rPr>
        <w:t>1.6文件的提供和照管</w:t>
      </w:r>
    </w:p>
    <w:p w14:paraId="0B8ED3A5">
      <w:pPr>
        <w:spacing w:before="85"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1.6.1</w:t>
      </w:r>
      <w:r>
        <w:rPr>
          <w:rFonts w:ascii="Times New Roman" w:hAnsi="Times New Roman" w:eastAsia="Times New Roman" w:cs="Times New Roman"/>
          <w:spacing w:val="13"/>
          <w:w w:val="101"/>
          <w:sz w:val="22"/>
          <w:szCs w:val="22"/>
          <w:highlight w:val="none"/>
        </w:rPr>
        <w:t xml:space="preserve">   </w:t>
      </w:r>
      <w:r>
        <w:rPr>
          <w:rFonts w:ascii="宋体" w:hAnsi="宋体" w:eastAsia="宋体" w:cs="宋体"/>
          <w:spacing w:val="-7"/>
          <w:sz w:val="22"/>
          <w:szCs w:val="22"/>
          <w:highlight w:val="none"/>
        </w:rPr>
        <w:t>发包人文件的提供</w:t>
      </w:r>
    </w:p>
    <w:p w14:paraId="235296B6">
      <w:pPr>
        <w:pStyle w:val="2"/>
        <w:spacing w:line="379" w:lineRule="auto"/>
        <w:rPr>
          <w:highlight w:val="none"/>
        </w:rPr>
      </w:pPr>
    </w:p>
    <w:p w14:paraId="6D356748">
      <w:pPr>
        <w:spacing w:before="69" w:line="391" w:lineRule="auto"/>
        <w:ind w:right="35"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发包人应按照专用合同条件约定的期限、数量和形式向承包人免费提供前期工作相关资</w:t>
      </w:r>
      <w:r>
        <w:rPr>
          <w:rFonts w:ascii="宋体" w:hAnsi="宋体" w:eastAsia="宋体" w:cs="宋体"/>
          <w:spacing w:val="18"/>
          <w:sz w:val="21"/>
          <w:szCs w:val="21"/>
          <w:highlight w:val="none"/>
        </w:rPr>
        <w:t xml:space="preserve"> </w:t>
      </w:r>
      <w:r>
        <w:rPr>
          <w:rFonts w:ascii="宋体" w:hAnsi="宋体" w:eastAsia="宋体" w:cs="宋体"/>
          <w:spacing w:val="-1"/>
          <w:sz w:val="21"/>
          <w:szCs w:val="21"/>
          <w:highlight w:val="none"/>
        </w:rPr>
        <w:t>料、环境保护、气象水文、地质条件进行工程设计、现场施工等</w:t>
      </w:r>
      <w:r>
        <w:rPr>
          <w:rFonts w:ascii="宋体" w:hAnsi="宋体" w:eastAsia="宋体" w:cs="宋体"/>
          <w:spacing w:val="-2"/>
          <w:sz w:val="21"/>
          <w:szCs w:val="21"/>
          <w:highlight w:val="none"/>
        </w:rPr>
        <w:t>工程实施所需的文件。因发</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包人未按合同约定提供文件造成工期延误的，按照第8.7</w:t>
      </w:r>
      <w:r>
        <w:rPr>
          <w:rFonts w:ascii="宋体" w:hAnsi="宋体" w:eastAsia="宋体" w:cs="宋体"/>
          <w:sz w:val="21"/>
          <w:szCs w:val="21"/>
          <w:highlight w:val="none"/>
        </w:rPr>
        <w:t xml:space="preserve">.1项[因发包人原因导致工期延误] </w:t>
      </w:r>
      <w:r>
        <w:rPr>
          <w:rFonts w:ascii="宋体" w:hAnsi="宋体" w:eastAsia="宋体" w:cs="宋体"/>
          <w:spacing w:val="-7"/>
          <w:sz w:val="21"/>
          <w:szCs w:val="21"/>
          <w:highlight w:val="none"/>
        </w:rPr>
        <w:t>约定办理。</w:t>
      </w:r>
    </w:p>
    <w:p w14:paraId="4032BB2E">
      <w:pPr>
        <w:spacing w:line="218"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1.6.2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7"/>
          <w:sz w:val="22"/>
          <w:szCs w:val="22"/>
          <w:highlight w:val="none"/>
        </w:rPr>
        <w:t>承包人文件的提供</w:t>
      </w:r>
    </w:p>
    <w:p w14:paraId="7E603573">
      <w:pPr>
        <w:pStyle w:val="2"/>
        <w:spacing w:line="356" w:lineRule="auto"/>
        <w:rPr>
          <w:highlight w:val="none"/>
        </w:rPr>
      </w:pPr>
    </w:p>
    <w:p w14:paraId="7FB11293">
      <w:pPr>
        <w:spacing w:before="72" w:line="389" w:lineRule="auto"/>
        <w:ind w:right="61" w:firstLine="430"/>
        <w:rPr>
          <w:rFonts w:ascii="宋体" w:hAnsi="宋体" w:eastAsia="宋体" w:cs="宋体"/>
          <w:sz w:val="22"/>
          <w:szCs w:val="22"/>
          <w:highlight w:val="none"/>
        </w:rPr>
      </w:pPr>
      <w:r>
        <w:rPr>
          <w:rFonts w:ascii="宋体" w:hAnsi="宋体" w:eastAsia="宋体" w:cs="宋体"/>
          <w:spacing w:val="-4"/>
          <w:sz w:val="22"/>
          <w:szCs w:val="22"/>
          <w:highlight w:val="none"/>
        </w:rPr>
        <w:t>除专用合同条件另有约定外，承包人文件应包含下列内容，并用第1.2款[语言文字]</w:t>
      </w:r>
      <w:r>
        <w:rPr>
          <w:rFonts w:ascii="宋体" w:hAnsi="宋体" w:eastAsia="宋体" w:cs="宋体"/>
          <w:spacing w:val="18"/>
          <w:sz w:val="22"/>
          <w:szCs w:val="22"/>
          <w:highlight w:val="none"/>
        </w:rPr>
        <w:t xml:space="preserve"> </w:t>
      </w:r>
      <w:r>
        <w:rPr>
          <w:rFonts w:ascii="宋体" w:hAnsi="宋体" w:eastAsia="宋体" w:cs="宋体"/>
          <w:spacing w:val="-13"/>
          <w:sz w:val="22"/>
          <w:szCs w:val="22"/>
          <w:highlight w:val="none"/>
        </w:rPr>
        <w:t>约定的语言制作：</w:t>
      </w:r>
    </w:p>
    <w:p w14:paraId="21805E24">
      <w:pPr>
        <w:spacing w:before="42" w:line="219" w:lineRule="auto"/>
        <w:ind w:left="529"/>
        <w:rPr>
          <w:rFonts w:ascii="宋体" w:hAnsi="宋体" w:eastAsia="宋体" w:cs="宋体"/>
          <w:sz w:val="20"/>
          <w:szCs w:val="20"/>
          <w:highlight w:val="none"/>
        </w:rPr>
      </w:pPr>
      <w:r>
        <w:rPr>
          <w:rFonts w:ascii="宋体" w:hAnsi="宋体" w:eastAsia="宋体" w:cs="宋体"/>
          <w:spacing w:val="6"/>
          <w:sz w:val="20"/>
          <w:szCs w:val="20"/>
          <w:highlight w:val="none"/>
        </w:rPr>
        <w:t>(1)《发包人要求》中规定的相关文件；</w:t>
      </w:r>
    </w:p>
    <w:p w14:paraId="002A018A">
      <w:pPr>
        <w:spacing w:before="214"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(2)满足工程相关行政审批手续所必须的应由承包人负责的相关文件；</w:t>
      </w:r>
    </w:p>
    <w:p w14:paraId="47A3CBDE">
      <w:pPr>
        <w:spacing w:before="239" w:line="219" w:lineRule="auto"/>
        <w:ind w:left="529"/>
        <w:rPr>
          <w:rFonts w:ascii="宋体" w:hAnsi="宋体" w:eastAsia="宋体" w:cs="宋体"/>
          <w:sz w:val="22"/>
          <w:szCs w:val="22"/>
          <w:highlight w:val="none"/>
        </w:rPr>
      </w:pPr>
      <w:r>
        <w:rPr>
          <w:rFonts w:ascii="宋体" w:hAnsi="宋体" w:eastAsia="宋体" w:cs="宋体"/>
          <w:spacing w:val="1"/>
          <w:sz w:val="22"/>
          <w:szCs w:val="22"/>
          <w:highlight w:val="none"/>
        </w:rPr>
        <w:t>(3)第5.4款[竣工文件]与第5.5款[操作和维修手册]</w:t>
      </w:r>
      <w:r>
        <w:rPr>
          <w:rFonts w:ascii="宋体" w:hAnsi="宋体" w:eastAsia="宋体" w:cs="宋体"/>
          <w:sz w:val="22"/>
          <w:szCs w:val="22"/>
          <w:highlight w:val="none"/>
        </w:rPr>
        <w:t>中要求的相关文件。</w:t>
      </w:r>
    </w:p>
    <w:p w14:paraId="5C438714">
      <w:pPr>
        <w:spacing w:before="219" w:line="422" w:lineRule="auto"/>
        <w:ind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承包人应按照专用合同条件约定的期限、名称、数量和形式向工程师提</w:t>
      </w:r>
      <w:r>
        <w:rPr>
          <w:rFonts w:ascii="宋体" w:hAnsi="宋体" w:eastAsia="宋体" w:cs="宋体"/>
          <w:spacing w:val="-3"/>
          <w:sz w:val="21"/>
          <w:szCs w:val="21"/>
          <w:highlight w:val="none"/>
        </w:rPr>
        <w:t>供应当由承包人</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编制的与工程设计、现场施工等工程实施有关</w:t>
      </w:r>
      <w:r>
        <w:rPr>
          <w:rFonts w:ascii="宋体" w:hAnsi="宋体" w:eastAsia="宋体" w:cs="宋体"/>
          <w:spacing w:val="-6"/>
          <w:sz w:val="21"/>
          <w:szCs w:val="21"/>
          <w:highlight w:val="none"/>
        </w:rPr>
        <w:t>的承包人文件。工程师对承包人文件有异议的，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承包人应予以修改，并重新报送工程师。合同约定承包人文件应经审查的，工程师应</w:t>
      </w:r>
      <w:r>
        <w:rPr>
          <w:rFonts w:ascii="宋体" w:hAnsi="宋体" w:eastAsia="宋体" w:cs="宋体"/>
          <w:spacing w:val="-3"/>
          <w:sz w:val="21"/>
          <w:szCs w:val="21"/>
          <w:highlight w:val="none"/>
        </w:rPr>
        <w:t>在合同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约定的期限内审查完毕，但工程师的审查并不减轻或免除承包人根据合同</w:t>
      </w:r>
      <w:r>
        <w:rPr>
          <w:rFonts w:ascii="宋体" w:hAnsi="宋体" w:eastAsia="宋体" w:cs="宋体"/>
          <w:spacing w:val="-3"/>
          <w:sz w:val="21"/>
          <w:szCs w:val="21"/>
          <w:highlight w:val="none"/>
        </w:rPr>
        <w:t>约定应当承担的责</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任。承包人文件的提供和审查还应遵守第5.2款[承包人文件审查]和第5.4款[竣工</w:t>
      </w:r>
      <w:r>
        <w:rPr>
          <w:rFonts w:ascii="宋体" w:hAnsi="宋体" w:eastAsia="宋体" w:cs="宋体"/>
          <w:spacing w:val="7"/>
          <w:sz w:val="21"/>
          <w:szCs w:val="21"/>
          <w:highlight w:val="none"/>
        </w:rPr>
        <w:t>文件]</w:t>
      </w:r>
    </w:p>
    <w:p w14:paraId="5C586483">
      <w:pPr>
        <w:spacing w:line="220" w:lineRule="auto"/>
        <w:rPr>
          <w:rFonts w:ascii="宋体" w:hAnsi="宋体" w:eastAsia="宋体" w:cs="宋体"/>
          <w:sz w:val="21"/>
          <w:szCs w:val="21"/>
          <w:highlight w:val="none"/>
        </w:rPr>
      </w:pPr>
      <w:r>
        <w:rPr>
          <w:rFonts w:ascii="宋体" w:hAnsi="宋体" w:eastAsia="宋体" w:cs="宋体"/>
          <w:spacing w:val="-11"/>
          <w:sz w:val="21"/>
          <w:szCs w:val="21"/>
          <w:highlight w:val="none"/>
        </w:rPr>
        <w:t>的约定。</w:t>
      </w:r>
    </w:p>
    <w:p w14:paraId="7D8C52DD">
      <w:pPr>
        <w:spacing w:before="89" w:line="219" w:lineRule="auto"/>
        <w:ind w:left="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1.6.3</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6"/>
          <w:sz w:val="22"/>
          <w:szCs w:val="22"/>
          <w:highlight w:val="none"/>
        </w:rPr>
        <w:t>文件错误的通知</w:t>
      </w:r>
    </w:p>
    <w:p w14:paraId="6BADA64D">
      <w:pPr>
        <w:pStyle w:val="2"/>
        <w:spacing w:line="345" w:lineRule="auto"/>
        <w:rPr>
          <w:highlight w:val="none"/>
        </w:rPr>
      </w:pPr>
    </w:p>
    <w:p w14:paraId="5D5A5E9A">
      <w:pPr>
        <w:spacing w:before="72"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任何一方发现文件中存在明显的错误或疏忽，</w:t>
      </w:r>
      <w:r>
        <w:rPr>
          <w:rFonts w:ascii="宋体" w:hAnsi="宋体" w:eastAsia="宋体" w:cs="宋体"/>
          <w:spacing w:val="-11"/>
          <w:sz w:val="22"/>
          <w:szCs w:val="22"/>
          <w:highlight w:val="none"/>
        </w:rPr>
        <w:t>应及时通知另一方。</w:t>
      </w:r>
    </w:p>
    <w:p w14:paraId="5AB1B964">
      <w:pPr>
        <w:spacing w:before="99"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1.6.4</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7"/>
          <w:sz w:val="22"/>
          <w:szCs w:val="22"/>
          <w:highlight w:val="none"/>
        </w:rPr>
        <w:t>文件的照管</w:t>
      </w:r>
    </w:p>
    <w:p w14:paraId="2893561F">
      <w:pPr>
        <w:pStyle w:val="2"/>
        <w:spacing w:line="379" w:lineRule="auto"/>
        <w:rPr>
          <w:highlight w:val="none"/>
        </w:rPr>
      </w:pPr>
    </w:p>
    <w:p w14:paraId="083D9D82">
      <w:pPr>
        <w:spacing w:before="68" w:line="423" w:lineRule="auto"/>
        <w:ind w:right="68"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除专用合同条件另有约定外，承包人应在现</w:t>
      </w:r>
      <w:r>
        <w:rPr>
          <w:rFonts w:ascii="宋体" w:hAnsi="宋体" w:eastAsia="宋体" w:cs="宋体"/>
          <w:spacing w:val="-3"/>
          <w:sz w:val="21"/>
          <w:szCs w:val="21"/>
          <w:highlight w:val="none"/>
        </w:rPr>
        <w:t>场保留一份合同、《发包人要求》中列出的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所有文件、承包人文件、变更以及其他根据合同收发的往来信</w:t>
      </w:r>
      <w:r>
        <w:rPr>
          <w:rFonts w:ascii="宋体" w:hAnsi="宋体" w:eastAsia="宋体" w:cs="宋体"/>
          <w:spacing w:val="-3"/>
          <w:sz w:val="21"/>
          <w:szCs w:val="21"/>
          <w:highlight w:val="none"/>
        </w:rPr>
        <w:t>函。发包人和工程师有权在任</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何合理的时间查阅和使用上述所有文件。</w:t>
      </w:r>
    </w:p>
    <w:p w14:paraId="1BB41FE3">
      <w:pPr>
        <w:spacing w:line="423" w:lineRule="auto"/>
        <w:rPr>
          <w:rFonts w:ascii="宋体" w:hAnsi="宋体" w:eastAsia="宋体" w:cs="宋体"/>
          <w:sz w:val="21"/>
          <w:szCs w:val="21"/>
          <w:highlight w:val="none"/>
        </w:rPr>
        <w:sectPr>
          <w:footerReference r:id="rId77" w:type="default"/>
          <w:pgSz w:w="11910" w:h="16840"/>
          <w:pgMar w:top="400" w:right="1744" w:bottom="1184" w:left="1779" w:header="0" w:footer="1024" w:gutter="0"/>
          <w:cols w:space="720" w:num="1"/>
        </w:sectPr>
      </w:pPr>
    </w:p>
    <w:p w14:paraId="62990B97">
      <w:pPr>
        <w:pStyle w:val="2"/>
        <w:spacing w:line="267" w:lineRule="auto"/>
        <w:rPr>
          <w:highlight w:val="none"/>
        </w:rPr>
      </w:pPr>
    </w:p>
    <w:p w14:paraId="611E7A58">
      <w:pPr>
        <w:pStyle w:val="2"/>
        <w:spacing w:line="267" w:lineRule="auto"/>
        <w:rPr>
          <w:highlight w:val="none"/>
        </w:rPr>
      </w:pPr>
    </w:p>
    <w:p w14:paraId="1DCF98B7">
      <w:pPr>
        <w:pStyle w:val="2"/>
        <w:spacing w:line="267" w:lineRule="auto"/>
        <w:rPr>
          <w:highlight w:val="none"/>
        </w:rPr>
      </w:pPr>
    </w:p>
    <w:p w14:paraId="45F44E2C">
      <w:pPr>
        <w:pStyle w:val="2"/>
        <w:spacing w:line="267" w:lineRule="auto"/>
        <w:rPr>
          <w:highlight w:val="none"/>
        </w:rPr>
      </w:pPr>
    </w:p>
    <w:p w14:paraId="0661AEE8">
      <w:pPr>
        <w:spacing w:before="72" w:line="221" w:lineRule="auto"/>
        <w:rPr>
          <w:rFonts w:ascii="黑体" w:hAnsi="黑体" w:eastAsia="黑体" w:cs="黑体"/>
          <w:sz w:val="22"/>
          <w:szCs w:val="22"/>
          <w:highlight w:val="none"/>
        </w:rPr>
      </w:pPr>
      <w:bookmarkStart w:id="82" w:name="bookmark219"/>
      <w:bookmarkEnd w:id="82"/>
      <w:r>
        <w:rPr>
          <w:rFonts w:ascii="黑体" w:hAnsi="黑体" w:eastAsia="黑体" w:cs="黑体"/>
          <w:spacing w:val="11"/>
          <w:sz w:val="22"/>
          <w:szCs w:val="22"/>
          <w:highlight w:val="none"/>
        </w:rPr>
        <w:t>1.7联络</w:t>
      </w:r>
    </w:p>
    <w:p w14:paraId="3707FC1A">
      <w:pPr>
        <w:spacing w:before="118" w:line="307" w:lineRule="auto"/>
        <w:ind w:firstLine="430"/>
        <w:rPr>
          <w:rFonts w:ascii="宋体" w:hAnsi="宋体" w:eastAsia="宋体" w:cs="宋体"/>
          <w:sz w:val="21"/>
          <w:szCs w:val="21"/>
          <w:highlight w:val="none"/>
        </w:rPr>
      </w:pPr>
      <w:r>
        <w:rPr>
          <w:rFonts w:ascii="Times New Roman" w:hAnsi="Times New Roman" w:eastAsia="Times New Roman" w:cs="Times New Roman"/>
          <w:spacing w:val="-5"/>
          <w:sz w:val="21"/>
          <w:szCs w:val="21"/>
          <w:highlight w:val="none"/>
        </w:rPr>
        <w:t xml:space="preserve">1.7.1    </w:t>
      </w:r>
      <w:r>
        <w:rPr>
          <w:rFonts w:ascii="宋体" w:hAnsi="宋体" w:eastAsia="宋体" w:cs="宋体"/>
          <w:spacing w:val="-5"/>
          <w:sz w:val="21"/>
          <w:szCs w:val="21"/>
          <w:highlight w:val="none"/>
        </w:rPr>
        <w:t>与合同有关的通知、批准、证明、证书、指示、指令、要求、请求、同意、意见、</w:t>
      </w:r>
      <w:r>
        <w:rPr>
          <w:rFonts w:ascii="宋体" w:hAnsi="宋体" w:eastAsia="宋体" w:cs="宋体"/>
          <w:spacing w:val="9"/>
          <w:sz w:val="21"/>
          <w:szCs w:val="21"/>
          <w:highlight w:val="none"/>
        </w:rPr>
        <w:t xml:space="preserve"> </w:t>
      </w:r>
      <w:r>
        <w:rPr>
          <w:rFonts w:ascii="宋体" w:hAnsi="宋体" w:eastAsia="宋体" w:cs="宋体"/>
          <w:spacing w:val="-1"/>
          <w:sz w:val="21"/>
          <w:szCs w:val="21"/>
          <w:highlight w:val="none"/>
        </w:rPr>
        <w:t>确定和决定等，均应采用书面形式，并应在合同约定的期限内(如无约定，应在合理期限内)</w:t>
      </w:r>
      <w:r>
        <w:rPr>
          <w:rFonts w:ascii="宋体" w:hAnsi="宋体" w:eastAsia="宋体" w:cs="宋体"/>
          <w:spacing w:val="5"/>
          <w:sz w:val="21"/>
          <w:szCs w:val="21"/>
          <w:highlight w:val="none"/>
        </w:rPr>
        <w:t xml:space="preserve"> </w:t>
      </w:r>
      <w:r>
        <w:rPr>
          <w:rFonts w:ascii="宋体" w:hAnsi="宋体" w:eastAsia="宋体" w:cs="宋体"/>
          <w:sz w:val="21"/>
          <w:szCs w:val="21"/>
          <w:highlight w:val="none"/>
        </w:rPr>
        <w:t>通过特快专递或专人、挂号信、传真或双方</w:t>
      </w:r>
      <w:r>
        <w:rPr>
          <w:rFonts w:ascii="宋体" w:hAnsi="宋体" w:eastAsia="宋体" w:cs="宋体"/>
          <w:spacing w:val="-1"/>
          <w:sz w:val="21"/>
          <w:szCs w:val="21"/>
          <w:highlight w:val="none"/>
        </w:rPr>
        <w:t>商定的电子传输方式送达收件地址。</w:t>
      </w:r>
    </w:p>
    <w:p w14:paraId="385E889B">
      <w:pPr>
        <w:spacing w:before="312" w:line="281" w:lineRule="auto"/>
        <w:ind w:right="96" w:firstLine="43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1.7.2</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11"/>
          <w:sz w:val="22"/>
          <w:szCs w:val="22"/>
          <w:highlight w:val="none"/>
        </w:rPr>
        <w:t>发包人和承包人应在专用合同条件中</w:t>
      </w:r>
      <w:r>
        <w:rPr>
          <w:rFonts w:ascii="宋体" w:hAnsi="宋体" w:eastAsia="宋体" w:cs="宋体"/>
          <w:spacing w:val="-12"/>
          <w:sz w:val="22"/>
          <w:szCs w:val="22"/>
          <w:highlight w:val="none"/>
        </w:rPr>
        <w:t>约定各自的送达方式和收件地址。任何一方</w:t>
      </w:r>
      <w:r>
        <w:rPr>
          <w:rFonts w:ascii="宋体" w:hAnsi="宋体" w:eastAsia="宋体" w:cs="宋体"/>
          <w:spacing w:val="1"/>
          <w:sz w:val="22"/>
          <w:szCs w:val="22"/>
          <w:highlight w:val="none"/>
        </w:rPr>
        <w:t xml:space="preserve"> </w:t>
      </w:r>
      <w:r>
        <w:rPr>
          <w:rFonts w:ascii="宋体" w:hAnsi="宋体" w:eastAsia="宋体" w:cs="宋体"/>
          <w:spacing w:val="-7"/>
          <w:sz w:val="22"/>
          <w:szCs w:val="22"/>
          <w:highlight w:val="none"/>
        </w:rPr>
        <w:t>合同当事人指定的送达方式或收件地址发生变动的，应提前3天以书面形式通知对方。</w:t>
      </w:r>
    </w:p>
    <w:p w14:paraId="6F494715">
      <w:pPr>
        <w:spacing w:before="309" w:line="286" w:lineRule="auto"/>
        <w:ind w:right="95" w:firstLine="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1.7.3</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6"/>
          <w:sz w:val="22"/>
          <w:szCs w:val="22"/>
          <w:highlight w:val="none"/>
        </w:rPr>
        <w:t>发包人和承包人应当及时签收另一方通过约定</w:t>
      </w:r>
      <w:r>
        <w:rPr>
          <w:rFonts w:ascii="宋体" w:hAnsi="宋体" w:eastAsia="宋体" w:cs="宋体"/>
          <w:spacing w:val="-7"/>
          <w:sz w:val="22"/>
          <w:szCs w:val="22"/>
          <w:highlight w:val="none"/>
        </w:rPr>
        <w:t>的送达方式送达至收件地址的来</w:t>
      </w:r>
      <w:r>
        <w:rPr>
          <w:rFonts w:ascii="宋体" w:hAnsi="宋体" w:eastAsia="宋体" w:cs="宋体"/>
          <w:spacing w:val="2"/>
          <w:sz w:val="22"/>
          <w:szCs w:val="22"/>
          <w:highlight w:val="none"/>
        </w:rPr>
        <w:t xml:space="preserve"> </w:t>
      </w:r>
      <w:r>
        <w:rPr>
          <w:rFonts w:ascii="宋体" w:hAnsi="宋体" w:eastAsia="宋体" w:cs="宋体"/>
          <w:spacing w:val="-4"/>
          <w:sz w:val="22"/>
          <w:szCs w:val="22"/>
          <w:highlight w:val="none"/>
        </w:rPr>
        <w:t>往文件。拒不签收的，由此增加的费用和(或)延误的工期由拒绝接收一方承担。</w:t>
      </w:r>
    </w:p>
    <w:p w14:paraId="5A60AC89">
      <w:pPr>
        <w:pStyle w:val="2"/>
        <w:spacing w:line="256" w:lineRule="auto"/>
        <w:rPr>
          <w:highlight w:val="none"/>
        </w:rPr>
      </w:pPr>
    </w:p>
    <w:p w14:paraId="1C03085F">
      <w:pPr>
        <w:spacing w:before="68" w:line="319" w:lineRule="auto"/>
        <w:ind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1.7.4    </w:t>
      </w:r>
      <w:r>
        <w:rPr>
          <w:rFonts w:ascii="宋体" w:hAnsi="宋体" w:eastAsia="宋体" w:cs="宋体"/>
          <w:spacing w:val="-2"/>
          <w:sz w:val="21"/>
          <w:szCs w:val="21"/>
          <w:highlight w:val="none"/>
        </w:rPr>
        <w:t>对于工程师向承包人发出的任何通知，均应以书面形式由工程</w:t>
      </w:r>
      <w:r>
        <w:rPr>
          <w:rFonts w:ascii="宋体" w:hAnsi="宋体" w:eastAsia="宋体" w:cs="宋体"/>
          <w:spacing w:val="-3"/>
          <w:sz w:val="21"/>
          <w:szCs w:val="21"/>
          <w:highlight w:val="none"/>
        </w:rPr>
        <w:t>师或其代表签认后</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送交承包人实施，并抄送发包人；对于合同一方向另一方发出的任何通知，均应抄送工程师。</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对于由工程师审查后报发包人批准的事项，应由工程师向承包人出具</w:t>
      </w:r>
      <w:r>
        <w:rPr>
          <w:rFonts w:ascii="宋体" w:hAnsi="宋体" w:eastAsia="宋体" w:cs="宋体"/>
          <w:spacing w:val="-3"/>
          <w:sz w:val="21"/>
          <w:szCs w:val="21"/>
          <w:highlight w:val="none"/>
        </w:rPr>
        <w:t>经发包人签认的批准文</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件。</w:t>
      </w:r>
    </w:p>
    <w:p w14:paraId="6362DA50">
      <w:pPr>
        <w:pStyle w:val="2"/>
        <w:spacing w:line="366" w:lineRule="auto"/>
        <w:rPr>
          <w:highlight w:val="none"/>
        </w:rPr>
      </w:pPr>
    </w:p>
    <w:p w14:paraId="32539015">
      <w:pPr>
        <w:spacing w:before="72" w:line="222" w:lineRule="auto"/>
        <w:rPr>
          <w:rFonts w:ascii="黑体" w:hAnsi="黑体" w:eastAsia="黑体" w:cs="黑体"/>
          <w:sz w:val="22"/>
          <w:szCs w:val="22"/>
          <w:highlight w:val="none"/>
        </w:rPr>
      </w:pPr>
      <w:r>
        <w:rPr>
          <w:rFonts w:ascii="黑体" w:hAnsi="黑体" w:eastAsia="黑体" w:cs="黑体"/>
          <w:spacing w:val="5"/>
          <w:sz w:val="22"/>
          <w:szCs w:val="22"/>
          <w:highlight w:val="none"/>
        </w:rPr>
        <w:t>1.8严禁贿赂</w:t>
      </w:r>
    </w:p>
    <w:p w14:paraId="4351D784">
      <w:pPr>
        <w:spacing w:before="225" w:line="422" w:lineRule="auto"/>
        <w:ind w:right="86" w:firstLine="430"/>
        <w:rPr>
          <w:rFonts w:ascii="宋体" w:hAnsi="宋体" w:eastAsia="宋体" w:cs="宋体"/>
          <w:sz w:val="21"/>
          <w:szCs w:val="21"/>
          <w:highlight w:val="none"/>
        </w:rPr>
      </w:pPr>
      <w:r>
        <w:rPr>
          <w:rFonts w:ascii="宋体" w:hAnsi="宋体" w:eastAsia="宋体" w:cs="宋体"/>
          <w:spacing w:val="-2"/>
          <w:sz w:val="21"/>
          <w:szCs w:val="21"/>
          <w:highlight w:val="none"/>
        </w:rPr>
        <w:t>合同当事人不得以贿赂或变相贿赂的方式，谋取</w:t>
      </w:r>
      <w:r>
        <w:rPr>
          <w:rFonts w:ascii="宋体" w:hAnsi="宋体" w:eastAsia="宋体" w:cs="宋体"/>
          <w:spacing w:val="-3"/>
          <w:sz w:val="21"/>
          <w:szCs w:val="21"/>
          <w:highlight w:val="none"/>
        </w:rPr>
        <w:t>非法利益或损害对方权益。因一方合同</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当事人的贿赂造成对方损失的，应赔偿损失，并承担相应的法律责任。</w:t>
      </w:r>
    </w:p>
    <w:p w14:paraId="09B0F7E1">
      <w:pPr>
        <w:spacing w:before="3" w:line="414" w:lineRule="auto"/>
        <w:ind w:right="19"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承包人不得与工程师或发包人聘请的第三方串通损害发包人利益。未经发包人书面同</w:t>
      </w:r>
      <w:r>
        <w:rPr>
          <w:rFonts w:ascii="宋体" w:hAnsi="宋体" w:eastAsia="宋体" w:cs="宋体"/>
          <w:spacing w:val="7"/>
          <w:sz w:val="21"/>
          <w:szCs w:val="21"/>
          <w:highlight w:val="none"/>
        </w:rPr>
        <w:t xml:space="preserve"> </w:t>
      </w:r>
      <w:r>
        <w:rPr>
          <w:rFonts w:ascii="宋体" w:hAnsi="宋体" w:eastAsia="宋体" w:cs="宋体"/>
          <w:sz w:val="21"/>
          <w:szCs w:val="21"/>
          <w:highlight w:val="none"/>
        </w:rPr>
        <w:t>意，承包人不得为工程师提供合同约定以外的通讯设备</w:t>
      </w:r>
      <w:r>
        <w:rPr>
          <w:rFonts w:ascii="宋体" w:hAnsi="宋体" w:eastAsia="宋体" w:cs="宋体"/>
          <w:spacing w:val="-1"/>
          <w:sz w:val="21"/>
          <w:szCs w:val="21"/>
          <w:highlight w:val="none"/>
        </w:rPr>
        <w:t>、交通工具及其他任何形式的利益，</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不得向工程师支付报酬。</w:t>
      </w:r>
    </w:p>
    <w:p w14:paraId="41E2FB6C">
      <w:pPr>
        <w:spacing w:before="155" w:line="222" w:lineRule="auto"/>
        <w:rPr>
          <w:rFonts w:ascii="黑体" w:hAnsi="黑体" w:eastAsia="黑体" w:cs="黑体"/>
          <w:sz w:val="22"/>
          <w:szCs w:val="22"/>
          <w:highlight w:val="none"/>
        </w:rPr>
      </w:pPr>
      <w:r>
        <w:rPr>
          <w:rFonts w:ascii="黑体" w:hAnsi="黑体" w:eastAsia="黑体" w:cs="黑体"/>
          <w:spacing w:val="5"/>
          <w:sz w:val="22"/>
          <w:szCs w:val="22"/>
          <w:highlight w:val="none"/>
        </w:rPr>
        <w:t>1.9化石、文物</w:t>
      </w:r>
    </w:p>
    <w:p w14:paraId="7D0AE3AB">
      <w:pPr>
        <w:spacing w:before="235" w:line="414" w:lineRule="auto"/>
        <w:ind w:right="75"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在施工现场发掘的所有文物、古迹以及具有地质研究或考古价值的其他遗</w:t>
      </w:r>
      <w:r>
        <w:rPr>
          <w:rFonts w:ascii="宋体" w:hAnsi="宋体" w:eastAsia="宋体" w:cs="宋体"/>
          <w:spacing w:val="-3"/>
          <w:sz w:val="21"/>
          <w:szCs w:val="21"/>
          <w:highlight w:val="none"/>
        </w:rPr>
        <w:t>迹、化石、钱</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币或物品属于国家所有。一旦发现上述文物，承包人应采取合</w:t>
      </w:r>
      <w:r>
        <w:rPr>
          <w:rFonts w:ascii="宋体" w:hAnsi="宋体" w:eastAsia="宋体" w:cs="宋体"/>
          <w:spacing w:val="-3"/>
          <w:sz w:val="21"/>
          <w:szCs w:val="21"/>
          <w:highlight w:val="none"/>
        </w:rPr>
        <w:t>理有效的保护措施，防止任何</w:t>
      </w:r>
      <w:r>
        <w:rPr>
          <w:rFonts w:ascii="宋体" w:hAnsi="宋体" w:eastAsia="宋体" w:cs="宋体"/>
          <w:sz w:val="21"/>
          <w:szCs w:val="21"/>
          <w:highlight w:val="none"/>
        </w:rPr>
        <w:t xml:space="preserve"> 人员移动或损坏上述物品，并立即报告有关政</w:t>
      </w:r>
      <w:r>
        <w:rPr>
          <w:rFonts w:ascii="宋体" w:hAnsi="宋体" w:eastAsia="宋体" w:cs="宋体"/>
          <w:spacing w:val="-1"/>
          <w:sz w:val="21"/>
          <w:szCs w:val="21"/>
          <w:highlight w:val="none"/>
        </w:rPr>
        <w:t>府行政管理部门，同时通知工程师。</w:t>
      </w:r>
    </w:p>
    <w:p w14:paraId="6007105B">
      <w:pPr>
        <w:spacing w:before="17" w:line="413" w:lineRule="auto"/>
        <w:ind w:right="87" w:firstLine="430"/>
        <w:rPr>
          <w:rFonts w:ascii="宋体" w:hAnsi="宋体" w:eastAsia="宋体" w:cs="宋体"/>
          <w:sz w:val="21"/>
          <w:szCs w:val="21"/>
          <w:highlight w:val="none"/>
        </w:rPr>
      </w:pPr>
      <w:r>
        <w:rPr>
          <w:rFonts w:ascii="宋体" w:hAnsi="宋体" w:eastAsia="宋体" w:cs="宋体"/>
          <w:spacing w:val="-2"/>
          <w:sz w:val="21"/>
          <w:szCs w:val="21"/>
          <w:highlight w:val="none"/>
        </w:rPr>
        <w:t>发包人、工程师和承包人应按有关政府行政管</w:t>
      </w:r>
      <w:r>
        <w:rPr>
          <w:rFonts w:ascii="宋体" w:hAnsi="宋体" w:eastAsia="宋体" w:cs="宋体"/>
          <w:spacing w:val="-3"/>
          <w:sz w:val="21"/>
          <w:szCs w:val="21"/>
          <w:highlight w:val="none"/>
        </w:rPr>
        <w:t>理部门要求采取妥善的保护措施，由此增</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加的费用和(或)延误的工期由发包人承担。</w:t>
      </w:r>
    </w:p>
    <w:p w14:paraId="0D8E2828">
      <w:pPr>
        <w:spacing w:before="2" w:line="442" w:lineRule="auto"/>
        <w:ind w:right="75" w:firstLine="430"/>
        <w:rPr>
          <w:rFonts w:ascii="宋体" w:hAnsi="宋体" w:eastAsia="宋体" w:cs="宋体"/>
          <w:sz w:val="21"/>
          <w:szCs w:val="21"/>
          <w:highlight w:val="none"/>
        </w:rPr>
      </w:pPr>
      <w:r>
        <w:rPr>
          <w:rFonts w:ascii="宋体" w:hAnsi="宋体" w:eastAsia="宋体" w:cs="宋体"/>
          <w:spacing w:val="-2"/>
          <w:sz w:val="21"/>
          <w:szCs w:val="21"/>
          <w:highlight w:val="none"/>
        </w:rPr>
        <w:t>承包人发现文物后不及时报告或隐瞒不报，致使文物丢失或损坏的，应赔</w:t>
      </w:r>
      <w:r>
        <w:rPr>
          <w:rFonts w:ascii="宋体" w:hAnsi="宋体" w:eastAsia="宋体" w:cs="宋体"/>
          <w:spacing w:val="-3"/>
          <w:sz w:val="21"/>
          <w:szCs w:val="21"/>
          <w:highlight w:val="none"/>
        </w:rPr>
        <w:t>偿损失，并承</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担相应的法律责任。</w:t>
      </w:r>
    </w:p>
    <w:p w14:paraId="7EDD4061">
      <w:pPr>
        <w:pStyle w:val="2"/>
        <w:spacing w:before="85" w:line="300" w:lineRule="exact"/>
        <w:rPr>
          <w:rFonts w:ascii="黑体" w:hAnsi="黑体" w:eastAsia="黑体" w:cs="黑体"/>
          <w:sz w:val="22"/>
          <w:szCs w:val="22"/>
          <w:highlight w:val="none"/>
        </w:rPr>
      </w:pPr>
      <w:r>
        <w:rPr>
          <w:spacing w:val="-5"/>
          <w:position w:val="1"/>
          <w:sz w:val="22"/>
          <w:szCs w:val="22"/>
          <w:highlight w:val="none"/>
        </w:rPr>
        <w:t>1.10</w:t>
      </w:r>
      <w:r>
        <w:rPr>
          <w:spacing w:val="48"/>
          <w:w w:val="101"/>
          <w:position w:val="1"/>
          <w:sz w:val="22"/>
          <w:szCs w:val="22"/>
          <w:highlight w:val="none"/>
        </w:rPr>
        <w:t xml:space="preserve"> </w:t>
      </w:r>
      <w:r>
        <w:rPr>
          <w:rFonts w:ascii="黑体" w:hAnsi="黑体" w:eastAsia="黑体" w:cs="黑体"/>
          <w:spacing w:val="-5"/>
          <w:position w:val="1"/>
          <w:sz w:val="22"/>
          <w:szCs w:val="22"/>
          <w:highlight w:val="none"/>
        </w:rPr>
        <w:t>知识产权</w:t>
      </w:r>
    </w:p>
    <w:p w14:paraId="3ED17B5D">
      <w:pPr>
        <w:spacing w:before="110" w:line="371" w:lineRule="auto"/>
        <w:ind w:right="94" w:firstLine="430"/>
        <w:rPr>
          <w:rFonts w:ascii="宋体" w:hAnsi="宋体" w:eastAsia="宋体" w:cs="宋体"/>
          <w:sz w:val="21"/>
          <w:szCs w:val="21"/>
          <w:highlight w:val="none"/>
        </w:rPr>
      </w:pPr>
      <w:r>
        <w:rPr>
          <w:rFonts w:ascii="Times New Roman" w:hAnsi="Times New Roman" w:eastAsia="Times New Roman" w:cs="Times New Roman"/>
          <w:spacing w:val="5"/>
          <w:sz w:val="21"/>
          <w:szCs w:val="21"/>
          <w:highlight w:val="none"/>
        </w:rPr>
        <w:t>1.10.1</w:t>
      </w:r>
      <w:r>
        <w:rPr>
          <w:rFonts w:ascii="Times New Roman" w:hAnsi="Times New Roman" w:eastAsia="Times New Roman" w:cs="Times New Roman"/>
          <w:spacing w:val="22"/>
          <w:sz w:val="21"/>
          <w:szCs w:val="21"/>
          <w:highlight w:val="none"/>
        </w:rPr>
        <w:t xml:space="preserve">   </w:t>
      </w:r>
      <w:r>
        <w:rPr>
          <w:rFonts w:ascii="宋体" w:hAnsi="宋体" w:eastAsia="宋体" w:cs="宋体"/>
          <w:spacing w:val="5"/>
          <w:sz w:val="21"/>
          <w:szCs w:val="21"/>
          <w:highlight w:val="none"/>
        </w:rPr>
        <w:t>除专用合同条件另有约定外，由发包人(或以发包人名义)编制的《发包人要</w:t>
      </w:r>
      <w:r>
        <w:rPr>
          <w:rFonts w:ascii="宋体" w:hAnsi="宋体" w:eastAsia="宋体" w:cs="宋体"/>
          <w:spacing w:val="1"/>
          <w:sz w:val="21"/>
          <w:szCs w:val="21"/>
          <w:highlight w:val="none"/>
        </w:rPr>
        <w:t xml:space="preserve"> </w:t>
      </w:r>
      <w:r>
        <w:rPr>
          <w:rFonts w:ascii="宋体" w:hAnsi="宋体" w:eastAsia="宋体" w:cs="宋体"/>
          <w:spacing w:val="-3"/>
          <w:sz w:val="21"/>
          <w:szCs w:val="21"/>
          <w:highlight w:val="none"/>
        </w:rPr>
        <w:t>求》和其他文件，就合同当事人之间而言，其著作权和其他知识产权应归发包人所有。承包</w:t>
      </w:r>
    </w:p>
    <w:p w14:paraId="2CB6A4CB">
      <w:pPr>
        <w:spacing w:line="371" w:lineRule="auto"/>
        <w:rPr>
          <w:rFonts w:ascii="宋体" w:hAnsi="宋体" w:eastAsia="宋体" w:cs="宋体"/>
          <w:sz w:val="21"/>
          <w:szCs w:val="21"/>
          <w:highlight w:val="none"/>
        </w:rPr>
        <w:sectPr>
          <w:footerReference r:id="rId78" w:type="default"/>
          <w:pgSz w:w="11910" w:h="16840"/>
          <w:pgMar w:top="400" w:right="1734" w:bottom="1238" w:left="1769" w:header="0" w:footer="1007" w:gutter="0"/>
          <w:cols w:space="720" w:num="1"/>
        </w:sectPr>
      </w:pPr>
    </w:p>
    <w:p w14:paraId="0533FA87">
      <w:pPr>
        <w:pStyle w:val="2"/>
        <w:spacing w:line="243" w:lineRule="auto"/>
        <w:rPr>
          <w:highlight w:val="none"/>
        </w:rPr>
      </w:pPr>
    </w:p>
    <w:p w14:paraId="0A68B11D">
      <w:pPr>
        <w:pStyle w:val="2"/>
        <w:spacing w:line="244" w:lineRule="auto"/>
        <w:rPr>
          <w:highlight w:val="none"/>
        </w:rPr>
      </w:pPr>
    </w:p>
    <w:p w14:paraId="22AD5CA9">
      <w:pPr>
        <w:pStyle w:val="2"/>
        <w:spacing w:line="244" w:lineRule="auto"/>
        <w:rPr>
          <w:highlight w:val="none"/>
        </w:rPr>
      </w:pPr>
    </w:p>
    <w:p w14:paraId="0CFF577B">
      <w:pPr>
        <w:pStyle w:val="2"/>
        <w:spacing w:line="244" w:lineRule="auto"/>
        <w:rPr>
          <w:highlight w:val="none"/>
        </w:rPr>
      </w:pPr>
    </w:p>
    <w:p w14:paraId="19CE18C0">
      <w:pPr>
        <w:spacing w:before="68" w:line="354" w:lineRule="auto"/>
        <w:ind w:right="80"/>
        <w:jc w:val="both"/>
        <w:rPr>
          <w:rFonts w:ascii="宋体" w:hAnsi="宋体" w:eastAsia="宋体" w:cs="宋体"/>
          <w:sz w:val="21"/>
          <w:szCs w:val="21"/>
          <w:highlight w:val="none"/>
        </w:rPr>
      </w:pPr>
      <w:r>
        <w:rPr>
          <w:rFonts w:ascii="宋体" w:hAnsi="宋体" w:eastAsia="宋体" w:cs="宋体"/>
          <w:spacing w:val="-2"/>
          <w:sz w:val="21"/>
          <w:szCs w:val="21"/>
          <w:highlight w:val="none"/>
        </w:rPr>
        <w:t>人可以为实现合同目的而复制、使用此类文件，但不能用于与合同无关的其他事项。未</w:t>
      </w:r>
      <w:r>
        <w:rPr>
          <w:rFonts w:ascii="宋体" w:hAnsi="宋体" w:eastAsia="宋体" w:cs="宋体"/>
          <w:spacing w:val="-3"/>
          <w:sz w:val="21"/>
          <w:szCs w:val="21"/>
          <w:highlight w:val="none"/>
        </w:rPr>
        <w:t>经发</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包人书面同意，承包人不得为了合同以外的目的而</w:t>
      </w:r>
      <w:r>
        <w:rPr>
          <w:rFonts w:ascii="宋体" w:hAnsi="宋体" w:eastAsia="宋体" w:cs="宋体"/>
          <w:spacing w:val="-3"/>
          <w:sz w:val="21"/>
          <w:szCs w:val="21"/>
          <w:highlight w:val="none"/>
        </w:rPr>
        <w:t>复制、使用上述文件或将之提供给任何第</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三方。</w:t>
      </w:r>
    </w:p>
    <w:p w14:paraId="5EED7E53">
      <w:pPr>
        <w:spacing w:before="189" w:line="341" w:lineRule="auto"/>
        <w:ind w:right="93" w:firstLine="420"/>
        <w:rPr>
          <w:rFonts w:ascii="宋体" w:hAnsi="宋体" w:eastAsia="宋体" w:cs="宋体"/>
          <w:sz w:val="20"/>
          <w:szCs w:val="20"/>
          <w:highlight w:val="none"/>
        </w:rPr>
      </w:pPr>
      <w:r>
        <w:rPr>
          <w:rFonts w:ascii="Times New Roman" w:hAnsi="Times New Roman" w:eastAsia="Times New Roman" w:cs="Times New Roman"/>
          <w:spacing w:val="13"/>
          <w:sz w:val="20"/>
          <w:szCs w:val="20"/>
          <w:highlight w:val="none"/>
        </w:rPr>
        <w:t xml:space="preserve">1.10.2    </w:t>
      </w:r>
      <w:r>
        <w:rPr>
          <w:rFonts w:ascii="宋体" w:hAnsi="宋体" w:eastAsia="宋体" w:cs="宋体"/>
          <w:spacing w:val="13"/>
          <w:sz w:val="20"/>
          <w:szCs w:val="20"/>
          <w:highlight w:val="none"/>
        </w:rPr>
        <w:t xml:space="preserve">除专用合同条件另有约定外，由承包人(或以承包人名义)为实施工程所编制 </w:t>
      </w:r>
      <w:r>
        <w:rPr>
          <w:rFonts w:ascii="宋体" w:hAnsi="宋体" w:eastAsia="宋体" w:cs="宋体"/>
          <w:spacing w:val="8"/>
          <w:sz w:val="20"/>
          <w:szCs w:val="20"/>
          <w:highlight w:val="none"/>
        </w:rPr>
        <w:t>的文件、承包人完成的设计工作成果和建造完成的</w:t>
      </w:r>
      <w:r>
        <w:rPr>
          <w:rFonts w:ascii="宋体" w:hAnsi="宋体" w:eastAsia="宋体" w:cs="宋体"/>
          <w:spacing w:val="7"/>
          <w:sz w:val="20"/>
          <w:szCs w:val="20"/>
          <w:highlight w:val="none"/>
        </w:rPr>
        <w:t>建筑物，就合同当事人之间而言，其著作</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权和其他知识产权应归承包人享有。发包人可因实施工</w:t>
      </w:r>
      <w:r>
        <w:rPr>
          <w:rFonts w:ascii="宋体" w:hAnsi="宋体" w:eastAsia="宋体" w:cs="宋体"/>
          <w:spacing w:val="7"/>
          <w:sz w:val="20"/>
          <w:szCs w:val="20"/>
          <w:highlight w:val="none"/>
        </w:rPr>
        <w:t>程的运行、调试、维修、改造等目的</w:t>
      </w:r>
      <w:r>
        <w:rPr>
          <w:rFonts w:ascii="宋体" w:hAnsi="宋体" w:eastAsia="宋体" w:cs="宋体"/>
          <w:sz w:val="20"/>
          <w:szCs w:val="20"/>
          <w:highlight w:val="none"/>
        </w:rPr>
        <w:t xml:space="preserve"> </w:t>
      </w:r>
      <w:r>
        <w:rPr>
          <w:rFonts w:ascii="宋体" w:hAnsi="宋体" w:eastAsia="宋体" w:cs="宋体"/>
          <w:spacing w:val="7"/>
          <w:sz w:val="20"/>
          <w:szCs w:val="20"/>
          <w:highlight w:val="none"/>
        </w:rPr>
        <w:t>而复制、使用此类文件，但不能用于与合同无关的其他事项。未经承包人书面同意，发包人</w:t>
      </w:r>
      <w:r>
        <w:rPr>
          <w:rFonts w:ascii="宋体" w:hAnsi="宋体" w:eastAsia="宋体" w:cs="宋体"/>
          <w:spacing w:val="17"/>
          <w:sz w:val="20"/>
          <w:szCs w:val="20"/>
          <w:highlight w:val="none"/>
        </w:rPr>
        <w:t xml:space="preserve"> </w:t>
      </w:r>
      <w:r>
        <w:rPr>
          <w:rFonts w:ascii="宋体" w:hAnsi="宋体" w:eastAsia="宋体" w:cs="宋体"/>
          <w:spacing w:val="9"/>
          <w:sz w:val="20"/>
          <w:szCs w:val="20"/>
          <w:highlight w:val="none"/>
        </w:rPr>
        <w:t>不得为了合同以外的目的而复制、使用上述文件或将之提供给任何第三方。</w:t>
      </w:r>
    </w:p>
    <w:p w14:paraId="1D97B66F">
      <w:pPr>
        <w:pStyle w:val="2"/>
        <w:spacing w:line="282" w:lineRule="auto"/>
        <w:rPr>
          <w:highlight w:val="none"/>
        </w:rPr>
      </w:pPr>
    </w:p>
    <w:p w14:paraId="4C6DB78C">
      <w:pPr>
        <w:spacing w:before="68" w:line="319" w:lineRule="auto"/>
        <w:ind w:right="78" w:firstLine="42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1.10.3    </w:t>
      </w:r>
      <w:r>
        <w:rPr>
          <w:rFonts w:ascii="宋体" w:hAnsi="宋体" w:eastAsia="宋体" w:cs="宋体"/>
          <w:spacing w:val="1"/>
          <w:sz w:val="21"/>
          <w:szCs w:val="21"/>
          <w:highlight w:val="none"/>
        </w:rPr>
        <w:t>合同当事人保证在履行合同过程中</w:t>
      </w:r>
      <w:r>
        <w:rPr>
          <w:rFonts w:ascii="宋体" w:hAnsi="宋体" w:eastAsia="宋体" w:cs="宋体"/>
          <w:sz w:val="21"/>
          <w:szCs w:val="21"/>
          <w:highlight w:val="none"/>
        </w:rPr>
        <w:t xml:space="preserve">不侵犯对方及第三方的知识产权。承包人在 </w:t>
      </w:r>
      <w:r>
        <w:rPr>
          <w:rFonts w:ascii="宋体" w:hAnsi="宋体" w:eastAsia="宋体" w:cs="宋体"/>
          <w:spacing w:val="-3"/>
          <w:sz w:val="21"/>
          <w:szCs w:val="21"/>
          <w:highlight w:val="none"/>
        </w:rPr>
        <w:t>工程设计、使用材料、施工设备、工程设备或采用施工工艺时，因侵犯他人的专利权或其他</w:t>
      </w:r>
      <w:r>
        <w:rPr>
          <w:rFonts w:ascii="宋体" w:hAnsi="宋体" w:eastAsia="宋体" w:cs="宋体"/>
          <w:spacing w:val="17"/>
          <w:sz w:val="21"/>
          <w:szCs w:val="21"/>
          <w:highlight w:val="none"/>
        </w:rPr>
        <w:t xml:space="preserve"> </w:t>
      </w:r>
      <w:r>
        <w:rPr>
          <w:rFonts w:ascii="宋体" w:hAnsi="宋体" w:eastAsia="宋体" w:cs="宋体"/>
          <w:spacing w:val="-2"/>
          <w:sz w:val="21"/>
          <w:szCs w:val="21"/>
          <w:highlight w:val="none"/>
        </w:rPr>
        <w:t>知识产权所引起的责任，由承包人承担；因发</w:t>
      </w:r>
      <w:r>
        <w:rPr>
          <w:rFonts w:ascii="宋体" w:hAnsi="宋体" w:eastAsia="宋体" w:cs="宋体"/>
          <w:spacing w:val="-3"/>
          <w:sz w:val="21"/>
          <w:szCs w:val="21"/>
          <w:highlight w:val="none"/>
        </w:rPr>
        <w:t>包人提供的材料、施工设备、工程设备或施工</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工艺导致侵权的，由发包人承担责任。</w:t>
      </w:r>
    </w:p>
    <w:p w14:paraId="095610FA">
      <w:pPr>
        <w:pStyle w:val="2"/>
        <w:spacing w:line="279" w:lineRule="auto"/>
        <w:rPr>
          <w:highlight w:val="none"/>
        </w:rPr>
      </w:pPr>
    </w:p>
    <w:p w14:paraId="3DF91C55">
      <w:pPr>
        <w:spacing w:before="69" w:line="280" w:lineRule="auto"/>
        <w:ind w:right="95" w:firstLine="420"/>
        <w:rPr>
          <w:rFonts w:ascii="宋体" w:hAnsi="宋体" w:eastAsia="宋体" w:cs="宋体"/>
          <w:sz w:val="21"/>
          <w:szCs w:val="21"/>
          <w:highlight w:val="none"/>
        </w:rPr>
      </w:pPr>
      <w:r>
        <w:rPr>
          <w:rFonts w:ascii="Times New Roman" w:hAnsi="Times New Roman" w:eastAsia="Times New Roman" w:cs="Times New Roman"/>
          <w:sz w:val="21"/>
          <w:szCs w:val="21"/>
          <w:highlight w:val="none"/>
        </w:rPr>
        <w:t>1.10.4</w:t>
      </w:r>
      <w:r>
        <w:rPr>
          <w:rFonts w:ascii="Times New Roman" w:hAnsi="Times New Roman" w:eastAsia="Times New Roman" w:cs="Times New Roman"/>
          <w:spacing w:val="20"/>
          <w:sz w:val="21"/>
          <w:szCs w:val="21"/>
          <w:highlight w:val="none"/>
        </w:rPr>
        <w:t xml:space="preserve">   </w:t>
      </w:r>
      <w:r>
        <w:rPr>
          <w:rFonts w:ascii="宋体" w:hAnsi="宋体" w:eastAsia="宋体" w:cs="宋体"/>
          <w:sz w:val="21"/>
          <w:szCs w:val="21"/>
          <w:highlight w:val="none"/>
        </w:rPr>
        <w:t xml:space="preserve">除专用合同条件另有约定外，承包人在投标文件中采用的专利、专有技术、商 </w:t>
      </w:r>
      <w:r>
        <w:rPr>
          <w:rFonts w:ascii="宋体" w:hAnsi="宋体" w:eastAsia="宋体" w:cs="宋体"/>
          <w:spacing w:val="-2"/>
          <w:sz w:val="21"/>
          <w:szCs w:val="21"/>
          <w:highlight w:val="none"/>
        </w:rPr>
        <w:t>业软件、技术秘密的使用费已包含在签约合同价中。</w:t>
      </w:r>
    </w:p>
    <w:p w14:paraId="707B3D78">
      <w:pPr>
        <w:spacing w:before="312" w:line="294" w:lineRule="auto"/>
        <w:ind w:right="96" w:firstLine="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1.10.5   </w:t>
      </w:r>
      <w:r>
        <w:rPr>
          <w:rFonts w:ascii="宋体" w:hAnsi="宋体" w:eastAsia="宋体" w:cs="宋体"/>
          <w:spacing w:val="-5"/>
          <w:sz w:val="22"/>
          <w:szCs w:val="22"/>
          <w:highlight w:val="none"/>
        </w:rPr>
        <w:t>合同当事人可就本合同涉及的合同一方、或合同双方(含一方或双方相关的专</w:t>
      </w:r>
      <w:r>
        <w:rPr>
          <w:rFonts w:ascii="宋体" w:hAnsi="宋体" w:eastAsia="宋体" w:cs="宋体"/>
          <w:spacing w:val="10"/>
          <w:sz w:val="22"/>
          <w:szCs w:val="22"/>
          <w:highlight w:val="none"/>
        </w:rPr>
        <w:t xml:space="preserve"> </w:t>
      </w:r>
      <w:r>
        <w:rPr>
          <w:rFonts w:ascii="宋体" w:hAnsi="宋体" w:eastAsia="宋体" w:cs="宋体"/>
          <w:spacing w:val="-10"/>
          <w:sz w:val="22"/>
          <w:szCs w:val="22"/>
          <w:highlight w:val="none"/>
        </w:rPr>
        <w:t>利商或第三方设计单位)的技术专利、建筑设计方案、专有技术、设计文件著作权等知识产</w:t>
      </w:r>
      <w:r>
        <w:rPr>
          <w:rFonts w:ascii="宋体" w:hAnsi="宋体" w:eastAsia="宋体" w:cs="宋体"/>
          <w:spacing w:val="12"/>
          <w:sz w:val="22"/>
          <w:szCs w:val="22"/>
          <w:highlight w:val="none"/>
        </w:rPr>
        <w:t xml:space="preserve"> </w:t>
      </w:r>
      <w:r>
        <w:rPr>
          <w:rFonts w:ascii="宋体" w:hAnsi="宋体" w:eastAsia="宋体" w:cs="宋体"/>
          <w:spacing w:val="-11"/>
          <w:sz w:val="22"/>
          <w:szCs w:val="22"/>
          <w:highlight w:val="none"/>
        </w:rPr>
        <w:t>权，订立知识产权及保密协议，作为本合同的组成部分。</w:t>
      </w:r>
    </w:p>
    <w:p w14:paraId="224F200D">
      <w:pPr>
        <w:pStyle w:val="2"/>
        <w:spacing w:line="364" w:lineRule="auto"/>
        <w:rPr>
          <w:highlight w:val="none"/>
        </w:rPr>
      </w:pPr>
    </w:p>
    <w:p w14:paraId="1737A55E">
      <w:pPr>
        <w:pStyle w:val="2"/>
        <w:spacing w:before="72" w:line="221" w:lineRule="auto"/>
        <w:rPr>
          <w:rFonts w:ascii="黑体" w:hAnsi="黑体" w:eastAsia="黑体" w:cs="黑体"/>
          <w:sz w:val="22"/>
          <w:szCs w:val="22"/>
          <w:highlight w:val="none"/>
        </w:rPr>
      </w:pPr>
      <w:r>
        <w:rPr>
          <w:spacing w:val="-5"/>
          <w:sz w:val="22"/>
          <w:szCs w:val="22"/>
          <w:highlight w:val="none"/>
        </w:rPr>
        <w:t>1.11</w:t>
      </w:r>
      <w:r>
        <w:rPr>
          <w:spacing w:val="56"/>
          <w:sz w:val="22"/>
          <w:szCs w:val="22"/>
          <w:highlight w:val="none"/>
        </w:rPr>
        <w:t xml:space="preserve"> </w:t>
      </w:r>
      <w:r>
        <w:rPr>
          <w:rFonts w:ascii="黑体" w:hAnsi="黑体" w:eastAsia="黑体" w:cs="黑体"/>
          <w:spacing w:val="-5"/>
          <w:sz w:val="22"/>
          <w:szCs w:val="22"/>
          <w:highlight w:val="none"/>
        </w:rPr>
        <w:t>保密</w:t>
      </w:r>
    </w:p>
    <w:p w14:paraId="39792B9E">
      <w:pPr>
        <w:spacing w:before="237" w:line="409" w:lineRule="auto"/>
        <w:ind w:right="98" w:firstLine="420"/>
        <w:rPr>
          <w:rFonts w:ascii="宋体" w:hAnsi="宋体" w:eastAsia="宋体" w:cs="宋体"/>
          <w:sz w:val="21"/>
          <w:szCs w:val="21"/>
          <w:highlight w:val="none"/>
        </w:rPr>
      </w:pPr>
      <w:r>
        <w:rPr>
          <w:rFonts w:ascii="宋体" w:hAnsi="宋体" w:eastAsia="宋体" w:cs="宋体"/>
          <w:spacing w:val="-3"/>
          <w:sz w:val="21"/>
          <w:szCs w:val="21"/>
          <w:highlight w:val="none"/>
        </w:rPr>
        <w:t>合同当事人一方对在订立和履行合同过程中知悉的另一方的商业秘密、技术秘密，以及</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任何一方明确要求保密的其它信息，负有保密责任。</w:t>
      </w:r>
    </w:p>
    <w:p w14:paraId="292C04B7">
      <w:pPr>
        <w:spacing w:before="4" w:line="406" w:lineRule="auto"/>
        <w:ind w:firstLine="420"/>
        <w:jc w:val="both"/>
        <w:rPr>
          <w:rFonts w:ascii="宋体" w:hAnsi="宋体" w:eastAsia="宋体" w:cs="宋体"/>
          <w:sz w:val="22"/>
          <w:szCs w:val="22"/>
          <w:highlight w:val="none"/>
        </w:rPr>
      </w:pPr>
      <w:r>
        <w:rPr>
          <w:rFonts w:ascii="宋体" w:hAnsi="宋体" w:eastAsia="宋体" w:cs="宋体"/>
          <w:spacing w:val="-15"/>
          <w:sz w:val="22"/>
          <w:szCs w:val="22"/>
          <w:highlight w:val="none"/>
        </w:rPr>
        <w:t>除法律规定或合同另有约定外，未经对方同意，任</w:t>
      </w:r>
      <w:r>
        <w:rPr>
          <w:rFonts w:ascii="宋体" w:hAnsi="宋体" w:eastAsia="宋体" w:cs="宋体"/>
          <w:spacing w:val="-16"/>
          <w:sz w:val="22"/>
          <w:szCs w:val="22"/>
          <w:highlight w:val="none"/>
        </w:rPr>
        <w:t>何一方当事人不得将对方提供的文件、</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技术秘密以及声明需要保密的资料信息等商业秘密泄露给第三方或者用</w:t>
      </w:r>
      <w:r>
        <w:rPr>
          <w:rFonts w:ascii="宋体" w:hAnsi="宋体" w:eastAsia="宋体" w:cs="宋体"/>
          <w:spacing w:val="-8"/>
          <w:sz w:val="22"/>
          <w:szCs w:val="22"/>
          <w:highlight w:val="none"/>
        </w:rPr>
        <w:t>于本合同以外的目</w:t>
      </w:r>
      <w:r>
        <w:rPr>
          <w:rFonts w:ascii="宋体" w:hAnsi="宋体" w:eastAsia="宋体" w:cs="宋体"/>
          <w:sz w:val="22"/>
          <w:szCs w:val="22"/>
          <w:highlight w:val="none"/>
        </w:rPr>
        <w:t xml:space="preserve">  </w:t>
      </w:r>
      <w:r>
        <w:rPr>
          <w:rFonts w:ascii="宋体" w:hAnsi="宋体" w:eastAsia="宋体" w:cs="宋体"/>
          <w:spacing w:val="-15"/>
          <w:sz w:val="22"/>
          <w:szCs w:val="22"/>
          <w:highlight w:val="none"/>
        </w:rPr>
        <w:t>的。</w:t>
      </w:r>
    </w:p>
    <w:p w14:paraId="5BE99461">
      <w:pPr>
        <w:spacing w:before="4" w:line="419" w:lineRule="auto"/>
        <w:ind w:right="99" w:firstLine="420"/>
        <w:jc w:val="both"/>
        <w:rPr>
          <w:rFonts w:ascii="宋体" w:hAnsi="宋体" w:eastAsia="宋体" w:cs="宋体"/>
          <w:sz w:val="21"/>
          <w:szCs w:val="21"/>
          <w:highlight w:val="none"/>
        </w:rPr>
      </w:pPr>
      <w:r>
        <w:rPr>
          <w:rFonts w:ascii="宋体" w:hAnsi="宋体" w:eastAsia="宋体" w:cs="宋体"/>
          <w:spacing w:val="3"/>
          <w:sz w:val="21"/>
          <w:szCs w:val="21"/>
          <w:highlight w:val="none"/>
        </w:rPr>
        <w:t>一方泄露或者在本合同以外使用该商业秘密、技术秘密等保密信息给另一方造成</w:t>
      </w:r>
      <w:r>
        <w:rPr>
          <w:rFonts w:ascii="宋体" w:hAnsi="宋体" w:eastAsia="宋体" w:cs="宋体"/>
          <w:spacing w:val="2"/>
          <w:sz w:val="21"/>
          <w:szCs w:val="21"/>
          <w:highlight w:val="none"/>
        </w:rPr>
        <w:t>损失</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的，应承担损害赔偿责任。当事人为履行合</w:t>
      </w:r>
      <w:r>
        <w:rPr>
          <w:rFonts w:ascii="宋体" w:hAnsi="宋体" w:eastAsia="宋体" w:cs="宋体"/>
          <w:spacing w:val="-3"/>
          <w:sz w:val="21"/>
          <w:szCs w:val="21"/>
          <w:highlight w:val="none"/>
        </w:rPr>
        <w:t>同所需要的信息，另一方应予以提供。当事人认</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为必要时，可订立保密协议，作为合同附件。</w:t>
      </w:r>
    </w:p>
    <w:p w14:paraId="30A08BD3">
      <w:pPr>
        <w:spacing w:before="160" w:line="221" w:lineRule="auto"/>
        <w:rPr>
          <w:rFonts w:ascii="黑体" w:hAnsi="黑体" w:eastAsia="黑体" w:cs="黑体"/>
          <w:sz w:val="22"/>
          <w:szCs w:val="22"/>
          <w:highlight w:val="none"/>
        </w:rPr>
      </w:pPr>
      <w:r>
        <w:rPr>
          <w:rFonts w:ascii="黑体" w:hAnsi="黑体" w:eastAsia="黑体" w:cs="黑体"/>
          <w:spacing w:val="-4"/>
          <w:sz w:val="22"/>
          <w:szCs w:val="22"/>
          <w:highlight w:val="none"/>
        </w:rPr>
        <w:t>1.12《发包人要求》和基础资料中的错误</w:t>
      </w:r>
    </w:p>
    <w:p w14:paraId="743CFB29">
      <w:pPr>
        <w:spacing w:before="228" w:line="406" w:lineRule="auto"/>
        <w:ind w:right="50" w:firstLine="420"/>
        <w:rPr>
          <w:rFonts w:ascii="宋体" w:hAnsi="宋体" w:eastAsia="宋体" w:cs="宋体"/>
          <w:sz w:val="21"/>
          <w:szCs w:val="21"/>
          <w:highlight w:val="none"/>
        </w:rPr>
      </w:pPr>
      <w:r>
        <w:rPr>
          <w:rFonts w:ascii="宋体" w:hAnsi="宋体" w:eastAsia="宋体" w:cs="宋体"/>
          <w:spacing w:val="-1"/>
          <w:sz w:val="21"/>
          <w:szCs w:val="21"/>
          <w:highlight w:val="none"/>
        </w:rPr>
        <w:t>承包人应尽早认真阅读、复核《发包人要求》以及其</w:t>
      </w:r>
      <w:r>
        <w:rPr>
          <w:rFonts w:ascii="宋体" w:hAnsi="宋体" w:eastAsia="宋体" w:cs="宋体"/>
          <w:spacing w:val="-2"/>
          <w:sz w:val="21"/>
          <w:szCs w:val="21"/>
          <w:highlight w:val="none"/>
        </w:rPr>
        <w:t>提供的基础资料，发现错误的，应</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及时书面通知发包人补正。发包人作相应修改的，</w:t>
      </w:r>
      <w:r>
        <w:rPr>
          <w:rFonts w:ascii="宋体" w:hAnsi="宋体" w:eastAsia="宋体" w:cs="宋体"/>
          <w:spacing w:val="2"/>
          <w:sz w:val="21"/>
          <w:szCs w:val="21"/>
          <w:highlight w:val="none"/>
        </w:rPr>
        <w:t>按照第13条[变更与调整]的约定处理。</w:t>
      </w:r>
    </w:p>
    <w:p w14:paraId="1DFD32E1">
      <w:pPr>
        <w:spacing w:line="406" w:lineRule="auto"/>
        <w:rPr>
          <w:rFonts w:ascii="宋体" w:hAnsi="宋体" w:eastAsia="宋体" w:cs="宋体"/>
          <w:sz w:val="21"/>
          <w:szCs w:val="21"/>
          <w:highlight w:val="none"/>
        </w:rPr>
        <w:sectPr>
          <w:footerReference r:id="rId79" w:type="default"/>
          <w:pgSz w:w="11910" w:h="16840"/>
          <w:pgMar w:top="400" w:right="1730" w:bottom="1169" w:left="1779" w:header="0" w:footer="1028" w:gutter="0"/>
          <w:cols w:space="720" w:num="1"/>
        </w:sectPr>
      </w:pPr>
    </w:p>
    <w:p w14:paraId="731B22A5">
      <w:pPr>
        <w:pStyle w:val="2"/>
        <w:spacing w:line="273" w:lineRule="auto"/>
        <w:rPr>
          <w:highlight w:val="none"/>
        </w:rPr>
      </w:pPr>
    </w:p>
    <w:p w14:paraId="6331F95E">
      <w:pPr>
        <w:pStyle w:val="2"/>
        <w:spacing w:line="273" w:lineRule="auto"/>
        <w:rPr>
          <w:highlight w:val="none"/>
        </w:rPr>
      </w:pPr>
    </w:p>
    <w:p w14:paraId="6B21C7FA">
      <w:pPr>
        <w:pStyle w:val="2"/>
        <w:spacing w:line="273" w:lineRule="auto"/>
        <w:rPr>
          <w:highlight w:val="none"/>
        </w:rPr>
      </w:pPr>
    </w:p>
    <w:p w14:paraId="4074022E">
      <w:pPr>
        <w:pStyle w:val="2"/>
        <w:spacing w:line="273" w:lineRule="auto"/>
        <w:rPr>
          <w:highlight w:val="none"/>
        </w:rPr>
      </w:pPr>
    </w:p>
    <w:p w14:paraId="728461C9">
      <w:pPr>
        <w:spacing w:before="68" w:line="416" w:lineRule="auto"/>
        <w:ind w:right="40" w:firstLine="424"/>
        <w:rPr>
          <w:rFonts w:ascii="宋体" w:hAnsi="宋体" w:eastAsia="宋体" w:cs="宋体"/>
          <w:sz w:val="21"/>
          <w:szCs w:val="21"/>
          <w:highlight w:val="none"/>
        </w:rPr>
      </w:pPr>
      <w:r>
        <w:rPr>
          <w:rFonts w:ascii="宋体" w:hAnsi="宋体" w:eastAsia="宋体" w:cs="宋体"/>
          <w:spacing w:val="-1"/>
          <w:sz w:val="21"/>
          <w:szCs w:val="21"/>
          <w:highlight w:val="none"/>
        </w:rPr>
        <w:t>《发包人要求》或其提供的基础资料中的错误导致承包人增加费用和(或)工期延误的，</w:t>
      </w:r>
      <w:r>
        <w:rPr>
          <w:rFonts w:ascii="宋体" w:hAnsi="宋体" w:eastAsia="宋体" w:cs="宋体"/>
          <w:spacing w:val="17"/>
          <w:sz w:val="21"/>
          <w:szCs w:val="21"/>
          <w:highlight w:val="none"/>
        </w:rPr>
        <w:t xml:space="preserve"> </w:t>
      </w:r>
      <w:r>
        <w:rPr>
          <w:rFonts w:ascii="宋体" w:hAnsi="宋体" w:eastAsia="宋体" w:cs="宋体"/>
          <w:spacing w:val="6"/>
          <w:sz w:val="21"/>
          <w:szCs w:val="21"/>
          <w:highlight w:val="none"/>
        </w:rPr>
        <w:t>发包人应承担由此增加的费用和(或)工期延误，并向承包人支付合理利润。</w:t>
      </w:r>
    </w:p>
    <w:p w14:paraId="6FACD7CD">
      <w:pPr>
        <w:pStyle w:val="2"/>
        <w:spacing w:before="123" w:line="300" w:lineRule="exact"/>
        <w:rPr>
          <w:rFonts w:ascii="黑体" w:hAnsi="黑体" w:eastAsia="黑体" w:cs="黑体"/>
          <w:sz w:val="22"/>
          <w:szCs w:val="22"/>
          <w:highlight w:val="none"/>
        </w:rPr>
      </w:pPr>
      <w:r>
        <w:rPr>
          <w:spacing w:val="-5"/>
          <w:position w:val="1"/>
          <w:sz w:val="22"/>
          <w:szCs w:val="22"/>
          <w:highlight w:val="none"/>
        </w:rPr>
        <w:t>1.13</w:t>
      </w:r>
      <w:r>
        <w:rPr>
          <w:spacing w:val="50"/>
          <w:position w:val="1"/>
          <w:sz w:val="22"/>
          <w:szCs w:val="22"/>
          <w:highlight w:val="none"/>
        </w:rPr>
        <w:t xml:space="preserve"> </w:t>
      </w:r>
      <w:r>
        <w:rPr>
          <w:rFonts w:ascii="黑体" w:hAnsi="黑体" w:eastAsia="黑体" w:cs="黑体"/>
          <w:spacing w:val="-5"/>
          <w:position w:val="1"/>
          <w:sz w:val="22"/>
          <w:szCs w:val="22"/>
          <w:highlight w:val="none"/>
        </w:rPr>
        <w:t>责任限制</w:t>
      </w:r>
    </w:p>
    <w:p w14:paraId="2F6BE72B">
      <w:pPr>
        <w:spacing w:before="220" w:line="419" w:lineRule="auto"/>
        <w:ind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承包人对发包人的赔偿责任不应超过专用合同条件约定的赔偿最高限额</w:t>
      </w:r>
      <w:r>
        <w:rPr>
          <w:rFonts w:ascii="宋体" w:hAnsi="宋体" w:eastAsia="宋体" w:cs="宋体"/>
          <w:spacing w:val="-3"/>
          <w:sz w:val="21"/>
          <w:szCs w:val="21"/>
          <w:highlight w:val="none"/>
        </w:rPr>
        <w:t>。若专用合同条</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件未约定，则承包人对发包人的赔偿责任不</w:t>
      </w:r>
      <w:r>
        <w:rPr>
          <w:rFonts w:ascii="宋体" w:hAnsi="宋体" w:eastAsia="宋体" w:cs="宋体"/>
          <w:spacing w:val="-5"/>
          <w:sz w:val="21"/>
          <w:szCs w:val="21"/>
          <w:highlight w:val="none"/>
        </w:rPr>
        <w:t>应超过签约合同价。但对于因欺诈、犯罪、故意、</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重大过失、人身伤害等不当行为造成的损失，赔偿的责任限度不受上述最高限额的限制。</w:t>
      </w:r>
    </w:p>
    <w:p w14:paraId="37D32448">
      <w:pPr>
        <w:spacing w:before="159" w:line="222" w:lineRule="auto"/>
        <w:rPr>
          <w:rFonts w:ascii="黑体" w:hAnsi="黑体" w:eastAsia="黑体" w:cs="黑体"/>
          <w:sz w:val="22"/>
          <w:szCs w:val="22"/>
          <w:highlight w:val="none"/>
        </w:rPr>
      </w:pPr>
      <w:r>
        <w:rPr>
          <w:rFonts w:ascii="黑体" w:hAnsi="黑体" w:eastAsia="黑体" w:cs="黑体"/>
          <w:spacing w:val="-2"/>
          <w:sz w:val="22"/>
          <w:szCs w:val="22"/>
          <w:highlight w:val="none"/>
        </w:rPr>
        <w:t>1.14建筑信息模型技术的应用</w:t>
      </w:r>
    </w:p>
    <w:p w14:paraId="20BA6276">
      <w:pPr>
        <w:spacing w:before="207" w:line="395" w:lineRule="auto"/>
        <w:ind w:right="115" w:firstLine="410"/>
        <w:jc w:val="both"/>
        <w:rPr>
          <w:rFonts w:ascii="宋体" w:hAnsi="宋体" w:eastAsia="宋体" w:cs="宋体"/>
          <w:sz w:val="22"/>
          <w:szCs w:val="22"/>
          <w:highlight w:val="none"/>
        </w:rPr>
      </w:pPr>
      <w:r>
        <w:rPr>
          <w:rFonts w:ascii="宋体" w:hAnsi="宋体" w:eastAsia="宋体" w:cs="宋体"/>
          <w:spacing w:val="-12"/>
          <w:sz w:val="22"/>
          <w:szCs w:val="22"/>
          <w:highlight w:val="none"/>
        </w:rPr>
        <w:t>如果项目中拟采用建筑信息模型技术，合同双方应遵守国家现行相关标</w:t>
      </w:r>
      <w:r>
        <w:rPr>
          <w:rFonts w:ascii="宋体" w:hAnsi="宋体" w:eastAsia="宋体" w:cs="宋体"/>
          <w:spacing w:val="-13"/>
          <w:sz w:val="22"/>
          <w:szCs w:val="22"/>
          <w:highlight w:val="none"/>
        </w:rPr>
        <w:t>准的规定，并符</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合项目所在地的相关地方标准或指南。合同双方应在专用合同条件中就建筑信息模型的开</w:t>
      </w:r>
      <w:r>
        <w:rPr>
          <w:rFonts w:ascii="宋体" w:hAnsi="宋体" w:eastAsia="宋体" w:cs="宋体"/>
          <w:spacing w:val="1"/>
          <w:sz w:val="22"/>
          <w:szCs w:val="22"/>
          <w:highlight w:val="none"/>
        </w:rPr>
        <w:t xml:space="preserve"> </w:t>
      </w:r>
      <w:r>
        <w:rPr>
          <w:rFonts w:ascii="宋体" w:hAnsi="宋体" w:eastAsia="宋体" w:cs="宋体"/>
          <w:spacing w:val="-12"/>
          <w:sz w:val="22"/>
          <w:szCs w:val="22"/>
          <w:highlight w:val="none"/>
        </w:rPr>
        <w:t>发、使用、存储、传输、交付及费用等相关内容进行约定。除专</w:t>
      </w:r>
      <w:r>
        <w:rPr>
          <w:rFonts w:ascii="宋体" w:hAnsi="宋体" w:eastAsia="宋体" w:cs="宋体"/>
          <w:spacing w:val="-13"/>
          <w:sz w:val="22"/>
          <w:szCs w:val="22"/>
          <w:highlight w:val="none"/>
        </w:rPr>
        <w:t>用合同条件另有约定外，承</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包人应负责与本项目中其他使用方协商。</w:t>
      </w:r>
    </w:p>
    <w:p w14:paraId="4B4ED364">
      <w:pPr>
        <w:spacing w:before="137" w:line="221" w:lineRule="auto"/>
        <w:outlineLvl w:val="1"/>
        <w:rPr>
          <w:rFonts w:ascii="黑体" w:hAnsi="黑体" w:eastAsia="黑体" w:cs="黑体"/>
          <w:sz w:val="28"/>
          <w:szCs w:val="28"/>
          <w:highlight w:val="none"/>
        </w:rPr>
      </w:pPr>
      <w:bookmarkStart w:id="83" w:name="bookmark48"/>
      <w:bookmarkEnd w:id="83"/>
      <w:r>
        <w:rPr>
          <w:rFonts w:ascii="黑体" w:hAnsi="黑体" w:eastAsia="黑体" w:cs="黑体"/>
          <w:spacing w:val="50"/>
          <w:sz w:val="28"/>
          <w:szCs w:val="28"/>
          <w:highlight w:val="none"/>
        </w:rPr>
        <w:t>第2条发包人</w:t>
      </w:r>
    </w:p>
    <w:p w14:paraId="6F026F8B">
      <w:pPr>
        <w:pStyle w:val="2"/>
        <w:spacing w:line="359" w:lineRule="auto"/>
        <w:rPr>
          <w:highlight w:val="none"/>
        </w:rPr>
      </w:pPr>
    </w:p>
    <w:p w14:paraId="7AC57BC0">
      <w:pPr>
        <w:pStyle w:val="2"/>
        <w:spacing w:before="72" w:line="222" w:lineRule="auto"/>
        <w:rPr>
          <w:rFonts w:ascii="黑体" w:hAnsi="黑体" w:eastAsia="黑体" w:cs="黑体"/>
          <w:sz w:val="22"/>
          <w:szCs w:val="22"/>
          <w:highlight w:val="none"/>
        </w:rPr>
      </w:pPr>
      <w:r>
        <w:rPr>
          <w:spacing w:val="-5"/>
          <w:sz w:val="22"/>
          <w:szCs w:val="22"/>
          <w:highlight w:val="none"/>
        </w:rPr>
        <w:t xml:space="preserve">2.1  </w:t>
      </w:r>
      <w:r>
        <w:rPr>
          <w:rFonts w:ascii="黑体" w:hAnsi="黑体" w:eastAsia="黑体" w:cs="黑体"/>
          <w:spacing w:val="-5"/>
          <w:sz w:val="22"/>
          <w:szCs w:val="22"/>
          <w:highlight w:val="none"/>
        </w:rPr>
        <w:t>遵守法律</w:t>
      </w:r>
    </w:p>
    <w:p w14:paraId="7EFBF55B">
      <w:pPr>
        <w:spacing w:before="206" w:line="404" w:lineRule="auto"/>
        <w:ind w:right="112" w:firstLine="410"/>
        <w:jc w:val="both"/>
        <w:rPr>
          <w:rFonts w:ascii="宋体" w:hAnsi="宋体" w:eastAsia="宋体" w:cs="宋体"/>
          <w:sz w:val="22"/>
          <w:szCs w:val="22"/>
          <w:highlight w:val="none"/>
        </w:rPr>
      </w:pPr>
      <w:r>
        <w:rPr>
          <w:rFonts w:ascii="宋体" w:hAnsi="宋体" w:eastAsia="宋体" w:cs="宋体"/>
          <w:spacing w:val="-12"/>
          <w:sz w:val="22"/>
          <w:szCs w:val="22"/>
          <w:highlight w:val="none"/>
        </w:rPr>
        <w:t>发包人在履行合同过程中应遵守法律，并承担因发包人违反法律给承包人造成的</w:t>
      </w:r>
      <w:r>
        <w:rPr>
          <w:rFonts w:ascii="宋体" w:hAnsi="宋体" w:eastAsia="宋体" w:cs="宋体"/>
          <w:spacing w:val="-13"/>
          <w:sz w:val="22"/>
          <w:szCs w:val="22"/>
          <w:highlight w:val="none"/>
        </w:rPr>
        <w:t>任何费</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用和损失。发包人不得以任何理由，要求承包人在工程实施过程中违</w:t>
      </w:r>
      <w:r>
        <w:rPr>
          <w:rFonts w:ascii="宋体" w:hAnsi="宋体" w:eastAsia="宋体" w:cs="宋体"/>
          <w:spacing w:val="-13"/>
          <w:sz w:val="22"/>
          <w:szCs w:val="22"/>
          <w:highlight w:val="none"/>
        </w:rPr>
        <w:t>反法律、行政法规以及</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建设工程质量、安全、环保标准，任意压缩合理工期或者降低工程质量。</w:t>
      </w:r>
    </w:p>
    <w:p w14:paraId="34D772DD">
      <w:pPr>
        <w:spacing w:before="146" w:line="222" w:lineRule="auto"/>
        <w:rPr>
          <w:rFonts w:ascii="黑体" w:hAnsi="黑体" w:eastAsia="黑体" w:cs="黑体"/>
          <w:sz w:val="22"/>
          <w:szCs w:val="22"/>
          <w:highlight w:val="none"/>
        </w:rPr>
      </w:pPr>
      <w:r>
        <w:rPr>
          <w:rFonts w:ascii="黑体" w:hAnsi="黑体" w:eastAsia="黑体" w:cs="黑体"/>
          <w:spacing w:val="-1"/>
          <w:sz w:val="22"/>
          <w:szCs w:val="22"/>
          <w:highlight w:val="none"/>
        </w:rPr>
        <w:t>2.2提供施工现场和工作条件</w:t>
      </w:r>
    </w:p>
    <w:p w14:paraId="46673974">
      <w:pPr>
        <w:spacing w:before="114" w:line="219" w:lineRule="auto"/>
        <w:ind w:left="410"/>
        <w:rPr>
          <w:rFonts w:ascii="宋体" w:hAnsi="宋体" w:eastAsia="宋体" w:cs="宋体"/>
          <w:sz w:val="20"/>
          <w:szCs w:val="20"/>
          <w:highlight w:val="none"/>
        </w:rPr>
      </w:pPr>
      <w:r>
        <w:rPr>
          <w:rFonts w:ascii="宋体" w:hAnsi="宋体" w:eastAsia="宋体" w:cs="宋体"/>
          <w:spacing w:val="4"/>
          <w:sz w:val="20"/>
          <w:szCs w:val="20"/>
          <w:highlight w:val="none"/>
        </w:rPr>
        <w:t>2.2.1</w:t>
      </w:r>
      <w:r>
        <w:rPr>
          <w:rFonts w:ascii="宋体" w:hAnsi="宋体" w:eastAsia="宋体" w:cs="宋体"/>
          <w:spacing w:val="47"/>
          <w:sz w:val="20"/>
          <w:szCs w:val="20"/>
          <w:highlight w:val="none"/>
        </w:rPr>
        <w:t xml:space="preserve"> </w:t>
      </w:r>
      <w:r>
        <w:rPr>
          <w:rFonts w:ascii="宋体" w:hAnsi="宋体" w:eastAsia="宋体" w:cs="宋体"/>
          <w:spacing w:val="4"/>
          <w:sz w:val="20"/>
          <w:szCs w:val="20"/>
          <w:highlight w:val="none"/>
        </w:rPr>
        <w:t>提供施工现场</w:t>
      </w:r>
    </w:p>
    <w:p w14:paraId="42D0408D">
      <w:pPr>
        <w:pStyle w:val="2"/>
        <w:spacing w:line="383" w:lineRule="auto"/>
        <w:rPr>
          <w:highlight w:val="none"/>
        </w:rPr>
      </w:pPr>
    </w:p>
    <w:p w14:paraId="02C6C024">
      <w:pPr>
        <w:spacing w:before="69" w:line="389" w:lineRule="auto"/>
        <w:ind w:right="115"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发包人应按专用合同条件约定向承包人移交施工现场，给承包人进入和占</w:t>
      </w:r>
      <w:r>
        <w:rPr>
          <w:rFonts w:ascii="宋体" w:hAnsi="宋体" w:eastAsia="宋体" w:cs="宋体"/>
          <w:spacing w:val="-3"/>
          <w:sz w:val="21"/>
          <w:szCs w:val="21"/>
          <w:highlight w:val="none"/>
        </w:rPr>
        <w:t>用施工现场各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部分的权利，并明确与承包人的交接界面，上述进入和占用权可</w:t>
      </w:r>
      <w:r>
        <w:rPr>
          <w:rFonts w:ascii="宋体" w:hAnsi="宋体" w:eastAsia="宋体" w:cs="宋体"/>
          <w:spacing w:val="-3"/>
          <w:sz w:val="21"/>
          <w:szCs w:val="21"/>
          <w:highlight w:val="none"/>
        </w:rPr>
        <w:t>不为承包人独享。如专用合</w:t>
      </w:r>
      <w:r>
        <w:rPr>
          <w:rFonts w:ascii="宋体" w:hAnsi="宋体" w:eastAsia="宋体" w:cs="宋体"/>
          <w:sz w:val="21"/>
          <w:szCs w:val="21"/>
          <w:highlight w:val="none"/>
        </w:rPr>
        <w:t xml:space="preserve"> 同条件没有约定移交时间的，则发包人应最迟于计划开始现场施工日期7天前向承包人移交</w:t>
      </w:r>
      <w:r>
        <w:rPr>
          <w:rFonts w:ascii="宋体" w:hAnsi="宋体" w:eastAsia="宋体" w:cs="宋体"/>
          <w:spacing w:val="13"/>
          <w:sz w:val="21"/>
          <w:szCs w:val="21"/>
          <w:highlight w:val="none"/>
        </w:rPr>
        <w:t xml:space="preserve"> </w:t>
      </w:r>
      <w:r>
        <w:rPr>
          <w:rFonts w:ascii="宋体" w:hAnsi="宋体" w:eastAsia="宋体" w:cs="宋体"/>
          <w:spacing w:val="3"/>
          <w:sz w:val="21"/>
          <w:szCs w:val="21"/>
          <w:highlight w:val="none"/>
        </w:rPr>
        <w:t>施工现场，但承包人未能按照第4.2款[履约</w:t>
      </w:r>
      <w:r>
        <w:rPr>
          <w:rFonts w:ascii="宋体" w:hAnsi="宋体" w:eastAsia="宋体" w:cs="宋体"/>
          <w:spacing w:val="2"/>
          <w:sz w:val="21"/>
          <w:szCs w:val="21"/>
          <w:highlight w:val="none"/>
        </w:rPr>
        <w:t>担保]提供履约担保的除外。</w:t>
      </w:r>
    </w:p>
    <w:p w14:paraId="76396EFF">
      <w:pPr>
        <w:spacing w:before="1" w:line="218" w:lineRule="auto"/>
        <w:ind w:left="41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2.2.2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6"/>
          <w:sz w:val="22"/>
          <w:szCs w:val="22"/>
          <w:highlight w:val="none"/>
        </w:rPr>
        <w:t>提供工作条件</w:t>
      </w:r>
    </w:p>
    <w:p w14:paraId="14625278">
      <w:pPr>
        <w:pStyle w:val="2"/>
        <w:spacing w:line="346" w:lineRule="auto"/>
        <w:rPr>
          <w:highlight w:val="none"/>
        </w:rPr>
      </w:pPr>
    </w:p>
    <w:p w14:paraId="6BA22AFB">
      <w:pPr>
        <w:spacing w:before="72" w:line="407" w:lineRule="auto"/>
        <w:ind w:right="65" w:firstLine="410"/>
        <w:rPr>
          <w:rFonts w:ascii="宋体" w:hAnsi="宋体" w:eastAsia="宋体" w:cs="宋体"/>
          <w:sz w:val="22"/>
          <w:szCs w:val="22"/>
          <w:highlight w:val="none"/>
        </w:rPr>
      </w:pPr>
      <w:r>
        <w:rPr>
          <w:rFonts w:ascii="宋体" w:hAnsi="宋体" w:eastAsia="宋体" w:cs="宋体"/>
          <w:spacing w:val="-11"/>
          <w:sz w:val="22"/>
          <w:szCs w:val="22"/>
          <w:highlight w:val="none"/>
        </w:rPr>
        <w:t>发包人应按专用合同条件约定向承包人提供工作条件。专用合同条件对此没有约定的，</w:t>
      </w:r>
      <w:r>
        <w:rPr>
          <w:rFonts w:ascii="宋体" w:hAnsi="宋体" w:eastAsia="宋体" w:cs="宋体"/>
          <w:spacing w:val="6"/>
          <w:sz w:val="22"/>
          <w:szCs w:val="22"/>
          <w:highlight w:val="none"/>
        </w:rPr>
        <w:t xml:space="preserve"> </w:t>
      </w:r>
      <w:r>
        <w:rPr>
          <w:rFonts w:ascii="宋体" w:hAnsi="宋体" w:eastAsia="宋体" w:cs="宋体"/>
          <w:spacing w:val="-11"/>
          <w:sz w:val="22"/>
          <w:szCs w:val="22"/>
          <w:highlight w:val="none"/>
        </w:rPr>
        <w:t>发包人应负责提供开展本合同相关工作所需要的条件，</w:t>
      </w:r>
      <w:r>
        <w:rPr>
          <w:rFonts w:ascii="宋体" w:hAnsi="宋体" w:eastAsia="宋体" w:cs="宋体"/>
          <w:spacing w:val="-12"/>
          <w:sz w:val="22"/>
          <w:szCs w:val="22"/>
          <w:highlight w:val="none"/>
        </w:rPr>
        <w:t>包括：</w:t>
      </w:r>
    </w:p>
    <w:p w14:paraId="54B83EC0">
      <w:pPr>
        <w:spacing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(1)将施工用水、电力、通讯线路等施工所必需的条件接至施工现场内；</w:t>
      </w:r>
    </w:p>
    <w:p w14:paraId="34F30BDF">
      <w:pPr>
        <w:spacing w:before="208"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(2)保证向承包人提供正常施工所需要的进入施工现场的交通条件；</w:t>
      </w:r>
    </w:p>
    <w:p w14:paraId="596E94C9">
      <w:pPr>
        <w:spacing w:line="219" w:lineRule="auto"/>
        <w:rPr>
          <w:rFonts w:ascii="宋体" w:hAnsi="宋体" w:eastAsia="宋体" w:cs="宋体"/>
          <w:sz w:val="22"/>
          <w:szCs w:val="22"/>
          <w:highlight w:val="none"/>
        </w:rPr>
        <w:sectPr>
          <w:footerReference r:id="rId80" w:type="default"/>
          <w:pgSz w:w="11910" w:h="16840"/>
          <w:pgMar w:top="400" w:right="1704" w:bottom="1238" w:left="1779" w:header="0" w:footer="1006" w:gutter="0"/>
          <w:cols w:space="720" w:num="1"/>
        </w:sectPr>
      </w:pPr>
    </w:p>
    <w:p w14:paraId="6D547D9B">
      <w:pPr>
        <w:pStyle w:val="2"/>
        <w:spacing w:line="273" w:lineRule="auto"/>
        <w:rPr>
          <w:highlight w:val="none"/>
        </w:rPr>
      </w:pPr>
    </w:p>
    <w:p w14:paraId="4F16AA27">
      <w:pPr>
        <w:pStyle w:val="2"/>
        <w:spacing w:line="273" w:lineRule="auto"/>
        <w:rPr>
          <w:highlight w:val="none"/>
        </w:rPr>
      </w:pPr>
    </w:p>
    <w:p w14:paraId="2DC3E12B">
      <w:pPr>
        <w:pStyle w:val="2"/>
        <w:spacing w:line="274" w:lineRule="auto"/>
        <w:rPr>
          <w:highlight w:val="none"/>
        </w:rPr>
      </w:pPr>
    </w:p>
    <w:p w14:paraId="78A86955">
      <w:pPr>
        <w:pStyle w:val="2"/>
        <w:spacing w:line="274" w:lineRule="auto"/>
        <w:rPr>
          <w:highlight w:val="none"/>
        </w:rPr>
      </w:pPr>
    </w:p>
    <w:p w14:paraId="7BEC3ED2">
      <w:pPr>
        <w:spacing w:before="68" w:line="316" w:lineRule="auto"/>
        <w:ind w:right="93" w:firstLine="550"/>
        <w:rPr>
          <w:rFonts w:ascii="宋体" w:hAnsi="宋体" w:eastAsia="宋体" w:cs="宋体"/>
          <w:sz w:val="21"/>
          <w:szCs w:val="21"/>
          <w:highlight w:val="none"/>
        </w:rPr>
      </w:pPr>
      <w:r>
        <w:rPr>
          <w:rFonts w:ascii="宋体" w:hAnsi="宋体" w:eastAsia="宋体" w:cs="宋体"/>
          <w:spacing w:val="3"/>
          <w:sz w:val="21"/>
          <w:szCs w:val="21"/>
          <w:highlight w:val="none"/>
        </w:rPr>
        <w:t>(3)协调处理施工现场周围地下管线和邻近建筑物、构筑物、</w:t>
      </w:r>
      <w:r>
        <w:rPr>
          <w:rFonts w:ascii="宋体" w:hAnsi="宋体" w:eastAsia="宋体" w:cs="宋体"/>
          <w:spacing w:val="2"/>
          <w:sz w:val="21"/>
          <w:szCs w:val="21"/>
          <w:highlight w:val="none"/>
        </w:rPr>
        <w:t>古树名木、文物、化石</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及坟墓等的保护工作，并承担相关费用；</w:t>
      </w:r>
    </w:p>
    <w:p w14:paraId="0F9242E0">
      <w:pPr>
        <w:spacing w:before="221" w:line="360" w:lineRule="auto"/>
        <w:ind w:firstLine="550"/>
        <w:rPr>
          <w:rFonts w:ascii="宋体" w:hAnsi="宋体" w:eastAsia="宋体" w:cs="宋体"/>
          <w:sz w:val="21"/>
          <w:szCs w:val="21"/>
          <w:highlight w:val="none"/>
        </w:rPr>
      </w:pPr>
      <w:r>
        <w:rPr>
          <w:rFonts w:ascii="宋体" w:hAnsi="宋体" w:eastAsia="宋体" w:cs="宋体"/>
          <w:sz w:val="21"/>
          <w:szCs w:val="21"/>
          <w:highlight w:val="none"/>
        </w:rPr>
        <w:t>(4)对工程现场临近发包人正在使用、运行、或由发包人用</w:t>
      </w:r>
      <w:r>
        <w:rPr>
          <w:rFonts w:ascii="宋体" w:hAnsi="宋体" w:eastAsia="宋体" w:cs="宋体"/>
          <w:spacing w:val="-1"/>
          <w:sz w:val="21"/>
          <w:szCs w:val="21"/>
          <w:highlight w:val="none"/>
        </w:rPr>
        <w:t>于生产的建筑物、构筑物、</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生产装置、设施、设备等，设置隔离设施，竖立禁止入内、禁止动火的明显标志</w:t>
      </w:r>
      <w:r>
        <w:rPr>
          <w:rFonts w:ascii="宋体" w:hAnsi="宋体" w:eastAsia="宋体" w:cs="宋体"/>
          <w:spacing w:val="2"/>
          <w:sz w:val="21"/>
          <w:szCs w:val="21"/>
          <w:highlight w:val="none"/>
        </w:rPr>
        <w:t>，并以书</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面形式通知承包人须遵守的安全规定和位置范围；</w:t>
      </w:r>
    </w:p>
    <w:p w14:paraId="50ABE046">
      <w:pPr>
        <w:spacing w:before="199" w:line="219" w:lineRule="auto"/>
        <w:ind w:left="550"/>
        <w:rPr>
          <w:rFonts w:ascii="宋体" w:hAnsi="宋体" w:eastAsia="宋体" w:cs="宋体"/>
          <w:sz w:val="22"/>
          <w:szCs w:val="22"/>
          <w:highlight w:val="none"/>
        </w:rPr>
      </w:pPr>
      <w:r>
        <w:rPr>
          <w:rFonts w:ascii="宋体" w:hAnsi="宋体" w:eastAsia="宋体" w:cs="宋体"/>
          <w:spacing w:val="-6"/>
          <w:sz w:val="22"/>
          <w:szCs w:val="22"/>
          <w:highlight w:val="none"/>
        </w:rPr>
        <w:t>(5)按照专用合同条件约定应提供的其他设施和条件。</w:t>
      </w:r>
    </w:p>
    <w:p w14:paraId="09E040FB">
      <w:pPr>
        <w:spacing w:before="118" w:line="219" w:lineRule="auto"/>
        <w:ind w:left="43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2.2.3    </w:t>
      </w:r>
      <w:r>
        <w:rPr>
          <w:rFonts w:ascii="宋体" w:hAnsi="宋体" w:eastAsia="宋体" w:cs="宋体"/>
          <w:spacing w:val="6"/>
          <w:sz w:val="20"/>
          <w:szCs w:val="20"/>
          <w:highlight w:val="none"/>
        </w:rPr>
        <w:t>逾期提供的责任</w:t>
      </w:r>
    </w:p>
    <w:p w14:paraId="1F68BFF8">
      <w:pPr>
        <w:pStyle w:val="2"/>
        <w:spacing w:line="353" w:lineRule="auto"/>
        <w:rPr>
          <w:highlight w:val="none"/>
        </w:rPr>
      </w:pPr>
    </w:p>
    <w:p w14:paraId="4C7BB82B">
      <w:pPr>
        <w:spacing w:before="69" w:line="443" w:lineRule="auto"/>
        <w:ind w:right="94" w:firstLine="430"/>
        <w:rPr>
          <w:rFonts w:ascii="宋体" w:hAnsi="宋体" w:eastAsia="宋体" w:cs="宋体"/>
          <w:sz w:val="21"/>
          <w:szCs w:val="21"/>
          <w:highlight w:val="none"/>
        </w:rPr>
      </w:pPr>
      <w:r>
        <w:rPr>
          <w:rFonts w:ascii="宋体" w:hAnsi="宋体" w:eastAsia="宋体" w:cs="宋体"/>
          <w:spacing w:val="-2"/>
          <w:sz w:val="21"/>
          <w:szCs w:val="21"/>
          <w:highlight w:val="none"/>
        </w:rPr>
        <w:t>因发包人原因未能按合同约定及时向承包人提供施</w:t>
      </w:r>
      <w:r>
        <w:rPr>
          <w:rFonts w:ascii="宋体" w:hAnsi="宋体" w:eastAsia="宋体" w:cs="宋体"/>
          <w:spacing w:val="-3"/>
          <w:sz w:val="21"/>
          <w:szCs w:val="21"/>
          <w:highlight w:val="none"/>
        </w:rPr>
        <w:t>工现场和施工条件的，由发包人承担</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由此增加的费用和(或)延误的工期。</w:t>
      </w:r>
    </w:p>
    <w:p w14:paraId="1F1E4345">
      <w:pPr>
        <w:pStyle w:val="2"/>
        <w:spacing w:before="91" w:line="300" w:lineRule="exact"/>
        <w:rPr>
          <w:rFonts w:ascii="黑体" w:hAnsi="黑体" w:eastAsia="黑体" w:cs="黑体"/>
          <w:sz w:val="22"/>
          <w:szCs w:val="22"/>
          <w:highlight w:val="none"/>
        </w:rPr>
      </w:pPr>
      <w:r>
        <w:rPr>
          <w:spacing w:val="-5"/>
          <w:position w:val="1"/>
          <w:sz w:val="22"/>
          <w:szCs w:val="22"/>
          <w:highlight w:val="none"/>
        </w:rPr>
        <w:t xml:space="preserve">2.3  </w:t>
      </w:r>
      <w:r>
        <w:rPr>
          <w:rFonts w:ascii="黑体" w:hAnsi="黑体" w:eastAsia="黑体" w:cs="黑体"/>
          <w:spacing w:val="-5"/>
          <w:position w:val="1"/>
          <w:sz w:val="22"/>
          <w:szCs w:val="22"/>
          <w:highlight w:val="none"/>
        </w:rPr>
        <w:t>提供基础资料</w:t>
      </w:r>
    </w:p>
    <w:p w14:paraId="0E802944">
      <w:pPr>
        <w:spacing w:before="221" w:line="415" w:lineRule="auto"/>
        <w:ind w:right="90"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发包人应按专用合同条件和《发包人要求》中的约</w:t>
      </w:r>
      <w:r>
        <w:rPr>
          <w:rFonts w:ascii="宋体" w:hAnsi="宋体" w:eastAsia="宋体" w:cs="宋体"/>
          <w:spacing w:val="-3"/>
          <w:sz w:val="21"/>
          <w:szCs w:val="21"/>
          <w:highlight w:val="none"/>
        </w:rPr>
        <w:t>定向承包人提供施工现场及工程实施</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所必需的毗邻区域内的供水、排水、供电、供气、供热、通信、广播电视等地上、地下管线</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和设施资料，气象和水文观测资料，地质勘察资料，相邻建筑物、构筑物和地下工程等</w:t>
      </w:r>
      <w:r>
        <w:rPr>
          <w:rFonts w:ascii="宋体" w:hAnsi="宋体" w:eastAsia="宋体" w:cs="宋体"/>
          <w:spacing w:val="-3"/>
          <w:sz w:val="21"/>
          <w:szCs w:val="21"/>
          <w:highlight w:val="none"/>
        </w:rPr>
        <w:t>有关</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基础资料，并根据第1.12款[《发包人要求》和基础资料中的错误]承担基础资料错误造成</w:t>
      </w:r>
      <w:r>
        <w:rPr>
          <w:rFonts w:ascii="宋体" w:hAnsi="宋体" w:eastAsia="宋体" w:cs="宋体"/>
          <w:spacing w:val="2"/>
          <w:sz w:val="21"/>
          <w:szCs w:val="21"/>
          <w:highlight w:val="none"/>
        </w:rPr>
        <w:t xml:space="preserve"> </w:t>
      </w:r>
      <w:r>
        <w:rPr>
          <w:rFonts w:ascii="宋体" w:hAnsi="宋体" w:eastAsia="宋体" w:cs="宋体"/>
          <w:spacing w:val="-2"/>
          <w:sz w:val="21"/>
          <w:szCs w:val="21"/>
          <w:highlight w:val="none"/>
        </w:rPr>
        <w:t>的责任。按照法律规定确需在开工后方能提供的基础资料，发包人应尽其努力及时地在</w:t>
      </w:r>
      <w:r>
        <w:rPr>
          <w:rFonts w:ascii="宋体" w:hAnsi="宋体" w:eastAsia="宋体" w:cs="宋体"/>
          <w:spacing w:val="-3"/>
          <w:sz w:val="21"/>
          <w:szCs w:val="21"/>
          <w:highlight w:val="none"/>
        </w:rPr>
        <w:t>相应</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工程实施前的合理期限内提供，合理期限应以不影响承包人的正常履</w:t>
      </w:r>
      <w:r>
        <w:rPr>
          <w:rFonts w:ascii="宋体" w:hAnsi="宋体" w:eastAsia="宋体" w:cs="宋体"/>
          <w:spacing w:val="-3"/>
          <w:sz w:val="21"/>
          <w:szCs w:val="21"/>
          <w:highlight w:val="none"/>
        </w:rPr>
        <w:t>约为限。因发包人原因</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未能在合理期限内提供相应基础资料的，由发包人承担由此增加的费用和延误</w:t>
      </w:r>
      <w:r>
        <w:rPr>
          <w:rFonts w:ascii="宋体" w:hAnsi="宋体" w:eastAsia="宋体" w:cs="宋体"/>
          <w:spacing w:val="-2"/>
          <w:sz w:val="21"/>
          <w:szCs w:val="21"/>
          <w:highlight w:val="none"/>
        </w:rPr>
        <w:t>的工期。</w:t>
      </w:r>
    </w:p>
    <w:p w14:paraId="6515A0F2">
      <w:pPr>
        <w:pStyle w:val="2"/>
        <w:spacing w:before="204" w:line="221" w:lineRule="auto"/>
        <w:rPr>
          <w:rFonts w:ascii="黑体" w:hAnsi="黑体" w:eastAsia="黑体" w:cs="黑体"/>
          <w:sz w:val="22"/>
          <w:szCs w:val="22"/>
          <w:highlight w:val="none"/>
        </w:rPr>
      </w:pPr>
      <w:r>
        <w:rPr>
          <w:spacing w:val="-5"/>
          <w:sz w:val="22"/>
          <w:szCs w:val="22"/>
          <w:highlight w:val="none"/>
        </w:rPr>
        <w:t xml:space="preserve">2.4  </w:t>
      </w:r>
      <w:r>
        <w:rPr>
          <w:rFonts w:ascii="黑体" w:hAnsi="黑体" w:eastAsia="黑体" w:cs="黑体"/>
          <w:spacing w:val="-5"/>
          <w:sz w:val="22"/>
          <w:szCs w:val="22"/>
          <w:highlight w:val="none"/>
        </w:rPr>
        <w:t>办理许可和批准</w:t>
      </w:r>
    </w:p>
    <w:p w14:paraId="622A8A15">
      <w:pPr>
        <w:spacing w:before="107" w:line="319" w:lineRule="auto"/>
        <w:ind w:right="95"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2.4.1</w:t>
      </w:r>
      <w:r>
        <w:rPr>
          <w:rFonts w:ascii="Times New Roman" w:hAnsi="Times New Roman" w:eastAsia="Times New Roman" w:cs="Times New Roman"/>
          <w:spacing w:val="15"/>
          <w:w w:val="101"/>
          <w:sz w:val="21"/>
          <w:szCs w:val="21"/>
          <w:highlight w:val="none"/>
        </w:rPr>
        <w:t xml:space="preserve">   </w:t>
      </w:r>
      <w:r>
        <w:rPr>
          <w:rFonts w:ascii="宋体" w:hAnsi="宋体" w:eastAsia="宋体" w:cs="宋体"/>
          <w:spacing w:val="-2"/>
          <w:sz w:val="21"/>
          <w:szCs w:val="21"/>
          <w:highlight w:val="none"/>
        </w:rPr>
        <w:t>发包人在履行合同过程中应遵守法律，并办理法律规定或合同</w:t>
      </w:r>
      <w:r>
        <w:rPr>
          <w:rFonts w:ascii="宋体" w:hAnsi="宋体" w:eastAsia="宋体" w:cs="宋体"/>
          <w:spacing w:val="-3"/>
          <w:sz w:val="21"/>
          <w:szCs w:val="21"/>
          <w:highlight w:val="none"/>
        </w:rPr>
        <w:t>约定由其办理的许</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可、批准或备案，包括但不限于建设用地规划</w:t>
      </w:r>
      <w:r>
        <w:rPr>
          <w:rFonts w:ascii="宋体" w:hAnsi="宋体" w:eastAsia="宋体" w:cs="宋体"/>
          <w:spacing w:val="-3"/>
          <w:sz w:val="21"/>
          <w:szCs w:val="21"/>
          <w:highlight w:val="none"/>
        </w:rPr>
        <w:t>许可证、建设工程规划许可证、建设工程施工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许可证等许可和批准。对于法律规定或合同约定由承包人负责的有关设计、施工证件、</w:t>
      </w:r>
      <w:r>
        <w:rPr>
          <w:rFonts w:ascii="宋体" w:hAnsi="宋体" w:eastAsia="宋体" w:cs="宋体"/>
          <w:spacing w:val="-3"/>
          <w:sz w:val="21"/>
          <w:szCs w:val="21"/>
          <w:highlight w:val="none"/>
        </w:rPr>
        <w:t>批件</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或备案，发包人应给予必要的协助。</w:t>
      </w:r>
    </w:p>
    <w:p w14:paraId="397CD222">
      <w:pPr>
        <w:pStyle w:val="2"/>
        <w:spacing w:line="279" w:lineRule="auto"/>
        <w:rPr>
          <w:highlight w:val="none"/>
        </w:rPr>
      </w:pPr>
    </w:p>
    <w:p w14:paraId="32A08349">
      <w:pPr>
        <w:spacing w:before="69" w:line="281" w:lineRule="auto"/>
        <w:ind w:right="68"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2.4.2</w:t>
      </w:r>
      <w:r>
        <w:rPr>
          <w:rFonts w:ascii="Times New Roman" w:hAnsi="Times New Roman" w:eastAsia="Times New Roman" w:cs="Times New Roman"/>
          <w:spacing w:val="15"/>
          <w:w w:val="101"/>
          <w:sz w:val="21"/>
          <w:szCs w:val="21"/>
          <w:highlight w:val="none"/>
        </w:rPr>
        <w:t xml:space="preserve">   </w:t>
      </w:r>
      <w:r>
        <w:rPr>
          <w:rFonts w:ascii="宋体" w:hAnsi="宋体" w:eastAsia="宋体" w:cs="宋体"/>
          <w:spacing w:val="-1"/>
          <w:sz w:val="21"/>
          <w:szCs w:val="21"/>
          <w:highlight w:val="none"/>
        </w:rPr>
        <w:t>因发包人原因未能及时办理完毕前</w:t>
      </w:r>
      <w:r>
        <w:rPr>
          <w:rFonts w:ascii="宋体" w:hAnsi="宋体" w:eastAsia="宋体" w:cs="宋体"/>
          <w:spacing w:val="-2"/>
          <w:sz w:val="21"/>
          <w:szCs w:val="21"/>
          <w:highlight w:val="none"/>
        </w:rPr>
        <w:t>述许可、批准或备案，由发包人承担由此增加</w:t>
      </w:r>
      <w:r>
        <w:rPr>
          <w:rFonts w:ascii="宋体" w:hAnsi="宋体" w:eastAsia="宋体" w:cs="宋体"/>
          <w:spacing w:val="1"/>
          <w:sz w:val="21"/>
          <w:szCs w:val="21"/>
          <w:highlight w:val="none"/>
        </w:rPr>
        <w:t xml:space="preserve"> </w:t>
      </w:r>
      <w:r>
        <w:rPr>
          <w:rFonts w:ascii="宋体" w:hAnsi="宋体" w:eastAsia="宋体" w:cs="宋体"/>
          <w:spacing w:val="7"/>
          <w:sz w:val="21"/>
          <w:szCs w:val="21"/>
          <w:highlight w:val="none"/>
        </w:rPr>
        <w:t>的费用和(或)延误的工期，并支付承包人合理的利润。</w:t>
      </w:r>
    </w:p>
    <w:p w14:paraId="460E3394">
      <w:pPr>
        <w:pStyle w:val="2"/>
        <w:spacing w:line="317" w:lineRule="auto"/>
        <w:rPr>
          <w:highlight w:val="none"/>
        </w:rPr>
      </w:pPr>
    </w:p>
    <w:p w14:paraId="7C376268">
      <w:pPr>
        <w:pStyle w:val="2"/>
        <w:spacing w:before="72" w:line="299" w:lineRule="exact"/>
        <w:rPr>
          <w:rFonts w:ascii="黑体" w:hAnsi="黑体" w:eastAsia="黑体" w:cs="黑体"/>
          <w:sz w:val="22"/>
          <w:szCs w:val="22"/>
          <w:highlight w:val="none"/>
        </w:rPr>
      </w:pPr>
      <w:r>
        <w:rPr>
          <w:spacing w:val="-5"/>
          <w:position w:val="1"/>
          <w:sz w:val="22"/>
          <w:szCs w:val="22"/>
          <w:highlight w:val="none"/>
        </w:rPr>
        <w:t xml:space="preserve">2.5  </w:t>
      </w:r>
      <w:r>
        <w:rPr>
          <w:rFonts w:ascii="黑体" w:hAnsi="黑体" w:eastAsia="黑体" w:cs="黑体"/>
          <w:spacing w:val="-5"/>
          <w:position w:val="1"/>
          <w:sz w:val="22"/>
          <w:szCs w:val="22"/>
          <w:highlight w:val="none"/>
        </w:rPr>
        <w:t>支付合同价款</w:t>
      </w:r>
    </w:p>
    <w:p w14:paraId="5A766957">
      <w:pPr>
        <w:spacing w:before="89" w:line="218"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2.5.1   </w:t>
      </w:r>
      <w:r>
        <w:rPr>
          <w:rFonts w:ascii="宋体" w:hAnsi="宋体" w:eastAsia="宋体" w:cs="宋体"/>
          <w:spacing w:val="-7"/>
          <w:sz w:val="22"/>
          <w:szCs w:val="22"/>
          <w:highlight w:val="none"/>
        </w:rPr>
        <w:t>发包人应按合同约定向承包人及时支付合同价款。</w:t>
      </w:r>
    </w:p>
    <w:p w14:paraId="543C78B1">
      <w:pPr>
        <w:pStyle w:val="2"/>
        <w:spacing w:line="280" w:lineRule="auto"/>
        <w:rPr>
          <w:highlight w:val="none"/>
        </w:rPr>
      </w:pPr>
    </w:p>
    <w:p w14:paraId="57BFE88A">
      <w:pPr>
        <w:spacing w:before="68" w:line="307" w:lineRule="auto"/>
        <w:ind w:right="75"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2.5.2</w:t>
      </w:r>
      <w:r>
        <w:rPr>
          <w:rFonts w:ascii="Times New Roman" w:hAnsi="Times New Roman" w:eastAsia="Times New Roman" w:cs="Times New Roman"/>
          <w:spacing w:val="20"/>
          <w:sz w:val="21"/>
          <w:szCs w:val="21"/>
          <w:highlight w:val="none"/>
        </w:rPr>
        <w:t xml:space="preserve">   </w:t>
      </w:r>
      <w:r>
        <w:rPr>
          <w:rFonts w:ascii="宋体" w:hAnsi="宋体" w:eastAsia="宋体" w:cs="宋体"/>
          <w:spacing w:val="-2"/>
          <w:sz w:val="21"/>
          <w:szCs w:val="21"/>
          <w:highlight w:val="none"/>
        </w:rPr>
        <w:t>发包人应当制定资金安排计划，除专用合同条件另有约定外，如发包人拟对资金</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安排做任何重要变更，应将变更的详细情况通知承包人。如发生承包人收到价格大于</w:t>
      </w:r>
      <w:r>
        <w:rPr>
          <w:rFonts w:ascii="宋体" w:hAnsi="宋体" w:eastAsia="宋体" w:cs="宋体"/>
          <w:spacing w:val="-3"/>
          <w:sz w:val="21"/>
          <w:szCs w:val="21"/>
          <w:highlight w:val="none"/>
        </w:rPr>
        <w:t>签约合</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同价10%的变更指示或累计变更的总价超过签约合同价30%;或承包人未能根据</w:t>
      </w:r>
      <w:r>
        <w:rPr>
          <w:rFonts w:ascii="宋体" w:hAnsi="宋体" w:eastAsia="宋体" w:cs="宋体"/>
          <w:spacing w:val="7"/>
          <w:sz w:val="21"/>
          <w:szCs w:val="21"/>
          <w:highlight w:val="none"/>
        </w:rPr>
        <w:t>第14条[合</w:t>
      </w:r>
    </w:p>
    <w:p w14:paraId="3D0E0AEF">
      <w:pPr>
        <w:spacing w:line="307" w:lineRule="auto"/>
        <w:rPr>
          <w:rFonts w:ascii="宋体" w:hAnsi="宋体" w:eastAsia="宋体" w:cs="宋体"/>
          <w:sz w:val="21"/>
          <w:szCs w:val="21"/>
          <w:highlight w:val="none"/>
        </w:rPr>
        <w:sectPr>
          <w:footerReference r:id="rId81" w:type="default"/>
          <w:pgSz w:w="11910" w:h="16840"/>
          <w:pgMar w:top="400" w:right="1725" w:bottom="1238" w:left="1769" w:header="0" w:footer="1006" w:gutter="0"/>
          <w:cols w:space="720" w:num="1"/>
        </w:sectPr>
      </w:pPr>
    </w:p>
    <w:p w14:paraId="3A4F110D">
      <w:pPr>
        <w:pStyle w:val="2"/>
        <w:rPr>
          <w:highlight w:val="none"/>
        </w:rPr>
      </w:pPr>
    </w:p>
    <w:p w14:paraId="246630DF">
      <w:pPr>
        <w:pStyle w:val="2"/>
        <w:spacing w:line="241" w:lineRule="auto"/>
        <w:rPr>
          <w:highlight w:val="none"/>
        </w:rPr>
      </w:pPr>
    </w:p>
    <w:p w14:paraId="41915E42">
      <w:pPr>
        <w:pStyle w:val="2"/>
        <w:spacing w:line="241" w:lineRule="auto"/>
        <w:rPr>
          <w:highlight w:val="none"/>
        </w:rPr>
      </w:pPr>
    </w:p>
    <w:p w14:paraId="489D78C8">
      <w:pPr>
        <w:pStyle w:val="2"/>
        <w:spacing w:line="241" w:lineRule="auto"/>
        <w:rPr>
          <w:highlight w:val="none"/>
        </w:rPr>
      </w:pPr>
    </w:p>
    <w:p w14:paraId="422186EE">
      <w:pPr>
        <w:spacing w:before="69" w:line="361" w:lineRule="auto"/>
        <w:ind w:right="45"/>
        <w:jc w:val="both"/>
        <w:rPr>
          <w:rFonts w:ascii="宋体" w:hAnsi="宋体" w:eastAsia="宋体" w:cs="宋体"/>
          <w:sz w:val="21"/>
          <w:szCs w:val="21"/>
          <w:highlight w:val="none"/>
        </w:rPr>
      </w:pPr>
      <w:r>
        <w:rPr>
          <w:rFonts w:ascii="宋体" w:hAnsi="宋体" w:eastAsia="宋体" w:cs="宋体"/>
          <w:sz w:val="21"/>
          <w:szCs w:val="21"/>
          <w:highlight w:val="none"/>
        </w:rPr>
        <w:t>同价格与支付]收到付款，或承包人得知发包人的资金安排发生重要变更但并未收到发包人</w:t>
      </w:r>
      <w:r>
        <w:rPr>
          <w:rFonts w:ascii="宋体" w:hAnsi="宋体" w:eastAsia="宋体" w:cs="宋体"/>
          <w:spacing w:val="2"/>
          <w:sz w:val="21"/>
          <w:szCs w:val="21"/>
          <w:highlight w:val="none"/>
        </w:rPr>
        <w:t xml:space="preserve"> </w:t>
      </w:r>
      <w:r>
        <w:rPr>
          <w:rFonts w:ascii="宋体" w:hAnsi="宋体" w:eastAsia="宋体" w:cs="宋体"/>
          <w:spacing w:val="3"/>
          <w:sz w:val="21"/>
          <w:szCs w:val="21"/>
          <w:highlight w:val="none"/>
        </w:rPr>
        <w:t>上述重要变更通知的情况，则承包人可随时要求发包人在28天内补充提供能够按照</w:t>
      </w:r>
      <w:r>
        <w:rPr>
          <w:rFonts w:ascii="宋体" w:hAnsi="宋体" w:eastAsia="宋体" w:cs="宋体"/>
          <w:spacing w:val="2"/>
          <w:sz w:val="21"/>
          <w:szCs w:val="21"/>
          <w:highlight w:val="none"/>
        </w:rPr>
        <w:t>合同约</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定支付合同价款的相应资金来源证明。</w:t>
      </w:r>
    </w:p>
    <w:p w14:paraId="0B3CA1D8">
      <w:pPr>
        <w:spacing w:before="177" w:line="381" w:lineRule="auto"/>
        <w:ind w:right="16" w:firstLine="43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2.5.3    </w:t>
      </w:r>
      <w:r>
        <w:rPr>
          <w:rFonts w:ascii="宋体" w:hAnsi="宋体" w:eastAsia="宋体" w:cs="宋体"/>
          <w:spacing w:val="7"/>
          <w:sz w:val="20"/>
          <w:szCs w:val="20"/>
          <w:highlight w:val="none"/>
        </w:rPr>
        <w:t>发包人应当向承包人提供支付担保。支付担保可以采用银行保函或担保公司</w:t>
      </w:r>
      <w:r>
        <w:rPr>
          <w:rFonts w:ascii="宋体" w:hAnsi="宋体" w:eastAsia="宋体" w:cs="宋体"/>
          <w:spacing w:val="6"/>
          <w:sz w:val="20"/>
          <w:szCs w:val="20"/>
          <w:highlight w:val="none"/>
        </w:rPr>
        <w:t>担保</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等形式，具体由合同当事人在专用合同条件中约定。</w:t>
      </w:r>
    </w:p>
    <w:p w14:paraId="1DADC039">
      <w:pPr>
        <w:pStyle w:val="2"/>
        <w:spacing w:before="195" w:line="300" w:lineRule="exact"/>
        <w:rPr>
          <w:rFonts w:ascii="黑体" w:hAnsi="黑体" w:eastAsia="黑体" w:cs="黑体"/>
          <w:sz w:val="22"/>
          <w:szCs w:val="22"/>
          <w:highlight w:val="none"/>
        </w:rPr>
      </w:pPr>
      <w:r>
        <w:rPr>
          <w:spacing w:val="-6"/>
          <w:position w:val="1"/>
          <w:sz w:val="22"/>
          <w:szCs w:val="22"/>
          <w:highlight w:val="none"/>
        </w:rPr>
        <w:t>2.6</w:t>
      </w:r>
      <w:r>
        <w:rPr>
          <w:spacing w:val="54"/>
          <w:position w:val="1"/>
          <w:sz w:val="22"/>
          <w:szCs w:val="22"/>
          <w:highlight w:val="none"/>
        </w:rPr>
        <w:t xml:space="preserve"> </w:t>
      </w:r>
      <w:r>
        <w:rPr>
          <w:rFonts w:ascii="黑体" w:hAnsi="黑体" w:eastAsia="黑体" w:cs="黑体"/>
          <w:spacing w:val="-6"/>
          <w:position w:val="1"/>
          <w:sz w:val="22"/>
          <w:szCs w:val="22"/>
          <w:highlight w:val="none"/>
        </w:rPr>
        <w:t>现场管理配合</w:t>
      </w:r>
    </w:p>
    <w:p w14:paraId="758076F3">
      <w:pPr>
        <w:spacing w:before="228" w:line="219" w:lineRule="auto"/>
        <w:ind w:left="430"/>
        <w:rPr>
          <w:rFonts w:ascii="宋体" w:hAnsi="宋体" w:eastAsia="宋体" w:cs="宋体"/>
          <w:sz w:val="21"/>
          <w:szCs w:val="21"/>
          <w:highlight w:val="none"/>
        </w:rPr>
      </w:pPr>
      <w:r>
        <w:rPr>
          <w:rFonts w:ascii="宋体" w:hAnsi="宋体" w:eastAsia="宋体" w:cs="宋体"/>
          <w:spacing w:val="3"/>
          <w:sz w:val="21"/>
          <w:szCs w:val="21"/>
          <w:highlight w:val="none"/>
        </w:rPr>
        <w:t>发包人应负责保证在现场或现场附近的发包人人员和发包人的其他承包人(如有):</w:t>
      </w:r>
    </w:p>
    <w:p w14:paraId="0AD2CFB3">
      <w:pPr>
        <w:spacing w:before="222" w:line="219" w:lineRule="auto"/>
        <w:ind w:left="530"/>
        <w:rPr>
          <w:rFonts w:ascii="宋体" w:hAnsi="宋体" w:eastAsia="宋体" w:cs="宋体"/>
          <w:sz w:val="22"/>
          <w:szCs w:val="22"/>
          <w:highlight w:val="none"/>
        </w:rPr>
      </w:pPr>
      <w:r>
        <w:rPr>
          <w:rFonts w:ascii="宋体" w:hAnsi="宋体" w:eastAsia="宋体" w:cs="宋体"/>
          <w:spacing w:val="-3"/>
          <w:sz w:val="22"/>
          <w:szCs w:val="22"/>
          <w:highlight w:val="none"/>
        </w:rPr>
        <w:t>(1)根据第7.3款[现场合作]的约定</w:t>
      </w:r>
      <w:r>
        <w:rPr>
          <w:rFonts w:ascii="宋体" w:hAnsi="宋体" w:eastAsia="宋体" w:cs="宋体"/>
          <w:spacing w:val="-4"/>
          <w:sz w:val="22"/>
          <w:szCs w:val="22"/>
          <w:highlight w:val="none"/>
        </w:rPr>
        <w:t>，与承包人进行合作；</w:t>
      </w:r>
    </w:p>
    <w:p w14:paraId="4EB8E3F9">
      <w:pPr>
        <w:spacing w:before="219" w:line="307" w:lineRule="auto"/>
        <w:ind w:firstLine="530"/>
        <w:rPr>
          <w:rFonts w:ascii="宋体" w:hAnsi="宋体" w:eastAsia="宋体" w:cs="宋体"/>
          <w:sz w:val="22"/>
          <w:szCs w:val="22"/>
          <w:highlight w:val="none"/>
        </w:rPr>
      </w:pPr>
      <w:r>
        <w:rPr>
          <w:rFonts w:ascii="宋体" w:hAnsi="宋体" w:eastAsia="宋体" w:cs="宋体"/>
          <w:spacing w:val="3"/>
          <w:sz w:val="22"/>
          <w:szCs w:val="22"/>
          <w:highlight w:val="none"/>
        </w:rPr>
        <w:t>(2)遵守第7.5款[现场劳动用工]、第7.6款[安全文明施工]、第</w:t>
      </w:r>
      <w:r>
        <w:rPr>
          <w:rFonts w:ascii="宋体" w:hAnsi="宋体" w:eastAsia="宋体" w:cs="宋体"/>
          <w:spacing w:val="2"/>
          <w:sz w:val="22"/>
          <w:szCs w:val="22"/>
          <w:highlight w:val="none"/>
        </w:rPr>
        <w:t>7.7款[职业健康]</w:t>
      </w:r>
      <w:r>
        <w:rPr>
          <w:rFonts w:ascii="宋体" w:hAnsi="宋体" w:eastAsia="宋体" w:cs="宋体"/>
          <w:sz w:val="22"/>
          <w:szCs w:val="22"/>
          <w:highlight w:val="none"/>
        </w:rPr>
        <w:t xml:space="preserve"> </w:t>
      </w:r>
      <w:r>
        <w:rPr>
          <w:rFonts w:ascii="宋体" w:hAnsi="宋体" w:eastAsia="宋体" w:cs="宋体"/>
          <w:spacing w:val="-3"/>
          <w:sz w:val="22"/>
          <w:szCs w:val="22"/>
          <w:highlight w:val="none"/>
        </w:rPr>
        <w:t>和第7.8款[环境保护]的相关约定。</w:t>
      </w:r>
    </w:p>
    <w:p w14:paraId="17E4F3E5">
      <w:pPr>
        <w:spacing w:before="228" w:line="405" w:lineRule="auto"/>
        <w:ind w:right="32" w:firstLine="430"/>
        <w:rPr>
          <w:rFonts w:ascii="宋体" w:hAnsi="宋体" w:eastAsia="宋体" w:cs="宋体"/>
          <w:sz w:val="22"/>
          <w:szCs w:val="22"/>
          <w:highlight w:val="none"/>
        </w:rPr>
      </w:pPr>
      <w:r>
        <w:rPr>
          <w:rFonts w:ascii="宋体" w:hAnsi="宋体" w:eastAsia="宋体" w:cs="宋体"/>
          <w:spacing w:val="-7"/>
          <w:sz w:val="22"/>
          <w:szCs w:val="22"/>
          <w:highlight w:val="none"/>
        </w:rPr>
        <w:t>发包人应与承包人、由发包人直接发包的其他承包人(如有)订立施工现场统一管理协</w:t>
      </w:r>
      <w:r>
        <w:rPr>
          <w:rFonts w:ascii="宋体" w:hAnsi="宋体" w:eastAsia="宋体" w:cs="宋体"/>
          <w:spacing w:val="16"/>
          <w:sz w:val="22"/>
          <w:szCs w:val="22"/>
          <w:highlight w:val="none"/>
        </w:rPr>
        <w:t xml:space="preserve"> </w:t>
      </w:r>
      <w:r>
        <w:rPr>
          <w:rFonts w:ascii="宋体" w:hAnsi="宋体" w:eastAsia="宋体" w:cs="宋体"/>
          <w:spacing w:val="-12"/>
          <w:sz w:val="22"/>
          <w:szCs w:val="22"/>
          <w:highlight w:val="none"/>
        </w:rPr>
        <w:t>议，明确各方的权利义务。</w:t>
      </w:r>
    </w:p>
    <w:p w14:paraId="58E36A16">
      <w:pPr>
        <w:spacing w:before="163" w:line="221" w:lineRule="auto"/>
        <w:rPr>
          <w:rFonts w:ascii="黑体" w:hAnsi="黑体" w:eastAsia="黑体" w:cs="黑体"/>
          <w:sz w:val="22"/>
          <w:szCs w:val="22"/>
          <w:highlight w:val="none"/>
        </w:rPr>
      </w:pPr>
      <w:r>
        <w:rPr>
          <w:rFonts w:ascii="黑体" w:hAnsi="黑体" w:eastAsia="黑体" w:cs="黑体"/>
          <w:spacing w:val="8"/>
          <w:sz w:val="22"/>
          <w:szCs w:val="22"/>
          <w:highlight w:val="none"/>
        </w:rPr>
        <w:t>2.7其他义务</w:t>
      </w:r>
    </w:p>
    <w:p w14:paraId="742CD44C">
      <w:pPr>
        <w:spacing w:before="200" w:line="396" w:lineRule="auto"/>
        <w:ind w:right="53" w:firstLine="430"/>
        <w:rPr>
          <w:rFonts w:ascii="宋体" w:hAnsi="宋体" w:eastAsia="宋体" w:cs="宋体"/>
          <w:sz w:val="22"/>
          <w:szCs w:val="22"/>
          <w:highlight w:val="none"/>
        </w:rPr>
      </w:pPr>
      <w:r>
        <w:rPr>
          <w:rFonts w:ascii="宋体" w:hAnsi="宋体" w:eastAsia="宋体" w:cs="宋体"/>
          <w:spacing w:val="-13"/>
          <w:sz w:val="22"/>
          <w:szCs w:val="22"/>
          <w:highlight w:val="none"/>
        </w:rPr>
        <w:t>发包人应履行合同约定的其他义务，双方可在专用合同条件内对发包人应履行的其他义</w:t>
      </w:r>
      <w:r>
        <w:rPr>
          <w:rFonts w:ascii="宋体" w:hAnsi="宋体" w:eastAsia="宋体" w:cs="宋体"/>
          <w:spacing w:val="3"/>
          <w:sz w:val="22"/>
          <w:szCs w:val="22"/>
          <w:highlight w:val="none"/>
        </w:rPr>
        <w:t xml:space="preserve"> </w:t>
      </w:r>
      <w:r>
        <w:rPr>
          <w:rFonts w:ascii="宋体" w:hAnsi="宋体" w:eastAsia="宋体" w:cs="宋体"/>
          <w:spacing w:val="-14"/>
          <w:sz w:val="22"/>
          <w:szCs w:val="22"/>
          <w:highlight w:val="none"/>
        </w:rPr>
        <w:t>务进行补充约定。</w:t>
      </w:r>
    </w:p>
    <w:p w14:paraId="2E745449">
      <w:pPr>
        <w:spacing w:before="125" w:line="221" w:lineRule="auto"/>
        <w:rPr>
          <w:rFonts w:ascii="黑体" w:hAnsi="黑体" w:eastAsia="黑体" w:cs="黑体"/>
          <w:sz w:val="28"/>
          <w:szCs w:val="28"/>
          <w:highlight w:val="none"/>
        </w:rPr>
      </w:pPr>
      <w:r>
        <w:rPr>
          <w:rFonts w:ascii="黑体" w:hAnsi="黑体" w:eastAsia="黑体" w:cs="黑体"/>
          <w:spacing w:val="36"/>
          <w:sz w:val="28"/>
          <w:szCs w:val="28"/>
          <w:highlight w:val="none"/>
        </w:rPr>
        <w:t>第3条发包人的管理</w:t>
      </w:r>
    </w:p>
    <w:p w14:paraId="3639A844">
      <w:pPr>
        <w:pStyle w:val="2"/>
        <w:spacing w:line="310" w:lineRule="auto"/>
        <w:rPr>
          <w:highlight w:val="none"/>
        </w:rPr>
      </w:pPr>
    </w:p>
    <w:p w14:paraId="7A945D4D">
      <w:pPr>
        <w:pStyle w:val="2"/>
        <w:spacing w:before="72" w:line="299" w:lineRule="exact"/>
        <w:rPr>
          <w:rFonts w:ascii="黑体" w:hAnsi="黑体" w:eastAsia="黑体" w:cs="黑体"/>
          <w:sz w:val="22"/>
          <w:szCs w:val="22"/>
          <w:highlight w:val="none"/>
        </w:rPr>
      </w:pPr>
      <w:r>
        <w:rPr>
          <w:spacing w:val="-5"/>
          <w:position w:val="1"/>
          <w:sz w:val="22"/>
          <w:szCs w:val="22"/>
          <w:highlight w:val="none"/>
        </w:rPr>
        <w:t>3.1</w:t>
      </w:r>
      <w:r>
        <w:rPr>
          <w:spacing w:val="56"/>
          <w:w w:val="101"/>
          <w:position w:val="1"/>
          <w:sz w:val="22"/>
          <w:szCs w:val="22"/>
          <w:highlight w:val="none"/>
        </w:rPr>
        <w:t xml:space="preserve"> </w:t>
      </w:r>
      <w:r>
        <w:rPr>
          <w:rFonts w:ascii="黑体" w:hAnsi="黑体" w:eastAsia="黑体" w:cs="黑体"/>
          <w:spacing w:val="-5"/>
          <w:position w:val="1"/>
          <w:sz w:val="22"/>
          <w:szCs w:val="22"/>
          <w:highlight w:val="none"/>
        </w:rPr>
        <w:t>发包人代表</w:t>
      </w:r>
    </w:p>
    <w:p w14:paraId="78E85D35">
      <w:pPr>
        <w:spacing w:before="202" w:line="419" w:lineRule="auto"/>
        <w:ind w:right="34"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发包人应任命发包人代表，并在专用合同条件中</w:t>
      </w:r>
      <w:r>
        <w:rPr>
          <w:rFonts w:ascii="宋体" w:hAnsi="宋体" w:eastAsia="宋体" w:cs="宋体"/>
          <w:spacing w:val="-3"/>
          <w:sz w:val="21"/>
          <w:szCs w:val="21"/>
          <w:highlight w:val="none"/>
        </w:rPr>
        <w:t>明确发包人代表的姓名、职务、联系方</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式及授权范围等事项。发包人代表应在发包人的授权范围内，负责处理合同履行过程</w:t>
      </w:r>
      <w:r>
        <w:rPr>
          <w:rFonts w:ascii="宋体" w:hAnsi="宋体" w:eastAsia="宋体" w:cs="宋体"/>
          <w:spacing w:val="-3"/>
          <w:sz w:val="21"/>
          <w:szCs w:val="21"/>
          <w:highlight w:val="none"/>
        </w:rPr>
        <w:t>中与发</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包人有关的具体事宜。发包人代表在授权范围内的行为由发包人承担法</w:t>
      </w:r>
      <w:r>
        <w:rPr>
          <w:rFonts w:ascii="宋体" w:hAnsi="宋体" w:eastAsia="宋体" w:cs="宋体"/>
          <w:spacing w:val="-2"/>
          <w:sz w:val="21"/>
          <w:szCs w:val="21"/>
          <w:highlight w:val="none"/>
        </w:rPr>
        <w:t>律责任。</w:t>
      </w:r>
    </w:p>
    <w:p w14:paraId="1CC37BD8">
      <w:pPr>
        <w:spacing w:line="407" w:lineRule="auto"/>
        <w:ind w:right="15" w:firstLine="430"/>
        <w:rPr>
          <w:rFonts w:ascii="宋体" w:hAnsi="宋体" w:eastAsia="宋体" w:cs="宋体"/>
          <w:sz w:val="22"/>
          <w:szCs w:val="22"/>
          <w:highlight w:val="none"/>
        </w:rPr>
      </w:pPr>
      <w:r>
        <w:rPr>
          <w:rFonts w:ascii="宋体" w:hAnsi="宋体" w:eastAsia="宋体" w:cs="宋体"/>
          <w:spacing w:val="-12"/>
          <w:sz w:val="22"/>
          <w:szCs w:val="22"/>
          <w:highlight w:val="none"/>
        </w:rPr>
        <w:t>除非发包人另行通知承包人，发包人代表应被授予并且被认为具有发包人在授权范围内</w:t>
      </w:r>
      <w:r>
        <w:rPr>
          <w:rFonts w:ascii="宋体" w:hAnsi="宋体" w:eastAsia="宋体" w:cs="宋体"/>
          <w:spacing w:val="3"/>
          <w:sz w:val="22"/>
          <w:szCs w:val="22"/>
          <w:highlight w:val="none"/>
        </w:rPr>
        <w:t xml:space="preserve"> </w:t>
      </w:r>
      <w:r>
        <w:rPr>
          <w:rFonts w:ascii="宋体" w:hAnsi="宋体" w:eastAsia="宋体" w:cs="宋体"/>
          <w:spacing w:val="-6"/>
          <w:sz w:val="22"/>
          <w:szCs w:val="22"/>
          <w:highlight w:val="none"/>
        </w:rPr>
        <w:t>享有的相应权利，涉及第16.1款[由发包人解除合同]的权利除外。</w:t>
      </w:r>
    </w:p>
    <w:p w14:paraId="242A6414">
      <w:pPr>
        <w:spacing w:line="219" w:lineRule="auto"/>
        <w:ind w:left="430"/>
        <w:rPr>
          <w:rFonts w:ascii="宋体" w:hAnsi="宋体" w:eastAsia="宋体" w:cs="宋体"/>
          <w:sz w:val="22"/>
          <w:szCs w:val="22"/>
          <w:highlight w:val="none"/>
        </w:rPr>
      </w:pPr>
      <w:r>
        <w:rPr>
          <w:rFonts w:ascii="宋体" w:hAnsi="宋体" w:eastAsia="宋体" w:cs="宋体"/>
          <w:spacing w:val="-4"/>
          <w:sz w:val="22"/>
          <w:szCs w:val="22"/>
          <w:highlight w:val="none"/>
        </w:rPr>
        <w:t>发包人代表(或者在其为法人的情况下，被任命代表其行事的自</w:t>
      </w:r>
      <w:r>
        <w:rPr>
          <w:rFonts w:ascii="宋体" w:hAnsi="宋体" w:eastAsia="宋体" w:cs="宋体"/>
          <w:spacing w:val="-5"/>
          <w:sz w:val="22"/>
          <w:szCs w:val="22"/>
          <w:highlight w:val="none"/>
        </w:rPr>
        <w:t>然人)应：</w:t>
      </w:r>
    </w:p>
    <w:p w14:paraId="19E15BF3">
      <w:pPr>
        <w:spacing w:before="238" w:line="219" w:lineRule="auto"/>
        <w:ind w:left="530"/>
        <w:rPr>
          <w:rFonts w:ascii="宋体" w:hAnsi="宋体" w:eastAsia="宋体" w:cs="宋体"/>
          <w:sz w:val="20"/>
          <w:szCs w:val="20"/>
          <w:highlight w:val="none"/>
        </w:rPr>
      </w:pPr>
      <w:r>
        <w:rPr>
          <w:rFonts w:ascii="宋体" w:hAnsi="宋体" w:eastAsia="宋体" w:cs="宋体"/>
          <w:spacing w:val="11"/>
          <w:sz w:val="20"/>
          <w:szCs w:val="20"/>
          <w:highlight w:val="none"/>
        </w:rPr>
        <w:t>(1)履行指派给其的职责，行使发包人托付给的权利；</w:t>
      </w:r>
    </w:p>
    <w:p w14:paraId="7D6F8885">
      <w:pPr>
        <w:spacing w:before="234" w:line="219" w:lineRule="auto"/>
        <w:ind w:left="530"/>
        <w:rPr>
          <w:rFonts w:ascii="宋体" w:hAnsi="宋体" w:eastAsia="宋体" w:cs="宋体"/>
          <w:sz w:val="22"/>
          <w:szCs w:val="22"/>
          <w:highlight w:val="none"/>
        </w:rPr>
      </w:pPr>
      <w:r>
        <w:rPr>
          <w:rFonts w:ascii="宋体" w:hAnsi="宋体" w:eastAsia="宋体" w:cs="宋体"/>
          <w:spacing w:val="-6"/>
          <w:sz w:val="22"/>
          <w:szCs w:val="22"/>
          <w:highlight w:val="none"/>
        </w:rPr>
        <w:t>(2)具备履行这些职责、行使这些权利的能力；</w:t>
      </w:r>
    </w:p>
    <w:p w14:paraId="0E9F399E">
      <w:pPr>
        <w:spacing w:before="200" w:line="220" w:lineRule="auto"/>
        <w:ind w:left="530"/>
        <w:rPr>
          <w:rFonts w:ascii="宋体" w:hAnsi="宋体" w:eastAsia="宋体" w:cs="宋体"/>
          <w:sz w:val="22"/>
          <w:szCs w:val="22"/>
          <w:highlight w:val="none"/>
        </w:rPr>
      </w:pPr>
      <w:r>
        <w:rPr>
          <w:rFonts w:ascii="宋体" w:hAnsi="宋体" w:eastAsia="宋体" w:cs="宋体"/>
          <w:spacing w:val="-3"/>
          <w:sz w:val="22"/>
          <w:szCs w:val="22"/>
          <w:highlight w:val="none"/>
        </w:rPr>
        <w:t>(3)作为熟练的专业人员行事。</w:t>
      </w:r>
    </w:p>
    <w:p w14:paraId="4A4D9B77">
      <w:pPr>
        <w:spacing w:before="225" w:line="462" w:lineRule="auto"/>
        <w:ind w:right="25" w:firstLine="430"/>
        <w:rPr>
          <w:rFonts w:ascii="宋体" w:hAnsi="宋体" w:eastAsia="宋体" w:cs="宋体"/>
          <w:sz w:val="20"/>
          <w:szCs w:val="20"/>
          <w:highlight w:val="none"/>
        </w:rPr>
      </w:pPr>
      <w:r>
        <w:rPr>
          <w:rFonts w:ascii="宋体" w:hAnsi="宋体" w:eastAsia="宋体" w:cs="宋体"/>
          <w:spacing w:val="8"/>
          <w:sz w:val="20"/>
          <w:szCs w:val="20"/>
          <w:highlight w:val="none"/>
        </w:rPr>
        <w:t>如果发包人代表为法人且在签订本合同时未能确定授权代表的，发包人</w:t>
      </w:r>
      <w:r>
        <w:rPr>
          <w:rFonts w:ascii="宋体" w:hAnsi="宋体" w:eastAsia="宋体" w:cs="宋体"/>
          <w:spacing w:val="7"/>
          <w:sz w:val="20"/>
          <w:szCs w:val="20"/>
          <w:highlight w:val="none"/>
        </w:rPr>
        <w:t>代表应在本合同</w:t>
      </w:r>
      <w:r>
        <w:rPr>
          <w:rFonts w:ascii="宋体" w:hAnsi="宋体" w:eastAsia="宋体" w:cs="宋体"/>
          <w:sz w:val="20"/>
          <w:szCs w:val="20"/>
          <w:highlight w:val="none"/>
        </w:rPr>
        <w:t xml:space="preserve"> </w:t>
      </w:r>
      <w:r>
        <w:rPr>
          <w:rFonts w:ascii="宋体" w:hAnsi="宋体" w:eastAsia="宋体" w:cs="宋体"/>
          <w:spacing w:val="10"/>
          <w:sz w:val="20"/>
          <w:szCs w:val="20"/>
          <w:highlight w:val="none"/>
        </w:rPr>
        <w:t>签订之日起3日内向双方发出书面通知，告知被任命和授权的自然人以及任何替代人员。此</w:t>
      </w:r>
    </w:p>
    <w:p w14:paraId="226B7CC3">
      <w:pPr>
        <w:spacing w:line="462" w:lineRule="auto"/>
        <w:rPr>
          <w:rFonts w:ascii="宋体" w:hAnsi="宋体" w:eastAsia="宋体" w:cs="宋体"/>
          <w:sz w:val="20"/>
          <w:szCs w:val="20"/>
          <w:highlight w:val="none"/>
        </w:rPr>
        <w:sectPr>
          <w:footerReference r:id="rId82" w:type="default"/>
          <w:pgSz w:w="11910" w:h="16840"/>
          <w:pgMar w:top="400" w:right="1786" w:bottom="1182" w:left="1769" w:header="0" w:footer="1024" w:gutter="0"/>
          <w:cols w:space="720" w:num="1"/>
        </w:sectPr>
      </w:pPr>
    </w:p>
    <w:p w14:paraId="265D849D">
      <w:pPr>
        <w:pStyle w:val="2"/>
        <w:spacing w:line="276" w:lineRule="auto"/>
        <w:rPr>
          <w:highlight w:val="none"/>
        </w:rPr>
      </w:pPr>
    </w:p>
    <w:p w14:paraId="2E4DC7F4">
      <w:pPr>
        <w:pStyle w:val="2"/>
        <w:spacing w:line="276" w:lineRule="auto"/>
        <w:rPr>
          <w:highlight w:val="none"/>
        </w:rPr>
      </w:pPr>
    </w:p>
    <w:p w14:paraId="6B022C1D">
      <w:pPr>
        <w:pStyle w:val="2"/>
        <w:spacing w:line="277" w:lineRule="auto"/>
        <w:rPr>
          <w:highlight w:val="none"/>
        </w:rPr>
      </w:pPr>
    </w:p>
    <w:p w14:paraId="00C16956">
      <w:pPr>
        <w:pStyle w:val="2"/>
        <w:spacing w:line="277" w:lineRule="auto"/>
        <w:rPr>
          <w:highlight w:val="none"/>
        </w:rPr>
      </w:pPr>
    </w:p>
    <w:p w14:paraId="60C8B0AE">
      <w:pPr>
        <w:spacing w:before="65" w:line="434" w:lineRule="auto"/>
        <w:ind w:right="94"/>
        <w:rPr>
          <w:rFonts w:ascii="宋体" w:hAnsi="宋体" w:eastAsia="宋体" w:cs="宋体"/>
          <w:sz w:val="20"/>
          <w:szCs w:val="20"/>
          <w:highlight w:val="none"/>
        </w:rPr>
      </w:pPr>
      <w:r>
        <w:rPr>
          <w:rFonts w:ascii="宋体" w:hAnsi="宋体" w:eastAsia="宋体" w:cs="宋体"/>
          <w:spacing w:val="8"/>
          <w:sz w:val="20"/>
          <w:szCs w:val="20"/>
          <w:highlight w:val="none"/>
        </w:rPr>
        <w:t>授权在双方收到本通知后生效。发包人代表撤销该授权或者变更授权代表时也应同样发出该</w:t>
      </w:r>
      <w:r>
        <w:rPr>
          <w:rFonts w:ascii="宋体" w:hAnsi="宋体" w:eastAsia="宋体" w:cs="宋体"/>
          <w:sz w:val="20"/>
          <w:szCs w:val="20"/>
          <w:highlight w:val="none"/>
        </w:rPr>
        <w:t xml:space="preserve"> 通知。</w:t>
      </w:r>
    </w:p>
    <w:p w14:paraId="5192AB72">
      <w:pPr>
        <w:spacing w:line="416" w:lineRule="auto"/>
        <w:ind w:right="96"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 xml:space="preserve">发包人更换发包人代表的，应提前14天将更换人的姓名、地址、任务和权利、以及任 </w:t>
      </w:r>
      <w:r>
        <w:rPr>
          <w:rFonts w:ascii="宋体" w:hAnsi="宋体" w:eastAsia="宋体" w:cs="宋体"/>
          <w:spacing w:val="-3"/>
          <w:sz w:val="21"/>
          <w:szCs w:val="21"/>
          <w:highlight w:val="none"/>
        </w:rPr>
        <w:t>命的日期书面通知承包人。发包人不得将发包人代表更换为承包人根据本款发出通知提出合</w:t>
      </w:r>
      <w:r>
        <w:rPr>
          <w:rFonts w:ascii="宋体" w:hAnsi="宋体" w:eastAsia="宋体" w:cs="宋体"/>
          <w:spacing w:val="17"/>
          <w:sz w:val="21"/>
          <w:szCs w:val="21"/>
          <w:highlight w:val="none"/>
        </w:rPr>
        <w:t xml:space="preserve"> </w:t>
      </w:r>
      <w:r>
        <w:rPr>
          <w:rFonts w:ascii="宋体" w:hAnsi="宋体" w:eastAsia="宋体" w:cs="宋体"/>
          <w:spacing w:val="-2"/>
          <w:sz w:val="21"/>
          <w:szCs w:val="21"/>
          <w:highlight w:val="none"/>
        </w:rPr>
        <w:t>理反对意见的人员，不论是法人还是自然人。</w:t>
      </w:r>
    </w:p>
    <w:p w14:paraId="7EC7D937">
      <w:pPr>
        <w:spacing w:before="1" w:line="404" w:lineRule="auto"/>
        <w:ind w:right="95" w:firstLine="430"/>
        <w:rPr>
          <w:rFonts w:ascii="宋体" w:hAnsi="宋体" w:eastAsia="宋体" w:cs="宋体"/>
          <w:sz w:val="22"/>
          <w:szCs w:val="22"/>
          <w:highlight w:val="none"/>
        </w:rPr>
      </w:pPr>
      <w:r>
        <w:rPr>
          <w:rFonts w:ascii="宋体" w:hAnsi="宋体" w:eastAsia="宋体" w:cs="宋体"/>
          <w:spacing w:val="-12"/>
          <w:sz w:val="22"/>
          <w:szCs w:val="22"/>
          <w:highlight w:val="none"/>
        </w:rPr>
        <w:t>发包人代表不能按照合同约定履行其职责及义务，</w:t>
      </w:r>
      <w:r>
        <w:rPr>
          <w:rFonts w:ascii="宋体" w:hAnsi="宋体" w:eastAsia="宋体" w:cs="宋体"/>
          <w:spacing w:val="-13"/>
          <w:sz w:val="22"/>
          <w:szCs w:val="22"/>
          <w:highlight w:val="none"/>
        </w:rPr>
        <w:t>并导致合同无法继续正常履行的，承</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包人可以要求发包人撤换发包人代表。</w:t>
      </w:r>
    </w:p>
    <w:p w14:paraId="19D4BC5F">
      <w:pPr>
        <w:spacing w:before="153" w:line="221" w:lineRule="auto"/>
        <w:rPr>
          <w:rFonts w:ascii="黑体" w:hAnsi="黑体" w:eastAsia="黑体" w:cs="黑体"/>
          <w:sz w:val="22"/>
          <w:szCs w:val="22"/>
          <w:highlight w:val="none"/>
        </w:rPr>
      </w:pPr>
      <w:r>
        <w:rPr>
          <w:rFonts w:ascii="黑体" w:hAnsi="黑体" w:eastAsia="黑体" w:cs="黑体"/>
          <w:spacing w:val="5"/>
          <w:sz w:val="22"/>
          <w:szCs w:val="22"/>
          <w:highlight w:val="none"/>
        </w:rPr>
        <w:t>3.2发包人人员</w:t>
      </w:r>
    </w:p>
    <w:p w14:paraId="5558BE4A">
      <w:pPr>
        <w:spacing w:before="245" w:line="435" w:lineRule="auto"/>
        <w:ind w:right="44" w:firstLine="430"/>
        <w:jc w:val="both"/>
        <w:rPr>
          <w:rFonts w:ascii="宋体" w:hAnsi="宋体" w:eastAsia="宋体" w:cs="宋体"/>
          <w:sz w:val="20"/>
          <w:szCs w:val="20"/>
          <w:highlight w:val="none"/>
        </w:rPr>
      </w:pPr>
      <w:r>
        <w:rPr>
          <w:rFonts w:ascii="宋体" w:hAnsi="宋体" w:eastAsia="宋体" w:cs="宋体"/>
          <w:spacing w:val="8"/>
          <w:sz w:val="20"/>
          <w:szCs w:val="20"/>
          <w:highlight w:val="none"/>
        </w:rPr>
        <w:t>发包人人员包括发包人代表、工程师及其他由发包人派驻施工现场的人</w:t>
      </w:r>
      <w:r>
        <w:rPr>
          <w:rFonts w:ascii="宋体" w:hAnsi="宋体" w:eastAsia="宋体" w:cs="宋体"/>
          <w:spacing w:val="7"/>
          <w:sz w:val="20"/>
          <w:szCs w:val="20"/>
          <w:highlight w:val="none"/>
        </w:rPr>
        <w:t>员，发包人可以</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在专用合同条件中明确发包人人员的姓名、职务及职责等事项。发包人或发包人代表可随时</w:t>
      </w:r>
      <w:r>
        <w:rPr>
          <w:rFonts w:ascii="宋体" w:hAnsi="宋体" w:eastAsia="宋体" w:cs="宋体"/>
          <w:spacing w:val="1"/>
          <w:sz w:val="20"/>
          <w:szCs w:val="20"/>
          <w:highlight w:val="none"/>
        </w:rPr>
        <w:t xml:space="preserve"> </w:t>
      </w:r>
      <w:r>
        <w:rPr>
          <w:rFonts w:ascii="宋体" w:hAnsi="宋体" w:eastAsia="宋体" w:cs="宋体"/>
          <w:spacing w:val="8"/>
          <w:sz w:val="20"/>
          <w:szCs w:val="20"/>
          <w:highlight w:val="none"/>
        </w:rPr>
        <w:t>对一些助手指派和托付一定的任务和权利，也可撤销这些指派和托付。这些助手可包</w:t>
      </w:r>
      <w:r>
        <w:rPr>
          <w:rFonts w:ascii="宋体" w:hAnsi="宋体" w:eastAsia="宋体" w:cs="宋体"/>
          <w:spacing w:val="7"/>
          <w:sz w:val="20"/>
          <w:szCs w:val="20"/>
          <w:highlight w:val="none"/>
        </w:rPr>
        <w:t>括驻地</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 xml:space="preserve">工程师或担任检验、试验各项工程设备和材料的独立检查员。这些助手应具有适当的资质、 </w:t>
      </w:r>
      <w:r>
        <w:rPr>
          <w:rFonts w:ascii="宋体" w:hAnsi="宋体" w:eastAsia="宋体" w:cs="宋体"/>
          <w:spacing w:val="8"/>
          <w:sz w:val="20"/>
          <w:szCs w:val="20"/>
          <w:highlight w:val="none"/>
        </w:rPr>
        <w:t>履行其任务和权利的能力。以上指派、托付或</w:t>
      </w:r>
      <w:r>
        <w:rPr>
          <w:rFonts w:ascii="宋体" w:hAnsi="宋体" w:eastAsia="宋体" w:cs="宋体"/>
          <w:spacing w:val="7"/>
          <w:sz w:val="20"/>
          <w:szCs w:val="20"/>
          <w:highlight w:val="none"/>
        </w:rPr>
        <w:t>撤销，在承包人收到通知后生效。承包人对于</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可能影响正常履约或工程安全质量的发包人人员保有随时提出沟通的权利。</w:t>
      </w:r>
    </w:p>
    <w:p w14:paraId="00FDD092">
      <w:pPr>
        <w:spacing w:before="26" w:line="424" w:lineRule="auto"/>
        <w:ind w:right="95" w:firstLine="430"/>
        <w:rPr>
          <w:rFonts w:ascii="宋体" w:hAnsi="宋体" w:eastAsia="宋体" w:cs="宋体"/>
          <w:sz w:val="21"/>
          <w:szCs w:val="21"/>
          <w:highlight w:val="none"/>
        </w:rPr>
      </w:pPr>
      <w:r>
        <w:rPr>
          <w:rFonts w:ascii="宋体" w:hAnsi="宋体" w:eastAsia="宋体" w:cs="宋体"/>
          <w:spacing w:val="-2"/>
          <w:sz w:val="21"/>
          <w:szCs w:val="21"/>
          <w:highlight w:val="none"/>
        </w:rPr>
        <w:t>发包人应要求在施工现场的发包人人员遵守法律及</w:t>
      </w:r>
      <w:r>
        <w:rPr>
          <w:rFonts w:ascii="宋体" w:hAnsi="宋体" w:eastAsia="宋体" w:cs="宋体"/>
          <w:spacing w:val="-3"/>
          <w:sz w:val="21"/>
          <w:szCs w:val="21"/>
          <w:highlight w:val="none"/>
        </w:rPr>
        <w:t>有关安全、质量、环境保护、文明施</w:t>
      </w:r>
      <w:r>
        <w:rPr>
          <w:rFonts w:ascii="宋体" w:hAnsi="宋体" w:eastAsia="宋体" w:cs="宋体"/>
          <w:sz w:val="21"/>
          <w:szCs w:val="21"/>
          <w:highlight w:val="none"/>
        </w:rPr>
        <w:t xml:space="preserve"> 工等规定，因发包人人员未遵守上述要求给承包人造成的损失和责任</w:t>
      </w:r>
      <w:r>
        <w:rPr>
          <w:rFonts w:ascii="宋体" w:hAnsi="宋体" w:eastAsia="宋体" w:cs="宋体"/>
          <w:spacing w:val="-1"/>
          <w:sz w:val="21"/>
          <w:szCs w:val="21"/>
          <w:highlight w:val="none"/>
        </w:rPr>
        <w:t>由发包人承担。</w:t>
      </w:r>
    </w:p>
    <w:p w14:paraId="699D67FA">
      <w:pPr>
        <w:pStyle w:val="2"/>
        <w:spacing w:before="115" w:line="300" w:lineRule="exact"/>
        <w:rPr>
          <w:rFonts w:ascii="黑体" w:hAnsi="黑体" w:eastAsia="黑体" w:cs="黑体"/>
          <w:sz w:val="22"/>
          <w:szCs w:val="22"/>
          <w:highlight w:val="none"/>
        </w:rPr>
      </w:pPr>
      <w:r>
        <w:rPr>
          <w:spacing w:val="-2"/>
          <w:position w:val="1"/>
          <w:sz w:val="22"/>
          <w:szCs w:val="22"/>
          <w:highlight w:val="none"/>
        </w:rPr>
        <w:t xml:space="preserve">3.3  </w:t>
      </w:r>
      <w:r>
        <w:rPr>
          <w:rFonts w:ascii="黑体" w:hAnsi="黑体" w:eastAsia="黑体" w:cs="黑体"/>
          <w:spacing w:val="-2"/>
          <w:position w:val="1"/>
          <w:sz w:val="22"/>
          <w:szCs w:val="22"/>
          <w:highlight w:val="none"/>
        </w:rPr>
        <w:t>工程师</w:t>
      </w:r>
    </w:p>
    <w:p w14:paraId="4A2D9C0D">
      <w:pPr>
        <w:spacing w:before="108" w:line="319" w:lineRule="auto"/>
        <w:ind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3.3.1    </w:t>
      </w:r>
      <w:r>
        <w:rPr>
          <w:rFonts w:ascii="宋体" w:hAnsi="宋体" w:eastAsia="宋体" w:cs="宋体"/>
          <w:spacing w:val="-2"/>
          <w:sz w:val="21"/>
          <w:szCs w:val="21"/>
          <w:highlight w:val="none"/>
        </w:rPr>
        <w:t>发包人需对承包人的设计、采购、施工、服务等工作过程或过程节点实施监督管</w:t>
      </w:r>
      <w:r>
        <w:rPr>
          <w:rFonts w:ascii="宋体" w:hAnsi="宋体" w:eastAsia="宋体" w:cs="宋体"/>
          <w:spacing w:val="18"/>
          <w:sz w:val="21"/>
          <w:szCs w:val="21"/>
          <w:highlight w:val="none"/>
        </w:rPr>
        <w:t xml:space="preserve"> </w:t>
      </w:r>
      <w:r>
        <w:rPr>
          <w:rFonts w:ascii="宋体" w:hAnsi="宋体" w:eastAsia="宋体" w:cs="宋体"/>
          <w:spacing w:val="-5"/>
          <w:sz w:val="21"/>
          <w:szCs w:val="21"/>
          <w:highlight w:val="none"/>
        </w:rPr>
        <w:t>理的，有权委任工程师。工程师的名称、监督管理范围、内容和权限在专用合同条件中写明。</w:t>
      </w:r>
      <w:r>
        <w:rPr>
          <w:rFonts w:ascii="宋体" w:hAnsi="宋体" w:eastAsia="宋体" w:cs="宋体"/>
          <w:spacing w:val="9"/>
          <w:sz w:val="21"/>
          <w:szCs w:val="21"/>
          <w:highlight w:val="none"/>
        </w:rPr>
        <w:t xml:space="preserve"> </w:t>
      </w:r>
      <w:r>
        <w:rPr>
          <w:rFonts w:ascii="宋体" w:hAnsi="宋体" w:eastAsia="宋体" w:cs="宋体"/>
          <w:spacing w:val="-2"/>
          <w:sz w:val="21"/>
          <w:szCs w:val="21"/>
          <w:highlight w:val="none"/>
        </w:rPr>
        <w:t>根据国家相关法律法规规定，如本合同工程属于强制监理项目的，由工程师履行法</w:t>
      </w:r>
      <w:r>
        <w:rPr>
          <w:rFonts w:ascii="宋体" w:hAnsi="宋体" w:eastAsia="宋体" w:cs="宋体"/>
          <w:spacing w:val="-3"/>
          <w:sz w:val="21"/>
          <w:szCs w:val="21"/>
          <w:highlight w:val="none"/>
        </w:rPr>
        <w:t>定的监理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相关职责，但发包人另行授权第三方进行监理的除外。</w:t>
      </w:r>
    </w:p>
    <w:p w14:paraId="28B1A4A4">
      <w:pPr>
        <w:pStyle w:val="2"/>
        <w:spacing w:line="279" w:lineRule="auto"/>
        <w:rPr>
          <w:highlight w:val="none"/>
        </w:rPr>
      </w:pPr>
    </w:p>
    <w:p w14:paraId="20D2AF8F">
      <w:pPr>
        <w:spacing w:before="69" w:line="321" w:lineRule="auto"/>
        <w:ind w:right="92"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3.3.2    </w:t>
      </w:r>
      <w:r>
        <w:rPr>
          <w:rFonts w:ascii="宋体" w:hAnsi="宋体" w:eastAsia="宋体" w:cs="宋体"/>
          <w:spacing w:val="-2"/>
          <w:sz w:val="21"/>
          <w:szCs w:val="21"/>
          <w:highlight w:val="none"/>
        </w:rPr>
        <w:t>工程师按发包人委托的范围、内容、职权和权限，代表发包人对承包人实施监督</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管理。若承包人认为工程师行使的职权不在发包人委托的授权范围之内的，则其有权</w:t>
      </w:r>
      <w:r>
        <w:rPr>
          <w:rFonts w:ascii="宋体" w:hAnsi="宋体" w:eastAsia="宋体" w:cs="宋体"/>
          <w:spacing w:val="-3"/>
          <w:sz w:val="21"/>
          <w:szCs w:val="21"/>
          <w:highlight w:val="none"/>
        </w:rPr>
        <w:t>拒绝执</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行工程师的相关指示，同时应及时通知发包人，发包人书面确认工程师相关指示的，承</w:t>
      </w:r>
      <w:r>
        <w:rPr>
          <w:rFonts w:ascii="宋体" w:hAnsi="宋体" w:eastAsia="宋体" w:cs="宋体"/>
          <w:spacing w:val="-3"/>
          <w:sz w:val="21"/>
          <w:szCs w:val="21"/>
          <w:highlight w:val="none"/>
        </w:rPr>
        <w:t>包人</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应遵照执行。</w:t>
      </w:r>
    </w:p>
    <w:p w14:paraId="3DF0701C">
      <w:pPr>
        <w:pStyle w:val="2"/>
        <w:spacing w:line="269" w:lineRule="auto"/>
        <w:rPr>
          <w:highlight w:val="none"/>
        </w:rPr>
      </w:pPr>
    </w:p>
    <w:p w14:paraId="7E1AC52F">
      <w:pPr>
        <w:spacing w:before="68" w:line="308" w:lineRule="auto"/>
        <w:ind w:right="73" w:firstLine="430"/>
        <w:rPr>
          <w:rFonts w:ascii="宋体" w:hAnsi="宋体" w:eastAsia="宋体" w:cs="宋体"/>
          <w:sz w:val="21"/>
          <w:szCs w:val="21"/>
          <w:highlight w:val="none"/>
        </w:rPr>
      </w:pPr>
      <w:r>
        <w:rPr>
          <w:rFonts w:ascii="宋体" w:hAnsi="宋体" w:eastAsia="宋体" w:cs="宋体"/>
          <w:spacing w:val="1"/>
          <w:sz w:val="21"/>
          <w:szCs w:val="21"/>
          <w:highlight w:val="none"/>
        </w:rPr>
        <w:t>3.3.3在发包人和承包人之间提供证明、行使决定权或处理权时，工程师应</w:t>
      </w:r>
      <w:r>
        <w:rPr>
          <w:rFonts w:ascii="宋体" w:hAnsi="宋体" w:eastAsia="宋体" w:cs="宋体"/>
          <w:sz w:val="21"/>
          <w:szCs w:val="21"/>
          <w:highlight w:val="none"/>
        </w:rPr>
        <w:t xml:space="preserve">作为独立专 </w:t>
      </w:r>
      <w:r>
        <w:rPr>
          <w:rFonts w:ascii="宋体" w:hAnsi="宋体" w:eastAsia="宋体" w:cs="宋体"/>
          <w:spacing w:val="-2"/>
          <w:sz w:val="21"/>
          <w:szCs w:val="21"/>
          <w:highlight w:val="none"/>
        </w:rPr>
        <w:t>业的第三方，根据自己的专业技能和判断进行工作。但工程师或其人员均无权修改合同</w:t>
      </w:r>
      <w:r>
        <w:rPr>
          <w:rFonts w:ascii="宋体" w:hAnsi="宋体" w:eastAsia="宋体" w:cs="宋体"/>
          <w:spacing w:val="-3"/>
          <w:sz w:val="21"/>
          <w:szCs w:val="21"/>
          <w:highlight w:val="none"/>
        </w:rPr>
        <w:t>，且</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无权减轻或免除合同当事人的任何责任与义务。</w:t>
      </w:r>
    </w:p>
    <w:p w14:paraId="1EEC98C7">
      <w:pPr>
        <w:spacing w:line="308" w:lineRule="auto"/>
        <w:rPr>
          <w:rFonts w:ascii="宋体" w:hAnsi="宋体" w:eastAsia="宋体" w:cs="宋体"/>
          <w:sz w:val="21"/>
          <w:szCs w:val="21"/>
          <w:highlight w:val="none"/>
        </w:rPr>
        <w:sectPr>
          <w:footerReference r:id="rId83" w:type="default"/>
          <w:pgSz w:w="11910" w:h="16840"/>
          <w:pgMar w:top="400" w:right="1725" w:bottom="1238" w:left="1769" w:header="0" w:footer="1006" w:gutter="0"/>
          <w:cols w:space="720" w:num="1"/>
        </w:sectPr>
      </w:pPr>
    </w:p>
    <w:p w14:paraId="78D80A0B">
      <w:pPr>
        <w:pStyle w:val="2"/>
        <w:spacing w:line="246" w:lineRule="auto"/>
        <w:rPr>
          <w:highlight w:val="none"/>
        </w:rPr>
      </w:pPr>
    </w:p>
    <w:p w14:paraId="6761B94A">
      <w:pPr>
        <w:pStyle w:val="2"/>
        <w:spacing w:line="246" w:lineRule="auto"/>
        <w:rPr>
          <w:highlight w:val="none"/>
        </w:rPr>
      </w:pPr>
    </w:p>
    <w:p w14:paraId="280AD6BA">
      <w:pPr>
        <w:pStyle w:val="2"/>
        <w:spacing w:line="246" w:lineRule="auto"/>
        <w:rPr>
          <w:highlight w:val="none"/>
        </w:rPr>
      </w:pPr>
    </w:p>
    <w:p w14:paraId="2BECF0DE">
      <w:pPr>
        <w:pStyle w:val="2"/>
        <w:spacing w:line="247" w:lineRule="auto"/>
        <w:rPr>
          <w:highlight w:val="none"/>
        </w:rPr>
      </w:pPr>
    </w:p>
    <w:p w14:paraId="2E806BC9">
      <w:pPr>
        <w:spacing w:before="68" w:line="352" w:lineRule="auto"/>
        <w:ind w:right="24" w:firstLine="430"/>
        <w:jc w:val="both"/>
        <w:rPr>
          <w:rFonts w:ascii="宋体" w:hAnsi="宋体" w:eastAsia="宋体" w:cs="宋体"/>
          <w:sz w:val="21"/>
          <w:szCs w:val="21"/>
          <w:highlight w:val="none"/>
        </w:rPr>
      </w:pPr>
      <w:bookmarkStart w:id="84" w:name="bookmark220"/>
      <w:bookmarkEnd w:id="84"/>
      <w:r>
        <w:rPr>
          <w:rFonts w:ascii="宋体" w:hAnsi="宋体" w:eastAsia="宋体" w:cs="宋体"/>
          <w:spacing w:val="6"/>
          <w:sz w:val="21"/>
          <w:szCs w:val="21"/>
          <w:highlight w:val="none"/>
        </w:rPr>
        <w:t>3.3.4通用合同条件中约定由工程师行使的职权如不在发包人对工程师的授权范</w:t>
      </w:r>
      <w:r>
        <w:rPr>
          <w:rFonts w:ascii="宋体" w:hAnsi="宋体" w:eastAsia="宋体" w:cs="宋体"/>
          <w:spacing w:val="5"/>
          <w:sz w:val="21"/>
          <w:szCs w:val="21"/>
          <w:highlight w:val="none"/>
        </w:rPr>
        <w:t>围内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的，则视为没有取得授权，该职权应由发包人或发包人指定的其他</w:t>
      </w:r>
      <w:r>
        <w:rPr>
          <w:rFonts w:ascii="宋体" w:hAnsi="宋体" w:eastAsia="宋体" w:cs="宋体"/>
          <w:spacing w:val="-3"/>
          <w:sz w:val="21"/>
          <w:szCs w:val="21"/>
          <w:highlight w:val="none"/>
        </w:rPr>
        <w:t>人员行使。若承包人认为</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工程师的职权与发包人(包括其人员)的职权相重叠或不明确时，应及时通知发包人</w:t>
      </w:r>
      <w:r>
        <w:rPr>
          <w:rFonts w:ascii="宋体" w:hAnsi="宋体" w:eastAsia="宋体" w:cs="宋体"/>
          <w:spacing w:val="2"/>
          <w:sz w:val="21"/>
          <w:szCs w:val="21"/>
          <w:highlight w:val="none"/>
        </w:rPr>
        <w:t>，由发</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包人予以协调和明确并以书面形式通知承包人。</w:t>
      </w:r>
    </w:p>
    <w:p w14:paraId="697B07BF">
      <w:pPr>
        <w:pStyle w:val="2"/>
        <w:spacing w:before="257" w:line="300" w:lineRule="exact"/>
        <w:rPr>
          <w:rFonts w:ascii="黑体" w:hAnsi="黑体" w:eastAsia="黑体" w:cs="黑体"/>
          <w:sz w:val="22"/>
          <w:szCs w:val="22"/>
          <w:highlight w:val="none"/>
        </w:rPr>
      </w:pPr>
      <w:r>
        <w:rPr>
          <w:spacing w:val="-6"/>
          <w:position w:val="1"/>
          <w:sz w:val="22"/>
          <w:szCs w:val="22"/>
          <w:highlight w:val="none"/>
        </w:rPr>
        <w:t xml:space="preserve">3.4  </w:t>
      </w:r>
      <w:r>
        <w:rPr>
          <w:rFonts w:ascii="黑体" w:hAnsi="黑体" w:eastAsia="黑体" w:cs="黑体"/>
          <w:spacing w:val="-6"/>
          <w:position w:val="1"/>
          <w:sz w:val="22"/>
          <w:szCs w:val="22"/>
          <w:highlight w:val="none"/>
        </w:rPr>
        <w:t>任命和授权</w:t>
      </w:r>
    </w:p>
    <w:p w14:paraId="3968479D">
      <w:pPr>
        <w:spacing w:before="117" w:line="305" w:lineRule="auto"/>
        <w:ind w:right="24"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3.4.1    </w:t>
      </w:r>
      <w:r>
        <w:rPr>
          <w:rFonts w:ascii="宋体" w:hAnsi="宋体" w:eastAsia="宋体" w:cs="宋体"/>
          <w:spacing w:val="-2"/>
          <w:sz w:val="21"/>
          <w:szCs w:val="21"/>
          <w:highlight w:val="none"/>
        </w:rPr>
        <w:t>发包人应在发出开始工作通知前将工程师的任命通知承包人。更换工程师的，发</w:t>
      </w:r>
      <w:r>
        <w:rPr>
          <w:rFonts w:ascii="宋体" w:hAnsi="宋体" w:eastAsia="宋体" w:cs="宋体"/>
          <w:spacing w:val="5"/>
          <w:sz w:val="21"/>
          <w:szCs w:val="21"/>
          <w:highlight w:val="none"/>
        </w:rPr>
        <w:t xml:space="preserve"> </w:t>
      </w:r>
      <w:r>
        <w:rPr>
          <w:rFonts w:ascii="宋体" w:hAnsi="宋体" w:eastAsia="宋体" w:cs="宋体"/>
          <w:sz w:val="21"/>
          <w:szCs w:val="21"/>
          <w:highlight w:val="none"/>
        </w:rPr>
        <w:t>包人应提前7天以书面形式通知承包人，并在通知中写明替换者的姓</w:t>
      </w:r>
      <w:r>
        <w:rPr>
          <w:rFonts w:ascii="宋体" w:hAnsi="宋体" w:eastAsia="宋体" w:cs="宋体"/>
          <w:spacing w:val="-1"/>
          <w:sz w:val="21"/>
          <w:szCs w:val="21"/>
          <w:highlight w:val="none"/>
        </w:rPr>
        <w:t>名、职务、职权、权限</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和任命时间。工程师超过2天不能履行职责的，应委派代表代行其职责</w:t>
      </w:r>
      <w:r>
        <w:rPr>
          <w:rFonts w:ascii="宋体" w:hAnsi="宋体" w:eastAsia="宋体" w:cs="宋体"/>
          <w:spacing w:val="2"/>
          <w:sz w:val="21"/>
          <w:szCs w:val="21"/>
          <w:highlight w:val="none"/>
        </w:rPr>
        <w:t>，并通知承包人。</w:t>
      </w:r>
    </w:p>
    <w:p w14:paraId="71186358">
      <w:pPr>
        <w:pStyle w:val="2"/>
        <w:spacing w:line="268" w:lineRule="auto"/>
        <w:rPr>
          <w:highlight w:val="none"/>
        </w:rPr>
      </w:pPr>
    </w:p>
    <w:p w14:paraId="7EB30F05">
      <w:pPr>
        <w:spacing w:before="69" w:line="319" w:lineRule="auto"/>
        <w:ind w:right="19" w:firstLine="43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3.4.2</w:t>
      </w:r>
      <w:r>
        <w:rPr>
          <w:rFonts w:ascii="Times New Roman" w:hAnsi="Times New Roman" w:eastAsia="Times New Roman" w:cs="Times New Roman"/>
          <w:spacing w:val="20"/>
          <w:w w:val="101"/>
          <w:sz w:val="21"/>
          <w:szCs w:val="21"/>
          <w:highlight w:val="none"/>
        </w:rPr>
        <w:t xml:space="preserve">   </w:t>
      </w:r>
      <w:r>
        <w:rPr>
          <w:rFonts w:ascii="宋体" w:hAnsi="宋体" w:eastAsia="宋体" w:cs="宋体"/>
          <w:spacing w:val="3"/>
          <w:sz w:val="21"/>
          <w:szCs w:val="21"/>
          <w:highlight w:val="none"/>
        </w:rPr>
        <w:t>工程师可以授权其他人员负责执行其指派的一项或多项工作，但第3.6款[商定</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或确定]下的权利除外。工程师应将被授权人</w:t>
      </w:r>
      <w:r>
        <w:rPr>
          <w:rFonts w:ascii="宋体" w:hAnsi="宋体" w:eastAsia="宋体" w:cs="宋体"/>
          <w:sz w:val="21"/>
          <w:szCs w:val="21"/>
          <w:highlight w:val="none"/>
        </w:rPr>
        <w:t xml:space="preserve">员的姓名及其授权范围通知承包人。被授权的 </w:t>
      </w:r>
      <w:r>
        <w:rPr>
          <w:rFonts w:ascii="宋体" w:hAnsi="宋体" w:eastAsia="宋体" w:cs="宋体"/>
          <w:spacing w:val="3"/>
          <w:sz w:val="21"/>
          <w:szCs w:val="21"/>
          <w:highlight w:val="none"/>
        </w:rPr>
        <w:t>人员在授权范围内发出的指示视为已得到工程师的同意，与工程师发出的指示具有同等效</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力。工程师撤销某项授权时，应将撤销授权的决定及时通知承包人。</w:t>
      </w:r>
    </w:p>
    <w:p w14:paraId="57B63880">
      <w:pPr>
        <w:pStyle w:val="2"/>
        <w:spacing w:line="361" w:lineRule="auto"/>
        <w:rPr>
          <w:highlight w:val="none"/>
        </w:rPr>
      </w:pPr>
    </w:p>
    <w:p w14:paraId="16EAE4D4">
      <w:pPr>
        <w:pStyle w:val="2"/>
        <w:spacing w:before="62" w:line="259" w:lineRule="exact"/>
        <w:rPr>
          <w:rFonts w:ascii="黑体" w:hAnsi="黑体" w:eastAsia="黑体" w:cs="黑体"/>
          <w:sz w:val="19"/>
          <w:szCs w:val="19"/>
          <w:highlight w:val="none"/>
        </w:rPr>
      </w:pPr>
      <w:r>
        <w:rPr>
          <w:spacing w:val="-3"/>
          <w:position w:val="1"/>
          <w:sz w:val="19"/>
          <w:szCs w:val="19"/>
          <w:highlight w:val="none"/>
        </w:rPr>
        <w:t>3.5</w:t>
      </w:r>
      <w:r>
        <w:rPr>
          <w:spacing w:val="1"/>
          <w:position w:val="1"/>
          <w:sz w:val="19"/>
          <w:szCs w:val="19"/>
          <w:highlight w:val="none"/>
        </w:rPr>
        <w:t xml:space="preserve">   </w:t>
      </w:r>
      <w:r>
        <w:rPr>
          <w:rFonts w:ascii="黑体" w:hAnsi="黑体" w:eastAsia="黑体" w:cs="黑体"/>
          <w:spacing w:val="-3"/>
          <w:position w:val="1"/>
          <w:sz w:val="19"/>
          <w:szCs w:val="19"/>
          <w:highlight w:val="none"/>
        </w:rPr>
        <w:t>指</w:t>
      </w:r>
      <w:r>
        <w:rPr>
          <w:rFonts w:ascii="黑体" w:hAnsi="黑体" w:eastAsia="黑体" w:cs="黑体"/>
          <w:spacing w:val="-20"/>
          <w:position w:val="1"/>
          <w:sz w:val="19"/>
          <w:szCs w:val="19"/>
          <w:highlight w:val="none"/>
        </w:rPr>
        <w:t xml:space="preserve"> </w:t>
      </w:r>
      <w:r>
        <w:rPr>
          <w:rFonts w:ascii="黑体" w:hAnsi="黑体" w:eastAsia="黑体" w:cs="黑体"/>
          <w:spacing w:val="-3"/>
          <w:position w:val="1"/>
          <w:sz w:val="19"/>
          <w:szCs w:val="19"/>
          <w:highlight w:val="none"/>
        </w:rPr>
        <w:t>示</w:t>
      </w:r>
    </w:p>
    <w:p w14:paraId="4FCADEC8">
      <w:pPr>
        <w:spacing w:before="125" w:line="314" w:lineRule="auto"/>
        <w:ind w:right="6" w:firstLine="4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3.5.1   </w:t>
      </w:r>
      <w:r>
        <w:rPr>
          <w:rFonts w:ascii="宋体" w:hAnsi="宋体" w:eastAsia="宋体" w:cs="宋体"/>
          <w:spacing w:val="-9"/>
          <w:sz w:val="22"/>
          <w:szCs w:val="22"/>
          <w:highlight w:val="none"/>
        </w:rPr>
        <w:t>工程师应按照发包人的授权发出指示。工程师的指示应采用书面形式，盖有</w:t>
      </w:r>
      <w:r>
        <w:rPr>
          <w:rFonts w:ascii="宋体" w:hAnsi="宋体" w:eastAsia="宋体" w:cs="宋体"/>
          <w:spacing w:val="-10"/>
          <w:sz w:val="22"/>
          <w:szCs w:val="22"/>
          <w:highlight w:val="none"/>
        </w:rPr>
        <w:t>工程</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师授权的项目管理机构章，并由工程师的授权人员签字。在紧急情况下，工程师的授权人员</w:t>
      </w:r>
      <w:r>
        <w:rPr>
          <w:rFonts w:ascii="宋体" w:hAnsi="宋体" w:eastAsia="宋体" w:cs="宋体"/>
          <w:spacing w:val="7"/>
          <w:sz w:val="22"/>
          <w:szCs w:val="22"/>
          <w:highlight w:val="none"/>
        </w:rPr>
        <w:t xml:space="preserve"> </w:t>
      </w:r>
      <w:r>
        <w:rPr>
          <w:rFonts w:ascii="宋体" w:hAnsi="宋体" w:eastAsia="宋体" w:cs="宋体"/>
          <w:spacing w:val="-12"/>
          <w:sz w:val="22"/>
          <w:szCs w:val="22"/>
          <w:highlight w:val="none"/>
        </w:rPr>
        <w:t>可以口头形式发出指示或当场签发临时书面指示，承包人应遵照执行。工程师应在授权人员</w:t>
      </w:r>
      <w:r>
        <w:rPr>
          <w:rFonts w:ascii="宋体" w:hAnsi="宋体" w:eastAsia="宋体" w:cs="宋体"/>
          <w:spacing w:val="7"/>
          <w:sz w:val="22"/>
          <w:szCs w:val="22"/>
          <w:highlight w:val="none"/>
        </w:rPr>
        <w:t xml:space="preserve"> </w:t>
      </w:r>
      <w:r>
        <w:rPr>
          <w:rFonts w:ascii="宋体" w:hAnsi="宋体" w:eastAsia="宋体" w:cs="宋体"/>
          <w:spacing w:val="-6"/>
          <w:sz w:val="22"/>
          <w:szCs w:val="22"/>
          <w:highlight w:val="none"/>
        </w:rPr>
        <w:t>发出口头指示或临时书面指示后24小时内发出书面确认函，在</w:t>
      </w:r>
      <w:r>
        <w:rPr>
          <w:rFonts w:ascii="宋体" w:hAnsi="宋体" w:eastAsia="宋体" w:cs="宋体"/>
          <w:spacing w:val="-7"/>
          <w:sz w:val="22"/>
          <w:szCs w:val="22"/>
          <w:highlight w:val="none"/>
        </w:rPr>
        <w:t>24小时内未发出书面确认函</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的，该口头指示或临时书面指示应被视为工程师的正式指示。</w:t>
      </w:r>
    </w:p>
    <w:p w14:paraId="09A88F0D">
      <w:pPr>
        <w:pStyle w:val="2"/>
        <w:spacing w:line="259" w:lineRule="auto"/>
        <w:rPr>
          <w:highlight w:val="none"/>
        </w:rPr>
      </w:pPr>
    </w:p>
    <w:p w14:paraId="740C9F88">
      <w:pPr>
        <w:spacing w:before="69" w:line="290" w:lineRule="auto"/>
        <w:ind w:right="43" w:firstLine="430"/>
        <w:rPr>
          <w:rFonts w:ascii="宋体" w:hAnsi="宋体" w:eastAsia="宋体" w:cs="宋体"/>
          <w:sz w:val="21"/>
          <w:szCs w:val="21"/>
          <w:highlight w:val="none"/>
        </w:rPr>
      </w:pPr>
      <w:r>
        <w:rPr>
          <w:rFonts w:ascii="Times New Roman" w:hAnsi="Times New Roman" w:eastAsia="Times New Roman" w:cs="Times New Roman"/>
          <w:spacing w:val="4"/>
          <w:sz w:val="21"/>
          <w:szCs w:val="21"/>
          <w:highlight w:val="none"/>
        </w:rPr>
        <w:t xml:space="preserve">3.5.2   </w:t>
      </w:r>
      <w:r>
        <w:rPr>
          <w:rFonts w:ascii="宋体" w:hAnsi="宋体" w:eastAsia="宋体" w:cs="宋体"/>
          <w:spacing w:val="4"/>
          <w:sz w:val="21"/>
          <w:szCs w:val="21"/>
          <w:highlight w:val="none"/>
        </w:rPr>
        <w:t>承包人收到工程师作出的指示后应遵照执行。如果任何此类指</w:t>
      </w:r>
      <w:r>
        <w:rPr>
          <w:rFonts w:ascii="宋体" w:hAnsi="宋体" w:eastAsia="宋体" w:cs="宋体"/>
          <w:spacing w:val="3"/>
          <w:sz w:val="21"/>
          <w:szCs w:val="21"/>
          <w:highlight w:val="none"/>
        </w:rPr>
        <w:t>示构成一项变更</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时，应按照第13条[变更与调整]的约定办理。</w:t>
      </w:r>
    </w:p>
    <w:p w14:paraId="5E0FE4BE">
      <w:pPr>
        <w:pStyle w:val="2"/>
        <w:spacing w:line="272" w:lineRule="auto"/>
        <w:rPr>
          <w:highlight w:val="none"/>
        </w:rPr>
      </w:pPr>
    </w:p>
    <w:p w14:paraId="2682B8FB">
      <w:pPr>
        <w:spacing w:before="65" w:line="314" w:lineRule="auto"/>
        <w:ind w:right="37" w:firstLine="43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3.5.3    </w:t>
      </w:r>
      <w:r>
        <w:rPr>
          <w:rFonts w:ascii="宋体" w:hAnsi="宋体" w:eastAsia="宋体" w:cs="宋体"/>
          <w:spacing w:val="7"/>
          <w:sz w:val="20"/>
          <w:szCs w:val="20"/>
          <w:highlight w:val="none"/>
        </w:rPr>
        <w:t>由于工程师未能按合同约定</w:t>
      </w:r>
      <w:r>
        <w:rPr>
          <w:rFonts w:ascii="宋体" w:hAnsi="宋体" w:eastAsia="宋体" w:cs="宋体"/>
          <w:spacing w:val="6"/>
          <w:sz w:val="20"/>
          <w:szCs w:val="20"/>
          <w:highlight w:val="none"/>
        </w:rPr>
        <w:t>发出指示、指示延误或指示错误而导致承包人费用增</w:t>
      </w:r>
      <w:r>
        <w:rPr>
          <w:rFonts w:ascii="宋体" w:hAnsi="宋体" w:eastAsia="宋体" w:cs="宋体"/>
          <w:sz w:val="20"/>
          <w:szCs w:val="20"/>
          <w:highlight w:val="none"/>
        </w:rPr>
        <w:t xml:space="preserve"> </w:t>
      </w:r>
      <w:r>
        <w:rPr>
          <w:rFonts w:ascii="宋体" w:hAnsi="宋体" w:eastAsia="宋体" w:cs="宋体"/>
          <w:spacing w:val="18"/>
          <w:sz w:val="20"/>
          <w:szCs w:val="20"/>
          <w:highlight w:val="none"/>
        </w:rPr>
        <w:t>加和(或)工期延误的，发包人应承担由此增加的费用和(或</w:t>
      </w:r>
      <w:r>
        <w:rPr>
          <w:rFonts w:ascii="宋体" w:hAnsi="宋体" w:eastAsia="宋体" w:cs="宋体"/>
          <w:spacing w:val="17"/>
          <w:sz w:val="20"/>
          <w:szCs w:val="20"/>
          <w:highlight w:val="none"/>
        </w:rPr>
        <w:t>)工期延误，并向承包人支付</w:t>
      </w:r>
      <w:r>
        <w:rPr>
          <w:rFonts w:ascii="宋体" w:hAnsi="宋体" w:eastAsia="宋体" w:cs="宋体"/>
          <w:sz w:val="20"/>
          <w:szCs w:val="20"/>
          <w:highlight w:val="none"/>
        </w:rPr>
        <w:t xml:space="preserve"> </w:t>
      </w:r>
      <w:r>
        <w:rPr>
          <w:rFonts w:ascii="宋体" w:hAnsi="宋体" w:eastAsia="宋体" w:cs="宋体"/>
          <w:spacing w:val="2"/>
          <w:sz w:val="20"/>
          <w:szCs w:val="20"/>
          <w:highlight w:val="none"/>
        </w:rPr>
        <w:t>合理利润。</w:t>
      </w:r>
    </w:p>
    <w:p w14:paraId="3FF19203">
      <w:pPr>
        <w:pStyle w:val="2"/>
        <w:spacing w:line="337" w:lineRule="auto"/>
        <w:rPr>
          <w:highlight w:val="none"/>
        </w:rPr>
      </w:pPr>
    </w:p>
    <w:p w14:paraId="70115D44">
      <w:pPr>
        <w:pStyle w:val="2"/>
        <w:spacing w:before="73" w:line="300" w:lineRule="exact"/>
        <w:rPr>
          <w:rFonts w:ascii="黑体" w:hAnsi="黑体" w:eastAsia="黑体" w:cs="黑体"/>
          <w:sz w:val="22"/>
          <w:szCs w:val="22"/>
          <w:highlight w:val="none"/>
        </w:rPr>
      </w:pPr>
      <w:r>
        <w:rPr>
          <w:spacing w:val="-8"/>
          <w:position w:val="1"/>
          <w:sz w:val="22"/>
          <w:szCs w:val="22"/>
          <w:highlight w:val="none"/>
        </w:rPr>
        <w:t>3.6</w:t>
      </w:r>
      <w:r>
        <w:rPr>
          <w:spacing w:val="9"/>
          <w:position w:val="1"/>
          <w:sz w:val="22"/>
          <w:szCs w:val="22"/>
          <w:highlight w:val="none"/>
        </w:rPr>
        <w:t xml:space="preserve">  </w:t>
      </w:r>
      <w:r>
        <w:rPr>
          <w:rFonts w:ascii="黑体" w:hAnsi="黑体" w:eastAsia="黑体" w:cs="黑体"/>
          <w:spacing w:val="-8"/>
          <w:position w:val="1"/>
          <w:sz w:val="22"/>
          <w:szCs w:val="22"/>
          <w:highlight w:val="none"/>
        </w:rPr>
        <w:t>商定或确定</w:t>
      </w:r>
    </w:p>
    <w:p w14:paraId="647AD2C5">
      <w:pPr>
        <w:spacing w:before="130" w:line="302" w:lineRule="auto"/>
        <w:ind w:right="29"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3.6.1    </w:t>
      </w:r>
      <w:r>
        <w:rPr>
          <w:rFonts w:ascii="宋体" w:hAnsi="宋体" w:eastAsia="宋体" w:cs="宋体"/>
          <w:spacing w:val="-2"/>
          <w:sz w:val="21"/>
          <w:szCs w:val="21"/>
          <w:highlight w:val="none"/>
        </w:rPr>
        <w:t>合同约定工程师应按照本款对任何事项进行商定或确定时，工程师应</w:t>
      </w:r>
      <w:r>
        <w:rPr>
          <w:rFonts w:ascii="宋体" w:hAnsi="宋体" w:eastAsia="宋体" w:cs="宋体"/>
          <w:spacing w:val="-3"/>
          <w:sz w:val="21"/>
          <w:szCs w:val="21"/>
          <w:highlight w:val="none"/>
        </w:rPr>
        <w:t>及时与合同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当事人协商，尽量达成一致。工程师应将商定的结果以书面形式通知发包人和承包人，并由</w:t>
      </w:r>
      <w:r>
        <w:rPr>
          <w:rFonts w:ascii="宋体" w:hAnsi="宋体" w:eastAsia="宋体" w:cs="宋体"/>
          <w:spacing w:val="3"/>
          <w:sz w:val="21"/>
          <w:szCs w:val="21"/>
          <w:highlight w:val="none"/>
        </w:rPr>
        <w:t xml:space="preserve"> </w:t>
      </w:r>
      <w:r>
        <w:rPr>
          <w:rFonts w:ascii="宋体" w:hAnsi="宋体" w:eastAsia="宋体" w:cs="宋体"/>
          <w:spacing w:val="-5"/>
          <w:sz w:val="21"/>
          <w:szCs w:val="21"/>
          <w:highlight w:val="none"/>
        </w:rPr>
        <w:t>双方签署确认。</w:t>
      </w:r>
    </w:p>
    <w:p w14:paraId="493FD0A0">
      <w:pPr>
        <w:pStyle w:val="2"/>
        <w:spacing w:line="280" w:lineRule="auto"/>
        <w:rPr>
          <w:highlight w:val="none"/>
        </w:rPr>
      </w:pPr>
    </w:p>
    <w:p w14:paraId="4F425742">
      <w:pPr>
        <w:spacing w:before="69" w:line="313" w:lineRule="auto"/>
        <w:ind w:right="24"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3.6.2    </w:t>
      </w:r>
      <w:r>
        <w:rPr>
          <w:rFonts w:ascii="宋体" w:hAnsi="宋体" w:eastAsia="宋体" w:cs="宋体"/>
          <w:spacing w:val="-2"/>
          <w:sz w:val="21"/>
          <w:szCs w:val="21"/>
          <w:highlight w:val="none"/>
        </w:rPr>
        <w:t>除专用合同条件另有约定外，商定的期限应为工程师收到任何一方就商定事由发</w:t>
      </w:r>
      <w:r>
        <w:rPr>
          <w:rFonts w:ascii="宋体" w:hAnsi="宋体" w:eastAsia="宋体" w:cs="宋体"/>
          <w:spacing w:val="5"/>
          <w:sz w:val="21"/>
          <w:szCs w:val="21"/>
          <w:highlight w:val="none"/>
        </w:rPr>
        <w:t xml:space="preserve"> </w:t>
      </w:r>
      <w:r>
        <w:rPr>
          <w:rFonts w:ascii="宋体" w:hAnsi="宋体" w:eastAsia="宋体" w:cs="宋体"/>
          <w:spacing w:val="3"/>
          <w:sz w:val="21"/>
          <w:szCs w:val="21"/>
          <w:highlight w:val="none"/>
        </w:rPr>
        <w:t>出的通知后42天内或工程师提出并经双方同意的其他期限。未能在该期限内达成一致的，</w:t>
      </w:r>
      <w:r>
        <w:rPr>
          <w:rFonts w:ascii="宋体" w:hAnsi="宋体" w:eastAsia="宋体" w:cs="宋体"/>
          <w:spacing w:val="8"/>
          <w:sz w:val="21"/>
          <w:szCs w:val="21"/>
          <w:highlight w:val="none"/>
        </w:rPr>
        <w:t xml:space="preserve"> </w:t>
      </w:r>
      <w:r>
        <w:rPr>
          <w:rFonts w:ascii="宋体" w:hAnsi="宋体" w:eastAsia="宋体" w:cs="宋体"/>
          <w:spacing w:val="3"/>
          <w:sz w:val="21"/>
          <w:szCs w:val="21"/>
          <w:highlight w:val="none"/>
        </w:rPr>
        <w:t>由工程师按照合同约定审慎做出公正的确定。确定的期限应为商定的期限届满后42天内或</w:t>
      </w:r>
    </w:p>
    <w:p w14:paraId="5A1A95E1">
      <w:pPr>
        <w:spacing w:line="313" w:lineRule="auto"/>
        <w:rPr>
          <w:rFonts w:ascii="宋体" w:hAnsi="宋体" w:eastAsia="宋体" w:cs="宋体"/>
          <w:sz w:val="21"/>
          <w:szCs w:val="21"/>
          <w:highlight w:val="none"/>
        </w:rPr>
        <w:sectPr>
          <w:footerReference r:id="rId84" w:type="default"/>
          <w:pgSz w:w="11910" w:h="16840"/>
          <w:pgMar w:top="400" w:right="1786" w:bottom="1238" w:left="1769" w:header="0" w:footer="1006" w:gutter="0"/>
          <w:cols w:space="720" w:num="1"/>
        </w:sectPr>
      </w:pPr>
    </w:p>
    <w:p w14:paraId="3BAD531F">
      <w:pPr>
        <w:pStyle w:val="2"/>
        <w:spacing w:line="246" w:lineRule="auto"/>
        <w:rPr>
          <w:highlight w:val="none"/>
        </w:rPr>
      </w:pPr>
    </w:p>
    <w:p w14:paraId="631E76A4">
      <w:pPr>
        <w:pStyle w:val="2"/>
        <w:spacing w:line="246" w:lineRule="auto"/>
        <w:rPr>
          <w:highlight w:val="none"/>
        </w:rPr>
      </w:pPr>
    </w:p>
    <w:p w14:paraId="4B2F46A9">
      <w:pPr>
        <w:pStyle w:val="2"/>
        <w:spacing w:line="246" w:lineRule="auto"/>
        <w:rPr>
          <w:highlight w:val="none"/>
        </w:rPr>
      </w:pPr>
    </w:p>
    <w:p w14:paraId="7D69E979">
      <w:pPr>
        <w:pStyle w:val="2"/>
        <w:spacing w:line="247" w:lineRule="auto"/>
        <w:rPr>
          <w:highlight w:val="none"/>
        </w:rPr>
      </w:pPr>
    </w:p>
    <w:p w14:paraId="6F36F9A1">
      <w:pPr>
        <w:spacing w:before="65" w:line="362" w:lineRule="auto"/>
        <w:ind w:right="115"/>
        <w:rPr>
          <w:rFonts w:ascii="宋体" w:hAnsi="宋体" w:eastAsia="宋体" w:cs="宋体"/>
          <w:sz w:val="20"/>
          <w:szCs w:val="20"/>
          <w:highlight w:val="none"/>
        </w:rPr>
      </w:pPr>
      <w:r>
        <w:rPr>
          <w:rFonts w:ascii="宋体" w:hAnsi="宋体" w:eastAsia="宋体" w:cs="宋体"/>
          <w:spacing w:val="8"/>
          <w:sz w:val="20"/>
          <w:szCs w:val="20"/>
          <w:highlight w:val="none"/>
        </w:rPr>
        <w:t>工程师提出并经双方同意的其他期限。工程师应将确定的结果以书面形式通知发包人和</w:t>
      </w:r>
      <w:r>
        <w:rPr>
          <w:rFonts w:ascii="宋体" w:hAnsi="宋体" w:eastAsia="宋体" w:cs="宋体"/>
          <w:spacing w:val="7"/>
          <w:sz w:val="20"/>
          <w:szCs w:val="20"/>
          <w:highlight w:val="none"/>
        </w:rPr>
        <w:t>承包</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人，并附详细依据。</w:t>
      </w:r>
    </w:p>
    <w:p w14:paraId="4A4DA0A0">
      <w:pPr>
        <w:spacing w:before="179" w:line="331" w:lineRule="auto"/>
        <w:ind w:right="60" w:firstLine="43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 xml:space="preserve">3.6.3    </w:t>
      </w:r>
      <w:r>
        <w:rPr>
          <w:rFonts w:ascii="宋体" w:hAnsi="宋体" w:eastAsia="宋体" w:cs="宋体"/>
          <w:spacing w:val="3"/>
          <w:sz w:val="21"/>
          <w:szCs w:val="21"/>
          <w:highlight w:val="none"/>
        </w:rPr>
        <w:t>任何一方对工程师的确定有异议的，应在收到确定的结果后28天内向另一方发</w:t>
      </w:r>
      <w:r>
        <w:rPr>
          <w:rFonts w:ascii="宋体" w:hAnsi="宋体" w:eastAsia="宋体" w:cs="宋体"/>
          <w:spacing w:val="5"/>
          <w:sz w:val="21"/>
          <w:szCs w:val="21"/>
          <w:highlight w:val="none"/>
        </w:rPr>
        <w:t xml:space="preserve"> </w:t>
      </w:r>
      <w:r>
        <w:rPr>
          <w:rFonts w:ascii="宋体" w:hAnsi="宋体" w:eastAsia="宋体" w:cs="宋体"/>
          <w:spacing w:val="3"/>
          <w:sz w:val="21"/>
          <w:szCs w:val="21"/>
          <w:highlight w:val="none"/>
        </w:rPr>
        <w:t>出书面异议通知并抄送工程师。除第19.2款[承包人</w:t>
      </w:r>
      <w:r>
        <w:rPr>
          <w:rFonts w:ascii="宋体" w:hAnsi="宋体" w:eastAsia="宋体" w:cs="宋体"/>
          <w:spacing w:val="2"/>
          <w:sz w:val="21"/>
          <w:szCs w:val="21"/>
          <w:highlight w:val="none"/>
        </w:rPr>
        <w:t>索赔的处理程序]另有约定外，工程师</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未能在确定的期限内发出确定的结果通知的，或者任何一</w:t>
      </w:r>
      <w:r>
        <w:rPr>
          <w:rFonts w:ascii="宋体" w:hAnsi="宋体" w:eastAsia="宋体" w:cs="宋体"/>
          <w:spacing w:val="-3"/>
          <w:sz w:val="21"/>
          <w:szCs w:val="21"/>
          <w:highlight w:val="none"/>
        </w:rPr>
        <w:t>方发出对确定的结果有异议的通知</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的，则构成争议并应按照第20条[争议解决]的约定处理。如未在28天内发出上述通知的，</w:t>
      </w:r>
      <w:r>
        <w:rPr>
          <w:rFonts w:ascii="宋体" w:hAnsi="宋体" w:eastAsia="宋体" w:cs="宋体"/>
          <w:spacing w:val="16"/>
          <w:sz w:val="21"/>
          <w:szCs w:val="21"/>
          <w:highlight w:val="none"/>
        </w:rPr>
        <w:t xml:space="preserve"> </w:t>
      </w:r>
      <w:r>
        <w:rPr>
          <w:rFonts w:ascii="宋体" w:hAnsi="宋体" w:eastAsia="宋体" w:cs="宋体"/>
          <w:spacing w:val="3"/>
          <w:sz w:val="21"/>
          <w:szCs w:val="21"/>
          <w:highlight w:val="none"/>
        </w:rPr>
        <w:t>工程师的确定应被视为已被双方接受并对双方具有约束力，但专用合同</w:t>
      </w:r>
      <w:r>
        <w:rPr>
          <w:rFonts w:ascii="宋体" w:hAnsi="宋体" w:eastAsia="宋体" w:cs="宋体"/>
          <w:spacing w:val="2"/>
          <w:sz w:val="21"/>
          <w:szCs w:val="21"/>
          <w:highlight w:val="none"/>
        </w:rPr>
        <w:t>条件另有约定的除</w:t>
      </w:r>
      <w:r>
        <w:rPr>
          <w:rFonts w:ascii="宋体" w:hAnsi="宋体" w:eastAsia="宋体" w:cs="宋体"/>
          <w:sz w:val="21"/>
          <w:szCs w:val="21"/>
          <w:highlight w:val="none"/>
        </w:rPr>
        <w:t xml:space="preserve"> </w:t>
      </w:r>
      <w:r>
        <w:rPr>
          <w:rFonts w:ascii="宋体" w:hAnsi="宋体" w:eastAsia="宋体" w:cs="宋体"/>
          <w:spacing w:val="-11"/>
          <w:sz w:val="21"/>
          <w:szCs w:val="21"/>
          <w:highlight w:val="none"/>
        </w:rPr>
        <w:t>外。</w:t>
      </w:r>
    </w:p>
    <w:p w14:paraId="2C994773">
      <w:pPr>
        <w:pStyle w:val="2"/>
        <w:spacing w:line="297" w:lineRule="auto"/>
        <w:rPr>
          <w:highlight w:val="none"/>
        </w:rPr>
      </w:pPr>
    </w:p>
    <w:p w14:paraId="14CD50E7">
      <w:pPr>
        <w:spacing w:before="68" w:line="308" w:lineRule="auto"/>
        <w:ind w:right="106" w:firstLine="430"/>
        <w:rPr>
          <w:rFonts w:ascii="宋体" w:hAnsi="宋体" w:eastAsia="宋体" w:cs="宋体"/>
          <w:sz w:val="21"/>
          <w:szCs w:val="21"/>
          <w:highlight w:val="none"/>
        </w:rPr>
      </w:pPr>
      <w:r>
        <w:rPr>
          <w:rFonts w:ascii="宋体" w:hAnsi="宋体" w:eastAsia="宋体" w:cs="宋体"/>
          <w:spacing w:val="6"/>
          <w:sz w:val="21"/>
          <w:szCs w:val="21"/>
          <w:highlight w:val="none"/>
        </w:rPr>
        <w:t>3.6.4在该争议解决前，双方应暂按工程师的确定执行。按</w:t>
      </w:r>
      <w:r>
        <w:rPr>
          <w:rFonts w:ascii="宋体" w:hAnsi="宋体" w:eastAsia="宋体" w:cs="宋体"/>
          <w:spacing w:val="5"/>
          <w:sz w:val="21"/>
          <w:szCs w:val="21"/>
          <w:highlight w:val="none"/>
        </w:rPr>
        <w:t>照第20条[争议解决]的约</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定对工程师的确定作出修改的，按修改后的结果执行，由此导致承包人增加的费用和延误的</w:t>
      </w:r>
      <w:r>
        <w:rPr>
          <w:rFonts w:ascii="宋体" w:hAnsi="宋体" w:eastAsia="宋体" w:cs="宋体"/>
          <w:spacing w:val="5"/>
          <w:sz w:val="21"/>
          <w:szCs w:val="21"/>
          <w:highlight w:val="none"/>
        </w:rPr>
        <w:t xml:space="preserve"> </w:t>
      </w:r>
      <w:r>
        <w:rPr>
          <w:rFonts w:ascii="宋体" w:hAnsi="宋体" w:eastAsia="宋体" w:cs="宋体"/>
          <w:spacing w:val="-5"/>
          <w:sz w:val="21"/>
          <w:szCs w:val="21"/>
          <w:highlight w:val="none"/>
        </w:rPr>
        <w:t>工期由责任方承担。</w:t>
      </w:r>
    </w:p>
    <w:p w14:paraId="46F8358B">
      <w:pPr>
        <w:pStyle w:val="2"/>
        <w:spacing w:line="336" w:lineRule="auto"/>
        <w:rPr>
          <w:highlight w:val="none"/>
        </w:rPr>
      </w:pPr>
    </w:p>
    <w:p w14:paraId="789F18ED">
      <w:pPr>
        <w:spacing w:before="71" w:line="222" w:lineRule="auto"/>
        <w:rPr>
          <w:rFonts w:ascii="黑体" w:hAnsi="黑体" w:eastAsia="黑体" w:cs="黑体"/>
          <w:sz w:val="22"/>
          <w:szCs w:val="22"/>
          <w:highlight w:val="none"/>
        </w:rPr>
      </w:pPr>
      <w:r>
        <w:rPr>
          <w:rFonts w:ascii="黑体" w:hAnsi="黑体" w:eastAsia="黑体" w:cs="黑体"/>
          <w:spacing w:val="13"/>
          <w:sz w:val="22"/>
          <w:szCs w:val="22"/>
          <w:highlight w:val="none"/>
        </w:rPr>
        <w:t>3.7会议</w:t>
      </w:r>
    </w:p>
    <w:p w14:paraId="0E11D11C">
      <w:pPr>
        <w:spacing w:before="136" w:line="307" w:lineRule="auto"/>
        <w:ind w:right="108"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3.7.1</w:t>
      </w:r>
      <w:r>
        <w:rPr>
          <w:rFonts w:ascii="Times New Roman" w:hAnsi="Times New Roman" w:eastAsia="Times New Roman" w:cs="Times New Roman"/>
          <w:spacing w:val="13"/>
          <w:w w:val="101"/>
          <w:sz w:val="21"/>
          <w:szCs w:val="21"/>
          <w:highlight w:val="none"/>
        </w:rPr>
        <w:t xml:space="preserve">   </w:t>
      </w:r>
      <w:r>
        <w:rPr>
          <w:rFonts w:ascii="宋体" w:hAnsi="宋体" w:eastAsia="宋体" w:cs="宋体"/>
          <w:spacing w:val="-2"/>
          <w:sz w:val="21"/>
          <w:szCs w:val="21"/>
          <w:highlight w:val="none"/>
        </w:rPr>
        <w:t>除专用合同条件另有约定外，任何一方可向另一方发出通知，要求另一方出席会</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议，讨论工程的实施安排或与本合同履行有关的其他事项。发包人的其他承包人、承包人的</w:t>
      </w:r>
      <w:r>
        <w:rPr>
          <w:rFonts w:ascii="宋体" w:hAnsi="宋体" w:eastAsia="宋体" w:cs="宋体"/>
          <w:spacing w:val="5"/>
          <w:sz w:val="21"/>
          <w:szCs w:val="21"/>
          <w:highlight w:val="none"/>
        </w:rPr>
        <w:t xml:space="preserve"> </w:t>
      </w:r>
      <w:r>
        <w:rPr>
          <w:rFonts w:ascii="宋体" w:hAnsi="宋体" w:eastAsia="宋体" w:cs="宋体"/>
          <w:spacing w:val="-2"/>
          <w:sz w:val="21"/>
          <w:szCs w:val="21"/>
          <w:highlight w:val="none"/>
        </w:rPr>
        <w:t>分包人和其他第三方可应任何一方的请求出席任何此类会议。</w:t>
      </w:r>
    </w:p>
    <w:p w14:paraId="5103618A">
      <w:pPr>
        <w:pStyle w:val="2"/>
        <w:spacing w:line="279" w:lineRule="auto"/>
        <w:rPr>
          <w:highlight w:val="none"/>
        </w:rPr>
      </w:pPr>
    </w:p>
    <w:p w14:paraId="53ED6A97">
      <w:pPr>
        <w:spacing w:before="73" w:line="286" w:lineRule="auto"/>
        <w:ind w:right="116" w:firstLine="43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 xml:space="preserve">3.7.2   </w:t>
      </w:r>
      <w:r>
        <w:rPr>
          <w:rFonts w:ascii="宋体" w:hAnsi="宋体" w:eastAsia="宋体" w:cs="宋体"/>
          <w:spacing w:val="-10"/>
          <w:sz w:val="22"/>
          <w:szCs w:val="22"/>
          <w:highlight w:val="none"/>
        </w:rPr>
        <w:t>除专用合同条件另有约定外，发包人应保存每次会议参加人签名的记录，并将会</w:t>
      </w:r>
      <w:r>
        <w:rPr>
          <w:rFonts w:ascii="宋体" w:hAnsi="宋体" w:eastAsia="宋体" w:cs="宋体"/>
          <w:spacing w:val="12"/>
          <w:sz w:val="22"/>
          <w:szCs w:val="22"/>
          <w:highlight w:val="none"/>
        </w:rPr>
        <w:t xml:space="preserve"> </w:t>
      </w:r>
      <w:r>
        <w:rPr>
          <w:rFonts w:ascii="宋体" w:hAnsi="宋体" w:eastAsia="宋体" w:cs="宋体"/>
          <w:spacing w:val="-12"/>
          <w:sz w:val="22"/>
          <w:szCs w:val="22"/>
          <w:highlight w:val="none"/>
        </w:rPr>
        <w:t>议纪要提供给出席会议的人员。任何根据此类会议以及会</w:t>
      </w:r>
      <w:r>
        <w:rPr>
          <w:rFonts w:ascii="宋体" w:hAnsi="宋体" w:eastAsia="宋体" w:cs="宋体"/>
          <w:spacing w:val="-13"/>
          <w:sz w:val="22"/>
          <w:szCs w:val="22"/>
          <w:highlight w:val="none"/>
        </w:rPr>
        <w:t>议纪要采取的行动应符合本合同的</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约定。</w:t>
      </w:r>
    </w:p>
    <w:p w14:paraId="6C9B1637">
      <w:pPr>
        <w:pStyle w:val="2"/>
        <w:spacing w:line="394" w:lineRule="auto"/>
        <w:rPr>
          <w:highlight w:val="none"/>
        </w:rPr>
      </w:pPr>
    </w:p>
    <w:p w14:paraId="7979F791">
      <w:pPr>
        <w:spacing w:before="91" w:line="222" w:lineRule="auto"/>
        <w:outlineLvl w:val="1"/>
        <w:rPr>
          <w:rFonts w:ascii="黑体" w:hAnsi="黑体" w:eastAsia="黑体" w:cs="黑体"/>
          <w:sz w:val="28"/>
          <w:szCs w:val="28"/>
          <w:highlight w:val="none"/>
        </w:rPr>
      </w:pPr>
      <w:bookmarkStart w:id="85" w:name="bookmark50"/>
      <w:bookmarkEnd w:id="85"/>
      <w:r>
        <w:rPr>
          <w:rFonts w:ascii="黑体" w:hAnsi="黑体" w:eastAsia="黑体" w:cs="黑体"/>
          <w:spacing w:val="-8"/>
          <w:sz w:val="28"/>
          <w:szCs w:val="28"/>
          <w:highlight w:val="none"/>
        </w:rPr>
        <w:t>第</w:t>
      </w:r>
      <w:r>
        <w:rPr>
          <w:rFonts w:ascii="黑体" w:hAnsi="黑体" w:eastAsia="黑体" w:cs="黑体"/>
          <w:spacing w:val="-70"/>
          <w:sz w:val="28"/>
          <w:szCs w:val="28"/>
          <w:highlight w:val="none"/>
        </w:rPr>
        <w:t xml:space="preserve"> </w:t>
      </w:r>
      <w:r>
        <w:rPr>
          <w:rFonts w:ascii="黑体" w:hAnsi="黑体" w:eastAsia="黑体" w:cs="黑体"/>
          <w:spacing w:val="-8"/>
          <w:sz w:val="28"/>
          <w:szCs w:val="28"/>
          <w:highlight w:val="none"/>
        </w:rPr>
        <w:t>4</w:t>
      </w:r>
      <w:r>
        <w:rPr>
          <w:rFonts w:ascii="黑体" w:hAnsi="黑体" w:eastAsia="黑体" w:cs="黑体"/>
          <w:spacing w:val="-63"/>
          <w:sz w:val="28"/>
          <w:szCs w:val="28"/>
          <w:highlight w:val="none"/>
        </w:rPr>
        <w:t xml:space="preserve"> </w:t>
      </w:r>
      <w:r>
        <w:rPr>
          <w:rFonts w:ascii="黑体" w:hAnsi="黑体" w:eastAsia="黑体" w:cs="黑体"/>
          <w:spacing w:val="-8"/>
          <w:sz w:val="28"/>
          <w:szCs w:val="28"/>
          <w:highlight w:val="none"/>
        </w:rPr>
        <w:t>条</w:t>
      </w:r>
      <w:r>
        <w:rPr>
          <w:rFonts w:ascii="黑体" w:hAnsi="黑体" w:eastAsia="黑体" w:cs="黑体"/>
          <w:spacing w:val="-66"/>
          <w:sz w:val="28"/>
          <w:szCs w:val="28"/>
          <w:highlight w:val="none"/>
        </w:rPr>
        <w:t xml:space="preserve"> </w:t>
      </w:r>
      <w:r>
        <w:rPr>
          <w:rFonts w:ascii="黑体" w:hAnsi="黑体" w:eastAsia="黑体" w:cs="黑体"/>
          <w:spacing w:val="-8"/>
          <w:sz w:val="28"/>
          <w:szCs w:val="28"/>
          <w:highlight w:val="none"/>
        </w:rPr>
        <w:t>承</w:t>
      </w:r>
      <w:r>
        <w:rPr>
          <w:rFonts w:ascii="黑体" w:hAnsi="黑体" w:eastAsia="黑体" w:cs="黑体"/>
          <w:spacing w:val="-66"/>
          <w:sz w:val="28"/>
          <w:szCs w:val="28"/>
          <w:highlight w:val="none"/>
        </w:rPr>
        <w:t xml:space="preserve"> </w:t>
      </w:r>
      <w:r>
        <w:rPr>
          <w:rFonts w:ascii="黑体" w:hAnsi="黑体" w:eastAsia="黑体" w:cs="黑体"/>
          <w:spacing w:val="-8"/>
          <w:sz w:val="28"/>
          <w:szCs w:val="28"/>
          <w:highlight w:val="none"/>
        </w:rPr>
        <w:t>包</w:t>
      </w:r>
      <w:r>
        <w:rPr>
          <w:rFonts w:ascii="黑体" w:hAnsi="黑体" w:eastAsia="黑体" w:cs="黑体"/>
          <w:spacing w:val="-60"/>
          <w:sz w:val="28"/>
          <w:szCs w:val="28"/>
          <w:highlight w:val="none"/>
        </w:rPr>
        <w:t xml:space="preserve"> </w:t>
      </w:r>
      <w:r>
        <w:rPr>
          <w:rFonts w:ascii="黑体" w:hAnsi="黑体" w:eastAsia="黑体" w:cs="黑体"/>
          <w:spacing w:val="-8"/>
          <w:sz w:val="28"/>
          <w:szCs w:val="28"/>
          <w:highlight w:val="none"/>
        </w:rPr>
        <w:t>人</w:t>
      </w:r>
    </w:p>
    <w:p w14:paraId="43277F7C">
      <w:pPr>
        <w:pStyle w:val="2"/>
        <w:spacing w:line="365" w:lineRule="auto"/>
        <w:rPr>
          <w:highlight w:val="none"/>
        </w:rPr>
      </w:pPr>
    </w:p>
    <w:p w14:paraId="771745C5">
      <w:pPr>
        <w:pStyle w:val="2"/>
        <w:spacing w:before="62" w:line="221" w:lineRule="auto"/>
        <w:rPr>
          <w:rFonts w:ascii="黑体" w:hAnsi="黑体" w:eastAsia="黑体" w:cs="黑体"/>
          <w:sz w:val="19"/>
          <w:szCs w:val="19"/>
          <w:highlight w:val="none"/>
        </w:rPr>
      </w:pPr>
      <w:r>
        <w:rPr>
          <w:spacing w:val="15"/>
          <w:sz w:val="19"/>
          <w:szCs w:val="19"/>
          <w:highlight w:val="none"/>
        </w:rPr>
        <w:t>4.1</w:t>
      </w:r>
      <w:r>
        <w:rPr>
          <w:spacing w:val="3"/>
          <w:sz w:val="19"/>
          <w:szCs w:val="19"/>
          <w:highlight w:val="none"/>
        </w:rPr>
        <w:t xml:space="preserve">   </w:t>
      </w:r>
      <w:r>
        <w:rPr>
          <w:rFonts w:ascii="黑体" w:hAnsi="黑体" w:eastAsia="黑体" w:cs="黑体"/>
          <w:spacing w:val="15"/>
          <w:sz w:val="19"/>
          <w:szCs w:val="19"/>
          <w:highlight w:val="none"/>
        </w:rPr>
        <w:t>承包人的一般义务</w:t>
      </w:r>
    </w:p>
    <w:p w14:paraId="3F2E8368">
      <w:pPr>
        <w:spacing w:before="256" w:line="415" w:lineRule="auto"/>
        <w:ind w:right="116" w:firstLine="430"/>
        <w:rPr>
          <w:rFonts w:ascii="宋体" w:hAnsi="宋体" w:eastAsia="宋体" w:cs="宋体"/>
          <w:sz w:val="21"/>
          <w:szCs w:val="21"/>
          <w:highlight w:val="none"/>
        </w:rPr>
      </w:pPr>
      <w:r>
        <w:rPr>
          <w:rFonts w:ascii="宋体" w:hAnsi="宋体" w:eastAsia="宋体" w:cs="宋体"/>
          <w:spacing w:val="3"/>
          <w:sz w:val="21"/>
          <w:szCs w:val="21"/>
          <w:highlight w:val="none"/>
        </w:rPr>
        <w:t>除专用合同条件另有约定外，承包人在履行合同过程中应遵守法律和工程建设标准规</w:t>
      </w:r>
      <w:r>
        <w:rPr>
          <w:rFonts w:ascii="宋体" w:hAnsi="宋体" w:eastAsia="宋体" w:cs="宋体"/>
          <w:spacing w:val="7"/>
          <w:sz w:val="21"/>
          <w:szCs w:val="21"/>
          <w:highlight w:val="none"/>
        </w:rPr>
        <w:t xml:space="preserve"> </w:t>
      </w:r>
      <w:r>
        <w:rPr>
          <w:rFonts w:ascii="宋体" w:hAnsi="宋体" w:eastAsia="宋体" w:cs="宋体"/>
          <w:spacing w:val="-6"/>
          <w:sz w:val="21"/>
          <w:szCs w:val="21"/>
          <w:highlight w:val="none"/>
        </w:rPr>
        <w:t>范，并履行以下义务：</w:t>
      </w:r>
    </w:p>
    <w:p w14:paraId="306AC6B4">
      <w:pPr>
        <w:spacing w:before="14" w:line="317" w:lineRule="auto"/>
        <w:ind w:right="115" w:firstLine="550"/>
        <w:rPr>
          <w:rFonts w:ascii="宋体" w:hAnsi="宋体" w:eastAsia="宋体" w:cs="宋体"/>
          <w:sz w:val="21"/>
          <w:szCs w:val="21"/>
          <w:highlight w:val="none"/>
        </w:rPr>
      </w:pPr>
      <w:r>
        <w:rPr>
          <w:rFonts w:ascii="宋体" w:hAnsi="宋体" w:eastAsia="宋体" w:cs="宋体"/>
          <w:spacing w:val="3"/>
          <w:sz w:val="21"/>
          <w:szCs w:val="21"/>
          <w:highlight w:val="none"/>
        </w:rPr>
        <w:t>(1)办理法律规定和合同约定由承包人办理的许可和批准，将</w:t>
      </w:r>
      <w:r>
        <w:rPr>
          <w:rFonts w:ascii="宋体" w:hAnsi="宋体" w:eastAsia="宋体" w:cs="宋体"/>
          <w:spacing w:val="2"/>
          <w:sz w:val="21"/>
          <w:szCs w:val="21"/>
          <w:highlight w:val="none"/>
        </w:rPr>
        <w:t>办理结果书面报送发包</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人留存，并承担因承包人违反法律或合同约定给发包人造成的任何费用和损失；</w:t>
      </w:r>
    </w:p>
    <w:p w14:paraId="11B3EF38">
      <w:pPr>
        <w:spacing w:before="219" w:line="321" w:lineRule="auto"/>
        <w:ind w:right="114" w:firstLine="550"/>
        <w:rPr>
          <w:rFonts w:ascii="宋体" w:hAnsi="宋体" w:eastAsia="宋体" w:cs="宋体"/>
          <w:sz w:val="21"/>
          <w:szCs w:val="21"/>
          <w:highlight w:val="none"/>
        </w:rPr>
      </w:pPr>
      <w:r>
        <w:rPr>
          <w:rFonts w:ascii="宋体" w:hAnsi="宋体" w:eastAsia="宋体" w:cs="宋体"/>
          <w:spacing w:val="3"/>
          <w:sz w:val="21"/>
          <w:szCs w:val="21"/>
          <w:highlight w:val="none"/>
        </w:rPr>
        <w:t>(2)按合同约定完成全部工作并在缺陷责任期和保修期内承担</w:t>
      </w:r>
      <w:r>
        <w:rPr>
          <w:rFonts w:ascii="宋体" w:hAnsi="宋体" w:eastAsia="宋体" w:cs="宋体"/>
          <w:spacing w:val="2"/>
          <w:sz w:val="21"/>
          <w:szCs w:val="21"/>
          <w:highlight w:val="none"/>
        </w:rPr>
        <w:t>缺陷保证责任和保修义</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务，对工作中的任何缺陷进行整改、完善和修补，使其满足合同约定的目的；</w:t>
      </w:r>
    </w:p>
    <w:p w14:paraId="0834EE29">
      <w:pPr>
        <w:spacing w:before="230" w:line="321" w:lineRule="auto"/>
        <w:ind w:firstLine="550"/>
        <w:rPr>
          <w:rFonts w:ascii="宋体" w:hAnsi="宋体" w:eastAsia="宋体" w:cs="宋体"/>
          <w:sz w:val="21"/>
          <w:szCs w:val="21"/>
          <w:highlight w:val="none"/>
        </w:rPr>
      </w:pPr>
      <w:r>
        <w:rPr>
          <w:rFonts w:ascii="宋体" w:hAnsi="宋体" w:eastAsia="宋体" w:cs="宋体"/>
          <w:sz w:val="21"/>
          <w:szCs w:val="21"/>
          <w:highlight w:val="none"/>
        </w:rPr>
        <w:t>(3)提供合同约定的工程设备和承包人文件，以及为完成合同工作所需的劳务、材料、</w:t>
      </w:r>
      <w:r>
        <w:rPr>
          <w:rFonts w:ascii="宋体" w:hAnsi="宋体" w:eastAsia="宋体" w:cs="宋体"/>
          <w:spacing w:val="9"/>
          <w:sz w:val="21"/>
          <w:szCs w:val="21"/>
          <w:highlight w:val="none"/>
        </w:rPr>
        <w:t xml:space="preserve"> </w:t>
      </w:r>
      <w:r>
        <w:rPr>
          <w:rFonts w:ascii="宋体" w:hAnsi="宋体" w:eastAsia="宋体" w:cs="宋体"/>
          <w:spacing w:val="-6"/>
          <w:sz w:val="21"/>
          <w:szCs w:val="21"/>
          <w:highlight w:val="none"/>
        </w:rPr>
        <w:t>施工设备和其他物品，并按合同约定负责临时设施的设计、施工、运行、维护、管理和拆除；</w:t>
      </w:r>
    </w:p>
    <w:p w14:paraId="7ADC31B5">
      <w:pPr>
        <w:spacing w:before="231" w:line="219" w:lineRule="auto"/>
        <w:ind w:left="550"/>
        <w:rPr>
          <w:rFonts w:ascii="宋体" w:hAnsi="宋体" w:eastAsia="宋体" w:cs="宋体"/>
          <w:sz w:val="21"/>
          <w:szCs w:val="21"/>
          <w:highlight w:val="none"/>
        </w:rPr>
      </w:pPr>
      <w:r>
        <w:rPr>
          <w:rFonts w:ascii="宋体" w:hAnsi="宋体" w:eastAsia="宋体" w:cs="宋体"/>
          <w:spacing w:val="3"/>
          <w:sz w:val="21"/>
          <w:szCs w:val="21"/>
          <w:highlight w:val="none"/>
        </w:rPr>
        <w:t>(4)按合同约定的工作内容和进度要求，编制设计、施工的组织和实施计划，保证项</w:t>
      </w:r>
    </w:p>
    <w:p w14:paraId="083810A0">
      <w:pPr>
        <w:spacing w:line="219" w:lineRule="auto"/>
        <w:rPr>
          <w:rFonts w:ascii="宋体" w:hAnsi="宋体" w:eastAsia="宋体" w:cs="宋体"/>
          <w:sz w:val="21"/>
          <w:szCs w:val="21"/>
          <w:highlight w:val="none"/>
        </w:rPr>
        <w:sectPr>
          <w:footerReference r:id="rId85" w:type="default"/>
          <w:pgSz w:w="11910" w:h="16840"/>
          <w:pgMar w:top="400" w:right="1704" w:bottom="1217" w:left="1769" w:header="0" w:footer="1013" w:gutter="0"/>
          <w:cols w:space="720" w:num="1"/>
        </w:sectPr>
      </w:pPr>
    </w:p>
    <w:p w14:paraId="4222047E">
      <w:pPr>
        <w:pStyle w:val="2"/>
        <w:spacing w:line="273" w:lineRule="auto"/>
        <w:rPr>
          <w:highlight w:val="none"/>
        </w:rPr>
      </w:pPr>
    </w:p>
    <w:p w14:paraId="297C5F0B">
      <w:pPr>
        <w:pStyle w:val="2"/>
        <w:spacing w:line="273" w:lineRule="auto"/>
        <w:rPr>
          <w:highlight w:val="none"/>
        </w:rPr>
      </w:pPr>
    </w:p>
    <w:p w14:paraId="482A2187">
      <w:pPr>
        <w:pStyle w:val="2"/>
        <w:spacing w:line="274" w:lineRule="auto"/>
        <w:rPr>
          <w:highlight w:val="none"/>
        </w:rPr>
      </w:pPr>
    </w:p>
    <w:p w14:paraId="7EBF154C">
      <w:pPr>
        <w:pStyle w:val="2"/>
        <w:spacing w:line="274" w:lineRule="auto"/>
        <w:rPr>
          <w:highlight w:val="none"/>
        </w:rPr>
      </w:pPr>
    </w:p>
    <w:p w14:paraId="7EF8F4FC">
      <w:pPr>
        <w:spacing w:before="68" w:line="415" w:lineRule="auto"/>
        <w:ind w:right="44"/>
        <w:rPr>
          <w:rFonts w:ascii="宋体" w:hAnsi="宋体" w:eastAsia="宋体" w:cs="宋体"/>
          <w:sz w:val="21"/>
          <w:szCs w:val="21"/>
          <w:highlight w:val="none"/>
        </w:rPr>
      </w:pPr>
      <w:r>
        <w:rPr>
          <w:rFonts w:ascii="宋体" w:hAnsi="宋体" w:eastAsia="宋体" w:cs="宋体"/>
          <w:spacing w:val="-2"/>
          <w:sz w:val="21"/>
          <w:szCs w:val="21"/>
          <w:highlight w:val="none"/>
        </w:rPr>
        <w:t>目进度计划的实现，并对所有设计、施工作业和施工方法，以及</w:t>
      </w:r>
      <w:r>
        <w:rPr>
          <w:rFonts w:ascii="宋体" w:hAnsi="宋体" w:eastAsia="宋体" w:cs="宋体"/>
          <w:spacing w:val="-3"/>
          <w:sz w:val="21"/>
          <w:szCs w:val="21"/>
          <w:highlight w:val="none"/>
        </w:rPr>
        <w:t>全部工程的完备性和安全可</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靠性负责；</w:t>
      </w:r>
    </w:p>
    <w:p w14:paraId="3C85B24A">
      <w:pPr>
        <w:spacing w:before="3" w:line="355" w:lineRule="auto"/>
        <w:ind w:right="37" w:firstLine="539"/>
        <w:rPr>
          <w:rFonts w:ascii="宋体" w:hAnsi="宋体" w:eastAsia="宋体" w:cs="宋体"/>
          <w:sz w:val="21"/>
          <w:szCs w:val="21"/>
          <w:highlight w:val="none"/>
        </w:rPr>
      </w:pPr>
      <w:r>
        <w:rPr>
          <w:rFonts w:ascii="宋体" w:hAnsi="宋体" w:eastAsia="宋体" w:cs="宋体"/>
          <w:spacing w:val="3"/>
          <w:sz w:val="21"/>
          <w:szCs w:val="21"/>
          <w:highlight w:val="none"/>
        </w:rPr>
        <w:t>(5)按法律规定和合同约定采取安全文明施工、职业健康和环境</w:t>
      </w:r>
      <w:r>
        <w:rPr>
          <w:rFonts w:ascii="宋体" w:hAnsi="宋体" w:eastAsia="宋体" w:cs="宋体"/>
          <w:spacing w:val="2"/>
          <w:sz w:val="21"/>
          <w:szCs w:val="21"/>
          <w:highlight w:val="none"/>
        </w:rPr>
        <w:t>保护措施，办理员工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工伤保险等相关保险，确保工程及人员、材料、设备和设施的安全，防止因工程</w:t>
      </w:r>
      <w:r>
        <w:rPr>
          <w:rFonts w:ascii="宋体" w:hAnsi="宋体" w:eastAsia="宋体" w:cs="宋体"/>
          <w:spacing w:val="-3"/>
          <w:sz w:val="21"/>
          <w:szCs w:val="21"/>
          <w:highlight w:val="none"/>
        </w:rPr>
        <w:t>实施造成的</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人身伤害和财产损失；</w:t>
      </w:r>
    </w:p>
    <w:p w14:paraId="7B592168">
      <w:pPr>
        <w:spacing w:before="217" w:line="316" w:lineRule="auto"/>
        <w:ind w:left="130" w:right="24" w:firstLine="409"/>
        <w:rPr>
          <w:rFonts w:ascii="宋体" w:hAnsi="宋体" w:eastAsia="宋体" w:cs="宋体"/>
          <w:sz w:val="21"/>
          <w:szCs w:val="21"/>
          <w:highlight w:val="none"/>
        </w:rPr>
      </w:pPr>
      <w:r>
        <w:rPr>
          <w:rFonts w:ascii="宋体" w:hAnsi="宋体" w:eastAsia="宋体" w:cs="宋体"/>
          <w:spacing w:val="3"/>
          <w:sz w:val="21"/>
          <w:szCs w:val="21"/>
          <w:highlight w:val="none"/>
        </w:rPr>
        <w:t>(6)将发包人按合同约定支付的各项价款专用于合同工程，且应及时支付其雇用人员</w:t>
      </w:r>
      <w:r>
        <w:rPr>
          <w:rFonts w:ascii="宋体" w:hAnsi="宋体" w:eastAsia="宋体" w:cs="宋体"/>
          <w:spacing w:val="8"/>
          <w:sz w:val="21"/>
          <w:szCs w:val="21"/>
          <w:highlight w:val="none"/>
        </w:rPr>
        <w:t xml:space="preserve"> </w:t>
      </w:r>
      <w:r>
        <w:rPr>
          <w:rFonts w:ascii="宋体" w:hAnsi="宋体" w:eastAsia="宋体" w:cs="宋体"/>
          <w:spacing w:val="2"/>
          <w:sz w:val="21"/>
          <w:szCs w:val="21"/>
          <w:highlight w:val="none"/>
        </w:rPr>
        <w:t>(包括建筑工人)工资，并及时向分包人支付合同价款；</w:t>
      </w:r>
    </w:p>
    <w:p w14:paraId="0BD51B77">
      <w:pPr>
        <w:spacing w:before="242" w:line="316" w:lineRule="auto"/>
        <w:ind w:right="41" w:firstLine="539"/>
        <w:rPr>
          <w:rFonts w:ascii="宋体" w:hAnsi="宋体" w:eastAsia="宋体" w:cs="宋体"/>
          <w:sz w:val="21"/>
          <w:szCs w:val="21"/>
          <w:highlight w:val="none"/>
        </w:rPr>
      </w:pPr>
      <w:r>
        <w:rPr>
          <w:rFonts w:ascii="宋体" w:hAnsi="宋体" w:eastAsia="宋体" w:cs="宋体"/>
          <w:spacing w:val="3"/>
          <w:sz w:val="21"/>
          <w:szCs w:val="21"/>
          <w:highlight w:val="none"/>
        </w:rPr>
        <w:t>(7)在进行合同约定的各项工作时，不得侵害发包人与他人使用公</w:t>
      </w:r>
      <w:r>
        <w:rPr>
          <w:rFonts w:ascii="宋体" w:hAnsi="宋体" w:eastAsia="宋体" w:cs="宋体"/>
          <w:spacing w:val="2"/>
          <w:sz w:val="21"/>
          <w:szCs w:val="21"/>
          <w:highlight w:val="none"/>
        </w:rPr>
        <w:t>用道路、水源、市</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政管网等公共设施的权利，避免对邻近的公共设施产生干扰。</w:t>
      </w:r>
    </w:p>
    <w:p w14:paraId="6A555717">
      <w:pPr>
        <w:pStyle w:val="2"/>
        <w:spacing w:line="366" w:lineRule="auto"/>
        <w:rPr>
          <w:highlight w:val="none"/>
        </w:rPr>
      </w:pPr>
    </w:p>
    <w:p w14:paraId="50F962A1">
      <w:pPr>
        <w:pStyle w:val="2"/>
        <w:spacing w:before="62" w:line="222" w:lineRule="auto"/>
        <w:rPr>
          <w:rFonts w:ascii="黑体" w:hAnsi="黑体" w:eastAsia="黑体" w:cs="黑体"/>
          <w:sz w:val="19"/>
          <w:szCs w:val="19"/>
          <w:highlight w:val="none"/>
        </w:rPr>
      </w:pPr>
      <w:r>
        <w:rPr>
          <w:spacing w:val="11"/>
          <w:sz w:val="19"/>
          <w:szCs w:val="19"/>
          <w:highlight w:val="none"/>
        </w:rPr>
        <w:t>4.2</w:t>
      </w:r>
      <w:r>
        <w:rPr>
          <w:spacing w:val="2"/>
          <w:sz w:val="19"/>
          <w:szCs w:val="19"/>
          <w:highlight w:val="none"/>
        </w:rPr>
        <w:t xml:space="preserve">   </w:t>
      </w:r>
      <w:r>
        <w:rPr>
          <w:rFonts w:ascii="黑体" w:hAnsi="黑体" w:eastAsia="黑体" w:cs="黑体"/>
          <w:spacing w:val="11"/>
          <w:sz w:val="19"/>
          <w:szCs w:val="19"/>
          <w:highlight w:val="none"/>
        </w:rPr>
        <w:t>履约担保</w:t>
      </w:r>
    </w:p>
    <w:p w14:paraId="37C4F585">
      <w:pPr>
        <w:spacing w:before="223" w:line="414" w:lineRule="auto"/>
        <w:ind w:right="25"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发包人需要承包人提供履约担保的，由合同当事人在专用合同条件中约</w:t>
      </w:r>
      <w:r>
        <w:rPr>
          <w:rFonts w:ascii="宋体" w:hAnsi="宋体" w:eastAsia="宋体" w:cs="宋体"/>
          <w:spacing w:val="-3"/>
          <w:sz w:val="21"/>
          <w:szCs w:val="21"/>
          <w:highlight w:val="none"/>
        </w:rPr>
        <w:t>定履约担保的方</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式、金额及提交的时间等，并应符合第2.5款[支付合同价款]的规定</w:t>
      </w:r>
      <w:r>
        <w:rPr>
          <w:rFonts w:ascii="宋体" w:hAnsi="宋体" w:eastAsia="宋体" w:cs="宋体"/>
          <w:sz w:val="21"/>
          <w:szCs w:val="21"/>
          <w:highlight w:val="none"/>
        </w:rPr>
        <w:t xml:space="preserve">。履约担保可以采用银 </w:t>
      </w:r>
      <w:r>
        <w:rPr>
          <w:rFonts w:ascii="宋体" w:hAnsi="宋体" w:eastAsia="宋体" w:cs="宋体"/>
          <w:spacing w:val="-2"/>
          <w:sz w:val="21"/>
          <w:szCs w:val="21"/>
          <w:highlight w:val="none"/>
        </w:rPr>
        <w:t>行保函或担保公司担保等形式，承包人为联合体的，其履约担保由联合体各方或者联合体中</w:t>
      </w:r>
      <w:r>
        <w:rPr>
          <w:rFonts w:ascii="宋体" w:hAnsi="宋体" w:eastAsia="宋体" w:cs="宋体"/>
          <w:spacing w:val="1"/>
          <w:sz w:val="21"/>
          <w:szCs w:val="21"/>
          <w:highlight w:val="none"/>
        </w:rPr>
        <w:t xml:space="preserve"> </w:t>
      </w:r>
      <w:r>
        <w:rPr>
          <w:rFonts w:ascii="宋体" w:hAnsi="宋体" w:eastAsia="宋体" w:cs="宋体"/>
          <w:spacing w:val="-1"/>
          <w:sz w:val="21"/>
          <w:szCs w:val="21"/>
          <w:highlight w:val="none"/>
        </w:rPr>
        <w:t>牵头人的名义代表联合体提交，具体由合同当事人在专用合同条件中约定。</w:t>
      </w:r>
    </w:p>
    <w:p w14:paraId="4B3870F9">
      <w:pPr>
        <w:spacing w:before="27" w:line="417" w:lineRule="auto"/>
        <w:ind w:right="56" w:firstLine="430"/>
        <w:rPr>
          <w:rFonts w:ascii="宋体" w:hAnsi="宋体" w:eastAsia="宋体" w:cs="宋体"/>
          <w:sz w:val="21"/>
          <w:szCs w:val="21"/>
          <w:highlight w:val="none"/>
        </w:rPr>
      </w:pPr>
      <w:r>
        <w:rPr>
          <w:rFonts w:ascii="宋体" w:hAnsi="宋体" w:eastAsia="宋体" w:cs="宋体"/>
          <w:sz w:val="21"/>
          <w:szCs w:val="21"/>
          <w:highlight w:val="none"/>
        </w:rPr>
        <w:t>承包人应保证其履约担保在发包人竣工验收前一直有效，发包人</w:t>
      </w:r>
      <w:r>
        <w:rPr>
          <w:rFonts w:ascii="宋体" w:hAnsi="宋体" w:eastAsia="宋体" w:cs="宋体"/>
          <w:spacing w:val="-1"/>
          <w:sz w:val="21"/>
          <w:szCs w:val="21"/>
          <w:highlight w:val="none"/>
        </w:rPr>
        <w:t>应在竣工验收合格后7</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天内将履约担保款项退还给承包人或者解除履约担保。</w:t>
      </w:r>
    </w:p>
    <w:p w14:paraId="1151E5AC">
      <w:pPr>
        <w:spacing w:before="1" w:line="441" w:lineRule="auto"/>
        <w:ind w:right="23" w:firstLine="430"/>
        <w:rPr>
          <w:rFonts w:ascii="宋体" w:hAnsi="宋体" w:eastAsia="宋体" w:cs="宋体"/>
          <w:sz w:val="21"/>
          <w:szCs w:val="21"/>
          <w:highlight w:val="none"/>
        </w:rPr>
      </w:pPr>
      <w:r>
        <w:rPr>
          <w:rFonts w:ascii="宋体" w:hAnsi="宋体" w:eastAsia="宋体" w:cs="宋体"/>
          <w:spacing w:val="-2"/>
          <w:sz w:val="21"/>
          <w:szCs w:val="21"/>
          <w:highlight w:val="none"/>
        </w:rPr>
        <w:t>因承包人原因导致工期延长的，继续提供履约担保所增加的费用由承包人</w:t>
      </w:r>
      <w:r>
        <w:rPr>
          <w:rFonts w:ascii="宋体" w:hAnsi="宋体" w:eastAsia="宋体" w:cs="宋体"/>
          <w:spacing w:val="-3"/>
          <w:sz w:val="21"/>
          <w:szCs w:val="21"/>
          <w:highlight w:val="none"/>
        </w:rPr>
        <w:t>承担；非因承</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包人原因导致工期延长的，继续提供履约担保所增加的费用由发包人承担。</w:t>
      </w:r>
    </w:p>
    <w:p w14:paraId="34217525">
      <w:pPr>
        <w:spacing w:before="116" w:line="222" w:lineRule="auto"/>
        <w:rPr>
          <w:rFonts w:ascii="黑体" w:hAnsi="黑体" w:eastAsia="黑体" w:cs="黑体"/>
          <w:sz w:val="22"/>
          <w:szCs w:val="22"/>
          <w:highlight w:val="none"/>
        </w:rPr>
      </w:pPr>
      <w:r>
        <w:rPr>
          <w:rFonts w:ascii="黑体" w:hAnsi="黑体" w:eastAsia="黑体" w:cs="黑体"/>
          <w:spacing w:val="-1"/>
          <w:sz w:val="22"/>
          <w:szCs w:val="22"/>
          <w:highlight w:val="none"/>
        </w:rPr>
        <w:t>4.3工程总承包项目经理</w:t>
      </w:r>
    </w:p>
    <w:p w14:paraId="6EA3DEDE">
      <w:pPr>
        <w:spacing w:before="96" w:line="334" w:lineRule="auto"/>
        <w:ind w:right="22"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4.3.1    </w:t>
      </w:r>
      <w:r>
        <w:rPr>
          <w:rFonts w:ascii="宋体" w:hAnsi="宋体" w:eastAsia="宋体" w:cs="宋体"/>
          <w:spacing w:val="-2"/>
          <w:sz w:val="21"/>
          <w:szCs w:val="21"/>
          <w:highlight w:val="none"/>
        </w:rPr>
        <w:t>工程总承包项目经理应为合同当事人所确认的人选，并在专用合同条件中明确工</w:t>
      </w:r>
      <w:r>
        <w:rPr>
          <w:rFonts w:ascii="宋体" w:hAnsi="宋体" w:eastAsia="宋体" w:cs="宋体"/>
          <w:spacing w:val="8"/>
          <w:sz w:val="21"/>
          <w:szCs w:val="21"/>
          <w:highlight w:val="none"/>
        </w:rPr>
        <w:t xml:space="preserve"> </w:t>
      </w:r>
      <w:r>
        <w:rPr>
          <w:rFonts w:ascii="宋体" w:hAnsi="宋体" w:eastAsia="宋体" w:cs="宋体"/>
          <w:spacing w:val="-2"/>
          <w:sz w:val="21"/>
          <w:szCs w:val="21"/>
          <w:highlight w:val="none"/>
        </w:rPr>
        <w:t>程总承包项目经理的姓名、注册执业资格或职称、联系方式及授</w:t>
      </w:r>
      <w:r>
        <w:rPr>
          <w:rFonts w:ascii="宋体" w:hAnsi="宋体" w:eastAsia="宋体" w:cs="宋体"/>
          <w:spacing w:val="-3"/>
          <w:sz w:val="21"/>
          <w:szCs w:val="21"/>
          <w:highlight w:val="none"/>
        </w:rPr>
        <w:t>权范围等事项。工程总承包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项目经理应具备履行其职责所需的资格、经验和能力，并为承包</w:t>
      </w:r>
      <w:r>
        <w:rPr>
          <w:rFonts w:ascii="宋体" w:hAnsi="宋体" w:eastAsia="宋体" w:cs="宋体"/>
          <w:spacing w:val="-3"/>
          <w:sz w:val="21"/>
          <w:szCs w:val="21"/>
          <w:highlight w:val="none"/>
        </w:rPr>
        <w:t>人正式聘用的员工，承包人</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应向发包人提交工程总承包项目经理与承包人之间的劳动合同，以及承包</w:t>
      </w:r>
      <w:r>
        <w:rPr>
          <w:rFonts w:ascii="宋体" w:hAnsi="宋体" w:eastAsia="宋体" w:cs="宋体"/>
          <w:spacing w:val="-3"/>
          <w:sz w:val="21"/>
          <w:szCs w:val="21"/>
          <w:highlight w:val="none"/>
        </w:rPr>
        <w:t>人为工程总承包项</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目经理缴纳社会保险的有效证明。承包人不提交上述文件的，工程总承包项目经理无权履行</w:t>
      </w:r>
      <w:r>
        <w:rPr>
          <w:rFonts w:ascii="宋体" w:hAnsi="宋体" w:eastAsia="宋体" w:cs="宋体"/>
          <w:spacing w:val="9"/>
          <w:sz w:val="21"/>
          <w:szCs w:val="21"/>
          <w:highlight w:val="none"/>
        </w:rPr>
        <w:t xml:space="preserve"> </w:t>
      </w:r>
      <w:r>
        <w:rPr>
          <w:rFonts w:ascii="宋体" w:hAnsi="宋体" w:eastAsia="宋体" w:cs="宋体"/>
          <w:spacing w:val="3"/>
          <w:sz w:val="21"/>
          <w:szCs w:val="21"/>
          <w:highlight w:val="none"/>
        </w:rPr>
        <w:t>职责，发包人有权要求更换工程总承包项目经理，由此增加的费用和(或)延误的工期</w:t>
      </w:r>
      <w:r>
        <w:rPr>
          <w:rFonts w:ascii="宋体" w:hAnsi="宋体" w:eastAsia="宋体" w:cs="宋体"/>
          <w:spacing w:val="2"/>
          <w:sz w:val="21"/>
          <w:szCs w:val="21"/>
          <w:highlight w:val="none"/>
        </w:rPr>
        <w:t>由承</w:t>
      </w:r>
      <w:r>
        <w:rPr>
          <w:rFonts w:ascii="宋体" w:hAnsi="宋体" w:eastAsia="宋体" w:cs="宋体"/>
          <w:sz w:val="21"/>
          <w:szCs w:val="21"/>
          <w:highlight w:val="none"/>
        </w:rPr>
        <w:t xml:space="preserve"> 包人承担。同时，发包人有权根据专用合同</w:t>
      </w:r>
      <w:r>
        <w:rPr>
          <w:rFonts w:ascii="宋体" w:hAnsi="宋体" w:eastAsia="宋体" w:cs="宋体"/>
          <w:spacing w:val="-1"/>
          <w:sz w:val="21"/>
          <w:szCs w:val="21"/>
          <w:highlight w:val="none"/>
        </w:rPr>
        <w:t>条件约定要求承包人承担违约责任。</w:t>
      </w:r>
    </w:p>
    <w:p w14:paraId="770303E4">
      <w:pPr>
        <w:pStyle w:val="2"/>
        <w:spacing w:line="331" w:lineRule="auto"/>
        <w:rPr>
          <w:highlight w:val="none"/>
        </w:rPr>
      </w:pPr>
    </w:p>
    <w:p w14:paraId="7B3B42C3">
      <w:pPr>
        <w:spacing w:before="66" w:line="332" w:lineRule="auto"/>
        <w:ind w:right="39" w:firstLine="430"/>
        <w:rPr>
          <w:rFonts w:ascii="宋体" w:hAnsi="宋体" w:eastAsia="宋体" w:cs="宋体"/>
          <w:sz w:val="20"/>
          <w:szCs w:val="20"/>
          <w:highlight w:val="none"/>
        </w:rPr>
      </w:pPr>
      <w:r>
        <w:rPr>
          <w:rFonts w:ascii="Times New Roman" w:hAnsi="Times New Roman" w:eastAsia="Times New Roman" w:cs="Times New Roman"/>
          <w:spacing w:val="11"/>
          <w:sz w:val="20"/>
          <w:szCs w:val="20"/>
          <w:highlight w:val="none"/>
        </w:rPr>
        <w:t xml:space="preserve">4.3.2    </w:t>
      </w:r>
      <w:r>
        <w:rPr>
          <w:rFonts w:ascii="宋体" w:hAnsi="宋体" w:eastAsia="宋体" w:cs="宋体"/>
          <w:spacing w:val="11"/>
          <w:sz w:val="20"/>
          <w:szCs w:val="20"/>
          <w:highlight w:val="none"/>
        </w:rPr>
        <w:t>承包人应按合同协议书的约定指派工程总承包项目经理，并在约定的期限内到</w:t>
      </w:r>
      <w:r>
        <w:rPr>
          <w:rFonts w:ascii="宋体" w:hAnsi="宋体" w:eastAsia="宋体" w:cs="宋体"/>
          <w:spacing w:val="10"/>
          <w:sz w:val="20"/>
          <w:szCs w:val="20"/>
          <w:highlight w:val="none"/>
        </w:rPr>
        <w:t xml:space="preserve"> </w:t>
      </w:r>
      <w:r>
        <w:rPr>
          <w:rFonts w:ascii="宋体" w:hAnsi="宋体" w:eastAsia="宋体" w:cs="宋体"/>
          <w:spacing w:val="8"/>
          <w:sz w:val="20"/>
          <w:szCs w:val="20"/>
          <w:highlight w:val="none"/>
        </w:rPr>
        <w:t>职。工程总承包项目经理不得同时担任其他工程项目的工程总承</w:t>
      </w:r>
      <w:r>
        <w:rPr>
          <w:rFonts w:ascii="宋体" w:hAnsi="宋体" w:eastAsia="宋体" w:cs="宋体"/>
          <w:spacing w:val="7"/>
          <w:sz w:val="20"/>
          <w:szCs w:val="20"/>
          <w:highlight w:val="none"/>
        </w:rPr>
        <w:t>包项目经理或施工工程总承</w:t>
      </w:r>
      <w:r>
        <w:rPr>
          <w:rFonts w:ascii="宋体" w:hAnsi="宋体" w:eastAsia="宋体" w:cs="宋体"/>
          <w:sz w:val="20"/>
          <w:szCs w:val="20"/>
          <w:highlight w:val="none"/>
        </w:rPr>
        <w:t xml:space="preserve"> </w:t>
      </w:r>
      <w:r>
        <w:rPr>
          <w:rFonts w:ascii="宋体" w:hAnsi="宋体" w:eastAsia="宋体" w:cs="宋体"/>
          <w:spacing w:val="12"/>
          <w:sz w:val="20"/>
          <w:szCs w:val="20"/>
          <w:highlight w:val="none"/>
        </w:rPr>
        <w:t>包项目经理(含施工总承包工程、专业承包工程)。工程在现场实施的全部时间内，工程总</w:t>
      </w:r>
      <w:r>
        <w:rPr>
          <w:rFonts w:ascii="宋体" w:hAnsi="宋体" w:eastAsia="宋体" w:cs="宋体"/>
          <w:spacing w:val="16"/>
          <w:sz w:val="20"/>
          <w:szCs w:val="20"/>
          <w:highlight w:val="none"/>
        </w:rPr>
        <w:t xml:space="preserve"> </w:t>
      </w:r>
      <w:r>
        <w:rPr>
          <w:rFonts w:ascii="宋体" w:hAnsi="宋体" w:eastAsia="宋体" w:cs="宋体"/>
          <w:spacing w:val="8"/>
          <w:sz w:val="20"/>
          <w:szCs w:val="20"/>
          <w:highlight w:val="none"/>
        </w:rPr>
        <w:t>承包项目经理每月在施工现场时间不得少于专用合同条件约</w:t>
      </w:r>
      <w:r>
        <w:rPr>
          <w:rFonts w:ascii="宋体" w:hAnsi="宋体" w:eastAsia="宋体" w:cs="宋体"/>
          <w:spacing w:val="7"/>
          <w:sz w:val="20"/>
          <w:szCs w:val="20"/>
          <w:highlight w:val="none"/>
        </w:rPr>
        <w:t>定的天数。工程总承包项目经理</w:t>
      </w:r>
    </w:p>
    <w:p w14:paraId="5AF141F1">
      <w:pPr>
        <w:spacing w:line="332" w:lineRule="auto"/>
        <w:rPr>
          <w:rFonts w:ascii="宋体" w:hAnsi="宋体" w:eastAsia="宋体" w:cs="宋体"/>
          <w:sz w:val="20"/>
          <w:szCs w:val="20"/>
          <w:highlight w:val="none"/>
        </w:rPr>
        <w:sectPr>
          <w:footerReference r:id="rId86" w:type="default"/>
          <w:pgSz w:w="11910" w:h="16840"/>
          <w:pgMar w:top="400" w:right="1786" w:bottom="1217" w:left="1769" w:header="0" w:footer="1013" w:gutter="0"/>
          <w:cols w:space="720" w:num="1"/>
        </w:sectPr>
      </w:pPr>
    </w:p>
    <w:p w14:paraId="43E2F774">
      <w:pPr>
        <w:pStyle w:val="2"/>
        <w:spacing w:line="249" w:lineRule="auto"/>
        <w:rPr>
          <w:highlight w:val="none"/>
        </w:rPr>
      </w:pPr>
    </w:p>
    <w:p w14:paraId="06B83BA0">
      <w:pPr>
        <w:pStyle w:val="2"/>
        <w:spacing w:line="249" w:lineRule="auto"/>
        <w:rPr>
          <w:highlight w:val="none"/>
        </w:rPr>
      </w:pPr>
    </w:p>
    <w:p w14:paraId="5F52FE7D">
      <w:pPr>
        <w:pStyle w:val="2"/>
        <w:spacing w:line="250" w:lineRule="auto"/>
        <w:rPr>
          <w:highlight w:val="none"/>
        </w:rPr>
      </w:pPr>
    </w:p>
    <w:p w14:paraId="548965F8">
      <w:pPr>
        <w:pStyle w:val="2"/>
        <w:spacing w:line="250" w:lineRule="auto"/>
        <w:rPr>
          <w:highlight w:val="none"/>
        </w:rPr>
      </w:pPr>
    </w:p>
    <w:p w14:paraId="06882018">
      <w:pPr>
        <w:spacing w:before="65" w:line="370" w:lineRule="auto"/>
        <w:ind w:right="25"/>
        <w:jc w:val="both"/>
        <w:rPr>
          <w:rFonts w:ascii="宋体" w:hAnsi="宋体" w:eastAsia="宋体" w:cs="宋体"/>
          <w:sz w:val="20"/>
          <w:szCs w:val="20"/>
          <w:highlight w:val="none"/>
        </w:rPr>
      </w:pPr>
      <w:bookmarkStart w:id="86" w:name="bookmark221"/>
      <w:bookmarkEnd w:id="86"/>
      <w:r>
        <w:rPr>
          <w:rFonts w:ascii="宋体" w:hAnsi="宋体" w:eastAsia="宋体" w:cs="宋体"/>
          <w:spacing w:val="8"/>
          <w:sz w:val="20"/>
          <w:szCs w:val="20"/>
          <w:highlight w:val="none"/>
        </w:rPr>
        <w:t>确需离开施工现场时，应事先通知工程师，并取得发包人的</w:t>
      </w:r>
      <w:r>
        <w:rPr>
          <w:rFonts w:ascii="宋体" w:hAnsi="宋体" w:eastAsia="宋体" w:cs="宋体"/>
          <w:spacing w:val="7"/>
          <w:sz w:val="20"/>
          <w:szCs w:val="20"/>
          <w:highlight w:val="none"/>
        </w:rPr>
        <w:t>书面同意。工程总承包项目经理</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未经批准擅自离开施工现场的，承包人应按照专用合同条件的约</w:t>
      </w:r>
      <w:r>
        <w:rPr>
          <w:rFonts w:ascii="宋体" w:hAnsi="宋体" w:eastAsia="宋体" w:cs="宋体"/>
          <w:spacing w:val="7"/>
          <w:sz w:val="20"/>
          <w:szCs w:val="20"/>
          <w:highlight w:val="none"/>
        </w:rPr>
        <w:t>定承担违约责任。工程总承</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包项目经理的通知中应当载明临时代行其职</w:t>
      </w:r>
      <w:r>
        <w:rPr>
          <w:rFonts w:ascii="宋体" w:hAnsi="宋体" w:eastAsia="宋体" w:cs="宋体"/>
          <w:spacing w:val="8"/>
          <w:sz w:val="20"/>
          <w:szCs w:val="20"/>
          <w:highlight w:val="none"/>
        </w:rPr>
        <w:t>责的人员的注册执业资格、管理经验等资料，该</w:t>
      </w:r>
      <w:r>
        <w:rPr>
          <w:rFonts w:ascii="宋体" w:hAnsi="宋体" w:eastAsia="宋体" w:cs="宋体"/>
          <w:sz w:val="20"/>
          <w:szCs w:val="20"/>
          <w:highlight w:val="none"/>
        </w:rPr>
        <w:t xml:space="preserve"> </w:t>
      </w:r>
      <w:r>
        <w:rPr>
          <w:rFonts w:ascii="宋体" w:hAnsi="宋体" w:eastAsia="宋体" w:cs="宋体"/>
          <w:spacing w:val="7"/>
          <w:sz w:val="20"/>
          <w:szCs w:val="20"/>
          <w:highlight w:val="none"/>
        </w:rPr>
        <w:t>人员应具备履行相应职责的资格、经验和能力。</w:t>
      </w:r>
    </w:p>
    <w:p w14:paraId="67C5F7EF">
      <w:pPr>
        <w:spacing w:before="172" w:line="330" w:lineRule="auto"/>
        <w:ind w:right="26" w:firstLine="420"/>
        <w:rPr>
          <w:rFonts w:ascii="宋体" w:hAnsi="宋体" w:eastAsia="宋体" w:cs="宋体"/>
          <w:sz w:val="20"/>
          <w:szCs w:val="20"/>
          <w:highlight w:val="none"/>
        </w:rPr>
      </w:pPr>
      <w:r>
        <w:rPr>
          <w:rFonts w:ascii="宋体" w:hAnsi="宋体" w:eastAsia="宋体" w:cs="宋体"/>
          <w:spacing w:val="-4"/>
          <w:sz w:val="22"/>
          <w:szCs w:val="22"/>
          <w:highlight w:val="none"/>
        </w:rPr>
        <w:t>4.3.3承包人应根据本合同的约定授予工程总承包项目经理代表承包人履行合同所需</w:t>
      </w:r>
      <w:r>
        <w:rPr>
          <w:rFonts w:ascii="宋体" w:hAnsi="宋体" w:eastAsia="宋体" w:cs="宋体"/>
          <w:spacing w:val="18"/>
          <w:sz w:val="22"/>
          <w:szCs w:val="22"/>
          <w:highlight w:val="none"/>
        </w:rPr>
        <w:t xml:space="preserve"> </w:t>
      </w:r>
      <w:r>
        <w:rPr>
          <w:rFonts w:ascii="宋体" w:hAnsi="宋体" w:eastAsia="宋体" w:cs="宋体"/>
          <w:spacing w:val="8"/>
          <w:sz w:val="20"/>
          <w:szCs w:val="20"/>
          <w:highlight w:val="none"/>
        </w:rPr>
        <w:t>的权利，工程总承包项目经理权限以专用合同条件中约定的权限为准</w:t>
      </w:r>
      <w:r>
        <w:rPr>
          <w:rFonts w:ascii="宋体" w:hAnsi="宋体" w:eastAsia="宋体" w:cs="宋体"/>
          <w:spacing w:val="7"/>
          <w:sz w:val="20"/>
          <w:szCs w:val="20"/>
          <w:highlight w:val="none"/>
        </w:rPr>
        <w:t>。经承包人授权后，工</w:t>
      </w:r>
      <w:r>
        <w:rPr>
          <w:rFonts w:ascii="宋体" w:hAnsi="宋体" w:eastAsia="宋体" w:cs="宋体"/>
          <w:sz w:val="20"/>
          <w:szCs w:val="20"/>
          <w:highlight w:val="none"/>
        </w:rPr>
        <w:t xml:space="preserve"> </w:t>
      </w:r>
      <w:r>
        <w:rPr>
          <w:rFonts w:ascii="宋体" w:hAnsi="宋体" w:eastAsia="宋体" w:cs="宋体"/>
          <w:spacing w:val="-9"/>
          <w:sz w:val="22"/>
          <w:szCs w:val="22"/>
          <w:highlight w:val="none"/>
        </w:rPr>
        <w:t>程总承包项目经理应按合同约定以及工程师按第3.5款[指示]作出的指示，代表承包人负责</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组织合同的实施。在紧急情况下，且无法与发包人和工程师取得联系时，工程总承包项目经</w:t>
      </w:r>
      <w:r>
        <w:rPr>
          <w:rFonts w:ascii="宋体" w:hAnsi="宋体" w:eastAsia="宋体" w:cs="宋体"/>
          <w:spacing w:val="18"/>
          <w:sz w:val="22"/>
          <w:szCs w:val="22"/>
          <w:highlight w:val="none"/>
        </w:rPr>
        <w:t xml:space="preserve"> </w:t>
      </w:r>
      <w:r>
        <w:rPr>
          <w:rFonts w:ascii="宋体" w:hAnsi="宋体" w:eastAsia="宋体" w:cs="宋体"/>
          <w:spacing w:val="-7"/>
          <w:sz w:val="22"/>
          <w:szCs w:val="22"/>
          <w:highlight w:val="none"/>
        </w:rPr>
        <w:t>理有权采取必要的措施保证人身、工程和财产的安全，但须在事后48小时内向工程师送交</w:t>
      </w:r>
      <w:r>
        <w:rPr>
          <w:rFonts w:ascii="宋体" w:hAnsi="宋体" w:eastAsia="宋体" w:cs="宋体"/>
          <w:spacing w:val="8"/>
          <w:sz w:val="22"/>
          <w:szCs w:val="22"/>
          <w:highlight w:val="none"/>
        </w:rPr>
        <w:t xml:space="preserve"> </w:t>
      </w:r>
      <w:r>
        <w:rPr>
          <w:rFonts w:ascii="宋体" w:hAnsi="宋体" w:eastAsia="宋体" w:cs="宋体"/>
          <w:spacing w:val="2"/>
          <w:sz w:val="20"/>
          <w:szCs w:val="20"/>
          <w:highlight w:val="none"/>
        </w:rPr>
        <w:t>书面报告。</w:t>
      </w:r>
    </w:p>
    <w:p w14:paraId="5E730A55">
      <w:pPr>
        <w:pStyle w:val="2"/>
        <w:spacing w:line="265" w:lineRule="auto"/>
        <w:rPr>
          <w:highlight w:val="none"/>
        </w:rPr>
      </w:pPr>
    </w:p>
    <w:p w14:paraId="5CDFD504">
      <w:pPr>
        <w:spacing w:before="68" w:line="338" w:lineRule="auto"/>
        <w:ind w:firstLine="420"/>
        <w:rPr>
          <w:rFonts w:ascii="宋体" w:hAnsi="宋体" w:eastAsia="宋体" w:cs="宋体"/>
          <w:sz w:val="21"/>
          <w:szCs w:val="21"/>
          <w:highlight w:val="none"/>
        </w:rPr>
      </w:pPr>
      <w:r>
        <w:rPr>
          <w:rFonts w:ascii="宋体" w:hAnsi="宋体" w:eastAsia="宋体" w:cs="宋体"/>
          <w:spacing w:val="6"/>
          <w:sz w:val="21"/>
          <w:szCs w:val="21"/>
          <w:highlight w:val="none"/>
        </w:rPr>
        <w:t>4.3.4承包人需要更换工程总承包项目经理的，应提前14天书面通知发包人并抄送工</w:t>
      </w:r>
      <w:r>
        <w:rPr>
          <w:rFonts w:ascii="宋体" w:hAnsi="宋体" w:eastAsia="宋体" w:cs="宋体"/>
          <w:spacing w:val="15"/>
          <w:sz w:val="21"/>
          <w:szCs w:val="21"/>
          <w:highlight w:val="none"/>
        </w:rPr>
        <w:t xml:space="preserve"> </w:t>
      </w:r>
      <w:r>
        <w:rPr>
          <w:rFonts w:ascii="宋体" w:hAnsi="宋体" w:eastAsia="宋体" w:cs="宋体"/>
          <w:spacing w:val="-2"/>
          <w:sz w:val="21"/>
          <w:szCs w:val="21"/>
          <w:highlight w:val="none"/>
        </w:rPr>
        <w:t>程师，征得发包人书面同意。通知中应当载明继任工程总承包项目经</w:t>
      </w:r>
      <w:r>
        <w:rPr>
          <w:rFonts w:ascii="宋体" w:hAnsi="宋体" w:eastAsia="宋体" w:cs="宋体"/>
          <w:spacing w:val="-3"/>
          <w:sz w:val="21"/>
          <w:szCs w:val="21"/>
          <w:highlight w:val="none"/>
        </w:rPr>
        <w:t>理的注册执业资格、管</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理经验等资料，继任工程总承包项目经理继续履行本合同约定的职责。未经发包人书面同意，</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承包人不得擅自更换工程总承包项目经理，在发包</w:t>
      </w:r>
      <w:r>
        <w:rPr>
          <w:rFonts w:ascii="宋体" w:hAnsi="宋体" w:eastAsia="宋体" w:cs="宋体"/>
          <w:spacing w:val="-2"/>
          <w:sz w:val="21"/>
          <w:szCs w:val="21"/>
          <w:highlight w:val="none"/>
        </w:rPr>
        <w:t>人未予以书面回复期间内，工程总承包项</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目经理将继续履行其职责。工程总承包项目经理突发丧失履行职务能力</w:t>
      </w:r>
      <w:r>
        <w:rPr>
          <w:rFonts w:ascii="宋体" w:hAnsi="宋体" w:eastAsia="宋体" w:cs="宋体"/>
          <w:spacing w:val="-4"/>
          <w:sz w:val="21"/>
          <w:szCs w:val="21"/>
          <w:highlight w:val="none"/>
        </w:rPr>
        <w:t>的，承包人应当及时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委派一位具有相应资格能力的人员担任临时工程总承包项目</w:t>
      </w:r>
      <w:r>
        <w:rPr>
          <w:rFonts w:ascii="宋体" w:hAnsi="宋体" w:eastAsia="宋体" w:cs="宋体"/>
          <w:spacing w:val="-3"/>
          <w:sz w:val="21"/>
          <w:szCs w:val="21"/>
          <w:highlight w:val="none"/>
        </w:rPr>
        <w:t>经理，履行工程总承包项目经理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的职责，临时工程总承包项目经理将履行职责直至发包人同意新</w:t>
      </w:r>
      <w:r>
        <w:rPr>
          <w:rFonts w:ascii="宋体" w:hAnsi="宋体" w:eastAsia="宋体" w:cs="宋体"/>
          <w:spacing w:val="-3"/>
          <w:sz w:val="21"/>
          <w:szCs w:val="21"/>
          <w:highlight w:val="none"/>
        </w:rPr>
        <w:t>的工程总承包项目经理的任</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命之日止。承包人擅自更换工程总承包项目经理的，应按照专用合同条件</w:t>
      </w:r>
      <w:r>
        <w:rPr>
          <w:rFonts w:ascii="宋体" w:hAnsi="宋体" w:eastAsia="宋体" w:cs="宋体"/>
          <w:spacing w:val="-3"/>
          <w:sz w:val="21"/>
          <w:szCs w:val="21"/>
          <w:highlight w:val="none"/>
        </w:rPr>
        <w:t>的约定承担违约责</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任。</w:t>
      </w:r>
    </w:p>
    <w:p w14:paraId="5DB4671F">
      <w:pPr>
        <w:pStyle w:val="2"/>
        <w:spacing w:line="298" w:lineRule="auto"/>
        <w:rPr>
          <w:highlight w:val="none"/>
        </w:rPr>
      </w:pPr>
    </w:p>
    <w:p w14:paraId="69A33C36">
      <w:pPr>
        <w:spacing w:before="68" w:line="333" w:lineRule="auto"/>
        <w:ind w:right="47"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4.3.5</w:t>
      </w:r>
      <w:r>
        <w:rPr>
          <w:rFonts w:ascii="Times New Roman" w:hAnsi="Times New Roman" w:eastAsia="Times New Roman" w:cs="Times New Roman"/>
          <w:spacing w:val="15"/>
          <w:w w:val="101"/>
          <w:sz w:val="21"/>
          <w:szCs w:val="21"/>
          <w:highlight w:val="none"/>
        </w:rPr>
        <w:t xml:space="preserve">   </w:t>
      </w:r>
      <w:r>
        <w:rPr>
          <w:rFonts w:ascii="宋体" w:hAnsi="宋体" w:eastAsia="宋体" w:cs="宋体"/>
          <w:spacing w:val="-2"/>
          <w:sz w:val="21"/>
          <w:szCs w:val="21"/>
          <w:highlight w:val="none"/>
        </w:rPr>
        <w:t>发包人有权书面通知承包人要求更换其认为不称职的工程总承包项目经理，通知</w:t>
      </w:r>
      <w:r>
        <w:rPr>
          <w:rFonts w:ascii="宋体" w:hAnsi="宋体" w:eastAsia="宋体" w:cs="宋体"/>
          <w:spacing w:val="1"/>
          <w:sz w:val="21"/>
          <w:szCs w:val="21"/>
          <w:highlight w:val="none"/>
        </w:rPr>
        <w:t xml:space="preserve"> </w:t>
      </w:r>
      <w:r>
        <w:rPr>
          <w:rFonts w:ascii="宋体" w:hAnsi="宋体" w:eastAsia="宋体" w:cs="宋体"/>
          <w:spacing w:val="3"/>
          <w:sz w:val="21"/>
          <w:szCs w:val="21"/>
          <w:highlight w:val="none"/>
        </w:rPr>
        <w:t>中应当载明要求更换的理由。承包人应在接到更换通知后14天内向发包人提出书</w:t>
      </w:r>
      <w:r>
        <w:rPr>
          <w:rFonts w:ascii="宋体" w:hAnsi="宋体" w:eastAsia="宋体" w:cs="宋体"/>
          <w:spacing w:val="2"/>
          <w:sz w:val="21"/>
          <w:szCs w:val="21"/>
          <w:highlight w:val="none"/>
        </w:rPr>
        <w:t>面的改进</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报告。如承包人没有提出改进报告，应在收到更换通知后28天内更换项目经理。发</w:t>
      </w:r>
      <w:r>
        <w:rPr>
          <w:rFonts w:ascii="宋体" w:hAnsi="宋体" w:eastAsia="宋体" w:cs="宋体"/>
          <w:spacing w:val="2"/>
          <w:sz w:val="21"/>
          <w:szCs w:val="21"/>
          <w:highlight w:val="none"/>
        </w:rPr>
        <w:t>包人收</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到改进报告后仍要求更换的，承包人应在接到第二次更换通知的28天内进行更换，</w:t>
      </w:r>
      <w:r>
        <w:rPr>
          <w:rFonts w:ascii="宋体" w:hAnsi="宋体" w:eastAsia="宋体" w:cs="宋体"/>
          <w:spacing w:val="2"/>
          <w:sz w:val="21"/>
          <w:szCs w:val="21"/>
          <w:highlight w:val="none"/>
        </w:rPr>
        <w:t>并将新</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任命的工程总承包项目经理的注册执业资格、管理经验等资料书面通知发包人。继</w:t>
      </w:r>
      <w:r>
        <w:rPr>
          <w:rFonts w:ascii="宋体" w:hAnsi="宋体" w:eastAsia="宋体" w:cs="宋体"/>
          <w:spacing w:val="-3"/>
          <w:sz w:val="21"/>
          <w:szCs w:val="21"/>
          <w:highlight w:val="none"/>
        </w:rPr>
        <w:t>任工程总</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承包项目经理继续履行本合同约定的职责。承包人无正当理</w:t>
      </w:r>
      <w:r>
        <w:rPr>
          <w:rFonts w:ascii="宋体" w:hAnsi="宋体" w:eastAsia="宋体" w:cs="宋体"/>
          <w:spacing w:val="-3"/>
          <w:sz w:val="21"/>
          <w:szCs w:val="21"/>
          <w:highlight w:val="none"/>
        </w:rPr>
        <w:t>由拒绝更换工程总承包项目经理</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的，应按照专用合同条件的约定承担违约责任。</w:t>
      </w:r>
    </w:p>
    <w:p w14:paraId="0C95E40C">
      <w:pPr>
        <w:pStyle w:val="2"/>
        <w:spacing w:line="297" w:lineRule="auto"/>
        <w:rPr>
          <w:highlight w:val="none"/>
        </w:rPr>
      </w:pPr>
    </w:p>
    <w:p w14:paraId="02DAA165">
      <w:pPr>
        <w:spacing w:before="71" w:line="291" w:lineRule="auto"/>
        <w:ind w:right="47" w:firstLine="42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4.3.6</w:t>
      </w:r>
      <w:r>
        <w:rPr>
          <w:rFonts w:ascii="Times New Roman" w:hAnsi="Times New Roman" w:eastAsia="Times New Roman" w:cs="Times New Roman"/>
          <w:spacing w:val="12"/>
          <w:sz w:val="22"/>
          <w:szCs w:val="22"/>
          <w:highlight w:val="none"/>
        </w:rPr>
        <w:t xml:space="preserve">   </w:t>
      </w:r>
      <w:r>
        <w:rPr>
          <w:rFonts w:ascii="宋体" w:hAnsi="宋体" w:eastAsia="宋体" w:cs="宋体"/>
          <w:spacing w:val="-11"/>
          <w:sz w:val="22"/>
          <w:szCs w:val="22"/>
          <w:highlight w:val="none"/>
        </w:rPr>
        <w:t>工程总承包项目经理因特殊情况授权其下属人员履行其某项工作</w:t>
      </w:r>
      <w:r>
        <w:rPr>
          <w:rFonts w:ascii="宋体" w:hAnsi="宋体" w:eastAsia="宋体" w:cs="宋体"/>
          <w:spacing w:val="-12"/>
          <w:sz w:val="22"/>
          <w:szCs w:val="22"/>
          <w:highlight w:val="none"/>
        </w:rPr>
        <w:t>职责的，该下属</w:t>
      </w:r>
      <w:r>
        <w:rPr>
          <w:rFonts w:ascii="宋体" w:hAnsi="宋体" w:eastAsia="宋体" w:cs="宋体"/>
          <w:spacing w:val="2"/>
          <w:sz w:val="22"/>
          <w:szCs w:val="22"/>
          <w:highlight w:val="none"/>
        </w:rPr>
        <w:t xml:space="preserve"> </w:t>
      </w:r>
      <w:r>
        <w:rPr>
          <w:rFonts w:ascii="宋体" w:hAnsi="宋体" w:eastAsia="宋体" w:cs="宋体"/>
          <w:spacing w:val="-12"/>
          <w:sz w:val="22"/>
          <w:szCs w:val="22"/>
          <w:highlight w:val="none"/>
        </w:rPr>
        <w:t>人员应具备履行相应职责的能力，并应事先将上述人员的姓名、</w:t>
      </w:r>
      <w:r>
        <w:rPr>
          <w:rFonts w:ascii="宋体" w:hAnsi="宋体" w:eastAsia="宋体" w:cs="宋体"/>
          <w:spacing w:val="-13"/>
          <w:sz w:val="22"/>
          <w:szCs w:val="22"/>
          <w:highlight w:val="none"/>
        </w:rPr>
        <w:t>注册执业资格、管理经验等</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信息和授权范围书面通知发包人并抄送工程师，征得发包人书面同意。</w:t>
      </w:r>
    </w:p>
    <w:p w14:paraId="7AFD3388">
      <w:pPr>
        <w:pStyle w:val="2"/>
        <w:spacing w:line="364" w:lineRule="auto"/>
        <w:rPr>
          <w:highlight w:val="none"/>
        </w:rPr>
      </w:pPr>
    </w:p>
    <w:p w14:paraId="71AC75BB">
      <w:pPr>
        <w:spacing w:before="72" w:line="221" w:lineRule="auto"/>
        <w:rPr>
          <w:rFonts w:ascii="黑体" w:hAnsi="黑体" w:eastAsia="黑体" w:cs="黑体"/>
          <w:sz w:val="22"/>
          <w:szCs w:val="22"/>
          <w:highlight w:val="none"/>
        </w:rPr>
      </w:pPr>
      <w:r>
        <w:rPr>
          <w:rFonts w:ascii="黑体" w:hAnsi="黑体" w:eastAsia="黑体" w:cs="黑体"/>
          <w:spacing w:val="6"/>
          <w:sz w:val="22"/>
          <w:szCs w:val="22"/>
          <w:highlight w:val="none"/>
        </w:rPr>
        <w:t>4.4承包人人员</w:t>
      </w:r>
    </w:p>
    <w:p w14:paraId="2F328FA2">
      <w:pPr>
        <w:spacing w:before="99" w:line="221"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4.4.1</w:t>
      </w:r>
      <w:r>
        <w:rPr>
          <w:rFonts w:ascii="宋体" w:hAnsi="宋体" w:eastAsia="宋体" w:cs="宋体"/>
          <w:spacing w:val="27"/>
          <w:sz w:val="22"/>
          <w:szCs w:val="22"/>
          <w:highlight w:val="none"/>
        </w:rPr>
        <w:t xml:space="preserve"> </w:t>
      </w:r>
      <w:r>
        <w:rPr>
          <w:rFonts w:ascii="宋体" w:hAnsi="宋体" w:eastAsia="宋体" w:cs="宋体"/>
          <w:spacing w:val="-10"/>
          <w:sz w:val="22"/>
          <w:szCs w:val="22"/>
          <w:highlight w:val="none"/>
        </w:rPr>
        <w:t>人员安排</w:t>
      </w:r>
    </w:p>
    <w:p w14:paraId="03DBD51D">
      <w:pPr>
        <w:spacing w:line="221" w:lineRule="auto"/>
        <w:rPr>
          <w:rFonts w:ascii="宋体" w:hAnsi="宋体" w:eastAsia="宋体" w:cs="宋体"/>
          <w:sz w:val="22"/>
          <w:szCs w:val="22"/>
          <w:highlight w:val="none"/>
        </w:rPr>
        <w:sectPr>
          <w:footerReference r:id="rId87" w:type="default"/>
          <w:pgSz w:w="11910" w:h="16840"/>
          <w:pgMar w:top="400" w:right="1774" w:bottom="1217" w:left="1769" w:header="0" w:footer="1013" w:gutter="0"/>
          <w:cols w:space="720" w:num="1"/>
        </w:sectPr>
      </w:pPr>
    </w:p>
    <w:p w14:paraId="2E14E5E3">
      <w:pPr>
        <w:pStyle w:val="2"/>
        <w:spacing w:line="275" w:lineRule="auto"/>
        <w:rPr>
          <w:highlight w:val="none"/>
        </w:rPr>
      </w:pPr>
    </w:p>
    <w:p w14:paraId="58675225">
      <w:pPr>
        <w:pStyle w:val="2"/>
        <w:spacing w:line="276" w:lineRule="auto"/>
        <w:rPr>
          <w:highlight w:val="none"/>
        </w:rPr>
      </w:pPr>
    </w:p>
    <w:p w14:paraId="75A9BEE7">
      <w:pPr>
        <w:pStyle w:val="2"/>
        <w:spacing w:line="276" w:lineRule="auto"/>
        <w:rPr>
          <w:highlight w:val="none"/>
        </w:rPr>
      </w:pPr>
    </w:p>
    <w:p w14:paraId="328C9622">
      <w:pPr>
        <w:pStyle w:val="2"/>
        <w:spacing w:line="276" w:lineRule="auto"/>
        <w:rPr>
          <w:highlight w:val="none"/>
        </w:rPr>
      </w:pPr>
    </w:p>
    <w:p w14:paraId="1AAC4B97">
      <w:pPr>
        <w:spacing w:before="68" w:line="414" w:lineRule="auto"/>
        <w:ind w:right="88"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承包人人员的资质、数量、配置和管理应能满足工程</w:t>
      </w:r>
      <w:r>
        <w:rPr>
          <w:rFonts w:ascii="宋体" w:hAnsi="宋体" w:eastAsia="宋体" w:cs="宋体"/>
          <w:spacing w:val="-3"/>
          <w:sz w:val="21"/>
          <w:szCs w:val="21"/>
          <w:highlight w:val="none"/>
        </w:rPr>
        <w:t>实施的需要。除专用合同条件另有</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约定外，承包人应在接到开始工作通知之日起14天内，向工程师提交承包人的项目管理机</w:t>
      </w:r>
      <w:r>
        <w:rPr>
          <w:rFonts w:ascii="宋体" w:hAnsi="宋体" w:eastAsia="宋体" w:cs="宋体"/>
          <w:spacing w:val="6"/>
          <w:sz w:val="21"/>
          <w:szCs w:val="21"/>
          <w:highlight w:val="none"/>
        </w:rPr>
        <w:t xml:space="preserve"> </w:t>
      </w:r>
      <w:r>
        <w:rPr>
          <w:rFonts w:ascii="宋体" w:hAnsi="宋体" w:eastAsia="宋体" w:cs="宋体"/>
          <w:spacing w:val="-2"/>
          <w:sz w:val="21"/>
          <w:szCs w:val="21"/>
          <w:highlight w:val="none"/>
        </w:rPr>
        <w:t>构以及人员安排的报告，其内容应包括管理机构的设置、各主要岗位的关键人员名单及注册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执业资格等证明其具备担任关键人员能力的相关文件，以及设计人员和各工种技术负责人的</w:t>
      </w:r>
      <w:r>
        <w:rPr>
          <w:rFonts w:ascii="宋体" w:hAnsi="宋体" w:eastAsia="宋体" w:cs="宋体"/>
          <w:spacing w:val="5"/>
          <w:sz w:val="21"/>
          <w:szCs w:val="21"/>
          <w:highlight w:val="none"/>
        </w:rPr>
        <w:t xml:space="preserve"> </w:t>
      </w:r>
      <w:r>
        <w:rPr>
          <w:rFonts w:ascii="宋体" w:hAnsi="宋体" w:eastAsia="宋体" w:cs="宋体"/>
          <w:spacing w:val="-7"/>
          <w:sz w:val="21"/>
          <w:szCs w:val="21"/>
          <w:highlight w:val="none"/>
        </w:rPr>
        <w:t>安排状况。</w:t>
      </w:r>
    </w:p>
    <w:p w14:paraId="494C9A0F">
      <w:pPr>
        <w:spacing w:before="4" w:line="375" w:lineRule="auto"/>
        <w:ind w:right="94" w:firstLine="430"/>
        <w:jc w:val="both"/>
        <w:rPr>
          <w:rFonts w:ascii="宋体" w:hAnsi="宋体" w:eastAsia="宋体" w:cs="宋体"/>
          <w:sz w:val="22"/>
          <w:szCs w:val="22"/>
          <w:highlight w:val="none"/>
        </w:rPr>
      </w:pPr>
      <w:r>
        <w:rPr>
          <w:rFonts w:ascii="宋体" w:hAnsi="宋体" w:eastAsia="宋体" w:cs="宋体"/>
          <w:spacing w:val="-7"/>
          <w:sz w:val="22"/>
          <w:szCs w:val="22"/>
          <w:highlight w:val="none"/>
        </w:rPr>
        <w:t>关键人员是发包人及承包人一致认为对工程建设起重要作用的承包人主要管理人员或</w:t>
      </w:r>
      <w:r>
        <w:rPr>
          <w:rFonts w:ascii="宋体" w:hAnsi="宋体" w:eastAsia="宋体" w:cs="宋体"/>
          <w:spacing w:val="8"/>
          <w:sz w:val="22"/>
          <w:szCs w:val="22"/>
          <w:highlight w:val="none"/>
        </w:rPr>
        <w:t xml:space="preserve"> </w:t>
      </w:r>
      <w:r>
        <w:rPr>
          <w:rFonts w:ascii="宋体" w:hAnsi="宋体" w:eastAsia="宋体" w:cs="宋体"/>
          <w:spacing w:val="-9"/>
          <w:sz w:val="22"/>
          <w:szCs w:val="22"/>
          <w:highlight w:val="none"/>
        </w:rPr>
        <w:t>技术人员。关键人员的具体范围由发包人及承包人在附件5[承包人主要管理人员表]中</w:t>
      </w:r>
      <w:r>
        <w:rPr>
          <w:rFonts w:ascii="宋体" w:hAnsi="宋体" w:eastAsia="宋体" w:cs="宋体"/>
          <w:spacing w:val="-10"/>
          <w:sz w:val="22"/>
          <w:szCs w:val="22"/>
          <w:highlight w:val="none"/>
        </w:rPr>
        <w:t>另行</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约定。</w:t>
      </w:r>
    </w:p>
    <w:p w14:paraId="298AF276">
      <w:pPr>
        <w:spacing w:line="220" w:lineRule="auto"/>
        <w:ind w:left="43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 xml:space="preserve">4.4.2    </w:t>
      </w:r>
      <w:r>
        <w:rPr>
          <w:rFonts w:ascii="宋体" w:hAnsi="宋体" w:eastAsia="宋体" w:cs="宋体"/>
          <w:spacing w:val="5"/>
          <w:sz w:val="20"/>
          <w:szCs w:val="20"/>
          <w:highlight w:val="none"/>
        </w:rPr>
        <w:t>关键人员更换</w:t>
      </w:r>
    </w:p>
    <w:p w14:paraId="427676A0">
      <w:pPr>
        <w:pStyle w:val="2"/>
        <w:spacing w:line="353" w:lineRule="auto"/>
        <w:rPr>
          <w:highlight w:val="none"/>
        </w:rPr>
      </w:pPr>
    </w:p>
    <w:p w14:paraId="05D8CCC4">
      <w:pPr>
        <w:spacing w:before="68" w:line="423" w:lineRule="auto"/>
        <w:ind w:right="40"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承包人派驻到施工现场的关键人员应相对稳定。承包人更换关键人员时，应提前14天</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将继任关键人员信息及相关证明文件提交给工程师，并由工程师报发包人征求同意。在</w:t>
      </w:r>
      <w:r>
        <w:rPr>
          <w:rFonts w:ascii="宋体" w:hAnsi="宋体" w:eastAsia="宋体" w:cs="宋体"/>
          <w:spacing w:val="-3"/>
          <w:sz w:val="21"/>
          <w:szCs w:val="21"/>
          <w:highlight w:val="none"/>
        </w:rPr>
        <w:t>发包</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人未予以书面回复期间内，关键人员将继续履行其职务。关键人员突发丧失履行职务能力的，</w:t>
      </w:r>
      <w:r>
        <w:rPr>
          <w:rFonts w:ascii="宋体" w:hAnsi="宋体" w:eastAsia="宋体" w:cs="宋体"/>
          <w:spacing w:val="10"/>
          <w:sz w:val="21"/>
          <w:szCs w:val="21"/>
          <w:highlight w:val="none"/>
        </w:rPr>
        <w:t xml:space="preserve"> </w:t>
      </w:r>
      <w:r>
        <w:rPr>
          <w:rFonts w:ascii="宋体" w:hAnsi="宋体" w:eastAsia="宋体" w:cs="宋体"/>
          <w:spacing w:val="-2"/>
          <w:sz w:val="21"/>
          <w:szCs w:val="21"/>
          <w:highlight w:val="none"/>
        </w:rPr>
        <w:t>承包人应当及时委派一位具有相应资格能力的人员临时继任该关键人员职位，履行该关</w:t>
      </w:r>
      <w:r>
        <w:rPr>
          <w:rFonts w:ascii="宋体" w:hAnsi="宋体" w:eastAsia="宋体" w:cs="宋体"/>
          <w:spacing w:val="-3"/>
          <w:sz w:val="21"/>
          <w:szCs w:val="21"/>
          <w:highlight w:val="none"/>
        </w:rPr>
        <w:t>键人</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员职责，临时继任关键人员将履行职责直至发包人同意新的关键人员任命之日止。承包人擅</w:t>
      </w:r>
      <w:r>
        <w:rPr>
          <w:rFonts w:ascii="宋体" w:hAnsi="宋体" w:eastAsia="宋体" w:cs="宋体"/>
          <w:spacing w:val="18"/>
          <w:sz w:val="21"/>
          <w:szCs w:val="21"/>
          <w:highlight w:val="none"/>
        </w:rPr>
        <w:t xml:space="preserve"> </w:t>
      </w:r>
      <w:r>
        <w:rPr>
          <w:rFonts w:ascii="宋体" w:hAnsi="宋体" w:eastAsia="宋体" w:cs="宋体"/>
          <w:spacing w:val="-2"/>
          <w:sz w:val="21"/>
          <w:szCs w:val="21"/>
          <w:highlight w:val="none"/>
        </w:rPr>
        <w:t>自更换关键人员，应按照专用合同条件约定承担违约责任。</w:t>
      </w:r>
    </w:p>
    <w:p w14:paraId="1447A2A0">
      <w:pPr>
        <w:spacing w:before="4" w:line="397" w:lineRule="auto"/>
        <w:ind w:right="76"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工程师对于承包人关键人员的资格或能力有异议的，承包人应提供资料证明被质疑人员</w:t>
      </w:r>
      <w:r>
        <w:rPr>
          <w:rFonts w:ascii="宋体" w:hAnsi="宋体" w:eastAsia="宋体" w:cs="宋体"/>
          <w:spacing w:val="3"/>
          <w:sz w:val="21"/>
          <w:szCs w:val="21"/>
          <w:highlight w:val="none"/>
        </w:rPr>
        <w:t xml:space="preserve"> </w:t>
      </w:r>
      <w:r>
        <w:rPr>
          <w:rFonts w:ascii="宋体" w:hAnsi="宋体" w:eastAsia="宋体" w:cs="宋体"/>
          <w:spacing w:val="-3"/>
          <w:sz w:val="21"/>
          <w:szCs w:val="21"/>
          <w:highlight w:val="none"/>
        </w:rPr>
        <w:t>有能力完成其岗位工作或不存在工程师所质疑的情形。工程师指示撤换不能按照合同约定履</w:t>
      </w:r>
      <w:r>
        <w:rPr>
          <w:rFonts w:ascii="宋体" w:hAnsi="宋体" w:eastAsia="宋体" w:cs="宋体"/>
          <w:spacing w:val="17"/>
          <w:sz w:val="21"/>
          <w:szCs w:val="21"/>
          <w:highlight w:val="none"/>
        </w:rPr>
        <w:t xml:space="preserve"> </w:t>
      </w:r>
      <w:r>
        <w:rPr>
          <w:rFonts w:ascii="宋体" w:hAnsi="宋体" w:eastAsia="宋体" w:cs="宋体"/>
          <w:spacing w:val="-2"/>
          <w:sz w:val="21"/>
          <w:szCs w:val="21"/>
          <w:highlight w:val="none"/>
        </w:rPr>
        <w:t>行职责及义务的主要施工管理人员的，承包人应当撤换。承包人无正当理由拒绝撤换的</w:t>
      </w:r>
      <w:r>
        <w:rPr>
          <w:rFonts w:ascii="宋体" w:hAnsi="宋体" w:eastAsia="宋体" w:cs="宋体"/>
          <w:spacing w:val="-3"/>
          <w:sz w:val="21"/>
          <w:szCs w:val="21"/>
          <w:highlight w:val="none"/>
        </w:rPr>
        <w:t>，应</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按照专用合同条件的约定承担违约责任。</w:t>
      </w:r>
    </w:p>
    <w:p w14:paraId="59A88E83">
      <w:pPr>
        <w:spacing w:line="219" w:lineRule="auto"/>
        <w:ind w:left="43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4.4.3    </w:t>
      </w:r>
      <w:r>
        <w:rPr>
          <w:rFonts w:ascii="宋体" w:hAnsi="宋体" w:eastAsia="宋体" w:cs="宋体"/>
          <w:spacing w:val="7"/>
          <w:sz w:val="20"/>
          <w:szCs w:val="20"/>
          <w:highlight w:val="none"/>
        </w:rPr>
        <w:t>现场管理关键人员在岗要求</w:t>
      </w:r>
    </w:p>
    <w:p w14:paraId="3ABDB2C1">
      <w:pPr>
        <w:pStyle w:val="2"/>
        <w:spacing w:line="349" w:lineRule="auto"/>
        <w:rPr>
          <w:highlight w:val="none"/>
        </w:rPr>
      </w:pPr>
    </w:p>
    <w:p w14:paraId="6A16AF9F">
      <w:pPr>
        <w:spacing w:before="69" w:line="416" w:lineRule="auto"/>
        <w:ind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除专用合同条件另有约定外，承包人的现场管理</w:t>
      </w:r>
      <w:r>
        <w:rPr>
          <w:rFonts w:ascii="宋体" w:hAnsi="宋体" w:eastAsia="宋体" w:cs="宋体"/>
          <w:spacing w:val="-3"/>
          <w:sz w:val="21"/>
          <w:szCs w:val="21"/>
          <w:highlight w:val="none"/>
        </w:rPr>
        <w:t>关键人员离开施工现场每月累计不超过</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7天的，应报工程师同意；离开施工现场每月累计超过7天的，应书面通知发包人并抄送工</w:t>
      </w:r>
      <w:r>
        <w:rPr>
          <w:rFonts w:ascii="宋体" w:hAnsi="宋体" w:eastAsia="宋体" w:cs="宋体"/>
          <w:spacing w:val="5"/>
          <w:sz w:val="21"/>
          <w:szCs w:val="21"/>
          <w:highlight w:val="none"/>
        </w:rPr>
        <w:t xml:space="preserve">  </w:t>
      </w:r>
      <w:r>
        <w:rPr>
          <w:rFonts w:ascii="宋体" w:hAnsi="宋体" w:eastAsia="宋体" w:cs="宋体"/>
          <w:spacing w:val="-2"/>
          <w:sz w:val="21"/>
          <w:szCs w:val="21"/>
          <w:highlight w:val="none"/>
        </w:rPr>
        <w:t>程师，征得发包人书面同意。现场管理关键人员因故离开施工现场的，可授权有经验的人员</w:t>
      </w:r>
      <w:r>
        <w:rPr>
          <w:rFonts w:ascii="宋体" w:hAnsi="宋体" w:eastAsia="宋体" w:cs="宋体"/>
          <w:spacing w:val="17"/>
          <w:sz w:val="21"/>
          <w:szCs w:val="21"/>
          <w:highlight w:val="none"/>
        </w:rPr>
        <w:t xml:space="preserve"> </w:t>
      </w:r>
      <w:r>
        <w:rPr>
          <w:rFonts w:ascii="宋体" w:hAnsi="宋体" w:eastAsia="宋体" w:cs="宋体"/>
          <w:sz w:val="21"/>
          <w:szCs w:val="21"/>
          <w:highlight w:val="none"/>
        </w:rPr>
        <w:t>临时代行其职责，但承包人应将被授权人员信息及授权范围书面通知发包人并取得其同意。</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现场管理关键人员未经工程师或发包人同意擅自离开施工现场的，应按照专用合同条件约定</w:t>
      </w:r>
      <w:r>
        <w:rPr>
          <w:rFonts w:ascii="宋体" w:hAnsi="宋体" w:eastAsia="宋体" w:cs="宋体"/>
          <w:spacing w:val="1"/>
          <w:sz w:val="21"/>
          <w:szCs w:val="21"/>
          <w:highlight w:val="none"/>
        </w:rPr>
        <w:t xml:space="preserve">  </w:t>
      </w:r>
      <w:r>
        <w:rPr>
          <w:rFonts w:ascii="宋体" w:hAnsi="宋体" w:eastAsia="宋体" w:cs="宋体"/>
          <w:spacing w:val="-5"/>
          <w:sz w:val="21"/>
          <w:szCs w:val="21"/>
          <w:highlight w:val="none"/>
        </w:rPr>
        <w:t>承担违约责任。</w:t>
      </w:r>
    </w:p>
    <w:p w14:paraId="4095BAC3">
      <w:pPr>
        <w:spacing w:before="204" w:line="222" w:lineRule="auto"/>
        <w:rPr>
          <w:rFonts w:ascii="黑体" w:hAnsi="黑体" w:eastAsia="黑体" w:cs="黑体"/>
          <w:sz w:val="22"/>
          <w:szCs w:val="22"/>
          <w:highlight w:val="none"/>
        </w:rPr>
      </w:pPr>
      <w:r>
        <w:rPr>
          <w:rFonts w:ascii="黑体" w:hAnsi="黑体" w:eastAsia="黑体" w:cs="黑体"/>
          <w:spacing w:val="-5"/>
          <w:sz w:val="22"/>
          <w:szCs w:val="22"/>
          <w:highlight w:val="none"/>
        </w:rPr>
        <w:t>4.5 分包</w:t>
      </w:r>
    </w:p>
    <w:p w14:paraId="091E4AF6">
      <w:pPr>
        <w:spacing w:before="115" w:line="220" w:lineRule="auto"/>
        <w:ind w:left="430"/>
        <w:rPr>
          <w:rFonts w:ascii="宋体" w:hAnsi="宋体" w:eastAsia="宋体" w:cs="宋体"/>
          <w:sz w:val="20"/>
          <w:szCs w:val="20"/>
          <w:highlight w:val="none"/>
        </w:rPr>
      </w:pPr>
      <w:r>
        <w:rPr>
          <w:rFonts w:ascii="宋体" w:hAnsi="宋体" w:eastAsia="宋体" w:cs="宋体"/>
          <w:spacing w:val="1"/>
          <w:sz w:val="20"/>
          <w:szCs w:val="20"/>
          <w:highlight w:val="none"/>
        </w:rPr>
        <w:t>4.5.1</w:t>
      </w:r>
      <w:r>
        <w:rPr>
          <w:rFonts w:ascii="宋体" w:hAnsi="宋体" w:eastAsia="宋体" w:cs="宋体"/>
          <w:spacing w:val="53"/>
          <w:sz w:val="20"/>
          <w:szCs w:val="20"/>
          <w:highlight w:val="none"/>
        </w:rPr>
        <w:t xml:space="preserve"> </w:t>
      </w:r>
      <w:r>
        <w:rPr>
          <w:rFonts w:ascii="宋体" w:hAnsi="宋体" w:eastAsia="宋体" w:cs="宋体"/>
          <w:spacing w:val="1"/>
          <w:sz w:val="20"/>
          <w:szCs w:val="20"/>
          <w:highlight w:val="none"/>
        </w:rPr>
        <w:t>一般约定</w:t>
      </w:r>
    </w:p>
    <w:p w14:paraId="468AA4B1">
      <w:pPr>
        <w:spacing w:line="220" w:lineRule="auto"/>
        <w:rPr>
          <w:rFonts w:ascii="宋体" w:hAnsi="宋体" w:eastAsia="宋体" w:cs="宋体"/>
          <w:sz w:val="20"/>
          <w:szCs w:val="20"/>
          <w:highlight w:val="none"/>
        </w:rPr>
        <w:sectPr>
          <w:footerReference r:id="rId88" w:type="default"/>
          <w:pgSz w:w="11910" w:h="16840"/>
          <w:pgMar w:top="400" w:right="1724" w:bottom="1238" w:left="1769" w:header="0" w:footer="1007" w:gutter="0"/>
          <w:cols w:space="720" w:num="1"/>
        </w:sectPr>
      </w:pPr>
    </w:p>
    <w:p w14:paraId="592ADDB8">
      <w:pPr>
        <w:pStyle w:val="2"/>
        <w:spacing w:line="272" w:lineRule="auto"/>
        <w:rPr>
          <w:highlight w:val="none"/>
        </w:rPr>
      </w:pPr>
    </w:p>
    <w:p w14:paraId="6565B190">
      <w:pPr>
        <w:pStyle w:val="2"/>
        <w:spacing w:line="273" w:lineRule="auto"/>
        <w:rPr>
          <w:highlight w:val="none"/>
        </w:rPr>
      </w:pPr>
    </w:p>
    <w:p w14:paraId="7055313A">
      <w:pPr>
        <w:pStyle w:val="2"/>
        <w:spacing w:line="273" w:lineRule="auto"/>
        <w:rPr>
          <w:highlight w:val="none"/>
        </w:rPr>
      </w:pPr>
    </w:p>
    <w:p w14:paraId="038BEAAD">
      <w:pPr>
        <w:pStyle w:val="2"/>
        <w:spacing w:line="273" w:lineRule="auto"/>
        <w:rPr>
          <w:highlight w:val="none"/>
        </w:rPr>
      </w:pPr>
    </w:p>
    <w:p w14:paraId="6E6CFA7A">
      <w:pPr>
        <w:spacing w:before="72" w:line="394" w:lineRule="auto"/>
        <w:ind w:right="27" w:firstLine="430"/>
        <w:rPr>
          <w:rFonts w:ascii="宋体" w:hAnsi="宋体" w:eastAsia="宋体" w:cs="宋体"/>
          <w:sz w:val="22"/>
          <w:szCs w:val="22"/>
          <w:highlight w:val="none"/>
        </w:rPr>
      </w:pPr>
      <w:r>
        <w:rPr>
          <w:rFonts w:ascii="宋体" w:hAnsi="宋体" w:eastAsia="宋体" w:cs="宋体"/>
          <w:spacing w:val="-12"/>
          <w:sz w:val="22"/>
          <w:szCs w:val="22"/>
          <w:highlight w:val="none"/>
        </w:rPr>
        <w:t>承包人不得将其承包的全部工程转包给第三人，或将其承包的全部</w:t>
      </w:r>
      <w:r>
        <w:rPr>
          <w:rFonts w:ascii="宋体" w:hAnsi="宋体" w:eastAsia="宋体" w:cs="宋体"/>
          <w:spacing w:val="-13"/>
          <w:sz w:val="22"/>
          <w:szCs w:val="22"/>
          <w:highlight w:val="none"/>
        </w:rPr>
        <w:t>工程支解后以分包的</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名义转包给第三人。承包人不得将法律或专用合同条件中禁</w:t>
      </w:r>
      <w:r>
        <w:rPr>
          <w:rFonts w:ascii="宋体" w:hAnsi="宋体" w:eastAsia="宋体" w:cs="宋体"/>
          <w:spacing w:val="-8"/>
          <w:sz w:val="22"/>
          <w:szCs w:val="22"/>
          <w:highlight w:val="none"/>
        </w:rPr>
        <w:t>止分包的工作事项分包给第三</w:t>
      </w:r>
    </w:p>
    <w:p w14:paraId="0C483F57">
      <w:pPr>
        <w:spacing w:line="219" w:lineRule="auto"/>
        <w:rPr>
          <w:rFonts w:ascii="宋体" w:hAnsi="宋体" w:eastAsia="宋体" w:cs="宋体"/>
          <w:sz w:val="22"/>
          <w:szCs w:val="22"/>
          <w:highlight w:val="none"/>
        </w:rPr>
      </w:pPr>
      <w:r>
        <w:rPr>
          <w:rFonts w:ascii="宋体" w:hAnsi="宋体" w:eastAsia="宋体" w:cs="宋体"/>
          <w:spacing w:val="-11"/>
          <w:sz w:val="22"/>
          <w:szCs w:val="22"/>
          <w:highlight w:val="none"/>
        </w:rPr>
        <w:t>人，不得以劳务分包的名义转包或违法分包工程。</w:t>
      </w:r>
    </w:p>
    <w:p w14:paraId="4F1666E9">
      <w:pPr>
        <w:spacing w:before="99" w:line="220" w:lineRule="auto"/>
        <w:ind w:left="430"/>
        <w:rPr>
          <w:rFonts w:ascii="宋体" w:hAnsi="宋体" w:eastAsia="宋体" w:cs="宋体"/>
          <w:sz w:val="22"/>
          <w:szCs w:val="22"/>
          <w:highlight w:val="none"/>
        </w:rPr>
      </w:pPr>
      <w:r>
        <w:rPr>
          <w:rFonts w:ascii="宋体" w:hAnsi="宋体" w:eastAsia="宋体" w:cs="宋体"/>
          <w:spacing w:val="1"/>
          <w:sz w:val="22"/>
          <w:szCs w:val="22"/>
          <w:highlight w:val="none"/>
        </w:rPr>
        <w:t>4.5.2分包的确定</w:t>
      </w:r>
    </w:p>
    <w:p w14:paraId="5360FE80">
      <w:pPr>
        <w:pStyle w:val="2"/>
        <w:spacing w:line="363" w:lineRule="auto"/>
        <w:rPr>
          <w:highlight w:val="none"/>
        </w:rPr>
      </w:pPr>
    </w:p>
    <w:p w14:paraId="759E2225">
      <w:pPr>
        <w:spacing w:before="72"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承包人应按照专用合同条件约定对工作事项</w:t>
      </w:r>
      <w:r>
        <w:rPr>
          <w:rFonts w:ascii="宋体" w:hAnsi="宋体" w:eastAsia="宋体" w:cs="宋体"/>
          <w:spacing w:val="-11"/>
          <w:sz w:val="22"/>
          <w:szCs w:val="22"/>
          <w:highlight w:val="none"/>
        </w:rPr>
        <w:t>进行分包，确定分包人。</w:t>
      </w:r>
    </w:p>
    <w:p w14:paraId="350B4DE4">
      <w:pPr>
        <w:spacing w:before="207" w:line="422" w:lineRule="auto"/>
        <w:ind w:right="32" w:firstLine="430"/>
        <w:rPr>
          <w:rFonts w:ascii="宋体" w:hAnsi="宋体" w:eastAsia="宋体" w:cs="宋体"/>
          <w:sz w:val="21"/>
          <w:szCs w:val="21"/>
          <w:highlight w:val="none"/>
        </w:rPr>
      </w:pPr>
      <w:r>
        <w:rPr>
          <w:rFonts w:ascii="宋体" w:hAnsi="宋体" w:eastAsia="宋体" w:cs="宋体"/>
          <w:spacing w:val="-2"/>
          <w:sz w:val="21"/>
          <w:szCs w:val="21"/>
          <w:highlight w:val="none"/>
        </w:rPr>
        <w:t>专用合同条件未列出的分包事项，承包人可在工程</w:t>
      </w:r>
      <w:r>
        <w:rPr>
          <w:rFonts w:ascii="宋体" w:hAnsi="宋体" w:eastAsia="宋体" w:cs="宋体"/>
          <w:spacing w:val="-3"/>
          <w:sz w:val="21"/>
          <w:szCs w:val="21"/>
          <w:highlight w:val="none"/>
        </w:rPr>
        <w:t>实施阶段分批分期就分包事项向发包</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人提交申请，发包人在接到分包事项申请后的14天内，予以批准或提出意见。未经发包人</w:t>
      </w:r>
      <w:r>
        <w:rPr>
          <w:rFonts w:ascii="宋体" w:hAnsi="宋体" w:eastAsia="宋体" w:cs="宋体"/>
          <w:spacing w:val="7"/>
          <w:sz w:val="21"/>
          <w:szCs w:val="21"/>
          <w:highlight w:val="none"/>
        </w:rPr>
        <w:t xml:space="preserve"> </w:t>
      </w:r>
      <w:r>
        <w:rPr>
          <w:rFonts w:ascii="宋体" w:hAnsi="宋体" w:eastAsia="宋体" w:cs="宋体"/>
          <w:spacing w:val="3"/>
          <w:sz w:val="21"/>
          <w:szCs w:val="21"/>
          <w:highlight w:val="none"/>
        </w:rPr>
        <w:t>同意，承包人不得将提出的拟分包事项对外分包。发包人未能在14天内批准亦未提出意见</w:t>
      </w:r>
    </w:p>
    <w:p w14:paraId="700C7D40">
      <w:pPr>
        <w:spacing w:line="218" w:lineRule="auto"/>
        <w:rPr>
          <w:rFonts w:ascii="宋体" w:hAnsi="宋体" w:eastAsia="宋体" w:cs="宋体"/>
          <w:sz w:val="21"/>
          <w:szCs w:val="21"/>
          <w:highlight w:val="none"/>
        </w:rPr>
      </w:pPr>
      <w:r>
        <w:rPr>
          <w:rFonts w:ascii="宋体" w:hAnsi="宋体" w:eastAsia="宋体" w:cs="宋体"/>
          <w:sz w:val="21"/>
          <w:szCs w:val="21"/>
          <w:highlight w:val="none"/>
        </w:rPr>
        <w:t>的，承包人有权将提出的拟分包事项对外分包</w:t>
      </w:r>
      <w:r>
        <w:rPr>
          <w:rFonts w:ascii="宋体" w:hAnsi="宋体" w:eastAsia="宋体" w:cs="宋体"/>
          <w:spacing w:val="-1"/>
          <w:sz w:val="21"/>
          <w:szCs w:val="21"/>
          <w:highlight w:val="none"/>
        </w:rPr>
        <w:t>，但应在分包人确定后通知发包人。</w:t>
      </w:r>
    </w:p>
    <w:p w14:paraId="73314D90">
      <w:pPr>
        <w:spacing w:before="103" w:line="220" w:lineRule="auto"/>
        <w:ind w:left="430"/>
        <w:rPr>
          <w:rFonts w:ascii="宋体" w:hAnsi="宋体" w:eastAsia="宋体" w:cs="宋体"/>
          <w:sz w:val="22"/>
          <w:szCs w:val="22"/>
          <w:highlight w:val="none"/>
        </w:rPr>
      </w:pPr>
      <w:r>
        <w:rPr>
          <w:rFonts w:ascii="宋体" w:hAnsi="宋体" w:eastAsia="宋体" w:cs="宋体"/>
          <w:spacing w:val="2"/>
          <w:sz w:val="22"/>
          <w:szCs w:val="22"/>
          <w:highlight w:val="none"/>
        </w:rPr>
        <w:t>4.5.3分包人资质</w:t>
      </w:r>
    </w:p>
    <w:p w14:paraId="37DD1BD2">
      <w:pPr>
        <w:pStyle w:val="2"/>
        <w:spacing w:line="333" w:lineRule="auto"/>
        <w:rPr>
          <w:highlight w:val="none"/>
        </w:rPr>
      </w:pPr>
    </w:p>
    <w:p w14:paraId="2FE51B1B">
      <w:pPr>
        <w:spacing w:before="72" w:line="219" w:lineRule="auto"/>
        <w:ind w:right="22"/>
        <w:jc w:val="right"/>
        <w:rPr>
          <w:rFonts w:ascii="宋体" w:hAnsi="宋体" w:eastAsia="宋体" w:cs="宋体"/>
          <w:sz w:val="22"/>
          <w:szCs w:val="22"/>
          <w:highlight w:val="none"/>
        </w:rPr>
      </w:pPr>
      <w:r>
        <w:rPr>
          <w:rFonts w:ascii="宋体" w:hAnsi="宋体" w:eastAsia="宋体" w:cs="宋体"/>
          <w:spacing w:val="-12"/>
          <w:sz w:val="22"/>
          <w:szCs w:val="22"/>
          <w:highlight w:val="none"/>
        </w:rPr>
        <w:t>分包人应符合国家法律规定的资质等级，否则不能作为分包人。承包人有义务</w:t>
      </w:r>
      <w:r>
        <w:rPr>
          <w:rFonts w:ascii="宋体" w:hAnsi="宋体" w:eastAsia="宋体" w:cs="宋体"/>
          <w:spacing w:val="-13"/>
          <w:sz w:val="22"/>
          <w:szCs w:val="22"/>
          <w:highlight w:val="none"/>
        </w:rPr>
        <w:t>对分包人</w:t>
      </w:r>
    </w:p>
    <w:p w14:paraId="4265999A">
      <w:pPr>
        <w:spacing w:before="240" w:line="220" w:lineRule="auto"/>
        <w:rPr>
          <w:rFonts w:ascii="宋体" w:hAnsi="宋体" w:eastAsia="宋体" w:cs="宋体"/>
          <w:sz w:val="22"/>
          <w:szCs w:val="22"/>
          <w:highlight w:val="none"/>
        </w:rPr>
      </w:pPr>
      <w:r>
        <w:rPr>
          <w:rFonts w:ascii="宋体" w:hAnsi="宋体" w:eastAsia="宋体" w:cs="宋体"/>
          <w:spacing w:val="-14"/>
          <w:sz w:val="22"/>
          <w:szCs w:val="22"/>
          <w:highlight w:val="none"/>
        </w:rPr>
        <w:t>的资质进行审查。</w:t>
      </w:r>
    </w:p>
    <w:p w14:paraId="55BF7AF4">
      <w:pPr>
        <w:spacing w:before="97" w:line="219" w:lineRule="auto"/>
        <w:ind w:left="430"/>
        <w:rPr>
          <w:rFonts w:ascii="宋体" w:hAnsi="宋体" w:eastAsia="宋体" w:cs="宋体"/>
          <w:sz w:val="22"/>
          <w:szCs w:val="22"/>
          <w:highlight w:val="none"/>
        </w:rPr>
      </w:pPr>
      <w:r>
        <w:rPr>
          <w:rFonts w:ascii="宋体" w:hAnsi="宋体" w:eastAsia="宋体" w:cs="宋体"/>
          <w:spacing w:val="3"/>
          <w:sz w:val="22"/>
          <w:szCs w:val="22"/>
          <w:highlight w:val="none"/>
        </w:rPr>
        <w:t>4.5.4分包管理</w:t>
      </w:r>
    </w:p>
    <w:p w14:paraId="34C2AE62">
      <w:pPr>
        <w:pStyle w:val="2"/>
        <w:spacing w:line="349" w:lineRule="auto"/>
        <w:rPr>
          <w:highlight w:val="none"/>
        </w:rPr>
      </w:pPr>
    </w:p>
    <w:p w14:paraId="070BFE43">
      <w:pPr>
        <w:spacing w:before="69" w:line="386" w:lineRule="auto"/>
        <w:ind w:right="14"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承包人应当对分包人的工作进行必要的协调与管理</w:t>
      </w:r>
      <w:r>
        <w:rPr>
          <w:rFonts w:ascii="宋体" w:hAnsi="宋体" w:eastAsia="宋体" w:cs="宋体"/>
          <w:spacing w:val="-3"/>
          <w:sz w:val="21"/>
          <w:szCs w:val="21"/>
          <w:highlight w:val="none"/>
        </w:rPr>
        <w:t>，确保分包人严格执行国家有关分包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事项的管理规定。承包人应向工程师提交分包人的主要管理人员表，并对分包人的工作人员</w:t>
      </w:r>
      <w:r>
        <w:rPr>
          <w:rFonts w:ascii="宋体" w:hAnsi="宋体" w:eastAsia="宋体" w:cs="宋体"/>
          <w:spacing w:val="17"/>
          <w:sz w:val="21"/>
          <w:szCs w:val="21"/>
          <w:highlight w:val="none"/>
        </w:rPr>
        <w:t xml:space="preserve"> </w:t>
      </w:r>
      <w:r>
        <w:rPr>
          <w:rFonts w:ascii="宋体" w:hAnsi="宋体" w:eastAsia="宋体" w:cs="宋体"/>
          <w:spacing w:val="-1"/>
          <w:sz w:val="21"/>
          <w:szCs w:val="21"/>
          <w:highlight w:val="none"/>
        </w:rPr>
        <w:t>进行实名制管理，包括但不限于进出场管理、登记造册以及各种证照的办理。</w:t>
      </w:r>
    </w:p>
    <w:p w14:paraId="0DB92BD7">
      <w:pPr>
        <w:spacing w:before="1" w:line="217" w:lineRule="auto"/>
        <w:ind w:left="43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 xml:space="preserve">4.5.5   </w:t>
      </w:r>
      <w:r>
        <w:rPr>
          <w:rFonts w:ascii="宋体" w:hAnsi="宋体" w:eastAsia="宋体" w:cs="宋体"/>
          <w:spacing w:val="-4"/>
          <w:sz w:val="22"/>
          <w:szCs w:val="22"/>
          <w:highlight w:val="none"/>
        </w:rPr>
        <w:t>分包合同价款支付</w:t>
      </w:r>
    </w:p>
    <w:p w14:paraId="0F65D10F">
      <w:pPr>
        <w:pStyle w:val="2"/>
        <w:spacing w:line="348" w:lineRule="auto"/>
        <w:rPr>
          <w:highlight w:val="none"/>
        </w:rPr>
      </w:pPr>
    </w:p>
    <w:p w14:paraId="45D54223">
      <w:pPr>
        <w:spacing w:before="69" w:line="418" w:lineRule="auto"/>
        <w:ind w:right="14" w:firstLine="539"/>
        <w:rPr>
          <w:rFonts w:ascii="宋体" w:hAnsi="宋体" w:eastAsia="宋体" w:cs="宋体"/>
          <w:sz w:val="21"/>
          <w:szCs w:val="21"/>
          <w:highlight w:val="none"/>
        </w:rPr>
      </w:pPr>
      <w:r>
        <w:rPr>
          <w:rFonts w:ascii="宋体" w:hAnsi="宋体" w:eastAsia="宋体" w:cs="宋体"/>
          <w:spacing w:val="6"/>
          <w:sz w:val="21"/>
          <w:szCs w:val="21"/>
          <w:highlight w:val="none"/>
        </w:rPr>
        <w:t>(1)除本项第(2)目约定的情况或专用合同条件另有约定外，分包合同价款由承包人</w:t>
      </w:r>
      <w:r>
        <w:rPr>
          <w:rFonts w:ascii="宋体" w:hAnsi="宋体" w:eastAsia="宋体" w:cs="宋体"/>
          <w:spacing w:val="4"/>
          <w:sz w:val="21"/>
          <w:szCs w:val="21"/>
          <w:highlight w:val="none"/>
        </w:rPr>
        <w:t xml:space="preserve"> </w:t>
      </w:r>
      <w:r>
        <w:rPr>
          <w:rFonts w:ascii="宋体" w:hAnsi="宋体" w:eastAsia="宋体" w:cs="宋体"/>
          <w:spacing w:val="-1"/>
          <w:sz w:val="21"/>
          <w:szCs w:val="21"/>
          <w:highlight w:val="none"/>
        </w:rPr>
        <w:t>与分包人结算，未经承包人同意，发包人不得向分包人支付分包合同</w:t>
      </w:r>
      <w:r>
        <w:rPr>
          <w:rFonts w:ascii="宋体" w:hAnsi="宋体" w:eastAsia="宋体" w:cs="宋体"/>
          <w:spacing w:val="-2"/>
          <w:sz w:val="21"/>
          <w:szCs w:val="21"/>
          <w:highlight w:val="none"/>
        </w:rPr>
        <w:t>价款；</w:t>
      </w:r>
    </w:p>
    <w:p w14:paraId="33D4AF47">
      <w:pPr>
        <w:spacing w:before="1" w:line="369" w:lineRule="auto"/>
        <w:ind w:right="33" w:firstLine="539"/>
        <w:rPr>
          <w:rFonts w:ascii="宋体" w:hAnsi="宋体" w:eastAsia="宋体" w:cs="宋体"/>
          <w:sz w:val="22"/>
          <w:szCs w:val="22"/>
          <w:highlight w:val="none"/>
        </w:rPr>
      </w:pPr>
      <w:r>
        <w:rPr>
          <w:rFonts w:ascii="宋体" w:hAnsi="宋体" w:eastAsia="宋体" w:cs="宋体"/>
          <w:spacing w:val="-7"/>
          <w:sz w:val="22"/>
          <w:szCs w:val="22"/>
          <w:highlight w:val="none"/>
        </w:rPr>
        <w:t>(2)生效法律文书要求发包人向分包人支付分包合同价款的，发包人有权从应付承包</w:t>
      </w:r>
      <w:r>
        <w:rPr>
          <w:rFonts w:ascii="宋体" w:hAnsi="宋体" w:eastAsia="宋体" w:cs="宋体"/>
          <w:spacing w:val="15"/>
          <w:sz w:val="22"/>
          <w:szCs w:val="22"/>
          <w:highlight w:val="none"/>
        </w:rPr>
        <w:t xml:space="preserve"> </w:t>
      </w:r>
      <w:r>
        <w:rPr>
          <w:rFonts w:ascii="宋体" w:hAnsi="宋体" w:eastAsia="宋体" w:cs="宋体"/>
          <w:spacing w:val="-10"/>
          <w:sz w:val="22"/>
          <w:szCs w:val="22"/>
          <w:highlight w:val="none"/>
        </w:rPr>
        <w:t>人工程款中扣除该部分款项，将扣款直接支付给分包人，并书面通知承包人。</w:t>
      </w:r>
    </w:p>
    <w:p w14:paraId="3CBE6CC1">
      <w:pPr>
        <w:spacing w:before="1" w:line="219" w:lineRule="auto"/>
        <w:ind w:left="430"/>
        <w:rPr>
          <w:rFonts w:ascii="宋体" w:hAnsi="宋体" w:eastAsia="宋体" w:cs="宋体"/>
          <w:sz w:val="20"/>
          <w:szCs w:val="20"/>
          <w:highlight w:val="none"/>
        </w:rPr>
      </w:pPr>
      <w:r>
        <w:rPr>
          <w:rFonts w:ascii="宋体" w:hAnsi="宋体" w:eastAsia="宋体" w:cs="宋体"/>
          <w:spacing w:val="-1"/>
          <w:sz w:val="20"/>
          <w:szCs w:val="20"/>
          <w:highlight w:val="none"/>
        </w:rPr>
        <w:t>4.5.6</w:t>
      </w:r>
      <w:r>
        <w:rPr>
          <w:rFonts w:ascii="宋体" w:hAnsi="宋体" w:eastAsia="宋体" w:cs="宋体"/>
          <w:spacing w:val="67"/>
          <w:sz w:val="20"/>
          <w:szCs w:val="20"/>
          <w:highlight w:val="none"/>
        </w:rPr>
        <w:t xml:space="preserve"> </w:t>
      </w:r>
      <w:r>
        <w:rPr>
          <w:rFonts w:ascii="宋体" w:hAnsi="宋体" w:eastAsia="宋体" w:cs="宋体"/>
          <w:spacing w:val="-1"/>
          <w:sz w:val="20"/>
          <w:szCs w:val="20"/>
          <w:highlight w:val="none"/>
        </w:rPr>
        <w:t>责任承担</w:t>
      </w:r>
    </w:p>
    <w:p w14:paraId="5D1501D4">
      <w:pPr>
        <w:pStyle w:val="2"/>
        <w:spacing w:line="350" w:lineRule="auto"/>
        <w:rPr>
          <w:highlight w:val="none"/>
        </w:rPr>
      </w:pPr>
    </w:p>
    <w:p w14:paraId="1F4890BA">
      <w:pPr>
        <w:spacing w:before="72" w:line="396" w:lineRule="auto"/>
        <w:ind w:right="29" w:firstLine="430"/>
        <w:rPr>
          <w:rFonts w:ascii="宋体" w:hAnsi="宋体" w:eastAsia="宋体" w:cs="宋体"/>
          <w:sz w:val="22"/>
          <w:szCs w:val="22"/>
          <w:highlight w:val="none"/>
        </w:rPr>
      </w:pPr>
      <w:r>
        <w:rPr>
          <w:rFonts w:ascii="宋体" w:hAnsi="宋体" w:eastAsia="宋体" w:cs="宋体"/>
          <w:spacing w:val="-12"/>
          <w:sz w:val="22"/>
          <w:szCs w:val="22"/>
          <w:highlight w:val="none"/>
        </w:rPr>
        <w:t>承包人对分包人的行为向发包人负责，承包人和分包人就分</w:t>
      </w:r>
      <w:r>
        <w:rPr>
          <w:rFonts w:ascii="宋体" w:hAnsi="宋体" w:eastAsia="宋体" w:cs="宋体"/>
          <w:spacing w:val="-13"/>
          <w:sz w:val="22"/>
          <w:szCs w:val="22"/>
          <w:highlight w:val="none"/>
        </w:rPr>
        <w:t>包工作向发包人承担连带责</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任。</w:t>
      </w:r>
    </w:p>
    <w:p w14:paraId="6B36EE92">
      <w:pPr>
        <w:pStyle w:val="2"/>
        <w:spacing w:before="169" w:line="259" w:lineRule="exact"/>
        <w:rPr>
          <w:rFonts w:ascii="黑体" w:hAnsi="黑体" w:eastAsia="黑体" w:cs="黑体"/>
          <w:sz w:val="19"/>
          <w:szCs w:val="19"/>
          <w:highlight w:val="none"/>
        </w:rPr>
      </w:pPr>
      <w:r>
        <w:rPr>
          <w:spacing w:val="8"/>
          <w:position w:val="1"/>
          <w:sz w:val="19"/>
          <w:szCs w:val="19"/>
          <w:highlight w:val="none"/>
        </w:rPr>
        <w:t>4.6</w:t>
      </w:r>
      <w:r>
        <w:rPr>
          <w:spacing w:val="1"/>
          <w:position w:val="1"/>
          <w:sz w:val="19"/>
          <w:szCs w:val="19"/>
          <w:highlight w:val="none"/>
        </w:rPr>
        <w:t xml:space="preserve">   </w:t>
      </w:r>
      <w:r>
        <w:rPr>
          <w:rFonts w:ascii="黑体" w:hAnsi="黑体" w:eastAsia="黑体" w:cs="黑体"/>
          <w:spacing w:val="8"/>
          <w:position w:val="1"/>
          <w:sz w:val="19"/>
          <w:szCs w:val="19"/>
          <w:highlight w:val="none"/>
        </w:rPr>
        <w:t>联合体</w:t>
      </w:r>
    </w:p>
    <w:p w14:paraId="225C7C13">
      <w:pPr>
        <w:spacing w:before="127" w:line="320" w:lineRule="auto"/>
        <w:ind w:right="24" w:firstLine="4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4.6.1   </w:t>
      </w:r>
      <w:r>
        <w:rPr>
          <w:rFonts w:ascii="宋体" w:hAnsi="宋体" w:eastAsia="宋体" w:cs="宋体"/>
          <w:spacing w:val="-9"/>
          <w:sz w:val="22"/>
          <w:szCs w:val="22"/>
          <w:highlight w:val="none"/>
        </w:rPr>
        <w:t>经发包人同意，以联合体方式承</w:t>
      </w:r>
      <w:r>
        <w:rPr>
          <w:rFonts w:ascii="宋体" w:hAnsi="宋体" w:eastAsia="宋体" w:cs="宋体"/>
          <w:spacing w:val="-10"/>
          <w:sz w:val="22"/>
          <w:szCs w:val="22"/>
          <w:highlight w:val="none"/>
        </w:rPr>
        <w:t>包工程的，联合体各方应共同与发包人订立合同</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协议书。联合体各方应为履行合同向发包人承担连带责任。</w:t>
      </w:r>
    </w:p>
    <w:p w14:paraId="424D835C">
      <w:pPr>
        <w:spacing w:line="320" w:lineRule="auto"/>
        <w:rPr>
          <w:rFonts w:ascii="宋体" w:hAnsi="宋体" w:eastAsia="宋体" w:cs="宋体"/>
          <w:sz w:val="22"/>
          <w:szCs w:val="22"/>
          <w:highlight w:val="none"/>
        </w:rPr>
        <w:sectPr>
          <w:footerReference r:id="rId89" w:type="default"/>
          <w:pgSz w:w="11910" w:h="16840"/>
          <w:pgMar w:top="400" w:right="1786" w:bottom="1156" w:left="1769" w:header="0" w:footer="1034" w:gutter="0"/>
          <w:cols w:space="720" w:num="1"/>
        </w:sectPr>
      </w:pPr>
    </w:p>
    <w:p w14:paraId="5A9F8C90">
      <w:pPr>
        <w:pStyle w:val="2"/>
        <w:spacing w:line="245" w:lineRule="auto"/>
        <w:rPr>
          <w:highlight w:val="none"/>
        </w:rPr>
      </w:pPr>
    </w:p>
    <w:p w14:paraId="1B4A6B42">
      <w:pPr>
        <w:pStyle w:val="2"/>
        <w:spacing w:line="245" w:lineRule="auto"/>
        <w:rPr>
          <w:highlight w:val="none"/>
        </w:rPr>
      </w:pPr>
    </w:p>
    <w:p w14:paraId="323CEB74">
      <w:pPr>
        <w:pStyle w:val="2"/>
        <w:spacing w:line="246" w:lineRule="auto"/>
        <w:rPr>
          <w:highlight w:val="none"/>
        </w:rPr>
      </w:pPr>
    </w:p>
    <w:p w14:paraId="6835B06C">
      <w:pPr>
        <w:pStyle w:val="2"/>
        <w:spacing w:line="246" w:lineRule="auto"/>
        <w:rPr>
          <w:highlight w:val="none"/>
        </w:rPr>
      </w:pPr>
    </w:p>
    <w:p w14:paraId="4DBC8F0E">
      <w:pPr>
        <w:spacing w:before="68" w:line="319" w:lineRule="auto"/>
        <w:ind w:right="65"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4.6.2    </w:t>
      </w:r>
      <w:r>
        <w:rPr>
          <w:rFonts w:ascii="宋体" w:hAnsi="宋体" w:eastAsia="宋体" w:cs="宋体"/>
          <w:spacing w:val="-1"/>
          <w:sz w:val="21"/>
          <w:szCs w:val="21"/>
          <w:highlight w:val="none"/>
        </w:rPr>
        <w:t>承包人应在专用合同条件中明确联合体</w:t>
      </w:r>
      <w:r>
        <w:rPr>
          <w:rFonts w:ascii="宋体" w:hAnsi="宋体" w:eastAsia="宋体" w:cs="宋体"/>
          <w:spacing w:val="-2"/>
          <w:sz w:val="21"/>
          <w:szCs w:val="21"/>
          <w:highlight w:val="none"/>
        </w:rPr>
        <w:t>各成员的分工、费用收取、发票开具等事</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项。联合体各成员分工承担的工作内容必须与适用法律规定的该成员的资质资格相适应</w:t>
      </w:r>
      <w:r>
        <w:rPr>
          <w:rFonts w:ascii="宋体" w:hAnsi="宋体" w:eastAsia="宋体" w:cs="宋体"/>
          <w:spacing w:val="-3"/>
          <w:sz w:val="21"/>
          <w:szCs w:val="21"/>
          <w:highlight w:val="none"/>
        </w:rPr>
        <w:t>，并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应具有相应的项目管理体系和项目管理能力，且不应根据其就承包工作的分工而减免对</w:t>
      </w:r>
      <w:r>
        <w:rPr>
          <w:rFonts w:ascii="宋体" w:hAnsi="宋体" w:eastAsia="宋体" w:cs="宋体"/>
          <w:spacing w:val="-3"/>
          <w:sz w:val="21"/>
          <w:szCs w:val="21"/>
          <w:highlight w:val="none"/>
        </w:rPr>
        <w:t>发包</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人的任何合同责任。</w:t>
      </w:r>
    </w:p>
    <w:p w14:paraId="16345DA4">
      <w:pPr>
        <w:pStyle w:val="2"/>
        <w:spacing w:line="281" w:lineRule="auto"/>
        <w:rPr>
          <w:highlight w:val="none"/>
        </w:rPr>
      </w:pPr>
    </w:p>
    <w:p w14:paraId="720BA727">
      <w:pPr>
        <w:spacing w:before="68" w:line="305" w:lineRule="auto"/>
        <w:ind w:right="19" w:firstLine="430"/>
        <w:rPr>
          <w:rFonts w:ascii="宋体" w:hAnsi="宋体" w:eastAsia="宋体" w:cs="宋体"/>
          <w:sz w:val="21"/>
          <w:szCs w:val="21"/>
          <w:highlight w:val="none"/>
        </w:rPr>
      </w:pPr>
      <w:r>
        <w:rPr>
          <w:rFonts w:ascii="Times New Roman" w:hAnsi="Times New Roman" w:eastAsia="Times New Roman" w:cs="Times New Roman"/>
          <w:spacing w:val="-5"/>
          <w:sz w:val="21"/>
          <w:szCs w:val="21"/>
          <w:highlight w:val="none"/>
        </w:rPr>
        <w:t>4.6.3</w:t>
      </w:r>
      <w:r>
        <w:rPr>
          <w:rFonts w:ascii="Times New Roman" w:hAnsi="Times New Roman" w:eastAsia="Times New Roman" w:cs="Times New Roman"/>
          <w:spacing w:val="12"/>
          <w:sz w:val="21"/>
          <w:szCs w:val="21"/>
          <w:highlight w:val="none"/>
        </w:rPr>
        <w:t xml:space="preserve">   </w:t>
      </w:r>
      <w:r>
        <w:rPr>
          <w:rFonts w:ascii="宋体" w:hAnsi="宋体" w:eastAsia="宋体" w:cs="宋体"/>
          <w:spacing w:val="-5"/>
          <w:sz w:val="21"/>
          <w:szCs w:val="21"/>
          <w:highlight w:val="none"/>
        </w:rPr>
        <w:t>联合体协议经发包人确认后作为合同附件。在履行合同过程中，未经发</w:t>
      </w:r>
      <w:r>
        <w:rPr>
          <w:rFonts w:ascii="宋体" w:hAnsi="宋体" w:eastAsia="宋体" w:cs="宋体"/>
          <w:spacing w:val="-6"/>
          <w:sz w:val="21"/>
          <w:szCs w:val="21"/>
          <w:highlight w:val="none"/>
        </w:rPr>
        <w:t>包人同意，</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不得变更联合体成员和其负责的工作范围，或者修改联合体协议中与</w:t>
      </w:r>
      <w:r>
        <w:rPr>
          <w:rFonts w:ascii="宋体" w:hAnsi="宋体" w:eastAsia="宋体" w:cs="宋体"/>
          <w:spacing w:val="3"/>
          <w:sz w:val="21"/>
          <w:szCs w:val="21"/>
          <w:highlight w:val="none"/>
        </w:rPr>
        <w:t>本合同履行相关的内</w:t>
      </w:r>
      <w:r>
        <w:rPr>
          <w:rFonts w:ascii="宋体" w:hAnsi="宋体" w:eastAsia="宋体" w:cs="宋体"/>
          <w:sz w:val="21"/>
          <w:szCs w:val="21"/>
          <w:highlight w:val="none"/>
        </w:rPr>
        <w:t xml:space="preserve"> </w:t>
      </w:r>
      <w:r>
        <w:rPr>
          <w:rFonts w:ascii="宋体" w:hAnsi="宋体" w:eastAsia="宋体" w:cs="宋体"/>
          <w:spacing w:val="-11"/>
          <w:sz w:val="21"/>
          <w:szCs w:val="21"/>
          <w:highlight w:val="none"/>
        </w:rPr>
        <w:t>容。</w:t>
      </w:r>
    </w:p>
    <w:p w14:paraId="6DEB7EA7">
      <w:pPr>
        <w:pStyle w:val="2"/>
        <w:spacing w:line="364" w:lineRule="auto"/>
        <w:rPr>
          <w:highlight w:val="none"/>
        </w:rPr>
      </w:pPr>
    </w:p>
    <w:p w14:paraId="0A6D5C5B">
      <w:pPr>
        <w:spacing w:before="71" w:line="222" w:lineRule="auto"/>
        <w:rPr>
          <w:rFonts w:ascii="黑体" w:hAnsi="黑体" w:eastAsia="黑体" w:cs="黑体"/>
          <w:sz w:val="22"/>
          <w:szCs w:val="22"/>
          <w:highlight w:val="none"/>
        </w:rPr>
      </w:pPr>
      <w:r>
        <w:rPr>
          <w:rFonts w:ascii="黑体" w:hAnsi="黑体" w:eastAsia="黑体" w:cs="黑体"/>
          <w:spacing w:val="2"/>
          <w:sz w:val="22"/>
          <w:szCs w:val="22"/>
          <w:highlight w:val="none"/>
        </w:rPr>
        <w:t>4.7承包人现场查勘</w:t>
      </w:r>
    </w:p>
    <w:p w14:paraId="2DBF9BEB">
      <w:pPr>
        <w:spacing w:before="115" w:line="319" w:lineRule="auto"/>
        <w:ind w:right="95"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4.7.1   </w:t>
      </w:r>
      <w:r>
        <w:rPr>
          <w:rFonts w:ascii="宋体" w:hAnsi="宋体" w:eastAsia="宋体" w:cs="宋体"/>
          <w:spacing w:val="-1"/>
          <w:sz w:val="21"/>
          <w:szCs w:val="21"/>
          <w:highlight w:val="none"/>
        </w:rPr>
        <w:t>除专用合同条件另有约定外，承包人应对基于发包人提交的基础资料所做出的解</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释和推断负责，因基础资料存在错误、遗漏导致承包人解释或推断失实的，按照第2.3项[提</w:t>
      </w:r>
      <w:r>
        <w:rPr>
          <w:rFonts w:ascii="宋体" w:hAnsi="宋体" w:eastAsia="宋体" w:cs="宋体"/>
          <w:spacing w:val="2"/>
          <w:sz w:val="21"/>
          <w:szCs w:val="21"/>
          <w:highlight w:val="none"/>
        </w:rPr>
        <w:t xml:space="preserve"> </w:t>
      </w:r>
      <w:r>
        <w:rPr>
          <w:rFonts w:ascii="宋体" w:hAnsi="宋体" w:eastAsia="宋体" w:cs="宋体"/>
          <w:sz w:val="21"/>
          <w:szCs w:val="21"/>
          <w:highlight w:val="none"/>
        </w:rPr>
        <w:t>供基础资料]的规定承担责任。承包人发现基础资料中存在明显错误</w:t>
      </w:r>
      <w:r>
        <w:rPr>
          <w:rFonts w:ascii="宋体" w:hAnsi="宋体" w:eastAsia="宋体" w:cs="宋体"/>
          <w:spacing w:val="-1"/>
          <w:sz w:val="21"/>
          <w:szCs w:val="21"/>
          <w:highlight w:val="none"/>
        </w:rPr>
        <w:t>或疏忽的，应及时书面</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通知发包人。</w:t>
      </w:r>
    </w:p>
    <w:p w14:paraId="481CD9CF">
      <w:pPr>
        <w:pStyle w:val="2"/>
        <w:spacing w:line="268" w:lineRule="auto"/>
        <w:rPr>
          <w:highlight w:val="none"/>
        </w:rPr>
      </w:pPr>
    </w:p>
    <w:p w14:paraId="55D20A3F">
      <w:pPr>
        <w:spacing w:before="69" w:line="327" w:lineRule="auto"/>
        <w:ind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4.7.2   </w:t>
      </w:r>
      <w:r>
        <w:rPr>
          <w:rFonts w:ascii="宋体" w:hAnsi="宋体" w:eastAsia="宋体" w:cs="宋体"/>
          <w:spacing w:val="1"/>
          <w:sz w:val="21"/>
          <w:szCs w:val="21"/>
          <w:highlight w:val="none"/>
        </w:rPr>
        <w:t>承包人应对现场和工程实施条件进行查勘，并充分了解工程所在地的气象条件、</w:t>
      </w:r>
      <w:r>
        <w:rPr>
          <w:rFonts w:ascii="宋体" w:hAnsi="宋体" w:eastAsia="宋体" w:cs="宋体"/>
          <w:spacing w:val="13"/>
          <w:sz w:val="21"/>
          <w:szCs w:val="21"/>
          <w:highlight w:val="none"/>
        </w:rPr>
        <w:t xml:space="preserve"> </w:t>
      </w:r>
      <w:r>
        <w:rPr>
          <w:rFonts w:ascii="宋体" w:hAnsi="宋体" w:eastAsia="宋体" w:cs="宋体"/>
          <w:spacing w:val="-2"/>
          <w:sz w:val="21"/>
          <w:szCs w:val="21"/>
          <w:highlight w:val="none"/>
        </w:rPr>
        <w:t>交通条件、风俗习惯以及其他与完成合同工作有关的其他资料。承包人提交投标文件，视为</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承包人已对施工现场及周围环境进行了踏勘，并已充分了解评估施工现场及周围环</w:t>
      </w:r>
      <w:r>
        <w:rPr>
          <w:rFonts w:ascii="宋体" w:hAnsi="宋体" w:eastAsia="宋体" w:cs="宋体"/>
          <w:spacing w:val="-3"/>
          <w:sz w:val="21"/>
          <w:szCs w:val="21"/>
          <w:highlight w:val="none"/>
        </w:rPr>
        <w:t>境对工程</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可能产生的影响，自愿承担相应风险与责任。在全部合同工作中，视为承包人已充分估计了</w:t>
      </w:r>
      <w:r>
        <w:rPr>
          <w:rFonts w:ascii="宋体" w:hAnsi="宋体" w:eastAsia="宋体" w:cs="宋体"/>
          <w:spacing w:val="16"/>
          <w:sz w:val="21"/>
          <w:szCs w:val="21"/>
          <w:highlight w:val="none"/>
        </w:rPr>
        <w:t xml:space="preserve"> </w:t>
      </w:r>
      <w:r>
        <w:rPr>
          <w:rFonts w:ascii="宋体" w:hAnsi="宋体" w:eastAsia="宋体" w:cs="宋体"/>
          <w:spacing w:val="3"/>
          <w:sz w:val="21"/>
          <w:szCs w:val="21"/>
          <w:highlight w:val="none"/>
        </w:rPr>
        <w:t>应承担的责任和风险，但属于4.8款[不可预</w:t>
      </w:r>
      <w:r>
        <w:rPr>
          <w:rFonts w:ascii="宋体" w:hAnsi="宋体" w:eastAsia="宋体" w:cs="宋体"/>
          <w:spacing w:val="2"/>
          <w:sz w:val="21"/>
          <w:szCs w:val="21"/>
          <w:highlight w:val="none"/>
        </w:rPr>
        <w:t>见的困难]约定的情形除外。</w:t>
      </w:r>
    </w:p>
    <w:p w14:paraId="4922B75E">
      <w:pPr>
        <w:pStyle w:val="2"/>
        <w:spacing w:line="365" w:lineRule="auto"/>
        <w:rPr>
          <w:highlight w:val="none"/>
        </w:rPr>
      </w:pPr>
    </w:p>
    <w:p w14:paraId="381AB3D4">
      <w:pPr>
        <w:spacing w:before="72" w:line="221" w:lineRule="auto"/>
        <w:rPr>
          <w:rFonts w:ascii="黑体" w:hAnsi="黑体" w:eastAsia="黑体" w:cs="黑体"/>
          <w:sz w:val="22"/>
          <w:szCs w:val="22"/>
          <w:highlight w:val="none"/>
        </w:rPr>
      </w:pPr>
      <w:r>
        <w:rPr>
          <w:rFonts w:ascii="黑体" w:hAnsi="黑体" w:eastAsia="黑体" w:cs="黑体"/>
          <w:spacing w:val="3"/>
          <w:sz w:val="22"/>
          <w:szCs w:val="22"/>
          <w:highlight w:val="none"/>
        </w:rPr>
        <w:t>4.8不可预见的困难</w:t>
      </w:r>
    </w:p>
    <w:p w14:paraId="1FD5CE3A">
      <w:pPr>
        <w:spacing w:before="227" w:line="422" w:lineRule="auto"/>
        <w:ind w:right="89"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不可预见的困难是指有经验的承包人在施工现场遇到的不可预</w:t>
      </w:r>
      <w:r>
        <w:rPr>
          <w:rFonts w:ascii="宋体" w:hAnsi="宋体" w:eastAsia="宋体" w:cs="宋体"/>
          <w:spacing w:val="-3"/>
          <w:sz w:val="21"/>
          <w:szCs w:val="21"/>
          <w:highlight w:val="none"/>
        </w:rPr>
        <w:t>见的自然物质条件、非自</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然的物质障碍和污染物，包括地表以下物质条件和水文条件以及专用合同条件约定的其他情</w:t>
      </w:r>
      <w:r>
        <w:rPr>
          <w:rFonts w:ascii="宋体" w:hAnsi="宋体" w:eastAsia="宋体" w:cs="宋体"/>
          <w:spacing w:val="18"/>
          <w:sz w:val="21"/>
          <w:szCs w:val="21"/>
          <w:highlight w:val="none"/>
        </w:rPr>
        <w:t xml:space="preserve"> </w:t>
      </w:r>
      <w:r>
        <w:rPr>
          <w:rFonts w:ascii="宋体" w:hAnsi="宋体" w:eastAsia="宋体" w:cs="宋体"/>
          <w:spacing w:val="-4"/>
          <w:sz w:val="21"/>
          <w:szCs w:val="21"/>
          <w:highlight w:val="none"/>
        </w:rPr>
        <w:t>形，但不包括气候条件。</w:t>
      </w:r>
    </w:p>
    <w:p w14:paraId="1A8D1A17">
      <w:pPr>
        <w:spacing w:before="4" w:line="416" w:lineRule="auto"/>
        <w:ind w:right="93"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承包人遇到不可预见的困难时，应采取克服不可预见的</w:t>
      </w:r>
      <w:r>
        <w:rPr>
          <w:rFonts w:ascii="宋体" w:hAnsi="宋体" w:eastAsia="宋体" w:cs="宋体"/>
          <w:spacing w:val="-3"/>
          <w:sz w:val="21"/>
          <w:szCs w:val="21"/>
          <w:highlight w:val="none"/>
        </w:rPr>
        <w:t>困难的合理措施继续施工，并及</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时通知工程师并抄送发包人。通知应载明不可预见的困难的内容、承包人认为不可</w:t>
      </w:r>
      <w:r>
        <w:rPr>
          <w:rFonts w:ascii="宋体" w:hAnsi="宋体" w:eastAsia="宋体" w:cs="宋体"/>
          <w:spacing w:val="-3"/>
          <w:sz w:val="21"/>
          <w:szCs w:val="21"/>
          <w:highlight w:val="none"/>
        </w:rPr>
        <w:t>预见的理</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由以及承包人制定的处理方案。工程师应当及时发</w:t>
      </w:r>
      <w:r>
        <w:rPr>
          <w:rFonts w:ascii="宋体" w:hAnsi="宋体" w:eastAsia="宋体" w:cs="宋体"/>
          <w:sz w:val="21"/>
          <w:szCs w:val="21"/>
          <w:highlight w:val="none"/>
        </w:rPr>
        <w:t xml:space="preserve">出指示，指示构成变更的，按第13条[变 </w:t>
      </w:r>
      <w:r>
        <w:rPr>
          <w:rFonts w:ascii="宋体" w:hAnsi="宋体" w:eastAsia="宋体" w:cs="宋体"/>
          <w:spacing w:val="5"/>
          <w:sz w:val="21"/>
          <w:szCs w:val="21"/>
          <w:highlight w:val="none"/>
        </w:rPr>
        <w:t>更与调整]约定执行。承包人因采取合理措施而增加的费用和(或)延误的工期由发包人承</w:t>
      </w:r>
      <w:r>
        <w:rPr>
          <w:rFonts w:ascii="宋体" w:hAnsi="宋体" w:eastAsia="宋体" w:cs="宋体"/>
          <w:spacing w:val="13"/>
          <w:sz w:val="21"/>
          <w:szCs w:val="21"/>
          <w:highlight w:val="none"/>
        </w:rPr>
        <w:t xml:space="preserve"> </w:t>
      </w:r>
      <w:r>
        <w:rPr>
          <w:rFonts w:ascii="宋体" w:hAnsi="宋体" w:eastAsia="宋体" w:cs="宋体"/>
          <w:spacing w:val="-10"/>
          <w:sz w:val="21"/>
          <w:szCs w:val="21"/>
          <w:highlight w:val="none"/>
        </w:rPr>
        <w:t>担。</w:t>
      </w:r>
    </w:p>
    <w:p w14:paraId="294C4F20">
      <w:pPr>
        <w:pStyle w:val="2"/>
        <w:spacing w:before="121" w:line="299" w:lineRule="exact"/>
        <w:rPr>
          <w:rFonts w:ascii="黑体" w:hAnsi="黑体" w:eastAsia="黑体" w:cs="黑体"/>
          <w:sz w:val="22"/>
          <w:szCs w:val="22"/>
          <w:highlight w:val="none"/>
        </w:rPr>
      </w:pPr>
      <w:r>
        <w:rPr>
          <w:spacing w:val="-7"/>
          <w:position w:val="1"/>
          <w:sz w:val="22"/>
          <w:szCs w:val="22"/>
          <w:highlight w:val="none"/>
        </w:rPr>
        <w:t>4.9</w:t>
      </w:r>
      <w:r>
        <w:rPr>
          <w:spacing w:val="63"/>
          <w:position w:val="1"/>
          <w:sz w:val="22"/>
          <w:szCs w:val="22"/>
          <w:highlight w:val="none"/>
        </w:rPr>
        <w:t xml:space="preserve"> </w:t>
      </w:r>
      <w:r>
        <w:rPr>
          <w:rFonts w:ascii="黑体" w:hAnsi="黑体" w:eastAsia="黑体" w:cs="黑体"/>
          <w:spacing w:val="-7"/>
          <w:position w:val="1"/>
          <w:sz w:val="22"/>
          <w:szCs w:val="22"/>
          <w:highlight w:val="none"/>
        </w:rPr>
        <w:t>工程质量管理</w:t>
      </w:r>
    </w:p>
    <w:p w14:paraId="581E2678">
      <w:pPr>
        <w:spacing w:before="140" w:line="344" w:lineRule="auto"/>
        <w:ind w:right="65" w:firstLine="430"/>
        <w:jc w:val="both"/>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4.9.1    </w:t>
      </w:r>
      <w:r>
        <w:rPr>
          <w:rFonts w:ascii="宋体" w:hAnsi="宋体" w:eastAsia="宋体" w:cs="宋体"/>
          <w:spacing w:val="-1"/>
          <w:sz w:val="21"/>
          <w:szCs w:val="21"/>
          <w:highlight w:val="none"/>
        </w:rPr>
        <w:t>承包人应按合同约定的质量标准规范</w:t>
      </w:r>
      <w:r>
        <w:rPr>
          <w:rFonts w:ascii="宋体" w:hAnsi="宋体" w:eastAsia="宋体" w:cs="宋体"/>
          <w:spacing w:val="-2"/>
          <w:sz w:val="21"/>
          <w:szCs w:val="21"/>
          <w:highlight w:val="none"/>
        </w:rPr>
        <w:t>，建立有效的质量管理系统，确保设计、采</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购、加工制造、施工、竣工试验等各项工作的质量，并按照国家有关规定，通过质量保修责</w:t>
      </w:r>
      <w:r>
        <w:rPr>
          <w:rFonts w:ascii="宋体" w:hAnsi="宋体" w:eastAsia="宋体" w:cs="宋体"/>
          <w:spacing w:val="2"/>
          <w:sz w:val="21"/>
          <w:szCs w:val="21"/>
          <w:highlight w:val="none"/>
        </w:rPr>
        <w:t xml:space="preserve"> </w:t>
      </w:r>
      <w:r>
        <w:rPr>
          <w:rFonts w:ascii="宋体" w:hAnsi="宋体" w:eastAsia="宋体" w:cs="宋体"/>
          <w:spacing w:val="-2"/>
          <w:sz w:val="21"/>
          <w:szCs w:val="21"/>
          <w:highlight w:val="none"/>
        </w:rPr>
        <w:t>任书的形式约定保修范围、保修期限和保修责任。</w:t>
      </w:r>
    </w:p>
    <w:p w14:paraId="23CDE9C7">
      <w:pPr>
        <w:spacing w:line="344" w:lineRule="auto"/>
        <w:rPr>
          <w:rFonts w:ascii="宋体" w:hAnsi="宋体" w:eastAsia="宋体" w:cs="宋体"/>
          <w:sz w:val="21"/>
          <w:szCs w:val="21"/>
          <w:highlight w:val="none"/>
        </w:rPr>
        <w:sectPr>
          <w:footerReference r:id="rId90" w:type="default"/>
          <w:pgSz w:w="11910" w:h="16840"/>
          <w:pgMar w:top="400" w:right="1725" w:bottom="1217" w:left="1769" w:header="0" w:footer="1013" w:gutter="0"/>
          <w:cols w:space="720" w:num="1"/>
        </w:sectPr>
      </w:pPr>
    </w:p>
    <w:p w14:paraId="2761AB49">
      <w:pPr>
        <w:pStyle w:val="2"/>
        <w:spacing w:line="245" w:lineRule="auto"/>
        <w:rPr>
          <w:highlight w:val="none"/>
        </w:rPr>
      </w:pPr>
    </w:p>
    <w:p w14:paraId="26669AB3">
      <w:pPr>
        <w:pStyle w:val="2"/>
        <w:spacing w:line="245" w:lineRule="auto"/>
        <w:rPr>
          <w:highlight w:val="none"/>
        </w:rPr>
      </w:pPr>
    </w:p>
    <w:p w14:paraId="727F41F3">
      <w:pPr>
        <w:pStyle w:val="2"/>
        <w:spacing w:line="246" w:lineRule="auto"/>
        <w:rPr>
          <w:highlight w:val="none"/>
        </w:rPr>
      </w:pPr>
    </w:p>
    <w:p w14:paraId="0D672D5B">
      <w:pPr>
        <w:pStyle w:val="2"/>
        <w:spacing w:line="246" w:lineRule="auto"/>
        <w:rPr>
          <w:highlight w:val="none"/>
        </w:rPr>
      </w:pPr>
    </w:p>
    <w:p w14:paraId="2E72C770">
      <w:pPr>
        <w:spacing w:before="68" w:line="308" w:lineRule="auto"/>
        <w:ind w:right="68" w:firstLine="420"/>
        <w:rPr>
          <w:rFonts w:ascii="宋体" w:hAnsi="宋体" w:eastAsia="宋体" w:cs="宋体"/>
          <w:sz w:val="21"/>
          <w:szCs w:val="21"/>
          <w:highlight w:val="none"/>
        </w:rPr>
      </w:pPr>
      <w:r>
        <w:rPr>
          <w:rFonts w:ascii="Times New Roman" w:hAnsi="Times New Roman" w:eastAsia="Times New Roman" w:cs="Times New Roman"/>
          <w:spacing w:val="4"/>
          <w:sz w:val="21"/>
          <w:szCs w:val="21"/>
          <w:highlight w:val="none"/>
        </w:rPr>
        <w:t xml:space="preserve">4.9.2   </w:t>
      </w:r>
      <w:r>
        <w:rPr>
          <w:rFonts w:ascii="宋体" w:hAnsi="宋体" w:eastAsia="宋体" w:cs="宋体"/>
          <w:spacing w:val="4"/>
          <w:sz w:val="21"/>
          <w:szCs w:val="21"/>
          <w:highlight w:val="none"/>
        </w:rPr>
        <w:t>承包人按照第8.4 款[项目进度计划]约定向工程师提交工程质</w:t>
      </w:r>
      <w:r>
        <w:rPr>
          <w:rFonts w:ascii="宋体" w:hAnsi="宋体" w:eastAsia="宋体" w:cs="宋体"/>
          <w:spacing w:val="3"/>
          <w:sz w:val="21"/>
          <w:szCs w:val="21"/>
          <w:highlight w:val="none"/>
        </w:rPr>
        <w:t>量保证体系及措</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施文件，建立完善的质量检查制度，并提交相应的工程质量</w:t>
      </w:r>
      <w:r>
        <w:rPr>
          <w:rFonts w:ascii="宋体" w:hAnsi="宋体" w:eastAsia="宋体" w:cs="宋体"/>
          <w:spacing w:val="-3"/>
          <w:sz w:val="21"/>
          <w:szCs w:val="21"/>
          <w:highlight w:val="none"/>
        </w:rPr>
        <w:t>文件。对于发包人和工程师违反</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法律规定和合同约定的错误指示，承包人有权拒绝实施。</w:t>
      </w:r>
    </w:p>
    <w:p w14:paraId="62A48252">
      <w:pPr>
        <w:pStyle w:val="2"/>
        <w:spacing w:line="260" w:lineRule="auto"/>
        <w:rPr>
          <w:highlight w:val="none"/>
        </w:rPr>
      </w:pPr>
    </w:p>
    <w:p w14:paraId="5E0DE72B">
      <w:pPr>
        <w:spacing w:before="68" w:line="290" w:lineRule="auto"/>
        <w:ind w:right="51" w:firstLine="420"/>
        <w:rPr>
          <w:rFonts w:ascii="宋体" w:hAnsi="宋体" w:eastAsia="宋体" w:cs="宋体"/>
          <w:sz w:val="21"/>
          <w:szCs w:val="21"/>
          <w:highlight w:val="none"/>
        </w:rPr>
      </w:pPr>
      <w:r>
        <w:rPr>
          <w:rFonts w:ascii="宋体" w:hAnsi="宋体" w:eastAsia="宋体" w:cs="宋体"/>
          <w:spacing w:val="1"/>
          <w:sz w:val="21"/>
          <w:szCs w:val="21"/>
          <w:highlight w:val="none"/>
        </w:rPr>
        <w:t>4.9.3承包人应对其人员进行质量教育和技术培训，定期考核人员的</w:t>
      </w:r>
      <w:r>
        <w:rPr>
          <w:rFonts w:ascii="宋体" w:hAnsi="宋体" w:eastAsia="宋体" w:cs="宋体"/>
          <w:sz w:val="21"/>
          <w:szCs w:val="21"/>
          <w:highlight w:val="none"/>
        </w:rPr>
        <w:t xml:space="preserve">劳动技能，严格执 </w:t>
      </w:r>
      <w:r>
        <w:rPr>
          <w:rFonts w:ascii="宋体" w:hAnsi="宋体" w:eastAsia="宋体" w:cs="宋体"/>
          <w:spacing w:val="-4"/>
          <w:sz w:val="21"/>
          <w:szCs w:val="21"/>
          <w:highlight w:val="none"/>
        </w:rPr>
        <w:t>行相关规范和操作规程。</w:t>
      </w:r>
    </w:p>
    <w:p w14:paraId="0CFEEADC">
      <w:pPr>
        <w:pStyle w:val="2"/>
        <w:spacing w:line="258" w:lineRule="auto"/>
        <w:rPr>
          <w:highlight w:val="none"/>
        </w:rPr>
      </w:pPr>
    </w:p>
    <w:p w14:paraId="7B650D1F">
      <w:pPr>
        <w:spacing w:before="68" w:line="314" w:lineRule="auto"/>
        <w:ind w:right="49" w:firstLine="420"/>
        <w:rPr>
          <w:rFonts w:ascii="宋体" w:hAnsi="宋体" w:eastAsia="宋体" w:cs="宋体"/>
          <w:sz w:val="21"/>
          <w:szCs w:val="21"/>
          <w:highlight w:val="none"/>
        </w:rPr>
      </w:pPr>
      <w:r>
        <w:rPr>
          <w:rFonts w:ascii="宋体" w:hAnsi="宋体" w:eastAsia="宋体" w:cs="宋体"/>
          <w:spacing w:val="1"/>
          <w:sz w:val="21"/>
          <w:szCs w:val="21"/>
          <w:highlight w:val="none"/>
        </w:rPr>
        <w:t>4.9.4承包人应按照法律规定和合同约定，对设计、材料、工程设备以及</w:t>
      </w:r>
      <w:r>
        <w:rPr>
          <w:rFonts w:ascii="宋体" w:hAnsi="宋体" w:eastAsia="宋体" w:cs="宋体"/>
          <w:sz w:val="21"/>
          <w:szCs w:val="21"/>
          <w:highlight w:val="none"/>
        </w:rPr>
        <w:t xml:space="preserve">全部工程内容 </w:t>
      </w:r>
      <w:r>
        <w:rPr>
          <w:rFonts w:ascii="宋体" w:hAnsi="宋体" w:eastAsia="宋体" w:cs="宋体"/>
          <w:spacing w:val="-2"/>
          <w:sz w:val="21"/>
          <w:szCs w:val="21"/>
          <w:highlight w:val="none"/>
        </w:rPr>
        <w:t>及其施工工艺进行全过程的质量检查和检验，并作详细记录</w:t>
      </w:r>
      <w:r>
        <w:rPr>
          <w:rFonts w:ascii="宋体" w:hAnsi="宋体" w:eastAsia="宋体" w:cs="宋体"/>
          <w:spacing w:val="-3"/>
          <w:sz w:val="21"/>
          <w:szCs w:val="21"/>
          <w:highlight w:val="none"/>
        </w:rPr>
        <w:t>，编制工程质量报表，报送工程</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师审查。此外，承包人还应按照法律规定和合同约定，进行施工现场取样试验、工</w:t>
      </w:r>
      <w:r>
        <w:rPr>
          <w:rFonts w:ascii="宋体" w:hAnsi="宋体" w:eastAsia="宋体" w:cs="宋体"/>
          <w:spacing w:val="-3"/>
          <w:sz w:val="21"/>
          <w:szCs w:val="21"/>
          <w:highlight w:val="none"/>
        </w:rPr>
        <w:t>程复核测</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量和设备性能检测，提供试验样品、提交试验报告和测量成果以及其他工作。</w:t>
      </w:r>
    </w:p>
    <w:p w14:paraId="6A103318">
      <w:pPr>
        <w:pStyle w:val="2"/>
        <w:spacing w:line="421" w:lineRule="auto"/>
        <w:rPr>
          <w:highlight w:val="none"/>
        </w:rPr>
      </w:pPr>
    </w:p>
    <w:p w14:paraId="2F7F9344">
      <w:pPr>
        <w:spacing w:before="91" w:line="222" w:lineRule="auto"/>
        <w:outlineLvl w:val="1"/>
        <w:rPr>
          <w:rFonts w:ascii="黑体" w:hAnsi="黑体" w:eastAsia="黑体" w:cs="黑体"/>
          <w:sz w:val="28"/>
          <w:szCs w:val="28"/>
          <w:highlight w:val="none"/>
        </w:rPr>
      </w:pPr>
      <w:bookmarkStart w:id="87" w:name="bookmark51"/>
      <w:bookmarkEnd w:id="87"/>
      <w:r>
        <w:rPr>
          <w:rFonts w:ascii="黑体" w:hAnsi="黑体" w:eastAsia="黑体" w:cs="黑体"/>
          <w:spacing w:val="-8"/>
          <w:sz w:val="28"/>
          <w:szCs w:val="28"/>
          <w:highlight w:val="none"/>
        </w:rPr>
        <w:t>第</w:t>
      </w:r>
      <w:r>
        <w:rPr>
          <w:rFonts w:ascii="黑体" w:hAnsi="黑体" w:eastAsia="黑体" w:cs="黑体"/>
          <w:spacing w:val="-57"/>
          <w:sz w:val="28"/>
          <w:szCs w:val="28"/>
          <w:highlight w:val="none"/>
        </w:rPr>
        <w:t xml:space="preserve"> </w:t>
      </w:r>
      <w:r>
        <w:rPr>
          <w:rFonts w:ascii="黑体" w:hAnsi="黑体" w:eastAsia="黑体" w:cs="黑体"/>
          <w:spacing w:val="-8"/>
          <w:sz w:val="28"/>
          <w:szCs w:val="28"/>
          <w:highlight w:val="none"/>
        </w:rPr>
        <w:t>5</w:t>
      </w:r>
      <w:r>
        <w:rPr>
          <w:rFonts w:ascii="黑体" w:hAnsi="黑体" w:eastAsia="黑体" w:cs="黑体"/>
          <w:spacing w:val="-50"/>
          <w:sz w:val="28"/>
          <w:szCs w:val="28"/>
          <w:highlight w:val="none"/>
        </w:rPr>
        <w:t xml:space="preserve"> </w:t>
      </w:r>
      <w:r>
        <w:rPr>
          <w:rFonts w:ascii="黑体" w:hAnsi="黑体" w:eastAsia="黑体" w:cs="黑体"/>
          <w:spacing w:val="-8"/>
          <w:sz w:val="28"/>
          <w:szCs w:val="28"/>
          <w:highlight w:val="none"/>
        </w:rPr>
        <w:t>条</w:t>
      </w:r>
      <w:r>
        <w:rPr>
          <w:rFonts w:ascii="黑体" w:hAnsi="黑体" w:eastAsia="黑体" w:cs="黑体"/>
          <w:spacing w:val="-49"/>
          <w:sz w:val="28"/>
          <w:szCs w:val="28"/>
          <w:highlight w:val="none"/>
        </w:rPr>
        <w:t xml:space="preserve"> </w:t>
      </w:r>
      <w:r>
        <w:rPr>
          <w:rFonts w:ascii="黑体" w:hAnsi="黑体" w:eastAsia="黑体" w:cs="黑体"/>
          <w:spacing w:val="-8"/>
          <w:sz w:val="28"/>
          <w:szCs w:val="28"/>
          <w:highlight w:val="none"/>
        </w:rPr>
        <w:t>设</w:t>
      </w:r>
      <w:r>
        <w:rPr>
          <w:rFonts w:ascii="黑体" w:hAnsi="黑体" w:eastAsia="黑体" w:cs="黑体"/>
          <w:spacing w:val="-49"/>
          <w:sz w:val="28"/>
          <w:szCs w:val="28"/>
          <w:highlight w:val="none"/>
        </w:rPr>
        <w:t xml:space="preserve"> </w:t>
      </w:r>
      <w:r>
        <w:rPr>
          <w:rFonts w:ascii="黑体" w:hAnsi="黑体" w:eastAsia="黑体" w:cs="黑体"/>
          <w:spacing w:val="-8"/>
          <w:sz w:val="28"/>
          <w:szCs w:val="28"/>
          <w:highlight w:val="none"/>
        </w:rPr>
        <w:t>计</w:t>
      </w:r>
    </w:p>
    <w:p w14:paraId="5A37A096">
      <w:pPr>
        <w:pStyle w:val="2"/>
        <w:spacing w:line="287" w:lineRule="auto"/>
        <w:rPr>
          <w:highlight w:val="none"/>
        </w:rPr>
      </w:pPr>
    </w:p>
    <w:p w14:paraId="62E31EDE">
      <w:pPr>
        <w:pStyle w:val="2"/>
        <w:spacing w:before="72" w:line="300" w:lineRule="exact"/>
        <w:rPr>
          <w:rFonts w:ascii="黑体" w:hAnsi="黑体" w:eastAsia="黑体" w:cs="黑体"/>
          <w:sz w:val="22"/>
          <w:szCs w:val="22"/>
          <w:highlight w:val="none"/>
        </w:rPr>
      </w:pPr>
      <w:r>
        <w:rPr>
          <w:spacing w:val="-6"/>
          <w:position w:val="1"/>
          <w:sz w:val="22"/>
          <w:szCs w:val="22"/>
          <w:highlight w:val="none"/>
        </w:rPr>
        <w:t xml:space="preserve">5.1  </w:t>
      </w:r>
      <w:r>
        <w:rPr>
          <w:rFonts w:ascii="黑体" w:hAnsi="黑体" w:eastAsia="黑体" w:cs="黑体"/>
          <w:spacing w:val="-6"/>
          <w:position w:val="1"/>
          <w:sz w:val="22"/>
          <w:szCs w:val="22"/>
          <w:highlight w:val="none"/>
        </w:rPr>
        <w:t>承包人的设计义务</w:t>
      </w:r>
    </w:p>
    <w:p w14:paraId="7759661A">
      <w:pPr>
        <w:spacing w:before="121" w:line="219"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5.1.1    </w:t>
      </w:r>
      <w:r>
        <w:rPr>
          <w:rFonts w:ascii="宋体" w:hAnsi="宋体" w:eastAsia="宋体" w:cs="宋体"/>
          <w:spacing w:val="6"/>
          <w:sz w:val="20"/>
          <w:szCs w:val="20"/>
          <w:highlight w:val="none"/>
        </w:rPr>
        <w:t>设计义务的一般要求</w:t>
      </w:r>
    </w:p>
    <w:p w14:paraId="235C78D3">
      <w:pPr>
        <w:pStyle w:val="2"/>
        <w:spacing w:line="352" w:lineRule="auto"/>
        <w:rPr>
          <w:highlight w:val="none"/>
        </w:rPr>
      </w:pPr>
    </w:p>
    <w:p w14:paraId="76490B44">
      <w:pPr>
        <w:spacing w:before="69" w:line="424" w:lineRule="auto"/>
        <w:ind w:right="20" w:firstLine="420"/>
        <w:rPr>
          <w:rFonts w:ascii="宋体" w:hAnsi="宋体" w:eastAsia="宋体" w:cs="宋体"/>
          <w:sz w:val="21"/>
          <w:szCs w:val="21"/>
          <w:highlight w:val="none"/>
        </w:rPr>
      </w:pPr>
      <w:r>
        <w:rPr>
          <w:rFonts w:ascii="宋体" w:hAnsi="宋体" w:eastAsia="宋体" w:cs="宋体"/>
          <w:spacing w:val="-1"/>
          <w:sz w:val="21"/>
          <w:szCs w:val="21"/>
          <w:highlight w:val="none"/>
        </w:rPr>
        <w:t>承包人应当按照法律规定，国家、行业和地方的规范和标准，以及《发包人要</w:t>
      </w:r>
      <w:r>
        <w:rPr>
          <w:rFonts w:ascii="宋体" w:hAnsi="宋体" w:eastAsia="宋体" w:cs="宋体"/>
          <w:spacing w:val="-2"/>
          <w:sz w:val="21"/>
          <w:szCs w:val="21"/>
          <w:highlight w:val="none"/>
        </w:rPr>
        <w:t>求》和合</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同约定完成设计工作和设计相关的其他服务，并对工程的设计负责。承</w:t>
      </w:r>
      <w:r>
        <w:rPr>
          <w:rFonts w:ascii="宋体" w:hAnsi="宋体" w:eastAsia="宋体" w:cs="宋体"/>
          <w:spacing w:val="-3"/>
          <w:sz w:val="21"/>
          <w:szCs w:val="21"/>
          <w:highlight w:val="none"/>
        </w:rPr>
        <w:t>包人应根据工程实施</w:t>
      </w:r>
    </w:p>
    <w:p w14:paraId="3022D1F0">
      <w:pPr>
        <w:spacing w:before="5" w:line="219" w:lineRule="auto"/>
        <w:rPr>
          <w:rFonts w:ascii="宋体" w:hAnsi="宋体" w:eastAsia="宋体" w:cs="宋体"/>
          <w:sz w:val="21"/>
          <w:szCs w:val="21"/>
          <w:highlight w:val="none"/>
        </w:rPr>
      </w:pPr>
      <w:r>
        <w:rPr>
          <w:rFonts w:ascii="宋体" w:hAnsi="宋体" w:eastAsia="宋体" w:cs="宋体"/>
          <w:spacing w:val="-1"/>
          <w:sz w:val="21"/>
          <w:szCs w:val="21"/>
          <w:highlight w:val="none"/>
        </w:rPr>
        <w:t>的需要及时向发包人和工程师说明设计文件的意图，解释</w:t>
      </w:r>
      <w:r>
        <w:rPr>
          <w:rFonts w:ascii="宋体" w:hAnsi="宋体" w:eastAsia="宋体" w:cs="宋体"/>
          <w:spacing w:val="-2"/>
          <w:sz w:val="21"/>
          <w:szCs w:val="21"/>
          <w:highlight w:val="none"/>
        </w:rPr>
        <w:t>设计文件。</w:t>
      </w:r>
    </w:p>
    <w:p w14:paraId="70053A1A">
      <w:pPr>
        <w:spacing w:before="102" w:line="221" w:lineRule="auto"/>
        <w:ind w:left="42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 xml:space="preserve">5.1.2    </w:t>
      </w:r>
      <w:r>
        <w:rPr>
          <w:rFonts w:ascii="宋体" w:hAnsi="宋体" w:eastAsia="宋体" w:cs="宋体"/>
          <w:spacing w:val="5"/>
          <w:sz w:val="20"/>
          <w:szCs w:val="20"/>
          <w:highlight w:val="none"/>
        </w:rPr>
        <w:t>对设计人员的要求</w:t>
      </w:r>
    </w:p>
    <w:p w14:paraId="57D671CE">
      <w:pPr>
        <w:pStyle w:val="2"/>
        <w:spacing w:line="355" w:lineRule="auto"/>
        <w:rPr>
          <w:highlight w:val="none"/>
        </w:rPr>
      </w:pPr>
    </w:p>
    <w:p w14:paraId="3CA98398">
      <w:pPr>
        <w:spacing w:before="72" w:line="386" w:lineRule="auto"/>
        <w:ind w:right="50" w:firstLine="420"/>
        <w:jc w:val="both"/>
        <w:rPr>
          <w:rFonts w:ascii="宋体" w:hAnsi="宋体" w:eastAsia="宋体" w:cs="宋体"/>
          <w:sz w:val="22"/>
          <w:szCs w:val="22"/>
          <w:highlight w:val="none"/>
        </w:rPr>
      </w:pPr>
      <w:r>
        <w:rPr>
          <w:rFonts w:ascii="宋体" w:hAnsi="宋体" w:eastAsia="宋体" w:cs="宋体"/>
          <w:spacing w:val="-12"/>
          <w:sz w:val="22"/>
          <w:szCs w:val="22"/>
          <w:highlight w:val="none"/>
        </w:rPr>
        <w:t>承包人应保证其或其设计分包人的设计资质在合同</w:t>
      </w:r>
      <w:r>
        <w:rPr>
          <w:rFonts w:ascii="宋体" w:hAnsi="宋体" w:eastAsia="宋体" w:cs="宋体"/>
          <w:spacing w:val="-13"/>
          <w:sz w:val="22"/>
          <w:szCs w:val="22"/>
          <w:highlight w:val="none"/>
        </w:rPr>
        <w:t>有效期内满足法律法规、行业标准或</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合同约定的相关要求，并指派符合法律法规、行业标准或合同约</w:t>
      </w:r>
      <w:r>
        <w:rPr>
          <w:rFonts w:ascii="宋体" w:hAnsi="宋体" w:eastAsia="宋体" w:cs="宋体"/>
          <w:spacing w:val="-13"/>
          <w:sz w:val="22"/>
          <w:szCs w:val="22"/>
          <w:highlight w:val="none"/>
        </w:rPr>
        <w:t>定的资质要求并具有从事设</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计所必需的经验与能力的的设计人员完成设计工作。承包人应保证其设计人员(包括分</w:t>
      </w:r>
      <w:r>
        <w:rPr>
          <w:rFonts w:ascii="宋体" w:hAnsi="宋体" w:eastAsia="宋体" w:cs="宋体"/>
          <w:spacing w:val="-10"/>
          <w:sz w:val="22"/>
          <w:szCs w:val="22"/>
          <w:highlight w:val="none"/>
        </w:rPr>
        <w:t>包人</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的设计人员)在合同期限内，都能按时参加发包人或工程师组织的工作会议。</w:t>
      </w:r>
    </w:p>
    <w:p w14:paraId="1981ABCB">
      <w:pPr>
        <w:spacing w:line="219" w:lineRule="auto"/>
        <w:ind w:left="42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 xml:space="preserve">5.1.3    </w:t>
      </w:r>
      <w:r>
        <w:rPr>
          <w:rFonts w:ascii="宋体" w:hAnsi="宋体" w:eastAsia="宋体" w:cs="宋体"/>
          <w:spacing w:val="5"/>
          <w:sz w:val="20"/>
          <w:szCs w:val="20"/>
          <w:highlight w:val="none"/>
        </w:rPr>
        <w:t>法律和标准的变化</w:t>
      </w:r>
    </w:p>
    <w:p w14:paraId="5B862BFF">
      <w:pPr>
        <w:pStyle w:val="2"/>
        <w:spacing w:line="361" w:lineRule="auto"/>
        <w:rPr>
          <w:highlight w:val="none"/>
        </w:rPr>
      </w:pPr>
    </w:p>
    <w:p w14:paraId="2EC7F7B0">
      <w:pPr>
        <w:spacing w:before="72" w:line="397" w:lineRule="auto"/>
        <w:ind w:firstLine="420"/>
        <w:jc w:val="both"/>
        <w:rPr>
          <w:rFonts w:ascii="宋体" w:hAnsi="宋体" w:eastAsia="宋体" w:cs="宋体"/>
          <w:sz w:val="22"/>
          <w:szCs w:val="22"/>
          <w:highlight w:val="none"/>
        </w:rPr>
      </w:pPr>
      <w:r>
        <w:rPr>
          <w:rFonts w:ascii="宋体" w:hAnsi="宋体" w:eastAsia="宋体" w:cs="宋体"/>
          <w:spacing w:val="-12"/>
          <w:sz w:val="22"/>
          <w:szCs w:val="22"/>
          <w:highlight w:val="none"/>
        </w:rPr>
        <w:t>除合同另有约定外，承包人完成设计工作所应遵</w:t>
      </w:r>
      <w:r>
        <w:rPr>
          <w:rFonts w:ascii="宋体" w:hAnsi="宋体" w:eastAsia="宋体" w:cs="宋体"/>
          <w:spacing w:val="-13"/>
          <w:sz w:val="22"/>
          <w:szCs w:val="22"/>
          <w:highlight w:val="none"/>
        </w:rPr>
        <w:t>守的法律规定，以及国家、行业和地方</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的规范和标准，均应视为在基准日期适用的</w:t>
      </w:r>
      <w:r>
        <w:rPr>
          <w:rFonts w:ascii="宋体" w:hAnsi="宋体" w:eastAsia="宋体" w:cs="宋体"/>
          <w:spacing w:val="-11"/>
          <w:sz w:val="22"/>
          <w:szCs w:val="22"/>
          <w:highlight w:val="none"/>
        </w:rPr>
        <w:t>版本。基准日期之后，前述版本发生重大变化，</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或者有新的法律，以及国家、行业和地方的规范和标准实施的，承包人应向工</w:t>
      </w:r>
      <w:r>
        <w:rPr>
          <w:rFonts w:ascii="宋体" w:hAnsi="宋体" w:eastAsia="宋体" w:cs="宋体"/>
          <w:spacing w:val="-13"/>
          <w:sz w:val="22"/>
          <w:szCs w:val="22"/>
          <w:highlight w:val="none"/>
        </w:rPr>
        <w:t>程师提出遵守</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新规定的建议。发包人或其委托的工程师应在收到建议后7天内发出是否遵守新规定的指</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示。如果该项建议构成变更的，按照第13.2款[承包人的合理化</w:t>
      </w:r>
      <w:r>
        <w:rPr>
          <w:rFonts w:ascii="宋体" w:hAnsi="宋体" w:eastAsia="宋体" w:cs="宋体"/>
          <w:spacing w:val="-7"/>
          <w:sz w:val="22"/>
          <w:szCs w:val="22"/>
          <w:highlight w:val="none"/>
        </w:rPr>
        <w:t>建议]的约定执行。</w:t>
      </w:r>
    </w:p>
    <w:p w14:paraId="4F1B083E">
      <w:pPr>
        <w:spacing w:before="13" w:line="403" w:lineRule="auto"/>
        <w:ind w:right="71" w:firstLine="420"/>
        <w:rPr>
          <w:rFonts w:ascii="宋体" w:hAnsi="宋体" w:eastAsia="宋体" w:cs="宋体"/>
          <w:sz w:val="22"/>
          <w:szCs w:val="22"/>
          <w:highlight w:val="none"/>
        </w:rPr>
      </w:pPr>
      <w:r>
        <w:rPr>
          <w:rFonts w:ascii="宋体" w:hAnsi="宋体" w:eastAsia="宋体" w:cs="宋体"/>
          <w:spacing w:val="-12"/>
          <w:sz w:val="22"/>
          <w:szCs w:val="22"/>
          <w:highlight w:val="none"/>
        </w:rPr>
        <w:t>在基准日期之后，因国家颁布新的强制性规范、</w:t>
      </w:r>
      <w:r>
        <w:rPr>
          <w:rFonts w:ascii="宋体" w:hAnsi="宋体" w:eastAsia="宋体" w:cs="宋体"/>
          <w:spacing w:val="-13"/>
          <w:sz w:val="22"/>
          <w:szCs w:val="22"/>
          <w:highlight w:val="none"/>
        </w:rPr>
        <w:t>标准导致承包人的费用变化的，发包人</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应合理调整合同价格；导致工期延误的，发包人应合理延长工期。</w:t>
      </w:r>
    </w:p>
    <w:p w14:paraId="145F4FCF">
      <w:pPr>
        <w:spacing w:line="403" w:lineRule="auto"/>
        <w:rPr>
          <w:rFonts w:ascii="宋体" w:hAnsi="宋体" w:eastAsia="宋体" w:cs="宋体"/>
          <w:sz w:val="22"/>
          <w:szCs w:val="22"/>
          <w:highlight w:val="none"/>
        </w:rPr>
        <w:sectPr>
          <w:footerReference r:id="rId91" w:type="default"/>
          <w:pgSz w:w="11910" w:h="16840"/>
          <w:pgMar w:top="400" w:right="1749" w:bottom="1217" w:left="1779" w:header="0" w:footer="1013" w:gutter="0"/>
          <w:cols w:space="720" w:num="1"/>
        </w:sectPr>
      </w:pPr>
    </w:p>
    <w:p w14:paraId="07EF8BDA">
      <w:pPr>
        <w:pStyle w:val="2"/>
        <w:spacing w:line="260" w:lineRule="auto"/>
        <w:rPr>
          <w:highlight w:val="none"/>
        </w:rPr>
      </w:pPr>
    </w:p>
    <w:p w14:paraId="0523BD8E">
      <w:pPr>
        <w:pStyle w:val="2"/>
        <w:spacing w:line="260" w:lineRule="auto"/>
        <w:rPr>
          <w:highlight w:val="none"/>
        </w:rPr>
      </w:pPr>
    </w:p>
    <w:p w14:paraId="46B8AFEB">
      <w:pPr>
        <w:pStyle w:val="2"/>
        <w:spacing w:line="260" w:lineRule="auto"/>
        <w:rPr>
          <w:highlight w:val="none"/>
        </w:rPr>
      </w:pPr>
    </w:p>
    <w:p w14:paraId="3B9A7055">
      <w:pPr>
        <w:pStyle w:val="2"/>
        <w:spacing w:line="260" w:lineRule="auto"/>
        <w:rPr>
          <w:highlight w:val="none"/>
        </w:rPr>
      </w:pPr>
    </w:p>
    <w:p w14:paraId="11B8571C">
      <w:pPr>
        <w:pStyle w:val="2"/>
        <w:spacing w:before="72" w:line="300" w:lineRule="exact"/>
        <w:rPr>
          <w:rFonts w:ascii="黑体" w:hAnsi="黑体" w:eastAsia="黑体" w:cs="黑体"/>
          <w:sz w:val="22"/>
          <w:szCs w:val="22"/>
          <w:highlight w:val="none"/>
        </w:rPr>
      </w:pPr>
      <w:r>
        <w:rPr>
          <w:spacing w:val="-6"/>
          <w:position w:val="1"/>
          <w:sz w:val="22"/>
          <w:szCs w:val="22"/>
          <w:highlight w:val="none"/>
        </w:rPr>
        <w:t xml:space="preserve">5.2  </w:t>
      </w:r>
      <w:r>
        <w:rPr>
          <w:rFonts w:ascii="黑体" w:hAnsi="黑体" w:eastAsia="黑体" w:cs="黑体"/>
          <w:spacing w:val="-6"/>
          <w:position w:val="1"/>
          <w:sz w:val="22"/>
          <w:szCs w:val="22"/>
          <w:highlight w:val="none"/>
        </w:rPr>
        <w:t>承包人文件审查</w:t>
      </w:r>
    </w:p>
    <w:p w14:paraId="0D6B4892">
      <w:pPr>
        <w:spacing w:before="129" w:line="353" w:lineRule="auto"/>
        <w:ind w:right="76" w:firstLine="43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5.2.1    </w:t>
      </w:r>
      <w:r>
        <w:rPr>
          <w:rFonts w:ascii="宋体" w:hAnsi="宋体" w:eastAsia="宋体" w:cs="宋体"/>
          <w:spacing w:val="7"/>
          <w:sz w:val="20"/>
          <w:szCs w:val="20"/>
          <w:highlight w:val="none"/>
        </w:rPr>
        <w:t>根据《发包人要求》应当通过工程师报发包人审查同意的承包人文件，承包人应</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当按照《发包人要求》约定的范围和内容及时报送审查。</w:t>
      </w:r>
    </w:p>
    <w:p w14:paraId="3508D6B1">
      <w:pPr>
        <w:spacing w:before="306" w:line="417" w:lineRule="auto"/>
        <w:ind w:right="75"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除专用合同条件另有约定外，自工程师收到承包人文件以及承包人的通知之日起，发包</w:t>
      </w:r>
      <w:r>
        <w:rPr>
          <w:rFonts w:ascii="宋体" w:hAnsi="宋体" w:eastAsia="宋体" w:cs="宋体"/>
          <w:spacing w:val="4"/>
          <w:sz w:val="21"/>
          <w:szCs w:val="21"/>
          <w:highlight w:val="none"/>
        </w:rPr>
        <w:t xml:space="preserve"> </w:t>
      </w:r>
      <w:r>
        <w:rPr>
          <w:rFonts w:ascii="宋体" w:hAnsi="宋体" w:eastAsia="宋体" w:cs="宋体"/>
          <w:spacing w:val="3"/>
          <w:sz w:val="21"/>
          <w:szCs w:val="21"/>
          <w:highlight w:val="none"/>
        </w:rPr>
        <w:t>人对承包人文件审查期不超过21天。承包人的设计文件对于合同约定有偏离的，应在通知</w:t>
      </w:r>
      <w:r>
        <w:rPr>
          <w:rFonts w:ascii="宋体" w:hAnsi="宋体" w:eastAsia="宋体" w:cs="宋体"/>
          <w:spacing w:val="15"/>
          <w:sz w:val="21"/>
          <w:szCs w:val="21"/>
          <w:highlight w:val="none"/>
        </w:rPr>
        <w:t xml:space="preserve"> </w:t>
      </w:r>
      <w:r>
        <w:rPr>
          <w:rFonts w:ascii="宋体" w:hAnsi="宋体" w:eastAsia="宋体" w:cs="宋体"/>
          <w:spacing w:val="-2"/>
          <w:sz w:val="21"/>
          <w:szCs w:val="21"/>
          <w:highlight w:val="none"/>
        </w:rPr>
        <w:t>中说明。承包人需要修改已提交的承包人文件的，应立即通知工程师，并向工程师提交</w:t>
      </w:r>
      <w:r>
        <w:rPr>
          <w:rFonts w:ascii="宋体" w:hAnsi="宋体" w:eastAsia="宋体" w:cs="宋体"/>
          <w:spacing w:val="-3"/>
          <w:sz w:val="21"/>
          <w:szCs w:val="21"/>
          <w:highlight w:val="none"/>
        </w:rPr>
        <w:t>修改</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后的承包人文件，审查期重新起算。</w:t>
      </w:r>
    </w:p>
    <w:p w14:paraId="57372E62">
      <w:pPr>
        <w:spacing w:before="2" w:line="422" w:lineRule="auto"/>
        <w:ind w:right="94" w:firstLine="430"/>
        <w:rPr>
          <w:rFonts w:ascii="宋体" w:hAnsi="宋体" w:eastAsia="宋体" w:cs="宋体"/>
          <w:sz w:val="21"/>
          <w:szCs w:val="21"/>
          <w:highlight w:val="none"/>
        </w:rPr>
      </w:pPr>
      <w:r>
        <w:rPr>
          <w:rFonts w:ascii="宋体" w:hAnsi="宋体" w:eastAsia="宋体" w:cs="宋体"/>
          <w:spacing w:val="-2"/>
          <w:sz w:val="21"/>
          <w:szCs w:val="21"/>
          <w:highlight w:val="none"/>
        </w:rPr>
        <w:t>发包人同意承包人文件的，应及时通知承包人，发包</w:t>
      </w:r>
      <w:r>
        <w:rPr>
          <w:rFonts w:ascii="宋体" w:hAnsi="宋体" w:eastAsia="宋体" w:cs="宋体"/>
          <w:spacing w:val="-3"/>
          <w:sz w:val="21"/>
          <w:szCs w:val="21"/>
          <w:highlight w:val="none"/>
        </w:rPr>
        <w:t>人不同意承包人文件的，应在审查</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期限内通过工程师以书面形式通知承包人，并说明不同意的具体内容和理由。</w:t>
      </w:r>
    </w:p>
    <w:p w14:paraId="1545B606">
      <w:pPr>
        <w:spacing w:line="219" w:lineRule="auto"/>
        <w:ind w:left="430"/>
        <w:rPr>
          <w:rFonts w:ascii="宋体" w:hAnsi="宋体" w:eastAsia="宋体" w:cs="宋体"/>
          <w:sz w:val="22"/>
          <w:szCs w:val="22"/>
          <w:highlight w:val="none"/>
        </w:rPr>
      </w:pPr>
      <w:r>
        <w:rPr>
          <w:rFonts w:ascii="宋体" w:hAnsi="宋体" w:eastAsia="宋体" w:cs="宋体"/>
          <w:spacing w:val="-12"/>
          <w:sz w:val="22"/>
          <w:szCs w:val="22"/>
          <w:highlight w:val="none"/>
        </w:rPr>
        <w:t>承包人对发包人的意见按以下方式处理：</w:t>
      </w:r>
    </w:p>
    <w:p w14:paraId="348ACC97">
      <w:pPr>
        <w:spacing w:before="226" w:line="349" w:lineRule="auto"/>
        <w:ind w:right="67" w:firstLine="550"/>
        <w:rPr>
          <w:rFonts w:ascii="宋体" w:hAnsi="宋体" w:eastAsia="宋体" w:cs="宋体"/>
          <w:sz w:val="21"/>
          <w:szCs w:val="21"/>
          <w:highlight w:val="none"/>
        </w:rPr>
      </w:pPr>
      <w:r>
        <w:rPr>
          <w:rFonts w:ascii="宋体" w:hAnsi="宋体" w:eastAsia="宋体" w:cs="宋体"/>
          <w:spacing w:val="9"/>
          <w:sz w:val="21"/>
          <w:szCs w:val="21"/>
          <w:highlight w:val="none"/>
        </w:rPr>
        <w:t>(1)发包人的意见构成变更的，承包人应在7天内通知发包人按</w:t>
      </w:r>
      <w:r>
        <w:rPr>
          <w:rFonts w:ascii="宋体" w:hAnsi="宋体" w:eastAsia="宋体" w:cs="宋体"/>
          <w:spacing w:val="8"/>
          <w:sz w:val="21"/>
          <w:szCs w:val="21"/>
          <w:highlight w:val="none"/>
        </w:rPr>
        <w:t>照第13条[变更与调</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整]中关于发包人指示变更的约定执行，双方对是否构成变更无法达成一致的，按照第20</w:t>
      </w:r>
      <w:r>
        <w:rPr>
          <w:rFonts w:ascii="宋体" w:hAnsi="宋体" w:eastAsia="宋体" w:cs="宋体"/>
          <w:spacing w:val="14"/>
          <w:sz w:val="21"/>
          <w:szCs w:val="21"/>
          <w:highlight w:val="none"/>
        </w:rPr>
        <w:t xml:space="preserve"> </w:t>
      </w:r>
      <w:r>
        <w:rPr>
          <w:rFonts w:ascii="宋体" w:hAnsi="宋体" w:eastAsia="宋体" w:cs="宋体"/>
          <w:spacing w:val="-5"/>
          <w:sz w:val="21"/>
          <w:szCs w:val="21"/>
          <w:highlight w:val="none"/>
        </w:rPr>
        <w:t>条[争议解决]的约定执行；</w:t>
      </w:r>
    </w:p>
    <w:p w14:paraId="6AC88924">
      <w:pPr>
        <w:spacing w:before="271" w:line="359" w:lineRule="auto"/>
        <w:ind w:right="77" w:firstLine="550"/>
        <w:rPr>
          <w:rFonts w:ascii="宋体" w:hAnsi="宋体" w:eastAsia="宋体" w:cs="宋体"/>
          <w:sz w:val="20"/>
          <w:szCs w:val="20"/>
          <w:highlight w:val="none"/>
        </w:rPr>
      </w:pPr>
      <w:r>
        <w:rPr>
          <w:rFonts w:ascii="宋体" w:hAnsi="宋体" w:eastAsia="宋体" w:cs="宋体"/>
          <w:spacing w:val="13"/>
          <w:sz w:val="20"/>
          <w:szCs w:val="20"/>
          <w:highlight w:val="none"/>
        </w:rPr>
        <w:t>(2)因承包人原因导致无法通过审查的，承包人应根据发包人的书面</w:t>
      </w:r>
      <w:r>
        <w:rPr>
          <w:rFonts w:ascii="宋体" w:hAnsi="宋体" w:eastAsia="宋体" w:cs="宋体"/>
          <w:spacing w:val="12"/>
          <w:sz w:val="20"/>
          <w:szCs w:val="20"/>
          <w:highlight w:val="none"/>
        </w:rPr>
        <w:t>说明，对承包人</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文件进行修改后重新报送发包人审查，审查期重新起算。因此引起的工期延长和必</w:t>
      </w:r>
      <w:r>
        <w:rPr>
          <w:rFonts w:ascii="宋体" w:hAnsi="宋体" w:eastAsia="宋体" w:cs="宋体"/>
          <w:spacing w:val="7"/>
          <w:sz w:val="20"/>
          <w:szCs w:val="20"/>
          <w:highlight w:val="none"/>
        </w:rPr>
        <w:t>要的工程</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费用增加，由承包人负责。</w:t>
      </w:r>
    </w:p>
    <w:p w14:paraId="101D1C98">
      <w:pPr>
        <w:spacing w:before="253" w:line="415" w:lineRule="auto"/>
        <w:ind w:right="91" w:firstLine="430"/>
        <w:rPr>
          <w:rFonts w:ascii="宋体" w:hAnsi="宋体" w:eastAsia="宋体" w:cs="宋体"/>
          <w:sz w:val="21"/>
          <w:szCs w:val="21"/>
          <w:highlight w:val="none"/>
        </w:rPr>
      </w:pPr>
      <w:r>
        <w:rPr>
          <w:rFonts w:ascii="宋体" w:hAnsi="宋体" w:eastAsia="宋体" w:cs="宋体"/>
          <w:spacing w:val="-2"/>
          <w:sz w:val="21"/>
          <w:szCs w:val="21"/>
          <w:highlight w:val="none"/>
        </w:rPr>
        <w:t>合同约定的审查期满，发包人没有做出审查结论也没有提出</w:t>
      </w:r>
      <w:r>
        <w:rPr>
          <w:rFonts w:ascii="宋体" w:hAnsi="宋体" w:eastAsia="宋体" w:cs="宋体"/>
          <w:spacing w:val="-3"/>
          <w:sz w:val="21"/>
          <w:szCs w:val="21"/>
          <w:highlight w:val="none"/>
        </w:rPr>
        <w:t>异议的，视为承包人文件已</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获发包人同意。</w:t>
      </w:r>
    </w:p>
    <w:p w14:paraId="2D1605C9">
      <w:pPr>
        <w:spacing w:before="5" w:line="219" w:lineRule="auto"/>
        <w:ind w:left="430"/>
        <w:rPr>
          <w:rFonts w:ascii="宋体" w:hAnsi="宋体" w:eastAsia="宋体" w:cs="宋体"/>
          <w:sz w:val="20"/>
          <w:szCs w:val="20"/>
          <w:highlight w:val="none"/>
        </w:rPr>
      </w:pPr>
      <w:r>
        <w:rPr>
          <w:rFonts w:ascii="宋体" w:hAnsi="宋体" w:eastAsia="宋体" w:cs="宋体"/>
          <w:spacing w:val="8"/>
          <w:sz w:val="20"/>
          <w:szCs w:val="20"/>
          <w:highlight w:val="none"/>
        </w:rPr>
        <w:t>发包人对承包人文件的审查和同意不得被理解为</w:t>
      </w:r>
      <w:r>
        <w:rPr>
          <w:rFonts w:ascii="宋体" w:hAnsi="宋体" w:eastAsia="宋体" w:cs="宋体"/>
          <w:spacing w:val="7"/>
          <w:sz w:val="20"/>
          <w:szCs w:val="20"/>
          <w:highlight w:val="none"/>
        </w:rPr>
        <w:t>对合同的修改或改变，也并不减轻或免</w:t>
      </w:r>
    </w:p>
    <w:p w14:paraId="583F4544">
      <w:pPr>
        <w:spacing w:before="253" w:line="219" w:lineRule="auto"/>
        <w:rPr>
          <w:rFonts w:ascii="宋体" w:hAnsi="宋体" w:eastAsia="宋体" w:cs="宋体"/>
          <w:sz w:val="20"/>
          <w:szCs w:val="20"/>
          <w:highlight w:val="none"/>
        </w:rPr>
      </w:pPr>
      <w:r>
        <w:rPr>
          <w:rFonts w:ascii="宋体" w:hAnsi="宋体" w:eastAsia="宋体" w:cs="宋体"/>
          <w:spacing w:val="7"/>
          <w:sz w:val="20"/>
          <w:szCs w:val="20"/>
          <w:highlight w:val="none"/>
        </w:rPr>
        <w:t>除承包人任何的责任和义务。</w:t>
      </w:r>
    </w:p>
    <w:p w14:paraId="060C6FD5">
      <w:pPr>
        <w:spacing w:before="112" w:line="330" w:lineRule="auto"/>
        <w:ind w:right="95" w:firstLine="430"/>
        <w:rPr>
          <w:rFonts w:ascii="宋体" w:hAnsi="宋体" w:eastAsia="宋体" w:cs="宋体"/>
          <w:sz w:val="22"/>
          <w:szCs w:val="22"/>
          <w:highlight w:val="none"/>
        </w:rPr>
      </w:pPr>
      <w:r>
        <w:rPr>
          <w:rFonts w:ascii="宋体" w:hAnsi="宋体" w:eastAsia="宋体" w:cs="宋体"/>
          <w:spacing w:val="-4"/>
          <w:sz w:val="22"/>
          <w:szCs w:val="22"/>
          <w:highlight w:val="none"/>
        </w:rPr>
        <w:t>5.2.2承包人文件不需要政府有关部门或专用合同条件约定的第三方审查单位审查或</w:t>
      </w:r>
      <w:r>
        <w:rPr>
          <w:rFonts w:ascii="宋体" w:hAnsi="宋体" w:eastAsia="宋体" w:cs="宋体"/>
          <w:spacing w:val="15"/>
          <w:sz w:val="22"/>
          <w:szCs w:val="22"/>
          <w:highlight w:val="none"/>
        </w:rPr>
        <w:t xml:space="preserve"> </w:t>
      </w:r>
      <w:r>
        <w:rPr>
          <w:rFonts w:ascii="宋体" w:hAnsi="宋体" w:eastAsia="宋体" w:cs="宋体"/>
          <w:spacing w:val="-10"/>
          <w:sz w:val="22"/>
          <w:szCs w:val="22"/>
          <w:highlight w:val="none"/>
        </w:rPr>
        <w:t>批准的，承包人应当严格按照经发包人审查同意的承包人文件设计和实施工程。</w:t>
      </w:r>
    </w:p>
    <w:p w14:paraId="18F3D6FA">
      <w:pPr>
        <w:spacing w:before="303" w:line="419" w:lineRule="auto"/>
        <w:ind w:firstLine="430"/>
        <w:jc w:val="both"/>
        <w:rPr>
          <w:rFonts w:ascii="宋体" w:hAnsi="宋体" w:eastAsia="宋体" w:cs="宋体"/>
          <w:sz w:val="21"/>
          <w:szCs w:val="21"/>
          <w:highlight w:val="none"/>
        </w:rPr>
      </w:pPr>
      <w:r>
        <w:rPr>
          <w:rFonts w:ascii="宋体" w:hAnsi="宋体" w:eastAsia="宋体" w:cs="宋体"/>
          <w:sz w:val="21"/>
          <w:szCs w:val="21"/>
          <w:highlight w:val="none"/>
        </w:rPr>
        <w:t>发包人需要组织审查会议对承包人文件进行审查的，审查会议的审查形式、时间安排、</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费用承担，在专用合同条件中约定。发包人负责组织承包人文件审查会议，承包人有义</w:t>
      </w:r>
      <w:r>
        <w:rPr>
          <w:rFonts w:ascii="宋体" w:hAnsi="宋体" w:eastAsia="宋体" w:cs="宋体"/>
          <w:spacing w:val="-3"/>
          <w:sz w:val="21"/>
          <w:szCs w:val="21"/>
          <w:highlight w:val="none"/>
        </w:rPr>
        <w:t>务参</w:t>
      </w:r>
      <w:r>
        <w:rPr>
          <w:rFonts w:ascii="宋体" w:hAnsi="宋体" w:eastAsia="宋体" w:cs="宋体"/>
          <w:sz w:val="21"/>
          <w:szCs w:val="21"/>
          <w:highlight w:val="none"/>
        </w:rPr>
        <w:t xml:space="preserve">  加发包人组织的审查会议，向审查者介绍、解答、解释承包人文件，并提供有</w:t>
      </w:r>
      <w:r>
        <w:rPr>
          <w:rFonts w:ascii="宋体" w:hAnsi="宋体" w:eastAsia="宋体" w:cs="宋体"/>
          <w:spacing w:val="-1"/>
          <w:sz w:val="21"/>
          <w:szCs w:val="21"/>
          <w:highlight w:val="none"/>
        </w:rPr>
        <w:t>关补充资料。</w:t>
      </w:r>
    </w:p>
    <w:p w14:paraId="3998B6B4">
      <w:pPr>
        <w:spacing w:before="1" w:line="425" w:lineRule="auto"/>
        <w:ind w:right="94"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发包人有义务向承包人提供审查会议的批准文件</w:t>
      </w:r>
      <w:r>
        <w:rPr>
          <w:rFonts w:ascii="宋体" w:hAnsi="宋体" w:eastAsia="宋体" w:cs="宋体"/>
          <w:spacing w:val="-3"/>
          <w:sz w:val="21"/>
          <w:szCs w:val="21"/>
          <w:highlight w:val="none"/>
        </w:rPr>
        <w:t>和纪要。承包人有义务按照相关审查会</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议批准的文件和纪要，并依据合同约定及相关技术标准，对承包人文件进行修改、补充和完</w:t>
      </w:r>
      <w:r>
        <w:rPr>
          <w:rFonts w:ascii="宋体" w:hAnsi="宋体" w:eastAsia="宋体" w:cs="宋体"/>
          <w:sz w:val="21"/>
          <w:szCs w:val="21"/>
          <w:highlight w:val="none"/>
        </w:rPr>
        <w:t xml:space="preserve"> </w:t>
      </w:r>
      <w:r>
        <w:rPr>
          <w:rFonts w:ascii="宋体" w:hAnsi="宋体" w:eastAsia="宋体" w:cs="宋体"/>
          <w:spacing w:val="-11"/>
          <w:sz w:val="21"/>
          <w:szCs w:val="21"/>
          <w:highlight w:val="none"/>
        </w:rPr>
        <w:t>善。</w:t>
      </w:r>
    </w:p>
    <w:p w14:paraId="1FEFFC3D">
      <w:pPr>
        <w:spacing w:line="425" w:lineRule="auto"/>
        <w:rPr>
          <w:rFonts w:ascii="宋体" w:hAnsi="宋体" w:eastAsia="宋体" w:cs="宋体"/>
          <w:sz w:val="21"/>
          <w:szCs w:val="21"/>
          <w:highlight w:val="none"/>
        </w:rPr>
        <w:sectPr>
          <w:footerReference r:id="rId92" w:type="default"/>
          <w:pgSz w:w="11910" w:h="16840"/>
          <w:pgMar w:top="400" w:right="1724" w:bottom="1217" w:left="1769" w:header="0" w:footer="1013" w:gutter="0"/>
          <w:cols w:space="720" w:num="1"/>
        </w:sectPr>
      </w:pPr>
    </w:p>
    <w:p w14:paraId="430AFD8E">
      <w:pPr>
        <w:pStyle w:val="2"/>
        <w:spacing w:line="245" w:lineRule="auto"/>
        <w:rPr>
          <w:highlight w:val="none"/>
        </w:rPr>
      </w:pPr>
    </w:p>
    <w:p w14:paraId="32D0B6C1">
      <w:pPr>
        <w:pStyle w:val="2"/>
        <w:spacing w:line="245" w:lineRule="auto"/>
        <w:rPr>
          <w:highlight w:val="none"/>
        </w:rPr>
      </w:pPr>
    </w:p>
    <w:p w14:paraId="45335AF7">
      <w:pPr>
        <w:pStyle w:val="2"/>
        <w:spacing w:line="245" w:lineRule="auto"/>
        <w:rPr>
          <w:highlight w:val="none"/>
        </w:rPr>
      </w:pPr>
    </w:p>
    <w:p w14:paraId="3A8DA2FD">
      <w:pPr>
        <w:pStyle w:val="2"/>
        <w:spacing w:line="246" w:lineRule="auto"/>
        <w:rPr>
          <w:highlight w:val="none"/>
        </w:rPr>
      </w:pPr>
    </w:p>
    <w:p w14:paraId="336F3EE5">
      <w:pPr>
        <w:spacing w:before="69" w:line="345" w:lineRule="auto"/>
        <w:ind w:right="95" w:firstLine="430"/>
        <w:jc w:val="both"/>
        <w:rPr>
          <w:rFonts w:ascii="宋体" w:hAnsi="宋体" w:eastAsia="宋体" w:cs="宋体"/>
          <w:sz w:val="21"/>
          <w:szCs w:val="21"/>
          <w:highlight w:val="none"/>
        </w:rPr>
      </w:pPr>
      <w:bookmarkStart w:id="88" w:name="bookmark222"/>
      <w:bookmarkEnd w:id="88"/>
      <w:r>
        <w:rPr>
          <w:rFonts w:ascii="宋体" w:hAnsi="宋体" w:eastAsia="宋体" w:cs="宋体"/>
          <w:spacing w:val="6"/>
          <w:sz w:val="21"/>
          <w:szCs w:val="21"/>
          <w:highlight w:val="none"/>
        </w:rPr>
        <w:t>5.2.3承包人文件需政府有关部门或专用合同条件约定的第</w:t>
      </w:r>
      <w:r>
        <w:rPr>
          <w:rFonts w:ascii="宋体" w:hAnsi="宋体" w:eastAsia="宋体" w:cs="宋体"/>
          <w:spacing w:val="5"/>
          <w:sz w:val="21"/>
          <w:szCs w:val="21"/>
          <w:highlight w:val="none"/>
        </w:rPr>
        <w:t>三方审查单位审查或批准</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的，发包人应在发包人审查同意承包人文件后7天</w:t>
      </w:r>
      <w:r>
        <w:rPr>
          <w:rFonts w:ascii="宋体" w:hAnsi="宋体" w:eastAsia="宋体" w:cs="宋体"/>
          <w:sz w:val="21"/>
          <w:szCs w:val="21"/>
          <w:highlight w:val="none"/>
        </w:rPr>
        <w:t xml:space="preserve">内，向政府有关部门或第三方报送承包人 </w:t>
      </w:r>
      <w:r>
        <w:rPr>
          <w:rFonts w:ascii="宋体" w:hAnsi="宋体" w:eastAsia="宋体" w:cs="宋体"/>
          <w:spacing w:val="-4"/>
          <w:sz w:val="21"/>
          <w:szCs w:val="21"/>
          <w:highlight w:val="none"/>
        </w:rPr>
        <w:t>文件，承包人应予以协助。</w:t>
      </w:r>
    </w:p>
    <w:p w14:paraId="54C95E51">
      <w:pPr>
        <w:spacing w:before="296" w:line="398" w:lineRule="auto"/>
        <w:ind w:right="91" w:firstLine="430"/>
        <w:jc w:val="both"/>
        <w:rPr>
          <w:rFonts w:ascii="宋体" w:hAnsi="宋体" w:eastAsia="宋体" w:cs="宋体"/>
          <w:sz w:val="22"/>
          <w:szCs w:val="22"/>
          <w:highlight w:val="none"/>
        </w:rPr>
      </w:pPr>
      <w:r>
        <w:rPr>
          <w:rFonts w:ascii="宋体" w:hAnsi="宋体" w:eastAsia="宋体" w:cs="宋体"/>
          <w:spacing w:val="-12"/>
          <w:sz w:val="22"/>
          <w:szCs w:val="22"/>
          <w:highlight w:val="none"/>
        </w:rPr>
        <w:t>对于政府有关部门或第三方审查单位的审查意见，</w:t>
      </w:r>
      <w:r>
        <w:rPr>
          <w:rFonts w:ascii="宋体" w:hAnsi="宋体" w:eastAsia="宋体" w:cs="宋体"/>
          <w:spacing w:val="-13"/>
          <w:sz w:val="22"/>
          <w:szCs w:val="22"/>
          <w:highlight w:val="none"/>
        </w:rPr>
        <w:t>不需要修改《发包人要求》的，承包</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人需按该审查意见修改承包人的设计文件；需要修改《发包</w:t>
      </w:r>
      <w:r>
        <w:rPr>
          <w:rFonts w:ascii="宋体" w:hAnsi="宋体" w:eastAsia="宋体" w:cs="宋体"/>
          <w:spacing w:val="-12"/>
          <w:sz w:val="22"/>
          <w:szCs w:val="22"/>
          <w:highlight w:val="none"/>
        </w:rPr>
        <w:t>人要求》的，承包人应按第13.2</w:t>
      </w:r>
      <w:r>
        <w:rPr>
          <w:rFonts w:ascii="宋体" w:hAnsi="宋体" w:eastAsia="宋体" w:cs="宋体"/>
          <w:sz w:val="22"/>
          <w:szCs w:val="22"/>
          <w:highlight w:val="none"/>
        </w:rPr>
        <w:t xml:space="preserve"> </w:t>
      </w:r>
      <w:r>
        <w:rPr>
          <w:rFonts w:ascii="宋体" w:hAnsi="宋体" w:eastAsia="宋体" w:cs="宋体"/>
          <w:spacing w:val="-8"/>
          <w:sz w:val="22"/>
          <w:szCs w:val="22"/>
          <w:highlight w:val="none"/>
        </w:rPr>
        <w:t>款[承包人的合理化建议]的约定执行。上述</w:t>
      </w:r>
      <w:r>
        <w:rPr>
          <w:rFonts w:ascii="宋体" w:hAnsi="宋体" w:eastAsia="宋体" w:cs="宋体"/>
          <w:spacing w:val="-9"/>
          <w:sz w:val="22"/>
          <w:szCs w:val="22"/>
          <w:highlight w:val="none"/>
        </w:rPr>
        <w:t>情形还应适用第5.1款[承包人的设计义务]和第</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13条[变更与调整]的有关约定。</w:t>
      </w:r>
    </w:p>
    <w:p w14:paraId="66F4AD2D">
      <w:pPr>
        <w:spacing w:before="40" w:line="415" w:lineRule="auto"/>
        <w:ind w:right="96"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政府有关部门或第三方审查单位审查批准后，承</w:t>
      </w:r>
      <w:r>
        <w:rPr>
          <w:rFonts w:ascii="宋体" w:hAnsi="宋体" w:eastAsia="宋体" w:cs="宋体"/>
          <w:spacing w:val="-3"/>
          <w:sz w:val="21"/>
          <w:szCs w:val="21"/>
          <w:highlight w:val="none"/>
        </w:rPr>
        <w:t>包人应当严格按照批准后的承包人文件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实施工程。政府有关部门或第三方审查单位批准时间较合同约定时间延长的，竣工日</w:t>
      </w:r>
      <w:r>
        <w:rPr>
          <w:rFonts w:ascii="宋体" w:hAnsi="宋体" w:eastAsia="宋体" w:cs="宋体"/>
          <w:spacing w:val="-3"/>
          <w:sz w:val="21"/>
          <w:szCs w:val="21"/>
          <w:highlight w:val="none"/>
        </w:rPr>
        <w:t>期相应</w:t>
      </w:r>
      <w:r>
        <w:rPr>
          <w:rFonts w:ascii="宋体" w:hAnsi="宋体" w:eastAsia="宋体" w:cs="宋体"/>
          <w:sz w:val="21"/>
          <w:szCs w:val="21"/>
          <w:highlight w:val="none"/>
        </w:rPr>
        <w:t xml:space="preserve"> 顺延。因此给双方带来的费用增加，由双方在负责的范围</w:t>
      </w:r>
      <w:r>
        <w:rPr>
          <w:rFonts w:ascii="宋体" w:hAnsi="宋体" w:eastAsia="宋体" w:cs="宋体"/>
          <w:spacing w:val="-1"/>
          <w:sz w:val="21"/>
          <w:szCs w:val="21"/>
          <w:highlight w:val="none"/>
        </w:rPr>
        <w:t>内各自承担。</w:t>
      </w:r>
    </w:p>
    <w:p w14:paraId="2A70EFF6">
      <w:pPr>
        <w:pStyle w:val="2"/>
        <w:spacing w:before="136" w:line="300" w:lineRule="exact"/>
        <w:rPr>
          <w:rFonts w:ascii="黑体" w:hAnsi="黑体" w:eastAsia="黑体" w:cs="黑体"/>
          <w:sz w:val="22"/>
          <w:szCs w:val="22"/>
          <w:highlight w:val="none"/>
        </w:rPr>
      </w:pPr>
      <w:r>
        <w:rPr>
          <w:spacing w:val="-3"/>
          <w:position w:val="1"/>
          <w:sz w:val="22"/>
          <w:szCs w:val="22"/>
          <w:highlight w:val="none"/>
        </w:rPr>
        <w:t>5.3</w:t>
      </w:r>
      <w:r>
        <w:rPr>
          <w:spacing w:val="53"/>
          <w:position w:val="1"/>
          <w:sz w:val="22"/>
          <w:szCs w:val="22"/>
          <w:highlight w:val="none"/>
        </w:rPr>
        <w:t xml:space="preserve"> </w:t>
      </w:r>
      <w:r>
        <w:rPr>
          <w:rFonts w:ascii="黑体" w:hAnsi="黑体" w:eastAsia="黑体" w:cs="黑体"/>
          <w:spacing w:val="-3"/>
          <w:position w:val="1"/>
          <w:sz w:val="22"/>
          <w:szCs w:val="22"/>
          <w:highlight w:val="none"/>
        </w:rPr>
        <w:t>培训</w:t>
      </w:r>
    </w:p>
    <w:p w14:paraId="25B46298">
      <w:pPr>
        <w:spacing w:before="214" w:line="425" w:lineRule="auto"/>
        <w:ind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承包人应按照《发包人要求》,对发包人的雇员或其它发包人指定的人员进行工程操作、</w:t>
      </w:r>
      <w:r>
        <w:rPr>
          <w:rFonts w:ascii="宋体" w:hAnsi="宋体" w:eastAsia="宋体" w:cs="宋体"/>
          <w:spacing w:val="16"/>
          <w:sz w:val="21"/>
          <w:szCs w:val="21"/>
          <w:highlight w:val="none"/>
        </w:rPr>
        <w:t xml:space="preserve"> </w:t>
      </w:r>
      <w:r>
        <w:rPr>
          <w:rFonts w:ascii="宋体" w:hAnsi="宋体" w:eastAsia="宋体" w:cs="宋体"/>
          <w:spacing w:val="3"/>
          <w:sz w:val="21"/>
          <w:szCs w:val="21"/>
          <w:highlight w:val="none"/>
        </w:rPr>
        <w:t>维修或其它合同中约定的培训。合同约定接收之前进行培训的，应在第10.1款[竣工验收]</w:t>
      </w:r>
      <w:r>
        <w:rPr>
          <w:rFonts w:ascii="宋体" w:hAnsi="宋体" w:eastAsia="宋体" w:cs="宋体"/>
          <w:spacing w:val="14"/>
          <w:sz w:val="21"/>
          <w:szCs w:val="21"/>
          <w:highlight w:val="none"/>
        </w:rPr>
        <w:t xml:space="preserve"> </w:t>
      </w:r>
      <w:r>
        <w:rPr>
          <w:rFonts w:ascii="宋体" w:hAnsi="宋体" w:eastAsia="宋体" w:cs="宋体"/>
          <w:spacing w:val="-1"/>
          <w:sz w:val="21"/>
          <w:szCs w:val="21"/>
          <w:highlight w:val="none"/>
        </w:rPr>
        <w:t>约定的竣工验收前或试运行结束前完成培训。</w:t>
      </w:r>
    </w:p>
    <w:p w14:paraId="20E52CF2">
      <w:pPr>
        <w:spacing w:before="2" w:line="407" w:lineRule="auto"/>
        <w:ind w:right="75" w:firstLine="430"/>
        <w:rPr>
          <w:rFonts w:ascii="宋体" w:hAnsi="宋体" w:eastAsia="宋体" w:cs="宋体"/>
          <w:sz w:val="21"/>
          <w:szCs w:val="21"/>
          <w:highlight w:val="none"/>
        </w:rPr>
      </w:pPr>
      <w:r>
        <w:rPr>
          <w:rFonts w:ascii="宋体" w:hAnsi="宋体" w:eastAsia="宋体" w:cs="宋体"/>
          <w:spacing w:val="-2"/>
          <w:sz w:val="21"/>
          <w:szCs w:val="21"/>
          <w:highlight w:val="none"/>
        </w:rPr>
        <w:t>培训的时长应由双方在专用合同条件中约定，承包人应为培训提供有经验的人员、设施</w:t>
      </w:r>
      <w:r>
        <w:rPr>
          <w:rFonts w:ascii="宋体" w:hAnsi="宋体" w:eastAsia="宋体" w:cs="宋体"/>
          <w:spacing w:val="4"/>
          <w:sz w:val="21"/>
          <w:szCs w:val="21"/>
          <w:highlight w:val="none"/>
        </w:rPr>
        <w:t xml:space="preserve"> </w:t>
      </w:r>
      <w:r>
        <w:rPr>
          <w:rFonts w:ascii="宋体" w:hAnsi="宋体" w:eastAsia="宋体" w:cs="宋体"/>
          <w:spacing w:val="-5"/>
          <w:sz w:val="21"/>
          <w:szCs w:val="21"/>
          <w:highlight w:val="none"/>
        </w:rPr>
        <w:t>和其它必要条件。</w:t>
      </w:r>
    </w:p>
    <w:p w14:paraId="60939CF1">
      <w:pPr>
        <w:spacing w:before="203" w:line="221" w:lineRule="auto"/>
        <w:rPr>
          <w:rFonts w:ascii="黑体" w:hAnsi="黑体" w:eastAsia="黑体" w:cs="黑体"/>
          <w:sz w:val="19"/>
          <w:szCs w:val="19"/>
          <w:highlight w:val="none"/>
        </w:rPr>
      </w:pPr>
      <w:r>
        <w:rPr>
          <w:rFonts w:ascii="黑体" w:hAnsi="黑体" w:eastAsia="黑体" w:cs="黑体"/>
          <w:spacing w:val="17"/>
          <w:sz w:val="19"/>
          <w:szCs w:val="19"/>
          <w:highlight w:val="none"/>
        </w:rPr>
        <w:t>5</w:t>
      </w:r>
      <w:r>
        <w:rPr>
          <w:rFonts w:ascii="黑体" w:hAnsi="黑体" w:eastAsia="黑体" w:cs="黑体"/>
          <w:spacing w:val="-40"/>
          <w:sz w:val="19"/>
          <w:szCs w:val="19"/>
          <w:highlight w:val="none"/>
        </w:rPr>
        <w:t xml:space="preserve"> </w:t>
      </w:r>
      <w:r>
        <w:rPr>
          <w:rFonts w:ascii="黑体" w:hAnsi="黑体" w:eastAsia="黑体" w:cs="黑体"/>
          <w:spacing w:val="17"/>
          <w:sz w:val="19"/>
          <w:szCs w:val="19"/>
          <w:highlight w:val="none"/>
        </w:rPr>
        <w:t>.</w:t>
      </w:r>
      <w:r>
        <w:rPr>
          <w:rFonts w:ascii="黑体" w:hAnsi="黑体" w:eastAsia="黑体" w:cs="黑体"/>
          <w:spacing w:val="-56"/>
          <w:sz w:val="19"/>
          <w:szCs w:val="19"/>
          <w:highlight w:val="none"/>
        </w:rPr>
        <w:t xml:space="preserve"> </w:t>
      </w:r>
      <w:r>
        <w:rPr>
          <w:rFonts w:ascii="黑体" w:hAnsi="黑体" w:eastAsia="黑体" w:cs="黑体"/>
          <w:spacing w:val="17"/>
          <w:sz w:val="19"/>
          <w:szCs w:val="19"/>
          <w:highlight w:val="none"/>
        </w:rPr>
        <w:t>4竣工文件</w:t>
      </w:r>
    </w:p>
    <w:p w14:paraId="43ED7004">
      <w:pPr>
        <w:spacing w:before="105" w:line="325" w:lineRule="auto"/>
        <w:ind w:right="93" w:firstLine="430"/>
        <w:rPr>
          <w:rFonts w:ascii="宋体" w:hAnsi="宋体" w:eastAsia="宋体" w:cs="宋体"/>
          <w:sz w:val="21"/>
          <w:szCs w:val="21"/>
          <w:highlight w:val="none"/>
        </w:rPr>
      </w:pPr>
      <w:r>
        <w:rPr>
          <w:rFonts w:ascii="宋体" w:hAnsi="宋体" w:eastAsia="宋体" w:cs="宋体"/>
          <w:sz w:val="21"/>
          <w:szCs w:val="21"/>
          <w:highlight w:val="none"/>
        </w:rPr>
        <w:t>5.4.1承包人应编制并及时更新反映工程实施结果的竣</w:t>
      </w:r>
      <w:r>
        <w:rPr>
          <w:rFonts w:ascii="宋体" w:hAnsi="宋体" w:eastAsia="宋体" w:cs="宋体"/>
          <w:spacing w:val="-1"/>
          <w:sz w:val="21"/>
          <w:szCs w:val="21"/>
          <w:highlight w:val="none"/>
        </w:rPr>
        <w:t>工记录，如实记载竣工工程的确</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切位置、尺寸和已实施工作的详细说明。竣工文件的形式、技术标准以及其它相关内容应按</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照相关法律法规、行业标准与《发包人要求》执行。竣工记录应保存在施工现场，并在竣工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试验开始前，按照专用合同条件约定的份数提交给工程师。</w:t>
      </w:r>
    </w:p>
    <w:p w14:paraId="00F1ED39">
      <w:pPr>
        <w:pStyle w:val="2"/>
        <w:spacing w:line="269" w:lineRule="auto"/>
        <w:rPr>
          <w:highlight w:val="none"/>
        </w:rPr>
      </w:pPr>
    </w:p>
    <w:p w14:paraId="4C279231">
      <w:pPr>
        <w:spacing w:before="69" w:line="298" w:lineRule="auto"/>
        <w:ind w:right="67" w:firstLine="430"/>
        <w:rPr>
          <w:rFonts w:ascii="宋体" w:hAnsi="宋体" w:eastAsia="宋体" w:cs="宋体"/>
          <w:sz w:val="22"/>
          <w:szCs w:val="22"/>
          <w:highlight w:val="none"/>
        </w:rPr>
      </w:pPr>
      <w:r>
        <w:rPr>
          <w:rFonts w:ascii="Times New Roman" w:hAnsi="Times New Roman" w:eastAsia="Times New Roman" w:cs="Times New Roman"/>
          <w:spacing w:val="-2"/>
          <w:sz w:val="21"/>
          <w:szCs w:val="21"/>
          <w:highlight w:val="none"/>
        </w:rPr>
        <w:t xml:space="preserve">5.4.2    </w:t>
      </w:r>
      <w:r>
        <w:rPr>
          <w:rFonts w:ascii="宋体" w:hAnsi="宋体" w:eastAsia="宋体" w:cs="宋体"/>
          <w:spacing w:val="-2"/>
          <w:sz w:val="21"/>
          <w:szCs w:val="21"/>
          <w:highlight w:val="none"/>
        </w:rPr>
        <w:t>在颁发工程接收证书之前，承包人应按照《发包人要求》的份数和形式向工程师</w:t>
      </w:r>
      <w:r>
        <w:rPr>
          <w:rFonts w:ascii="宋体" w:hAnsi="宋体" w:eastAsia="宋体" w:cs="宋体"/>
          <w:spacing w:val="17"/>
          <w:sz w:val="21"/>
          <w:szCs w:val="21"/>
          <w:highlight w:val="none"/>
        </w:rPr>
        <w:t xml:space="preserve"> </w:t>
      </w:r>
      <w:r>
        <w:rPr>
          <w:rFonts w:ascii="宋体" w:hAnsi="宋体" w:eastAsia="宋体" w:cs="宋体"/>
          <w:spacing w:val="-1"/>
          <w:sz w:val="21"/>
          <w:szCs w:val="21"/>
          <w:highlight w:val="none"/>
        </w:rPr>
        <w:t>提交相应竣工图纸，并取得工程师对尺寸、参照系统及其他</w:t>
      </w:r>
      <w:r>
        <w:rPr>
          <w:rFonts w:ascii="宋体" w:hAnsi="宋体" w:eastAsia="宋体" w:cs="宋体"/>
          <w:spacing w:val="-2"/>
          <w:sz w:val="21"/>
          <w:szCs w:val="21"/>
          <w:highlight w:val="none"/>
        </w:rPr>
        <w:t>有关细节的认可。工程师应按照</w:t>
      </w:r>
      <w:r>
        <w:rPr>
          <w:rFonts w:ascii="宋体" w:hAnsi="宋体" w:eastAsia="宋体" w:cs="宋体"/>
          <w:sz w:val="21"/>
          <w:szCs w:val="21"/>
          <w:highlight w:val="none"/>
        </w:rPr>
        <w:t xml:space="preserve"> </w:t>
      </w:r>
      <w:r>
        <w:rPr>
          <w:rFonts w:ascii="宋体" w:hAnsi="宋体" w:eastAsia="宋体" w:cs="宋体"/>
          <w:spacing w:val="-5"/>
          <w:sz w:val="22"/>
          <w:szCs w:val="22"/>
          <w:highlight w:val="none"/>
        </w:rPr>
        <w:t>第5.2款[承包人文件审查]的约定进行审查。</w:t>
      </w:r>
    </w:p>
    <w:p w14:paraId="24852967">
      <w:pPr>
        <w:pStyle w:val="2"/>
        <w:spacing w:line="265" w:lineRule="auto"/>
        <w:rPr>
          <w:highlight w:val="none"/>
        </w:rPr>
      </w:pPr>
    </w:p>
    <w:p w14:paraId="306E4E38">
      <w:pPr>
        <w:spacing w:before="72" w:line="269" w:lineRule="auto"/>
        <w:ind w:right="76" w:firstLine="43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5.4.3</w:t>
      </w:r>
      <w:r>
        <w:rPr>
          <w:rFonts w:ascii="Times New Roman" w:hAnsi="Times New Roman" w:eastAsia="Times New Roman" w:cs="Times New Roman"/>
          <w:spacing w:val="14"/>
          <w:sz w:val="22"/>
          <w:szCs w:val="22"/>
          <w:highlight w:val="none"/>
        </w:rPr>
        <w:t xml:space="preserve">   </w:t>
      </w:r>
      <w:r>
        <w:rPr>
          <w:rFonts w:ascii="宋体" w:hAnsi="宋体" w:eastAsia="宋体" w:cs="宋体"/>
          <w:spacing w:val="-11"/>
          <w:sz w:val="22"/>
          <w:szCs w:val="22"/>
          <w:highlight w:val="none"/>
        </w:rPr>
        <w:t>除专用合同条件另有约定外，在工程师收到本款下的文件前，不应认为工程已根</w:t>
      </w:r>
      <w:r>
        <w:rPr>
          <w:rFonts w:ascii="宋体" w:hAnsi="宋体" w:eastAsia="宋体" w:cs="宋体"/>
          <w:sz w:val="22"/>
          <w:szCs w:val="22"/>
          <w:highlight w:val="none"/>
        </w:rPr>
        <w:t xml:space="preserve"> </w:t>
      </w:r>
      <w:r>
        <w:rPr>
          <w:rFonts w:ascii="宋体" w:hAnsi="宋体" w:eastAsia="宋体" w:cs="宋体"/>
          <w:spacing w:val="-2"/>
          <w:sz w:val="22"/>
          <w:szCs w:val="22"/>
          <w:highlight w:val="none"/>
        </w:rPr>
        <w:t>据第10.1款[竣工验收]和第10.2款[单</w:t>
      </w:r>
      <w:r>
        <w:rPr>
          <w:rFonts w:ascii="宋体" w:hAnsi="宋体" w:eastAsia="宋体" w:cs="宋体"/>
          <w:spacing w:val="-3"/>
          <w:sz w:val="22"/>
          <w:szCs w:val="22"/>
          <w:highlight w:val="none"/>
        </w:rPr>
        <w:t>位/区段工程的验收]的约定完成验收。</w:t>
      </w:r>
    </w:p>
    <w:p w14:paraId="2A7CFD72">
      <w:pPr>
        <w:pStyle w:val="2"/>
        <w:spacing w:line="353" w:lineRule="auto"/>
        <w:rPr>
          <w:highlight w:val="none"/>
        </w:rPr>
      </w:pPr>
    </w:p>
    <w:p w14:paraId="7B4B7A1D">
      <w:pPr>
        <w:spacing w:before="72" w:line="222" w:lineRule="auto"/>
        <w:rPr>
          <w:rFonts w:ascii="黑体" w:hAnsi="黑体" w:eastAsia="黑体" w:cs="黑体"/>
          <w:sz w:val="22"/>
          <w:szCs w:val="22"/>
          <w:highlight w:val="none"/>
        </w:rPr>
      </w:pPr>
      <w:r>
        <w:rPr>
          <w:rFonts w:ascii="黑体" w:hAnsi="黑体" w:eastAsia="黑体" w:cs="黑体"/>
          <w:spacing w:val="2"/>
          <w:sz w:val="22"/>
          <w:szCs w:val="22"/>
          <w:highlight w:val="none"/>
        </w:rPr>
        <w:t>5.5操作和维修手册</w:t>
      </w:r>
    </w:p>
    <w:p w14:paraId="73A5C57A">
      <w:pPr>
        <w:spacing w:before="126" w:line="363" w:lineRule="auto"/>
        <w:ind w:right="87"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5.5.1</w:t>
      </w:r>
      <w:r>
        <w:rPr>
          <w:rFonts w:ascii="Times New Roman" w:hAnsi="Times New Roman" w:eastAsia="Times New Roman" w:cs="Times New Roman"/>
          <w:spacing w:val="14"/>
          <w:sz w:val="21"/>
          <w:szCs w:val="21"/>
          <w:highlight w:val="none"/>
        </w:rPr>
        <w:t xml:space="preserve">   </w:t>
      </w:r>
      <w:r>
        <w:rPr>
          <w:rFonts w:ascii="宋体" w:hAnsi="宋体" w:eastAsia="宋体" w:cs="宋体"/>
          <w:spacing w:val="-2"/>
          <w:sz w:val="21"/>
          <w:szCs w:val="21"/>
          <w:highlight w:val="none"/>
        </w:rPr>
        <w:t>在竣工试验开始前，承包人应向工程师提交暂行的操作和维修手册并负责及</w:t>
      </w:r>
      <w:r>
        <w:rPr>
          <w:rFonts w:ascii="宋体" w:hAnsi="宋体" w:eastAsia="宋体" w:cs="宋体"/>
          <w:spacing w:val="-3"/>
          <w:sz w:val="21"/>
          <w:szCs w:val="21"/>
          <w:highlight w:val="none"/>
        </w:rPr>
        <w:t>时更</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新，该手册应足够详细，以便发包人能够对工程设备进行操作、维修、拆卸、重新安装、调</w:t>
      </w:r>
    </w:p>
    <w:p w14:paraId="2266041E">
      <w:pPr>
        <w:spacing w:line="363" w:lineRule="auto"/>
        <w:rPr>
          <w:rFonts w:ascii="宋体" w:hAnsi="宋体" w:eastAsia="宋体" w:cs="宋体"/>
          <w:sz w:val="21"/>
          <w:szCs w:val="21"/>
          <w:highlight w:val="none"/>
        </w:rPr>
        <w:sectPr>
          <w:footerReference r:id="rId93" w:type="default"/>
          <w:pgSz w:w="11910" w:h="16840"/>
          <w:pgMar w:top="400" w:right="1724" w:bottom="1217" w:left="1769" w:header="0" w:footer="1013" w:gutter="0"/>
          <w:cols w:space="720" w:num="1"/>
        </w:sectPr>
      </w:pPr>
    </w:p>
    <w:p w14:paraId="39EF7AC4">
      <w:pPr>
        <w:pStyle w:val="2"/>
        <w:spacing w:line="243" w:lineRule="auto"/>
        <w:rPr>
          <w:highlight w:val="none"/>
        </w:rPr>
      </w:pPr>
    </w:p>
    <w:p w14:paraId="3EC8A99B">
      <w:pPr>
        <w:pStyle w:val="2"/>
        <w:spacing w:line="243" w:lineRule="auto"/>
        <w:rPr>
          <w:highlight w:val="none"/>
        </w:rPr>
      </w:pPr>
    </w:p>
    <w:p w14:paraId="32914332">
      <w:pPr>
        <w:pStyle w:val="2"/>
        <w:spacing w:line="244" w:lineRule="auto"/>
        <w:rPr>
          <w:highlight w:val="none"/>
        </w:rPr>
      </w:pPr>
    </w:p>
    <w:p w14:paraId="78E2008D">
      <w:pPr>
        <w:pStyle w:val="2"/>
        <w:spacing w:line="244" w:lineRule="auto"/>
        <w:rPr>
          <w:highlight w:val="none"/>
        </w:rPr>
      </w:pPr>
    </w:p>
    <w:p w14:paraId="1A61BB52">
      <w:pPr>
        <w:spacing w:before="68" w:line="346" w:lineRule="auto"/>
        <w:ind w:right="96"/>
        <w:rPr>
          <w:rFonts w:ascii="宋体" w:hAnsi="宋体" w:eastAsia="宋体" w:cs="宋体"/>
          <w:sz w:val="21"/>
          <w:szCs w:val="21"/>
          <w:highlight w:val="none"/>
        </w:rPr>
      </w:pPr>
      <w:r>
        <w:rPr>
          <w:rFonts w:ascii="宋体" w:hAnsi="宋体" w:eastAsia="宋体" w:cs="宋体"/>
          <w:spacing w:val="-2"/>
          <w:sz w:val="21"/>
          <w:szCs w:val="21"/>
          <w:highlight w:val="none"/>
        </w:rPr>
        <w:t>整及修理，以及实现《发包人要求》。同时，手册还应包含发包人未来可能需要的备品</w:t>
      </w:r>
      <w:r>
        <w:rPr>
          <w:rFonts w:ascii="宋体" w:hAnsi="宋体" w:eastAsia="宋体" w:cs="宋体"/>
          <w:spacing w:val="-3"/>
          <w:sz w:val="21"/>
          <w:szCs w:val="21"/>
          <w:highlight w:val="none"/>
        </w:rPr>
        <w:t>备件</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清单。</w:t>
      </w:r>
    </w:p>
    <w:p w14:paraId="31A520D1">
      <w:pPr>
        <w:spacing w:before="190" w:line="326" w:lineRule="auto"/>
        <w:ind w:right="90" w:firstLine="42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5.5.2    </w:t>
      </w:r>
      <w:r>
        <w:rPr>
          <w:rFonts w:ascii="宋体" w:hAnsi="宋体" w:eastAsia="宋体" w:cs="宋体"/>
          <w:spacing w:val="9"/>
          <w:sz w:val="20"/>
          <w:szCs w:val="20"/>
          <w:highlight w:val="none"/>
        </w:rPr>
        <w:t>工程师收到承包人提交的文件后，应依据第5.2</w:t>
      </w:r>
      <w:r>
        <w:rPr>
          <w:rFonts w:ascii="宋体" w:hAnsi="宋体" w:eastAsia="宋体" w:cs="宋体"/>
          <w:spacing w:val="8"/>
          <w:sz w:val="20"/>
          <w:szCs w:val="20"/>
          <w:highlight w:val="none"/>
        </w:rPr>
        <w:t>款[承包人文件审查]的约定对操</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作和维修手册进行审查，竣工试验工程中，承包人应为任何因操作和维修手册错误或遗漏引</w:t>
      </w:r>
      <w:r>
        <w:rPr>
          <w:rFonts w:ascii="宋体" w:hAnsi="宋体" w:eastAsia="宋体" w:cs="宋体"/>
          <w:spacing w:val="3"/>
          <w:sz w:val="20"/>
          <w:szCs w:val="20"/>
          <w:highlight w:val="none"/>
        </w:rPr>
        <w:t xml:space="preserve"> </w:t>
      </w:r>
      <w:r>
        <w:rPr>
          <w:rFonts w:ascii="宋体" w:hAnsi="宋体" w:eastAsia="宋体" w:cs="宋体"/>
          <w:spacing w:val="7"/>
          <w:sz w:val="20"/>
          <w:szCs w:val="20"/>
          <w:highlight w:val="none"/>
        </w:rPr>
        <w:t>起的风险或损失承担责任。</w:t>
      </w:r>
    </w:p>
    <w:p w14:paraId="42B2D83C">
      <w:pPr>
        <w:pStyle w:val="2"/>
        <w:spacing w:line="261" w:lineRule="auto"/>
        <w:rPr>
          <w:highlight w:val="none"/>
        </w:rPr>
      </w:pPr>
    </w:p>
    <w:p w14:paraId="745816E2">
      <w:pPr>
        <w:spacing w:before="72" w:line="302" w:lineRule="auto"/>
        <w:ind w:right="86" w:firstLine="42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5.5.3   </w:t>
      </w:r>
      <w:r>
        <w:rPr>
          <w:rFonts w:ascii="宋体" w:hAnsi="宋体" w:eastAsia="宋体" w:cs="宋体"/>
          <w:spacing w:val="-9"/>
          <w:sz w:val="22"/>
          <w:szCs w:val="22"/>
          <w:highlight w:val="none"/>
        </w:rPr>
        <w:t>除专用合同条件另有约定外，承包人应提交足够详细的</w:t>
      </w:r>
      <w:r>
        <w:rPr>
          <w:rFonts w:ascii="宋体" w:hAnsi="宋体" w:eastAsia="宋体" w:cs="宋体"/>
          <w:spacing w:val="-10"/>
          <w:sz w:val="22"/>
          <w:szCs w:val="22"/>
          <w:highlight w:val="none"/>
        </w:rPr>
        <w:t>最终操作和维修手册，以</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及在《发包人要求》中明确的相关操作和维</w:t>
      </w:r>
      <w:r>
        <w:rPr>
          <w:rFonts w:ascii="宋体" w:hAnsi="宋体" w:eastAsia="宋体" w:cs="宋体"/>
          <w:spacing w:val="-13"/>
          <w:sz w:val="22"/>
          <w:szCs w:val="22"/>
          <w:highlight w:val="none"/>
        </w:rPr>
        <w:t>修手册。除专用合同条件另有约定外，在工程师</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收到上述文件前，不应认为工程已根据第10.1款[竣工验收]和第10.2款[单位/区段工程的</w:t>
      </w:r>
      <w:r>
        <w:rPr>
          <w:rFonts w:ascii="宋体" w:hAnsi="宋体" w:eastAsia="宋体" w:cs="宋体"/>
          <w:spacing w:val="15"/>
          <w:sz w:val="22"/>
          <w:szCs w:val="22"/>
          <w:highlight w:val="none"/>
        </w:rPr>
        <w:t xml:space="preserve"> </w:t>
      </w:r>
      <w:r>
        <w:rPr>
          <w:rFonts w:ascii="宋体" w:hAnsi="宋体" w:eastAsia="宋体" w:cs="宋体"/>
          <w:spacing w:val="-11"/>
          <w:sz w:val="22"/>
          <w:szCs w:val="22"/>
          <w:highlight w:val="none"/>
        </w:rPr>
        <w:t>验收]的约定完成验收。</w:t>
      </w:r>
    </w:p>
    <w:p w14:paraId="4BAB2DA8">
      <w:pPr>
        <w:pStyle w:val="2"/>
        <w:spacing w:line="373" w:lineRule="auto"/>
        <w:rPr>
          <w:highlight w:val="none"/>
        </w:rPr>
      </w:pPr>
    </w:p>
    <w:p w14:paraId="291E7731">
      <w:pPr>
        <w:spacing w:before="72" w:line="222" w:lineRule="auto"/>
        <w:rPr>
          <w:rFonts w:ascii="黑体" w:hAnsi="黑体" w:eastAsia="黑体" w:cs="黑体"/>
          <w:sz w:val="22"/>
          <w:szCs w:val="22"/>
          <w:highlight w:val="none"/>
        </w:rPr>
      </w:pPr>
      <w:r>
        <w:rPr>
          <w:rFonts w:ascii="黑体" w:hAnsi="黑体" w:eastAsia="黑体" w:cs="黑体"/>
          <w:spacing w:val="2"/>
          <w:sz w:val="22"/>
          <w:szCs w:val="22"/>
          <w:highlight w:val="none"/>
        </w:rPr>
        <w:t>5.6承包人文件错误</w:t>
      </w:r>
    </w:p>
    <w:p w14:paraId="5E343095">
      <w:pPr>
        <w:spacing w:before="218" w:line="420" w:lineRule="auto"/>
        <w:ind w:right="66"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承包人文件存在错误、遗漏、含混、矛盾、不充分之</w:t>
      </w:r>
      <w:r>
        <w:rPr>
          <w:rFonts w:ascii="宋体" w:hAnsi="宋体" w:eastAsia="宋体" w:cs="宋体"/>
          <w:spacing w:val="-2"/>
          <w:sz w:val="21"/>
          <w:szCs w:val="21"/>
          <w:highlight w:val="none"/>
        </w:rPr>
        <w:t>处或其他缺陷，无论承包人是否根</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据本款获得了同意，承包人均应自费对前述问题带来的缺陷和工程问题进行改正，并按照第</w:t>
      </w:r>
      <w:r>
        <w:rPr>
          <w:rFonts w:ascii="宋体" w:hAnsi="宋体" w:eastAsia="宋体" w:cs="宋体"/>
          <w:spacing w:val="2"/>
          <w:sz w:val="21"/>
          <w:szCs w:val="21"/>
          <w:highlight w:val="none"/>
        </w:rPr>
        <w:t xml:space="preserve"> </w:t>
      </w:r>
      <w:r>
        <w:rPr>
          <w:rFonts w:ascii="宋体" w:hAnsi="宋体" w:eastAsia="宋体" w:cs="宋体"/>
          <w:sz w:val="21"/>
          <w:szCs w:val="21"/>
          <w:highlight w:val="none"/>
        </w:rPr>
        <w:t>5.2款[承包人文件审查]的要求，重新送工程师审查，审查</w:t>
      </w:r>
      <w:r>
        <w:rPr>
          <w:rFonts w:ascii="宋体" w:hAnsi="宋体" w:eastAsia="宋体" w:cs="宋体"/>
          <w:spacing w:val="-1"/>
          <w:sz w:val="21"/>
          <w:szCs w:val="21"/>
          <w:highlight w:val="none"/>
        </w:rPr>
        <w:t>日期从工程师收到文件开始重新</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计算。因此款原因重新提交审查文件导致的工程延误和必要费用增加由承包人承担。《发包</w:t>
      </w:r>
      <w:r>
        <w:rPr>
          <w:rFonts w:ascii="宋体" w:hAnsi="宋体" w:eastAsia="宋体" w:cs="宋体"/>
          <w:spacing w:val="18"/>
          <w:sz w:val="21"/>
          <w:szCs w:val="21"/>
          <w:highlight w:val="none"/>
        </w:rPr>
        <w:t xml:space="preserve"> </w:t>
      </w:r>
      <w:r>
        <w:rPr>
          <w:rFonts w:ascii="宋体" w:hAnsi="宋体" w:eastAsia="宋体" w:cs="宋体"/>
          <w:sz w:val="21"/>
          <w:szCs w:val="21"/>
          <w:highlight w:val="none"/>
        </w:rPr>
        <w:t>人要求》的错误导致承包人文件错误、遗漏、含混、矛盾、不充分或其他</w:t>
      </w:r>
      <w:r>
        <w:rPr>
          <w:rFonts w:ascii="宋体" w:hAnsi="宋体" w:eastAsia="宋体" w:cs="宋体"/>
          <w:spacing w:val="-1"/>
          <w:sz w:val="21"/>
          <w:szCs w:val="21"/>
          <w:highlight w:val="none"/>
        </w:rPr>
        <w:t>缺陷的除外。</w:t>
      </w:r>
    </w:p>
    <w:p w14:paraId="04A4CAE0">
      <w:pPr>
        <w:spacing w:before="110" w:line="222" w:lineRule="auto"/>
        <w:outlineLvl w:val="1"/>
        <w:rPr>
          <w:rFonts w:ascii="黑体" w:hAnsi="黑体" w:eastAsia="黑体" w:cs="黑体"/>
          <w:sz w:val="28"/>
          <w:szCs w:val="28"/>
          <w:highlight w:val="none"/>
        </w:rPr>
      </w:pPr>
      <w:bookmarkStart w:id="89" w:name="bookmark52"/>
      <w:bookmarkEnd w:id="89"/>
      <w:r>
        <w:rPr>
          <w:rFonts w:ascii="黑体" w:hAnsi="黑体" w:eastAsia="黑体" w:cs="黑体"/>
          <w:spacing w:val="30"/>
          <w:sz w:val="28"/>
          <w:szCs w:val="28"/>
          <w:highlight w:val="none"/>
        </w:rPr>
        <w:t>第6条材料、工程设备</w:t>
      </w:r>
    </w:p>
    <w:p w14:paraId="4C345BF2">
      <w:pPr>
        <w:pStyle w:val="2"/>
        <w:spacing w:line="297" w:lineRule="auto"/>
        <w:rPr>
          <w:highlight w:val="none"/>
        </w:rPr>
      </w:pPr>
    </w:p>
    <w:p w14:paraId="28F1296D">
      <w:pPr>
        <w:pStyle w:val="2"/>
        <w:spacing w:before="72" w:line="300" w:lineRule="exact"/>
        <w:rPr>
          <w:rFonts w:ascii="黑体" w:hAnsi="黑体" w:eastAsia="黑体" w:cs="黑体"/>
          <w:sz w:val="22"/>
          <w:szCs w:val="22"/>
          <w:highlight w:val="none"/>
        </w:rPr>
      </w:pPr>
      <w:r>
        <w:rPr>
          <w:spacing w:val="-5"/>
          <w:position w:val="1"/>
          <w:sz w:val="22"/>
          <w:szCs w:val="22"/>
          <w:highlight w:val="none"/>
        </w:rPr>
        <w:t xml:space="preserve">6.1  </w:t>
      </w:r>
      <w:r>
        <w:rPr>
          <w:rFonts w:ascii="黑体" w:hAnsi="黑体" w:eastAsia="黑体" w:cs="黑体"/>
          <w:spacing w:val="-5"/>
          <w:position w:val="1"/>
          <w:sz w:val="22"/>
          <w:szCs w:val="22"/>
          <w:highlight w:val="none"/>
        </w:rPr>
        <w:t>实施方法</w:t>
      </w:r>
    </w:p>
    <w:p w14:paraId="2C962E05">
      <w:pPr>
        <w:spacing w:before="251" w:line="425" w:lineRule="auto"/>
        <w:ind w:right="95" w:firstLine="420"/>
        <w:rPr>
          <w:rFonts w:ascii="宋体" w:hAnsi="宋体" w:eastAsia="宋体" w:cs="宋体"/>
          <w:sz w:val="20"/>
          <w:szCs w:val="20"/>
          <w:highlight w:val="none"/>
        </w:rPr>
      </w:pPr>
      <w:r>
        <w:rPr>
          <w:rFonts w:ascii="宋体" w:hAnsi="宋体" w:eastAsia="宋体" w:cs="宋体"/>
          <w:spacing w:val="8"/>
          <w:sz w:val="20"/>
          <w:szCs w:val="20"/>
          <w:highlight w:val="none"/>
        </w:rPr>
        <w:t>承包人应按以下方法进行材料的加工、工程设备的采购、制造和安装、以及</w:t>
      </w:r>
      <w:r>
        <w:rPr>
          <w:rFonts w:ascii="宋体" w:hAnsi="宋体" w:eastAsia="宋体" w:cs="宋体"/>
          <w:spacing w:val="7"/>
          <w:sz w:val="20"/>
          <w:szCs w:val="20"/>
          <w:highlight w:val="none"/>
        </w:rPr>
        <w:t>工程的所有</w:t>
      </w:r>
      <w:r>
        <w:rPr>
          <w:rFonts w:ascii="宋体" w:hAnsi="宋体" w:eastAsia="宋体" w:cs="宋体"/>
          <w:sz w:val="20"/>
          <w:szCs w:val="20"/>
          <w:highlight w:val="none"/>
        </w:rPr>
        <w:t xml:space="preserve"> </w:t>
      </w:r>
      <w:r>
        <w:rPr>
          <w:rFonts w:ascii="宋体" w:hAnsi="宋体" w:eastAsia="宋体" w:cs="宋体"/>
          <w:spacing w:val="2"/>
          <w:sz w:val="20"/>
          <w:szCs w:val="20"/>
          <w:highlight w:val="none"/>
        </w:rPr>
        <w:t>其他实施作业：</w:t>
      </w:r>
    </w:p>
    <w:p w14:paraId="256111AF">
      <w:pPr>
        <w:spacing w:line="219" w:lineRule="auto"/>
        <w:ind w:left="539"/>
        <w:rPr>
          <w:rFonts w:ascii="宋体" w:hAnsi="宋体" w:eastAsia="宋体" w:cs="宋体"/>
          <w:sz w:val="22"/>
          <w:szCs w:val="22"/>
          <w:highlight w:val="none"/>
        </w:rPr>
      </w:pPr>
      <w:r>
        <w:rPr>
          <w:rFonts w:ascii="宋体" w:hAnsi="宋体" w:eastAsia="宋体" w:cs="宋体"/>
          <w:spacing w:val="-6"/>
          <w:sz w:val="22"/>
          <w:szCs w:val="22"/>
          <w:highlight w:val="none"/>
        </w:rPr>
        <w:t>(1)按照法律规定和合同约定的方法；</w:t>
      </w:r>
    </w:p>
    <w:p w14:paraId="213A817D">
      <w:pPr>
        <w:spacing w:before="227" w:line="219"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(2)按照公认的良好行业习惯，使用恰当、审慎、先进的方法；</w:t>
      </w:r>
    </w:p>
    <w:p w14:paraId="51B0ED3D">
      <w:pPr>
        <w:spacing w:before="220" w:line="320" w:lineRule="auto"/>
        <w:ind w:right="96" w:firstLine="539"/>
        <w:rPr>
          <w:rFonts w:ascii="宋体" w:hAnsi="宋体" w:eastAsia="宋体" w:cs="宋体"/>
          <w:sz w:val="21"/>
          <w:szCs w:val="21"/>
          <w:highlight w:val="none"/>
        </w:rPr>
      </w:pPr>
      <w:r>
        <w:rPr>
          <w:rFonts w:ascii="宋体" w:hAnsi="宋体" w:eastAsia="宋体" w:cs="宋体"/>
          <w:spacing w:val="3"/>
          <w:sz w:val="21"/>
          <w:szCs w:val="21"/>
          <w:highlight w:val="none"/>
        </w:rPr>
        <w:t>(3)除专用合同条件另有规定外，应使用适当配备的实施方法、设备、设施和无</w:t>
      </w:r>
      <w:r>
        <w:rPr>
          <w:rFonts w:ascii="宋体" w:hAnsi="宋体" w:eastAsia="宋体" w:cs="宋体"/>
          <w:spacing w:val="2"/>
          <w:sz w:val="21"/>
          <w:szCs w:val="21"/>
          <w:highlight w:val="none"/>
        </w:rPr>
        <w:t>危险</w:t>
      </w:r>
      <w:r>
        <w:rPr>
          <w:rFonts w:ascii="宋体" w:hAnsi="宋体" w:eastAsia="宋体" w:cs="宋体"/>
          <w:sz w:val="21"/>
          <w:szCs w:val="21"/>
          <w:highlight w:val="none"/>
        </w:rPr>
        <w:t xml:space="preserve"> </w:t>
      </w:r>
      <w:r>
        <w:rPr>
          <w:rFonts w:ascii="宋体" w:hAnsi="宋体" w:eastAsia="宋体" w:cs="宋体"/>
          <w:spacing w:val="-11"/>
          <w:sz w:val="21"/>
          <w:szCs w:val="21"/>
          <w:highlight w:val="none"/>
        </w:rPr>
        <w:t>的材料。</w:t>
      </w:r>
    </w:p>
    <w:p w14:paraId="4537ABF8">
      <w:pPr>
        <w:pStyle w:val="2"/>
        <w:spacing w:line="278" w:lineRule="auto"/>
        <w:rPr>
          <w:highlight w:val="none"/>
        </w:rPr>
      </w:pPr>
    </w:p>
    <w:p w14:paraId="6207D7E7">
      <w:pPr>
        <w:pStyle w:val="2"/>
        <w:spacing w:before="73" w:line="300" w:lineRule="exact"/>
        <w:rPr>
          <w:rFonts w:ascii="黑体" w:hAnsi="黑体" w:eastAsia="黑体" w:cs="黑体"/>
          <w:sz w:val="22"/>
          <w:szCs w:val="22"/>
          <w:highlight w:val="none"/>
        </w:rPr>
      </w:pPr>
      <w:r>
        <w:rPr>
          <w:spacing w:val="-8"/>
          <w:position w:val="1"/>
          <w:sz w:val="22"/>
          <w:szCs w:val="22"/>
          <w:highlight w:val="none"/>
        </w:rPr>
        <w:t>6.2</w:t>
      </w:r>
      <w:r>
        <w:rPr>
          <w:spacing w:val="59"/>
          <w:w w:val="101"/>
          <w:position w:val="1"/>
          <w:sz w:val="22"/>
          <w:szCs w:val="22"/>
          <w:highlight w:val="none"/>
        </w:rPr>
        <w:t xml:space="preserve"> </w:t>
      </w:r>
      <w:r>
        <w:rPr>
          <w:rFonts w:ascii="黑体" w:hAnsi="黑体" w:eastAsia="黑体" w:cs="黑体"/>
          <w:spacing w:val="-8"/>
          <w:position w:val="1"/>
          <w:sz w:val="22"/>
          <w:szCs w:val="22"/>
          <w:highlight w:val="none"/>
        </w:rPr>
        <w:t>材料和工程设备</w:t>
      </w:r>
    </w:p>
    <w:p w14:paraId="5B250250">
      <w:pPr>
        <w:spacing w:before="89"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6.2.1</w:t>
      </w:r>
      <w:r>
        <w:rPr>
          <w:rFonts w:ascii="Times New Roman" w:hAnsi="Times New Roman" w:eastAsia="Times New Roman" w:cs="Times New Roman"/>
          <w:spacing w:val="16"/>
          <w:sz w:val="22"/>
          <w:szCs w:val="22"/>
          <w:highlight w:val="none"/>
        </w:rPr>
        <w:t xml:space="preserve">   </w:t>
      </w:r>
      <w:r>
        <w:rPr>
          <w:rFonts w:ascii="宋体" w:hAnsi="宋体" w:eastAsia="宋体" w:cs="宋体"/>
          <w:spacing w:val="-7"/>
          <w:sz w:val="22"/>
          <w:szCs w:val="22"/>
          <w:highlight w:val="none"/>
        </w:rPr>
        <w:t>发包人提供的材料和工程设备</w:t>
      </w:r>
    </w:p>
    <w:p w14:paraId="488E76CF">
      <w:pPr>
        <w:pStyle w:val="2"/>
        <w:spacing w:line="368" w:lineRule="auto"/>
        <w:rPr>
          <w:highlight w:val="none"/>
        </w:rPr>
      </w:pPr>
    </w:p>
    <w:p w14:paraId="68D4DF5A">
      <w:pPr>
        <w:spacing w:before="68" w:line="415" w:lineRule="auto"/>
        <w:ind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发包人自行供应材料、工程设备的，应在订立合同时在专用合同条件</w:t>
      </w:r>
      <w:r>
        <w:rPr>
          <w:rFonts w:ascii="宋体" w:hAnsi="宋体" w:eastAsia="宋体" w:cs="宋体"/>
          <w:spacing w:val="-3"/>
          <w:sz w:val="21"/>
          <w:szCs w:val="21"/>
          <w:highlight w:val="none"/>
        </w:rPr>
        <w:t>的附件《发包人供</w:t>
      </w:r>
      <w:r>
        <w:rPr>
          <w:rFonts w:ascii="宋体" w:hAnsi="宋体" w:eastAsia="宋体" w:cs="宋体"/>
          <w:sz w:val="21"/>
          <w:szCs w:val="21"/>
          <w:highlight w:val="none"/>
        </w:rPr>
        <w:t xml:space="preserve">  应材料设备一览表》中明确材料、工程设备的品种、规格、型号、主要参数、数量、单价、</w:t>
      </w:r>
      <w:r>
        <w:rPr>
          <w:rFonts w:ascii="宋体" w:hAnsi="宋体" w:eastAsia="宋体" w:cs="宋体"/>
          <w:spacing w:val="14"/>
          <w:sz w:val="21"/>
          <w:szCs w:val="21"/>
          <w:highlight w:val="none"/>
        </w:rPr>
        <w:t xml:space="preserve"> </w:t>
      </w:r>
      <w:r>
        <w:rPr>
          <w:rFonts w:ascii="宋体" w:hAnsi="宋体" w:eastAsia="宋体" w:cs="宋体"/>
          <w:spacing w:val="-4"/>
          <w:sz w:val="21"/>
          <w:szCs w:val="21"/>
          <w:highlight w:val="none"/>
        </w:rPr>
        <w:t>质量等级和交接地点等。</w:t>
      </w:r>
    </w:p>
    <w:p w14:paraId="7387DB4C">
      <w:pPr>
        <w:spacing w:line="415" w:lineRule="auto"/>
        <w:rPr>
          <w:rFonts w:ascii="宋体" w:hAnsi="宋体" w:eastAsia="宋体" w:cs="宋体"/>
          <w:sz w:val="21"/>
          <w:szCs w:val="21"/>
          <w:highlight w:val="none"/>
        </w:rPr>
        <w:sectPr>
          <w:footerReference r:id="rId94" w:type="default"/>
          <w:pgSz w:w="11910" w:h="16840"/>
          <w:pgMar w:top="400" w:right="1724" w:bottom="1217" w:left="1769" w:header="0" w:footer="1013" w:gutter="0"/>
          <w:cols w:space="720" w:num="1"/>
        </w:sectPr>
      </w:pPr>
    </w:p>
    <w:p w14:paraId="152B2231">
      <w:pPr>
        <w:pStyle w:val="2"/>
        <w:spacing w:line="272" w:lineRule="auto"/>
        <w:rPr>
          <w:highlight w:val="none"/>
        </w:rPr>
      </w:pPr>
    </w:p>
    <w:p w14:paraId="569AAF5A">
      <w:pPr>
        <w:pStyle w:val="2"/>
        <w:spacing w:line="273" w:lineRule="auto"/>
        <w:rPr>
          <w:highlight w:val="none"/>
        </w:rPr>
      </w:pPr>
    </w:p>
    <w:p w14:paraId="7840E035">
      <w:pPr>
        <w:pStyle w:val="2"/>
        <w:spacing w:line="273" w:lineRule="auto"/>
        <w:rPr>
          <w:highlight w:val="none"/>
        </w:rPr>
      </w:pPr>
    </w:p>
    <w:p w14:paraId="4B22D2D2">
      <w:pPr>
        <w:pStyle w:val="2"/>
        <w:spacing w:line="273" w:lineRule="auto"/>
        <w:rPr>
          <w:highlight w:val="none"/>
        </w:rPr>
      </w:pPr>
    </w:p>
    <w:p w14:paraId="238D2722">
      <w:pPr>
        <w:spacing w:before="68" w:line="418" w:lineRule="auto"/>
        <w:ind w:right="77" w:firstLine="440"/>
        <w:jc w:val="both"/>
        <w:rPr>
          <w:rFonts w:ascii="宋体" w:hAnsi="宋体" w:eastAsia="宋体" w:cs="宋体"/>
          <w:sz w:val="21"/>
          <w:szCs w:val="21"/>
          <w:highlight w:val="none"/>
        </w:rPr>
      </w:pPr>
      <w:r>
        <w:rPr>
          <w:rFonts w:ascii="宋体" w:hAnsi="宋体" w:eastAsia="宋体" w:cs="宋体"/>
          <w:spacing w:val="3"/>
          <w:sz w:val="21"/>
          <w:szCs w:val="21"/>
          <w:highlight w:val="none"/>
        </w:rPr>
        <w:t>承包人应根据项目进度计划的安排，提前28天以书面形式通知工程师供应材料与工程</w:t>
      </w:r>
      <w:r>
        <w:rPr>
          <w:rFonts w:ascii="宋体" w:hAnsi="宋体" w:eastAsia="宋体" w:cs="宋体"/>
          <w:spacing w:val="12"/>
          <w:sz w:val="21"/>
          <w:szCs w:val="21"/>
          <w:highlight w:val="none"/>
        </w:rPr>
        <w:t xml:space="preserve"> </w:t>
      </w:r>
      <w:r>
        <w:rPr>
          <w:rFonts w:ascii="宋体" w:hAnsi="宋体" w:eastAsia="宋体" w:cs="宋体"/>
          <w:spacing w:val="1"/>
          <w:sz w:val="21"/>
          <w:szCs w:val="21"/>
          <w:highlight w:val="none"/>
        </w:rPr>
        <w:t>设备的进场计划。承包人按照第8.4款[项目进</w:t>
      </w:r>
      <w:r>
        <w:rPr>
          <w:rFonts w:ascii="宋体" w:hAnsi="宋体" w:eastAsia="宋体" w:cs="宋体"/>
          <w:sz w:val="21"/>
          <w:szCs w:val="21"/>
          <w:highlight w:val="none"/>
        </w:rPr>
        <w:t xml:space="preserve">度计划]约定修订项目进度计划时，需同时提 </w:t>
      </w:r>
      <w:r>
        <w:rPr>
          <w:rFonts w:ascii="宋体" w:hAnsi="宋体" w:eastAsia="宋体" w:cs="宋体"/>
          <w:spacing w:val="-2"/>
          <w:sz w:val="21"/>
          <w:szCs w:val="21"/>
          <w:highlight w:val="none"/>
        </w:rPr>
        <w:t>交经修订后的发包人供应材料与工程设备的进场计划。发包人应按照上述进场计划，向</w:t>
      </w:r>
      <w:r>
        <w:rPr>
          <w:rFonts w:ascii="宋体" w:hAnsi="宋体" w:eastAsia="宋体" w:cs="宋体"/>
          <w:spacing w:val="-3"/>
          <w:sz w:val="21"/>
          <w:szCs w:val="21"/>
          <w:highlight w:val="none"/>
        </w:rPr>
        <w:t>承包</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人提交材料和工程设备。</w:t>
      </w:r>
    </w:p>
    <w:p w14:paraId="6D408E60">
      <w:pPr>
        <w:spacing w:before="2" w:line="391" w:lineRule="auto"/>
        <w:ind w:right="64" w:firstLine="440"/>
        <w:jc w:val="both"/>
        <w:rPr>
          <w:rFonts w:ascii="宋体" w:hAnsi="宋体" w:eastAsia="宋体" w:cs="宋体"/>
          <w:sz w:val="22"/>
          <w:szCs w:val="22"/>
          <w:highlight w:val="none"/>
        </w:rPr>
      </w:pPr>
      <w:r>
        <w:rPr>
          <w:rFonts w:ascii="宋体" w:hAnsi="宋体" w:eastAsia="宋体" w:cs="宋体"/>
          <w:spacing w:val="-9"/>
          <w:sz w:val="22"/>
          <w:szCs w:val="22"/>
          <w:highlight w:val="none"/>
        </w:rPr>
        <w:t>发包人应在材料和工程设备到货7天前通知承包人，承包人应会同工程师在约定的时间</w:t>
      </w:r>
      <w:r>
        <w:rPr>
          <w:rFonts w:ascii="宋体" w:hAnsi="宋体" w:eastAsia="宋体" w:cs="宋体"/>
          <w:spacing w:val="1"/>
          <w:sz w:val="22"/>
          <w:szCs w:val="22"/>
          <w:highlight w:val="none"/>
        </w:rPr>
        <w:t xml:space="preserve"> </w:t>
      </w:r>
      <w:r>
        <w:rPr>
          <w:rFonts w:ascii="宋体" w:hAnsi="宋体" w:eastAsia="宋体" w:cs="宋体"/>
          <w:spacing w:val="-12"/>
          <w:sz w:val="22"/>
          <w:szCs w:val="22"/>
          <w:highlight w:val="none"/>
        </w:rPr>
        <w:t>内，赴交货地点共同进行验收。除专用合同条件另有约定外，发包人提供的材料和工程</w:t>
      </w:r>
      <w:r>
        <w:rPr>
          <w:rFonts w:ascii="宋体" w:hAnsi="宋体" w:eastAsia="宋体" w:cs="宋体"/>
          <w:spacing w:val="-13"/>
          <w:sz w:val="22"/>
          <w:szCs w:val="22"/>
          <w:highlight w:val="none"/>
        </w:rPr>
        <w:t>设备</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验收后，由承包人负责接收、运输和保管。</w:t>
      </w:r>
    </w:p>
    <w:p w14:paraId="775919D7">
      <w:pPr>
        <w:spacing w:before="37" w:line="418" w:lineRule="auto"/>
        <w:ind w:right="88" w:firstLine="440"/>
        <w:jc w:val="both"/>
        <w:rPr>
          <w:rFonts w:ascii="宋体" w:hAnsi="宋体" w:eastAsia="宋体" w:cs="宋体"/>
          <w:sz w:val="21"/>
          <w:szCs w:val="21"/>
          <w:highlight w:val="none"/>
        </w:rPr>
      </w:pPr>
      <w:r>
        <w:rPr>
          <w:rFonts w:ascii="宋体" w:hAnsi="宋体" w:eastAsia="宋体" w:cs="宋体"/>
          <w:spacing w:val="3"/>
          <w:sz w:val="21"/>
          <w:szCs w:val="21"/>
          <w:highlight w:val="none"/>
        </w:rPr>
        <w:t>发包人需要对进场计划进行变更的，承包人不得拒绝，应根据第13条[变更与调整</w:t>
      </w:r>
      <w:r>
        <w:rPr>
          <w:rFonts w:ascii="宋体" w:hAnsi="宋体" w:eastAsia="宋体" w:cs="宋体"/>
          <w:spacing w:val="2"/>
          <w:sz w:val="21"/>
          <w:szCs w:val="21"/>
          <w:highlight w:val="none"/>
        </w:rPr>
        <w:t>]的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规定执行，并由发包人承担承包人由此增加的费用，以及引起的工期延误。承包人需</w:t>
      </w:r>
      <w:r>
        <w:rPr>
          <w:rFonts w:ascii="宋体" w:hAnsi="宋体" w:eastAsia="宋体" w:cs="宋体"/>
          <w:spacing w:val="-3"/>
          <w:sz w:val="21"/>
          <w:szCs w:val="21"/>
          <w:highlight w:val="none"/>
        </w:rPr>
        <w:t>要对进</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场计划进行变更的，应事先报请工程师批准，由此增加的费用和</w:t>
      </w:r>
      <w:r>
        <w:rPr>
          <w:rFonts w:ascii="宋体" w:hAnsi="宋体" w:eastAsia="宋体" w:cs="宋体"/>
          <w:spacing w:val="2"/>
          <w:sz w:val="21"/>
          <w:szCs w:val="21"/>
          <w:highlight w:val="none"/>
        </w:rPr>
        <w:t>(或)工期延误由承包人承</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担。</w:t>
      </w:r>
    </w:p>
    <w:p w14:paraId="11FE219A">
      <w:pPr>
        <w:spacing w:before="3" w:line="374" w:lineRule="auto"/>
        <w:ind w:right="83" w:firstLine="440"/>
        <w:jc w:val="both"/>
        <w:rPr>
          <w:rFonts w:ascii="宋体" w:hAnsi="宋体" w:eastAsia="宋体" w:cs="宋体"/>
          <w:sz w:val="22"/>
          <w:szCs w:val="22"/>
          <w:highlight w:val="none"/>
        </w:rPr>
      </w:pPr>
      <w:r>
        <w:rPr>
          <w:rFonts w:ascii="宋体" w:hAnsi="宋体" w:eastAsia="宋体" w:cs="宋体"/>
          <w:spacing w:val="-12"/>
          <w:sz w:val="22"/>
          <w:szCs w:val="22"/>
          <w:highlight w:val="none"/>
        </w:rPr>
        <w:t>发包人提供的材料和工程设备的规格、数量或质量不符</w:t>
      </w:r>
      <w:r>
        <w:rPr>
          <w:rFonts w:ascii="宋体" w:hAnsi="宋体" w:eastAsia="宋体" w:cs="宋体"/>
          <w:spacing w:val="-13"/>
          <w:sz w:val="22"/>
          <w:szCs w:val="22"/>
          <w:highlight w:val="none"/>
        </w:rPr>
        <w:t>合合同要求，或由于发包人原因</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发生交货日期延误及交货地点变更等情况的，发</w:t>
      </w:r>
      <w:r>
        <w:rPr>
          <w:rFonts w:ascii="宋体" w:hAnsi="宋体" w:eastAsia="宋体" w:cs="宋体"/>
          <w:spacing w:val="-7"/>
          <w:sz w:val="22"/>
          <w:szCs w:val="22"/>
          <w:highlight w:val="none"/>
        </w:rPr>
        <w:t>包人应承担由此增加的费用和(或)工期延</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误，并向承包人支付合理利润。</w:t>
      </w:r>
    </w:p>
    <w:p w14:paraId="7EF759EB">
      <w:pPr>
        <w:spacing w:line="218" w:lineRule="auto"/>
        <w:ind w:left="44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6.2.2   </w:t>
      </w:r>
      <w:r>
        <w:rPr>
          <w:rFonts w:ascii="宋体" w:hAnsi="宋体" w:eastAsia="宋体" w:cs="宋体"/>
          <w:spacing w:val="-5"/>
          <w:sz w:val="22"/>
          <w:szCs w:val="22"/>
          <w:highlight w:val="none"/>
        </w:rPr>
        <w:t>承包人提供的材料和工程设备</w:t>
      </w:r>
    </w:p>
    <w:p w14:paraId="02726211">
      <w:pPr>
        <w:pStyle w:val="2"/>
        <w:spacing w:line="339" w:lineRule="auto"/>
        <w:rPr>
          <w:highlight w:val="none"/>
        </w:rPr>
      </w:pPr>
    </w:p>
    <w:p w14:paraId="15533987">
      <w:pPr>
        <w:spacing w:before="69" w:line="423" w:lineRule="auto"/>
        <w:ind w:firstLine="440"/>
        <w:jc w:val="both"/>
        <w:rPr>
          <w:rFonts w:ascii="宋体" w:hAnsi="宋体" w:eastAsia="宋体" w:cs="宋体"/>
          <w:sz w:val="21"/>
          <w:szCs w:val="21"/>
          <w:highlight w:val="none"/>
        </w:rPr>
      </w:pPr>
      <w:r>
        <w:rPr>
          <w:rFonts w:ascii="宋体" w:hAnsi="宋体" w:eastAsia="宋体" w:cs="宋体"/>
          <w:spacing w:val="-6"/>
          <w:sz w:val="21"/>
          <w:szCs w:val="21"/>
          <w:highlight w:val="none"/>
        </w:rPr>
        <w:t>承包人应按照专用合同条件的约定，将各项材料和工程设备的供货人及品种、技术要求、</w:t>
      </w:r>
      <w:r>
        <w:rPr>
          <w:rFonts w:ascii="宋体" w:hAnsi="宋体" w:eastAsia="宋体" w:cs="宋体"/>
          <w:spacing w:val="17"/>
          <w:sz w:val="21"/>
          <w:szCs w:val="21"/>
          <w:highlight w:val="none"/>
        </w:rPr>
        <w:t xml:space="preserve"> </w:t>
      </w:r>
      <w:r>
        <w:rPr>
          <w:rFonts w:ascii="宋体" w:hAnsi="宋体" w:eastAsia="宋体" w:cs="宋体"/>
          <w:spacing w:val="-2"/>
          <w:sz w:val="21"/>
          <w:szCs w:val="21"/>
          <w:highlight w:val="none"/>
        </w:rPr>
        <w:t>规格、数量和供货时间等报送工程师批准。承包人应向工程师提交其负责提供的材</w:t>
      </w:r>
      <w:r>
        <w:rPr>
          <w:rFonts w:ascii="宋体" w:hAnsi="宋体" w:eastAsia="宋体" w:cs="宋体"/>
          <w:spacing w:val="-3"/>
          <w:sz w:val="21"/>
          <w:szCs w:val="21"/>
          <w:highlight w:val="none"/>
        </w:rPr>
        <w:t>料和工程</w:t>
      </w:r>
      <w:r>
        <w:rPr>
          <w:rFonts w:ascii="宋体" w:hAnsi="宋体" w:eastAsia="宋体" w:cs="宋体"/>
          <w:sz w:val="21"/>
          <w:szCs w:val="21"/>
          <w:highlight w:val="none"/>
        </w:rPr>
        <w:t xml:space="preserve">  设备的质量证明文件，并根据合同约定的质量标准，对材料、工程设</w:t>
      </w:r>
      <w:r>
        <w:rPr>
          <w:rFonts w:ascii="宋体" w:hAnsi="宋体" w:eastAsia="宋体" w:cs="宋体"/>
          <w:spacing w:val="-1"/>
          <w:sz w:val="21"/>
          <w:szCs w:val="21"/>
          <w:highlight w:val="none"/>
        </w:rPr>
        <w:t>备质量负责。</w:t>
      </w:r>
    </w:p>
    <w:p w14:paraId="1A7B39BD">
      <w:pPr>
        <w:spacing w:before="14" w:line="435" w:lineRule="auto"/>
        <w:ind w:right="4" w:firstLine="440"/>
        <w:jc w:val="both"/>
        <w:rPr>
          <w:rFonts w:ascii="宋体" w:hAnsi="宋体" w:eastAsia="宋体" w:cs="宋体"/>
          <w:sz w:val="20"/>
          <w:szCs w:val="20"/>
          <w:highlight w:val="none"/>
        </w:rPr>
      </w:pPr>
      <w:r>
        <w:rPr>
          <w:rFonts w:ascii="宋体" w:hAnsi="宋体" w:eastAsia="宋体" w:cs="宋体"/>
          <w:spacing w:val="10"/>
          <w:sz w:val="20"/>
          <w:szCs w:val="20"/>
          <w:highlight w:val="none"/>
        </w:rPr>
        <w:t>承包人应按照已被批准的第8.4款[项目进度计划]规定的数量要求及时间要求</w:t>
      </w:r>
      <w:r>
        <w:rPr>
          <w:rFonts w:ascii="宋体" w:hAnsi="宋体" w:eastAsia="宋体" w:cs="宋体"/>
          <w:spacing w:val="9"/>
          <w:sz w:val="20"/>
          <w:szCs w:val="20"/>
          <w:highlight w:val="none"/>
        </w:rPr>
        <w:t>，负责组</w:t>
      </w:r>
      <w:r>
        <w:rPr>
          <w:rFonts w:ascii="宋体" w:hAnsi="宋体" w:eastAsia="宋体" w:cs="宋体"/>
          <w:sz w:val="20"/>
          <w:szCs w:val="20"/>
          <w:highlight w:val="none"/>
        </w:rPr>
        <w:t xml:space="preserve"> </w:t>
      </w:r>
      <w:r>
        <w:rPr>
          <w:rFonts w:ascii="宋体" w:hAnsi="宋体" w:eastAsia="宋体" w:cs="宋体"/>
          <w:spacing w:val="12"/>
          <w:sz w:val="20"/>
          <w:szCs w:val="20"/>
          <w:highlight w:val="none"/>
        </w:rPr>
        <w:t>织材料和工程设备采购(包括备品备件、专用工具及厂商提供的技术文件),负责运抵现场。</w:t>
      </w:r>
      <w:r>
        <w:rPr>
          <w:rFonts w:ascii="宋体" w:hAnsi="宋体" w:eastAsia="宋体" w:cs="宋体"/>
          <w:spacing w:val="17"/>
          <w:sz w:val="20"/>
          <w:szCs w:val="20"/>
          <w:highlight w:val="none"/>
        </w:rPr>
        <w:t xml:space="preserve"> </w:t>
      </w:r>
      <w:r>
        <w:rPr>
          <w:rFonts w:ascii="宋体" w:hAnsi="宋体" w:eastAsia="宋体" w:cs="宋体"/>
          <w:spacing w:val="7"/>
          <w:sz w:val="20"/>
          <w:szCs w:val="20"/>
          <w:highlight w:val="none"/>
        </w:rPr>
        <w:t>合同约定由承包人采购的材料、工程设备，除专用合同条件另有约定外，发包人不得指定生</w:t>
      </w:r>
      <w:r>
        <w:rPr>
          <w:rFonts w:ascii="宋体" w:hAnsi="宋体" w:eastAsia="宋体" w:cs="宋体"/>
          <w:spacing w:val="9"/>
          <w:sz w:val="20"/>
          <w:szCs w:val="20"/>
          <w:highlight w:val="none"/>
        </w:rPr>
        <w:t xml:space="preserve">  </w:t>
      </w:r>
      <w:r>
        <w:rPr>
          <w:rFonts w:ascii="宋体" w:hAnsi="宋体" w:eastAsia="宋体" w:cs="宋体"/>
          <w:spacing w:val="8"/>
          <w:sz w:val="20"/>
          <w:szCs w:val="20"/>
          <w:highlight w:val="none"/>
        </w:rPr>
        <w:t>产厂家或供应商，发包人违反本款约定指定生产厂家或供应商的，承包人有权拒绝，并</w:t>
      </w:r>
      <w:r>
        <w:rPr>
          <w:rFonts w:ascii="宋体" w:hAnsi="宋体" w:eastAsia="宋体" w:cs="宋体"/>
          <w:spacing w:val="7"/>
          <w:sz w:val="20"/>
          <w:szCs w:val="20"/>
          <w:highlight w:val="none"/>
        </w:rPr>
        <w:t>由发</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包人承担相应责任。</w:t>
      </w:r>
    </w:p>
    <w:p w14:paraId="2CB48FD1">
      <w:pPr>
        <w:spacing w:before="26" w:line="396" w:lineRule="auto"/>
        <w:ind w:right="77" w:firstLine="440"/>
        <w:jc w:val="both"/>
        <w:rPr>
          <w:rFonts w:ascii="宋体" w:hAnsi="宋体" w:eastAsia="宋体" w:cs="宋体"/>
          <w:sz w:val="22"/>
          <w:szCs w:val="22"/>
          <w:highlight w:val="none"/>
        </w:rPr>
      </w:pPr>
      <w:r>
        <w:rPr>
          <w:rFonts w:ascii="宋体" w:hAnsi="宋体" w:eastAsia="宋体" w:cs="宋体"/>
          <w:spacing w:val="-12"/>
          <w:sz w:val="22"/>
          <w:szCs w:val="22"/>
          <w:highlight w:val="none"/>
        </w:rPr>
        <w:t>对承包人提供的材料和工程设备，承包人应会同工程师进行检验和交</w:t>
      </w:r>
      <w:r>
        <w:rPr>
          <w:rFonts w:ascii="宋体" w:hAnsi="宋体" w:eastAsia="宋体" w:cs="宋体"/>
          <w:spacing w:val="-13"/>
          <w:sz w:val="22"/>
          <w:szCs w:val="22"/>
          <w:highlight w:val="none"/>
        </w:rPr>
        <w:t>货验收，查验材料</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合格证明和产品合格证书，并按合同约定和工程师指示，</w:t>
      </w:r>
      <w:r>
        <w:rPr>
          <w:rFonts w:ascii="宋体" w:hAnsi="宋体" w:eastAsia="宋体" w:cs="宋体"/>
          <w:spacing w:val="-13"/>
          <w:sz w:val="22"/>
          <w:szCs w:val="22"/>
          <w:highlight w:val="none"/>
        </w:rPr>
        <w:t>进行材料的抽样检验和工程设备的</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检验测试，检验和测试结果应提交工程师，所需费用由承包人承担。</w:t>
      </w:r>
    </w:p>
    <w:p w14:paraId="30C44D02">
      <w:pPr>
        <w:spacing w:before="34" w:line="444" w:lineRule="auto"/>
        <w:ind w:right="45" w:firstLine="440"/>
        <w:jc w:val="both"/>
        <w:rPr>
          <w:rFonts w:ascii="宋体" w:hAnsi="宋体" w:eastAsia="宋体" w:cs="宋体"/>
          <w:sz w:val="20"/>
          <w:szCs w:val="20"/>
          <w:highlight w:val="none"/>
        </w:rPr>
      </w:pPr>
      <w:r>
        <w:rPr>
          <w:rFonts w:ascii="宋体" w:hAnsi="宋体" w:eastAsia="宋体" w:cs="宋体"/>
          <w:spacing w:val="13"/>
          <w:sz w:val="20"/>
          <w:szCs w:val="20"/>
          <w:highlight w:val="none"/>
        </w:rPr>
        <w:t>因承包人提供的材料和工程设备不符合国家强制性标准、规范的规定或合</w:t>
      </w:r>
      <w:r>
        <w:rPr>
          <w:rFonts w:ascii="宋体" w:hAnsi="宋体" w:eastAsia="宋体" w:cs="宋体"/>
          <w:spacing w:val="12"/>
          <w:sz w:val="20"/>
          <w:szCs w:val="20"/>
          <w:highlight w:val="none"/>
        </w:rPr>
        <w:t>同约定的标</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 xml:space="preserve">准、规范，所造成的质量缺陷，由承包人自费修复，竣工日期不予延长。在履行合同过程中， </w:t>
      </w:r>
      <w:r>
        <w:rPr>
          <w:rFonts w:ascii="宋体" w:hAnsi="宋体" w:eastAsia="宋体" w:cs="宋体"/>
          <w:spacing w:val="8"/>
          <w:sz w:val="20"/>
          <w:szCs w:val="20"/>
          <w:highlight w:val="none"/>
        </w:rPr>
        <w:t>由于国家新颁布的强制性标准、规范，造成承包人负责提供的</w:t>
      </w:r>
      <w:r>
        <w:rPr>
          <w:rFonts w:ascii="宋体" w:hAnsi="宋体" w:eastAsia="宋体" w:cs="宋体"/>
          <w:spacing w:val="7"/>
          <w:sz w:val="20"/>
          <w:szCs w:val="20"/>
          <w:highlight w:val="none"/>
        </w:rPr>
        <w:t>材料和工程设备，虽符合合同</w:t>
      </w:r>
    </w:p>
    <w:p w14:paraId="0D1D129D">
      <w:pPr>
        <w:spacing w:line="444" w:lineRule="auto"/>
        <w:rPr>
          <w:rFonts w:ascii="宋体" w:hAnsi="宋体" w:eastAsia="宋体" w:cs="宋体"/>
          <w:sz w:val="20"/>
          <w:szCs w:val="20"/>
          <w:highlight w:val="none"/>
        </w:rPr>
        <w:sectPr>
          <w:footerReference r:id="rId95" w:type="default"/>
          <w:pgSz w:w="11910" w:h="16840"/>
          <w:pgMar w:top="400" w:right="1724" w:bottom="1238" w:left="1769" w:header="0" w:footer="1006" w:gutter="0"/>
          <w:cols w:space="720" w:num="1"/>
        </w:sectPr>
      </w:pPr>
    </w:p>
    <w:p w14:paraId="41C1F4BB">
      <w:pPr>
        <w:pStyle w:val="2"/>
        <w:spacing w:line="276" w:lineRule="auto"/>
        <w:rPr>
          <w:highlight w:val="none"/>
        </w:rPr>
      </w:pPr>
    </w:p>
    <w:p w14:paraId="70456307">
      <w:pPr>
        <w:pStyle w:val="2"/>
        <w:spacing w:line="276" w:lineRule="auto"/>
        <w:rPr>
          <w:highlight w:val="none"/>
        </w:rPr>
      </w:pPr>
    </w:p>
    <w:p w14:paraId="0135061C">
      <w:pPr>
        <w:pStyle w:val="2"/>
        <w:spacing w:line="277" w:lineRule="auto"/>
        <w:rPr>
          <w:highlight w:val="none"/>
        </w:rPr>
      </w:pPr>
    </w:p>
    <w:p w14:paraId="5A665F23">
      <w:pPr>
        <w:pStyle w:val="2"/>
        <w:spacing w:line="277" w:lineRule="auto"/>
        <w:rPr>
          <w:highlight w:val="none"/>
        </w:rPr>
      </w:pPr>
    </w:p>
    <w:p w14:paraId="573CC6A6">
      <w:pPr>
        <w:spacing w:before="65" w:line="436" w:lineRule="auto"/>
        <w:ind w:right="63"/>
        <w:rPr>
          <w:rFonts w:ascii="宋体" w:hAnsi="宋体" w:eastAsia="宋体" w:cs="宋体"/>
          <w:sz w:val="20"/>
          <w:szCs w:val="20"/>
          <w:highlight w:val="none"/>
        </w:rPr>
      </w:pPr>
      <w:r>
        <w:rPr>
          <w:rFonts w:ascii="宋体" w:hAnsi="宋体" w:eastAsia="宋体" w:cs="宋体"/>
          <w:spacing w:val="8"/>
          <w:sz w:val="20"/>
          <w:szCs w:val="20"/>
          <w:highlight w:val="none"/>
        </w:rPr>
        <w:t>约定的标准，但不符合新颁布的强制性标准时，由承包人负责修复或</w:t>
      </w:r>
      <w:r>
        <w:rPr>
          <w:rFonts w:ascii="宋体" w:hAnsi="宋体" w:eastAsia="宋体" w:cs="宋体"/>
          <w:spacing w:val="7"/>
          <w:sz w:val="20"/>
          <w:szCs w:val="20"/>
          <w:highlight w:val="none"/>
        </w:rPr>
        <w:t>重新订货，相关费用支</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出及导致的工期延长由发包人负责。</w:t>
      </w:r>
    </w:p>
    <w:p w14:paraId="05E25960">
      <w:pPr>
        <w:spacing w:before="3" w:line="219" w:lineRule="auto"/>
        <w:ind w:left="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6.2.3    </w:t>
      </w:r>
      <w:r>
        <w:rPr>
          <w:rFonts w:ascii="宋体" w:hAnsi="宋体" w:eastAsia="宋体" w:cs="宋体"/>
          <w:spacing w:val="7"/>
          <w:sz w:val="20"/>
          <w:szCs w:val="20"/>
          <w:highlight w:val="none"/>
        </w:rPr>
        <w:t>材料和工程设备的保管</w:t>
      </w:r>
    </w:p>
    <w:p w14:paraId="65C9942E">
      <w:pPr>
        <w:spacing w:before="252" w:line="219" w:lineRule="auto"/>
        <w:ind w:left="550"/>
        <w:rPr>
          <w:rFonts w:ascii="宋体" w:hAnsi="宋体" w:eastAsia="宋体" w:cs="宋体"/>
          <w:sz w:val="20"/>
          <w:szCs w:val="20"/>
          <w:highlight w:val="none"/>
        </w:rPr>
      </w:pPr>
      <w:r>
        <w:rPr>
          <w:rFonts w:ascii="宋体" w:hAnsi="宋体" w:eastAsia="宋体" w:cs="宋体"/>
          <w:spacing w:val="14"/>
          <w:sz w:val="20"/>
          <w:szCs w:val="20"/>
          <w:highlight w:val="none"/>
        </w:rPr>
        <w:t>(1)发包人供应材料与工程设备的保管与使用</w:t>
      </w:r>
    </w:p>
    <w:p w14:paraId="0D08B867">
      <w:pPr>
        <w:spacing w:before="214" w:line="419" w:lineRule="auto"/>
        <w:ind w:right="65" w:firstLine="420"/>
        <w:rPr>
          <w:rFonts w:ascii="宋体" w:hAnsi="宋体" w:eastAsia="宋体" w:cs="宋体"/>
          <w:sz w:val="21"/>
          <w:szCs w:val="21"/>
          <w:highlight w:val="none"/>
        </w:rPr>
      </w:pPr>
      <w:r>
        <w:rPr>
          <w:rFonts w:ascii="宋体" w:hAnsi="宋体" w:eastAsia="宋体" w:cs="宋体"/>
          <w:spacing w:val="-2"/>
          <w:sz w:val="21"/>
          <w:szCs w:val="21"/>
          <w:highlight w:val="none"/>
        </w:rPr>
        <w:t>发包人供应的材料和工程设备，承包人清点并接收</w:t>
      </w:r>
      <w:r>
        <w:rPr>
          <w:rFonts w:ascii="宋体" w:hAnsi="宋体" w:eastAsia="宋体" w:cs="宋体"/>
          <w:spacing w:val="-3"/>
          <w:sz w:val="21"/>
          <w:szCs w:val="21"/>
          <w:highlight w:val="none"/>
        </w:rPr>
        <w:t>后由承包人妥善保管，保管费用由承</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包人承担，但专用合同条件另有约定除外。因承包人原因发生</w:t>
      </w:r>
      <w:r>
        <w:rPr>
          <w:rFonts w:ascii="宋体" w:hAnsi="宋体" w:eastAsia="宋体" w:cs="宋体"/>
          <w:spacing w:val="-3"/>
          <w:sz w:val="21"/>
          <w:szCs w:val="21"/>
          <w:highlight w:val="none"/>
        </w:rPr>
        <w:t>丢失毁损的，由承包人负责赔</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偿。</w:t>
      </w:r>
    </w:p>
    <w:p w14:paraId="359A2D1D">
      <w:pPr>
        <w:spacing w:line="397" w:lineRule="auto"/>
        <w:ind w:right="65" w:firstLine="420"/>
        <w:rPr>
          <w:rFonts w:ascii="宋体" w:hAnsi="宋体" w:eastAsia="宋体" w:cs="宋体"/>
          <w:sz w:val="22"/>
          <w:szCs w:val="22"/>
          <w:highlight w:val="none"/>
        </w:rPr>
      </w:pPr>
      <w:r>
        <w:rPr>
          <w:rFonts w:ascii="宋体" w:hAnsi="宋体" w:eastAsia="宋体" w:cs="宋体"/>
          <w:spacing w:val="-12"/>
          <w:sz w:val="22"/>
          <w:szCs w:val="22"/>
          <w:highlight w:val="none"/>
        </w:rPr>
        <w:t>发包人供应的材料和工程设备使用前，由承包人负</w:t>
      </w:r>
      <w:r>
        <w:rPr>
          <w:rFonts w:ascii="宋体" w:hAnsi="宋体" w:eastAsia="宋体" w:cs="宋体"/>
          <w:spacing w:val="-13"/>
          <w:sz w:val="22"/>
          <w:szCs w:val="22"/>
          <w:highlight w:val="none"/>
        </w:rPr>
        <w:t>责必要的检验，检验费用由发包人承</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担，不合格的不得使用。</w:t>
      </w:r>
    </w:p>
    <w:p w14:paraId="6FABEEF6">
      <w:pPr>
        <w:spacing w:before="32" w:line="219" w:lineRule="auto"/>
        <w:ind w:left="550"/>
        <w:rPr>
          <w:rFonts w:ascii="宋体" w:hAnsi="宋体" w:eastAsia="宋体" w:cs="宋体"/>
          <w:sz w:val="20"/>
          <w:szCs w:val="20"/>
          <w:highlight w:val="none"/>
        </w:rPr>
      </w:pPr>
      <w:r>
        <w:rPr>
          <w:rFonts w:ascii="宋体" w:hAnsi="宋体" w:eastAsia="宋体" w:cs="宋体"/>
          <w:spacing w:val="14"/>
          <w:sz w:val="20"/>
          <w:szCs w:val="20"/>
          <w:highlight w:val="none"/>
        </w:rPr>
        <w:t>(2)承包人采购材料与工程设备的保管与使用</w:t>
      </w:r>
    </w:p>
    <w:p w14:paraId="346C04C7">
      <w:pPr>
        <w:spacing w:before="234" w:line="422" w:lineRule="auto"/>
        <w:ind w:right="65" w:firstLine="420"/>
        <w:rPr>
          <w:rFonts w:ascii="宋体" w:hAnsi="宋体" w:eastAsia="宋体" w:cs="宋体"/>
          <w:sz w:val="21"/>
          <w:szCs w:val="21"/>
          <w:highlight w:val="none"/>
        </w:rPr>
      </w:pPr>
      <w:r>
        <w:rPr>
          <w:rFonts w:ascii="宋体" w:hAnsi="宋体" w:eastAsia="宋体" w:cs="宋体"/>
          <w:spacing w:val="-2"/>
          <w:sz w:val="21"/>
          <w:szCs w:val="21"/>
          <w:highlight w:val="none"/>
        </w:rPr>
        <w:t>承包人采购的材料和工程设备由承包人妥善保管，</w:t>
      </w:r>
      <w:r>
        <w:rPr>
          <w:rFonts w:ascii="宋体" w:hAnsi="宋体" w:eastAsia="宋体" w:cs="宋体"/>
          <w:spacing w:val="-3"/>
          <w:sz w:val="21"/>
          <w:szCs w:val="21"/>
          <w:highlight w:val="none"/>
        </w:rPr>
        <w:t>保管费用由承包人承担。合同约定或</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法律规定材料和工程设备使用前必须进行检验或试验的，承包</w:t>
      </w:r>
      <w:r>
        <w:rPr>
          <w:rFonts w:ascii="宋体" w:hAnsi="宋体" w:eastAsia="宋体" w:cs="宋体"/>
          <w:spacing w:val="-3"/>
          <w:sz w:val="21"/>
          <w:szCs w:val="21"/>
          <w:highlight w:val="none"/>
        </w:rPr>
        <w:t>人应按工程师的指示进行检验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或试验，检验或试验费用由承包人承担，不合格的不得使用。</w:t>
      </w:r>
    </w:p>
    <w:p w14:paraId="1F81521F">
      <w:pPr>
        <w:spacing w:before="1" w:line="218" w:lineRule="auto"/>
        <w:ind w:left="420"/>
        <w:rPr>
          <w:rFonts w:ascii="宋体" w:hAnsi="宋体" w:eastAsia="宋体" w:cs="宋体"/>
          <w:sz w:val="21"/>
          <w:szCs w:val="21"/>
          <w:highlight w:val="none"/>
        </w:rPr>
      </w:pPr>
      <w:r>
        <w:rPr>
          <w:rFonts w:ascii="宋体" w:hAnsi="宋体" w:eastAsia="宋体" w:cs="宋体"/>
          <w:spacing w:val="-2"/>
          <w:sz w:val="21"/>
          <w:szCs w:val="21"/>
          <w:highlight w:val="none"/>
        </w:rPr>
        <w:t>工程师发现承包人使用不符合设计或有关标准要求的材料</w:t>
      </w:r>
      <w:r>
        <w:rPr>
          <w:rFonts w:ascii="宋体" w:hAnsi="宋体" w:eastAsia="宋体" w:cs="宋体"/>
          <w:spacing w:val="-3"/>
          <w:sz w:val="21"/>
          <w:szCs w:val="21"/>
          <w:highlight w:val="none"/>
        </w:rPr>
        <w:t>和工程设备时，有权要求承包</w:t>
      </w:r>
    </w:p>
    <w:p w14:paraId="6B3A3978">
      <w:pPr>
        <w:spacing w:before="231" w:line="219" w:lineRule="auto"/>
        <w:rPr>
          <w:rFonts w:ascii="宋体" w:hAnsi="宋体" w:eastAsia="宋体" w:cs="宋体"/>
          <w:sz w:val="21"/>
          <w:szCs w:val="21"/>
          <w:highlight w:val="none"/>
        </w:rPr>
      </w:pPr>
      <w:r>
        <w:rPr>
          <w:rFonts w:ascii="宋体" w:hAnsi="宋体" w:eastAsia="宋体" w:cs="宋体"/>
          <w:spacing w:val="5"/>
          <w:sz w:val="21"/>
          <w:szCs w:val="21"/>
          <w:highlight w:val="none"/>
        </w:rPr>
        <w:t>人进行修复、拆除或重新采购，由此增加的费用和(或)延误的工期，由承包人承担。</w:t>
      </w:r>
    </w:p>
    <w:p w14:paraId="1014F81F">
      <w:pPr>
        <w:spacing w:before="91"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6.2.4</w:t>
      </w:r>
      <w:r>
        <w:rPr>
          <w:rFonts w:ascii="Times New Roman" w:hAnsi="Times New Roman" w:eastAsia="Times New Roman" w:cs="Times New Roman"/>
          <w:spacing w:val="12"/>
          <w:sz w:val="22"/>
          <w:szCs w:val="22"/>
          <w:highlight w:val="none"/>
        </w:rPr>
        <w:t xml:space="preserve">   </w:t>
      </w:r>
      <w:r>
        <w:rPr>
          <w:rFonts w:ascii="宋体" w:hAnsi="宋体" w:eastAsia="宋体" w:cs="宋体"/>
          <w:spacing w:val="-6"/>
          <w:sz w:val="22"/>
          <w:szCs w:val="22"/>
          <w:highlight w:val="none"/>
        </w:rPr>
        <w:t>材料和工程设备的所有权</w:t>
      </w:r>
    </w:p>
    <w:p w14:paraId="368AF907">
      <w:pPr>
        <w:pStyle w:val="2"/>
        <w:spacing w:line="370" w:lineRule="auto"/>
        <w:rPr>
          <w:highlight w:val="none"/>
        </w:rPr>
      </w:pPr>
    </w:p>
    <w:p w14:paraId="4A285AAD">
      <w:pPr>
        <w:spacing w:before="68" w:line="423" w:lineRule="auto"/>
        <w:ind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除本合同另有约定外，承包人根据第6.2.2项[承包人提供的材料</w:t>
      </w:r>
      <w:r>
        <w:rPr>
          <w:rFonts w:ascii="宋体" w:hAnsi="宋体" w:eastAsia="宋体" w:cs="宋体"/>
          <w:sz w:val="21"/>
          <w:szCs w:val="21"/>
          <w:highlight w:val="none"/>
        </w:rPr>
        <w:t xml:space="preserve">和工程设备]约定提供 </w:t>
      </w:r>
      <w:r>
        <w:rPr>
          <w:rFonts w:ascii="宋体" w:hAnsi="宋体" w:eastAsia="宋体" w:cs="宋体"/>
          <w:spacing w:val="2"/>
          <w:sz w:val="21"/>
          <w:szCs w:val="21"/>
          <w:highlight w:val="none"/>
        </w:rPr>
        <w:t>的材料和工程设备后，材料及工程设备的价款应列入第14.3.1项第(2</w:t>
      </w:r>
      <w:r>
        <w:rPr>
          <w:rFonts w:ascii="宋体" w:hAnsi="宋体" w:eastAsia="宋体" w:cs="宋体"/>
          <w:spacing w:val="1"/>
          <w:sz w:val="21"/>
          <w:szCs w:val="21"/>
          <w:highlight w:val="none"/>
        </w:rPr>
        <w:t>)目的进度款金额中，</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发包人支付当期进度款之后，其所有权转为发包人</w:t>
      </w:r>
      <w:r>
        <w:rPr>
          <w:rFonts w:ascii="宋体" w:hAnsi="宋体" w:eastAsia="宋体" w:cs="宋体"/>
          <w:spacing w:val="5"/>
          <w:sz w:val="21"/>
          <w:szCs w:val="21"/>
          <w:highlight w:val="none"/>
        </w:rPr>
        <w:t>所有(周转性材料除外);在发包人接收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工程前，承包人有义务对材料和工程设备进行保管、维护和保养，未经发包人批准不得运出</w:t>
      </w:r>
      <w:r>
        <w:rPr>
          <w:rFonts w:ascii="宋体" w:hAnsi="宋体" w:eastAsia="宋体" w:cs="宋体"/>
          <w:spacing w:val="4"/>
          <w:sz w:val="21"/>
          <w:szCs w:val="21"/>
          <w:highlight w:val="none"/>
        </w:rPr>
        <w:t xml:space="preserve"> 现场。</w:t>
      </w:r>
    </w:p>
    <w:p w14:paraId="07F1AC9E">
      <w:pPr>
        <w:spacing w:before="3" w:line="440" w:lineRule="auto"/>
        <w:ind w:right="4" w:firstLine="420"/>
        <w:jc w:val="both"/>
        <w:rPr>
          <w:rFonts w:ascii="宋体" w:hAnsi="宋体" w:eastAsia="宋体" w:cs="宋体"/>
          <w:sz w:val="20"/>
          <w:szCs w:val="20"/>
          <w:highlight w:val="none"/>
        </w:rPr>
      </w:pPr>
      <w:r>
        <w:rPr>
          <w:rFonts w:ascii="宋体" w:hAnsi="宋体" w:eastAsia="宋体" w:cs="宋体"/>
          <w:spacing w:val="10"/>
          <w:sz w:val="20"/>
          <w:szCs w:val="20"/>
          <w:highlight w:val="none"/>
        </w:rPr>
        <w:t>承包人按第6.2.2项提供的材料和工程设备，承包人</w:t>
      </w:r>
      <w:r>
        <w:rPr>
          <w:rFonts w:ascii="宋体" w:hAnsi="宋体" w:eastAsia="宋体" w:cs="宋体"/>
          <w:spacing w:val="9"/>
          <w:sz w:val="20"/>
          <w:szCs w:val="20"/>
          <w:highlight w:val="none"/>
        </w:rPr>
        <w:t>应确保发包人取得无权利负担的材</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料及工程设备所有权，因承包人与第三人的物权争议导致的增加的费用和(或)延误的工期，</w:t>
      </w:r>
      <w:r>
        <w:rPr>
          <w:rFonts w:ascii="宋体" w:hAnsi="宋体" w:eastAsia="宋体" w:cs="宋体"/>
          <w:sz w:val="20"/>
          <w:szCs w:val="20"/>
          <w:highlight w:val="none"/>
        </w:rPr>
        <w:t xml:space="preserve"> </w:t>
      </w:r>
      <w:r>
        <w:rPr>
          <w:rFonts w:ascii="宋体" w:hAnsi="宋体" w:eastAsia="宋体" w:cs="宋体"/>
          <w:spacing w:val="2"/>
          <w:sz w:val="20"/>
          <w:szCs w:val="20"/>
          <w:highlight w:val="none"/>
        </w:rPr>
        <w:t>由承包人承担。</w:t>
      </w:r>
    </w:p>
    <w:p w14:paraId="28D01E4B">
      <w:pPr>
        <w:spacing w:before="152" w:line="224" w:lineRule="auto"/>
        <w:rPr>
          <w:rFonts w:ascii="黑体" w:hAnsi="黑体" w:eastAsia="黑体" w:cs="黑体"/>
          <w:sz w:val="22"/>
          <w:szCs w:val="22"/>
          <w:highlight w:val="none"/>
        </w:rPr>
      </w:pPr>
      <w:r>
        <w:rPr>
          <w:rFonts w:ascii="黑体" w:hAnsi="黑体" w:eastAsia="黑体" w:cs="黑体"/>
          <w:spacing w:val="15"/>
          <w:sz w:val="22"/>
          <w:szCs w:val="22"/>
          <w:highlight w:val="none"/>
        </w:rPr>
        <w:t>6.3样品</w:t>
      </w:r>
    </w:p>
    <w:p w14:paraId="079A4864">
      <w:pPr>
        <w:spacing w:before="101" w:line="219"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6.3.1    </w:t>
      </w:r>
      <w:r>
        <w:rPr>
          <w:rFonts w:ascii="宋体" w:hAnsi="宋体" w:eastAsia="宋体" w:cs="宋体"/>
          <w:spacing w:val="6"/>
          <w:sz w:val="20"/>
          <w:szCs w:val="20"/>
          <w:highlight w:val="none"/>
        </w:rPr>
        <w:t>样品的报送与封存</w:t>
      </w:r>
    </w:p>
    <w:p w14:paraId="5CA442B5">
      <w:pPr>
        <w:pStyle w:val="2"/>
        <w:spacing w:line="352" w:lineRule="auto"/>
        <w:rPr>
          <w:highlight w:val="none"/>
        </w:rPr>
      </w:pPr>
    </w:p>
    <w:p w14:paraId="4D590C9A">
      <w:pPr>
        <w:spacing w:before="69" w:line="442" w:lineRule="auto"/>
        <w:ind w:right="63" w:firstLine="420"/>
        <w:rPr>
          <w:rFonts w:ascii="宋体" w:hAnsi="宋体" w:eastAsia="宋体" w:cs="宋体"/>
          <w:sz w:val="21"/>
          <w:szCs w:val="21"/>
          <w:highlight w:val="none"/>
        </w:rPr>
      </w:pPr>
      <w:r>
        <w:rPr>
          <w:rFonts w:ascii="宋体" w:hAnsi="宋体" w:eastAsia="宋体" w:cs="宋体"/>
          <w:spacing w:val="-2"/>
          <w:sz w:val="21"/>
          <w:szCs w:val="21"/>
          <w:highlight w:val="none"/>
        </w:rPr>
        <w:t>需要承包人报送样品的材料或工程设备，样品的种类、</w:t>
      </w:r>
      <w:r>
        <w:rPr>
          <w:rFonts w:ascii="宋体" w:hAnsi="宋体" w:eastAsia="宋体" w:cs="宋体"/>
          <w:spacing w:val="-3"/>
          <w:sz w:val="21"/>
          <w:szCs w:val="21"/>
          <w:highlight w:val="none"/>
        </w:rPr>
        <w:t>名称、规格、数量等要求均应在</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专用合同条件中约定。样品的报送程序如下：</w:t>
      </w:r>
    </w:p>
    <w:p w14:paraId="3B6DFECE">
      <w:pPr>
        <w:spacing w:line="442" w:lineRule="auto"/>
        <w:rPr>
          <w:rFonts w:ascii="宋体" w:hAnsi="宋体" w:eastAsia="宋体" w:cs="宋体"/>
          <w:sz w:val="21"/>
          <w:szCs w:val="21"/>
          <w:highlight w:val="none"/>
        </w:rPr>
        <w:sectPr>
          <w:footerReference r:id="rId96" w:type="default"/>
          <w:pgSz w:w="11910" w:h="16840"/>
          <w:pgMar w:top="400" w:right="1765" w:bottom="1217" w:left="1769" w:header="0" w:footer="1013" w:gutter="0"/>
          <w:cols w:space="720" w:num="1"/>
        </w:sectPr>
      </w:pPr>
    </w:p>
    <w:p w14:paraId="138B14A1">
      <w:pPr>
        <w:pStyle w:val="2"/>
        <w:spacing w:line="275" w:lineRule="auto"/>
        <w:rPr>
          <w:highlight w:val="none"/>
        </w:rPr>
      </w:pPr>
    </w:p>
    <w:p w14:paraId="6F57B80B">
      <w:pPr>
        <w:pStyle w:val="2"/>
        <w:spacing w:line="275" w:lineRule="auto"/>
        <w:rPr>
          <w:highlight w:val="none"/>
        </w:rPr>
      </w:pPr>
    </w:p>
    <w:p w14:paraId="6D3C0BC5">
      <w:pPr>
        <w:pStyle w:val="2"/>
        <w:spacing w:line="275" w:lineRule="auto"/>
        <w:rPr>
          <w:highlight w:val="none"/>
        </w:rPr>
      </w:pPr>
    </w:p>
    <w:p w14:paraId="255EBC15">
      <w:pPr>
        <w:pStyle w:val="2"/>
        <w:spacing w:line="276" w:lineRule="auto"/>
        <w:rPr>
          <w:highlight w:val="none"/>
        </w:rPr>
      </w:pPr>
    </w:p>
    <w:p w14:paraId="3926AD6C">
      <w:pPr>
        <w:spacing w:before="69" w:line="349" w:lineRule="auto"/>
        <w:ind w:right="80" w:firstLine="539"/>
        <w:rPr>
          <w:rFonts w:ascii="宋体" w:hAnsi="宋体" w:eastAsia="宋体" w:cs="宋体"/>
          <w:sz w:val="21"/>
          <w:szCs w:val="21"/>
          <w:highlight w:val="none"/>
        </w:rPr>
      </w:pPr>
      <w:r>
        <w:rPr>
          <w:rFonts w:ascii="宋体" w:hAnsi="宋体" w:eastAsia="宋体" w:cs="宋体"/>
          <w:spacing w:val="3"/>
          <w:sz w:val="21"/>
          <w:szCs w:val="21"/>
          <w:highlight w:val="none"/>
        </w:rPr>
        <w:t>(1)承包人应在计划采购前28天向工程师报送样品。承包人报送的样品均应来自供应</w:t>
      </w:r>
      <w:r>
        <w:rPr>
          <w:rFonts w:ascii="宋体" w:hAnsi="宋体" w:eastAsia="宋体" w:cs="宋体"/>
          <w:spacing w:val="6"/>
          <w:sz w:val="21"/>
          <w:szCs w:val="21"/>
          <w:highlight w:val="none"/>
        </w:rPr>
        <w:t xml:space="preserve"> </w:t>
      </w:r>
      <w:r>
        <w:rPr>
          <w:rFonts w:ascii="宋体" w:hAnsi="宋体" w:eastAsia="宋体" w:cs="宋体"/>
          <w:spacing w:val="-2"/>
          <w:sz w:val="21"/>
          <w:szCs w:val="21"/>
          <w:highlight w:val="none"/>
        </w:rPr>
        <w:t>材料的实际生产地，且提供的样品的规格、数量足以表明材料</w:t>
      </w:r>
      <w:r>
        <w:rPr>
          <w:rFonts w:ascii="宋体" w:hAnsi="宋体" w:eastAsia="宋体" w:cs="宋体"/>
          <w:spacing w:val="-3"/>
          <w:sz w:val="21"/>
          <w:szCs w:val="21"/>
          <w:highlight w:val="none"/>
        </w:rPr>
        <w:t>或工程设备的质量、型号、颜</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色、表面处理、质地、误差和其他要求的特征。</w:t>
      </w:r>
    </w:p>
    <w:p w14:paraId="2AE49CC4">
      <w:pPr>
        <w:spacing w:before="231" w:line="336" w:lineRule="auto"/>
        <w:ind w:firstLine="539"/>
        <w:rPr>
          <w:rFonts w:ascii="宋体" w:hAnsi="宋体" w:eastAsia="宋体" w:cs="宋体"/>
          <w:sz w:val="22"/>
          <w:szCs w:val="22"/>
          <w:highlight w:val="none"/>
        </w:rPr>
      </w:pPr>
      <w:r>
        <w:rPr>
          <w:rFonts w:ascii="宋体" w:hAnsi="宋体" w:eastAsia="宋体" w:cs="宋体"/>
          <w:spacing w:val="-10"/>
          <w:sz w:val="22"/>
          <w:szCs w:val="22"/>
          <w:highlight w:val="none"/>
        </w:rPr>
        <w:t>(2)承包人每次报送样品时应随附申报单，申报单应载明报送样品的相关数据和资料，</w:t>
      </w:r>
      <w:r>
        <w:rPr>
          <w:rFonts w:ascii="宋体" w:hAnsi="宋体" w:eastAsia="宋体" w:cs="宋体"/>
          <w:spacing w:val="9"/>
          <w:sz w:val="22"/>
          <w:szCs w:val="22"/>
          <w:highlight w:val="none"/>
        </w:rPr>
        <w:t xml:space="preserve"> </w:t>
      </w:r>
      <w:r>
        <w:rPr>
          <w:rFonts w:ascii="宋体" w:hAnsi="宋体" w:eastAsia="宋体" w:cs="宋体"/>
          <w:spacing w:val="-12"/>
          <w:sz w:val="22"/>
          <w:szCs w:val="22"/>
          <w:highlight w:val="none"/>
        </w:rPr>
        <w:t>并标明每件样品对应的图纸号，预留工程师审批意见栏。工程师应在收到承包人报送的样品</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后7天向承包人回复经发包人签认的样品审批意见。</w:t>
      </w:r>
    </w:p>
    <w:p w14:paraId="6A08A05B">
      <w:pPr>
        <w:spacing w:before="207" w:line="329" w:lineRule="auto"/>
        <w:ind w:right="98" w:firstLine="539"/>
        <w:rPr>
          <w:rFonts w:ascii="宋体" w:hAnsi="宋体" w:eastAsia="宋体" w:cs="宋体"/>
          <w:sz w:val="21"/>
          <w:szCs w:val="21"/>
          <w:highlight w:val="none"/>
        </w:rPr>
      </w:pPr>
      <w:r>
        <w:rPr>
          <w:rFonts w:ascii="宋体" w:hAnsi="宋体" w:eastAsia="宋体" w:cs="宋体"/>
          <w:spacing w:val="3"/>
          <w:sz w:val="21"/>
          <w:szCs w:val="21"/>
          <w:highlight w:val="none"/>
        </w:rPr>
        <w:t>(3)经工程师审批确认的样品应按约定的方法封样，封存的样品</w:t>
      </w:r>
      <w:r>
        <w:rPr>
          <w:rFonts w:ascii="宋体" w:hAnsi="宋体" w:eastAsia="宋体" w:cs="宋体"/>
          <w:spacing w:val="2"/>
          <w:sz w:val="21"/>
          <w:szCs w:val="21"/>
          <w:highlight w:val="none"/>
        </w:rPr>
        <w:t>作为检验工程相关部</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分的标准之一。承包人在施工过程中不得使用与样品不符的材料或工程设备。</w:t>
      </w:r>
    </w:p>
    <w:p w14:paraId="532596DD">
      <w:pPr>
        <w:spacing w:before="212" w:line="325" w:lineRule="auto"/>
        <w:ind w:right="81" w:firstLine="539"/>
        <w:rPr>
          <w:rFonts w:ascii="宋体" w:hAnsi="宋体" w:eastAsia="宋体" w:cs="宋体"/>
          <w:sz w:val="21"/>
          <w:szCs w:val="21"/>
          <w:highlight w:val="none"/>
        </w:rPr>
      </w:pPr>
      <w:r>
        <w:rPr>
          <w:rFonts w:ascii="宋体" w:hAnsi="宋体" w:eastAsia="宋体" w:cs="宋体"/>
          <w:spacing w:val="3"/>
          <w:sz w:val="21"/>
          <w:szCs w:val="21"/>
          <w:highlight w:val="none"/>
        </w:rPr>
        <w:t>(4)工程师对样品的审批确认仅为确认相关材料或工程</w:t>
      </w:r>
      <w:r>
        <w:rPr>
          <w:rFonts w:ascii="宋体" w:hAnsi="宋体" w:eastAsia="宋体" w:cs="宋体"/>
          <w:spacing w:val="2"/>
          <w:sz w:val="21"/>
          <w:szCs w:val="21"/>
          <w:highlight w:val="none"/>
        </w:rPr>
        <w:t>设备的特征或用途，不得被理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解为对合同的修改或改变，也并不减轻或免除承包人任何的责任和义务。如果封存的样品修</w:t>
      </w:r>
    </w:p>
    <w:p w14:paraId="594D53AA">
      <w:pPr>
        <w:spacing w:before="239" w:line="219" w:lineRule="auto"/>
        <w:rPr>
          <w:rFonts w:ascii="宋体" w:hAnsi="宋体" w:eastAsia="宋体" w:cs="宋体"/>
          <w:sz w:val="21"/>
          <w:szCs w:val="21"/>
          <w:highlight w:val="none"/>
        </w:rPr>
      </w:pPr>
      <w:r>
        <w:rPr>
          <w:rFonts w:ascii="宋体" w:hAnsi="宋体" w:eastAsia="宋体" w:cs="宋体"/>
          <w:spacing w:val="-2"/>
          <w:sz w:val="21"/>
          <w:szCs w:val="21"/>
          <w:highlight w:val="none"/>
        </w:rPr>
        <w:t>改或改变了合同约定，合同当事人应当以书面协议予以确认。</w:t>
      </w:r>
    </w:p>
    <w:p w14:paraId="4A9BB85B">
      <w:pPr>
        <w:spacing w:before="102"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6.3.2</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5"/>
          <w:sz w:val="22"/>
          <w:szCs w:val="22"/>
          <w:highlight w:val="none"/>
        </w:rPr>
        <w:t>样品的保管</w:t>
      </w:r>
    </w:p>
    <w:p w14:paraId="03DC680D">
      <w:pPr>
        <w:pStyle w:val="2"/>
        <w:spacing w:line="347" w:lineRule="auto"/>
        <w:rPr>
          <w:highlight w:val="none"/>
        </w:rPr>
      </w:pPr>
    </w:p>
    <w:p w14:paraId="01C24F1D">
      <w:pPr>
        <w:spacing w:before="69" w:line="442" w:lineRule="auto"/>
        <w:ind w:right="96" w:firstLine="420"/>
        <w:rPr>
          <w:rFonts w:ascii="宋体" w:hAnsi="宋体" w:eastAsia="宋体" w:cs="宋体"/>
          <w:sz w:val="21"/>
          <w:szCs w:val="21"/>
          <w:highlight w:val="none"/>
        </w:rPr>
      </w:pPr>
      <w:r>
        <w:rPr>
          <w:rFonts w:ascii="宋体" w:hAnsi="宋体" w:eastAsia="宋体" w:cs="宋体"/>
          <w:spacing w:val="-2"/>
          <w:sz w:val="21"/>
          <w:szCs w:val="21"/>
          <w:highlight w:val="none"/>
        </w:rPr>
        <w:t>经批准的样品应由工程师负责封存于现场，承包人应在现场</w:t>
      </w:r>
      <w:r>
        <w:rPr>
          <w:rFonts w:ascii="宋体" w:hAnsi="宋体" w:eastAsia="宋体" w:cs="宋体"/>
          <w:spacing w:val="-3"/>
          <w:sz w:val="21"/>
          <w:szCs w:val="21"/>
          <w:highlight w:val="none"/>
        </w:rPr>
        <w:t>为保存样品提供适当和固定</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的场所并保持适当和良好的存储环境条件。</w:t>
      </w:r>
    </w:p>
    <w:p w14:paraId="1E4F7A6F">
      <w:pPr>
        <w:pStyle w:val="2"/>
        <w:spacing w:before="129" w:line="259" w:lineRule="exact"/>
        <w:rPr>
          <w:rFonts w:ascii="黑体" w:hAnsi="黑体" w:eastAsia="黑体" w:cs="黑体"/>
          <w:sz w:val="19"/>
          <w:szCs w:val="19"/>
          <w:highlight w:val="none"/>
        </w:rPr>
      </w:pPr>
      <w:r>
        <w:rPr>
          <w:spacing w:val="10"/>
          <w:position w:val="1"/>
          <w:sz w:val="19"/>
          <w:szCs w:val="19"/>
          <w:highlight w:val="none"/>
        </w:rPr>
        <w:t>6.4</w:t>
      </w:r>
      <w:r>
        <w:rPr>
          <w:spacing w:val="23"/>
          <w:w w:val="101"/>
          <w:position w:val="1"/>
          <w:sz w:val="19"/>
          <w:szCs w:val="19"/>
          <w:highlight w:val="none"/>
        </w:rPr>
        <w:t xml:space="preserve">  </w:t>
      </w:r>
      <w:r>
        <w:rPr>
          <w:rFonts w:ascii="黑体" w:hAnsi="黑体" w:eastAsia="黑体" w:cs="黑体"/>
          <w:spacing w:val="10"/>
          <w:position w:val="1"/>
          <w:sz w:val="19"/>
          <w:szCs w:val="19"/>
          <w:highlight w:val="none"/>
        </w:rPr>
        <w:t>质量检查</w:t>
      </w:r>
    </w:p>
    <w:p w14:paraId="7C419A65">
      <w:pPr>
        <w:spacing w:before="97" w:line="220" w:lineRule="auto"/>
        <w:ind w:left="42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6.4.1</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5"/>
          <w:sz w:val="20"/>
          <w:szCs w:val="20"/>
          <w:highlight w:val="none"/>
        </w:rPr>
        <w:t>工程质量要求</w:t>
      </w:r>
    </w:p>
    <w:p w14:paraId="195161DF">
      <w:pPr>
        <w:pStyle w:val="2"/>
        <w:spacing w:line="381" w:lineRule="auto"/>
        <w:rPr>
          <w:highlight w:val="none"/>
        </w:rPr>
      </w:pPr>
    </w:p>
    <w:p w14:paraId="244ABAEA">
      <w:pPr>
        <w:spacing w:before="68" w:line="415" w:lineRule="auto"/>
        <w:ind w:right="86" w:firstLine="420"/>
        <w:rPr>
          <w:rFonts w:ascii="宋体" w:hAnsi="宋体" w:eastAsia="宋体" w:cs="宋体"/>
          <w:sz w:val="21"/>
          <w:szCs w:val="21"/>
          <w:highlight w:val="none"/>
        </w:rPr>
      </w:pPr>
      <w:r>
        <w:rPr>
          <w:rFonts w:ascii="宋体" w:hAnsi="宋体" w:eastAsia="宋体" w:cs="宋体"/>
          <w:spacing w:val="-2"/>
          <w:sz w:val="21"/>
          <w:szCs w:val="21"/>
          <w:highlight w:val="none"/>
        </w:rPr>
        <w:t>工程质量标准必须符合现行国家有关工程施工质量验收规范和标准的要求。有关工</w:t>
      </w:r>
      <w:r>
        <w:rPr>
          <w:rFonts w:ascii="宋体" w:hAnsi="宋体" w:eastAsia="宋体" w:cs="宋体"/>
          <w:spacing w:val="-3"/>
          <w:sz w:val="21"/>
          <w:szCs w:val="21"/>
          <w:highlight w:val="none"/>
        </w:rPr>
        <w:t>程质</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量的特殊标准或要求由合同当事人在专用合同条件中约定。</w:t>
      </w:r>
    </w:p>
    <w:p w14:paraId="5AEA5341">
      <w:pPr>
        <w:spacing w:before="17" w:line="391" w:lineRule="auto"/>
        <w:ind w:right="97"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因承包人原因造成工程质量未达到合同约定标准的，发</w:t>
      </w:r>
      <w:r>
        <w:rPr>
          <w:rFonts w:ascii="宋体" w:hAnsi="宋体" w:eastAsia="宋体" w:cs="宋体"/>
          <w:spacing w:val="-3"/>
          <w:sz w:val="21"/>
          <w:szCs w:val="21"/>
          <w:highlight w:val="none"/>
        </w:rPr>
        <w:t>包人有权要求承包人返工直至工</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程质量达到合同约定的标准为止，并由承包人承担由此增加的费用和</w:t>
      </w:r>
      <w:r>
        <w:rPr>
          <w:rFonts w:ascii="宋体" w:hAnsi="宋体" w:eastAsia="宋体" w:cs="宋体"/>
          <w:spacing w:val="2"/>
          <w:sz w:val="21"/>
          <w:szCs w:val="21"/>
          <w:highlight w:val="none"/>
        </w:rPr>
        <w:t>(或)延误的工期。因</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发包人原因造成工程质量未达到合同约定标准的，由发包人承担由此增加的费用和(或)延</w:t>
      </w:r>
      <w:r>
        <w:rPr>
          <w:rFonts w:ascii="宋体" w:hAnsi="宋体" w:eastAsia="宋体" w:cs="宋体"/>
          <w:spacing w:val="1"/>
          <w:sz w:val="21"/>
          <w:szCs w:val="21"/>
          <w:highlight w:val="none"/>
        </w:rPr>
        <w:t xml:space="preserve"> </w:t>
      </w:r>
      <w:r>
        <w:rPr>
          <w:rFonts w:ascii="宋体" w:hAnsi="宋体" w:eastAsia="宋体" w:cs="宋体"/>
          <w:spacing w:val="-3"/>
          <w:sz w:val="21"/>
          <w:szCs w:val="21"/>
          <w:highlight w:val="none"/>
        </w:rPr>
        <w:t>误的工期，并支付承包人合理的利润。</w:t>
      </w:r>
    </w:p>
    <w:p w14:paraId="5E82EC0D">
      <w:pPr>
        <w:spacing w:line="219" w:lineRule="auto"/>
        <w:ind w:left="420"/>
        <w:rPr>
          <w:rFonts w:ascii="宋体" w:hAnsi="宋体" w:eastAsia="宋体" w:cs="宋体"/>
          <w:sz w:val="22"/>
          <w:szCs w:val="22"/>
          <w:highlight w:val="none"/>
        </w:rPr>
      </w:pPr>
      <w:r>
        <w:rPr>
          <w:rFonts w:ascii="Times New Roman" w:hAnsi="Times New Roman" w:eastAsia="Times New Roman" w:cs="Times New Roman"/>
          <w:spacing w:val="-2"/>
          <w:sz w:val="22"/>
          <w:szCs w:val="22"/>
          <w:highlight w:val="none"/>
        </w:rPr>
        <w:t>6.4.2</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2"/>
          <w:sz w:val="22"/>
          <w:szCs w:val="22"/>
          <w:highlight w:val="none"/>
        </w:rPr>
        <w:t>质量检查</w:t>
      </w:r>
    </w:p>
    <w:p w14:paraId="07723746">
      <w:pPr>
        <w:pStyle w:val="2"/>
        <w:spacing w:line="369" w:lineRule="auto"/>
        <w:rPr>
          <w:highlight w:val="none"/>
        </w:rPr>
      </w:pPr>
    </w:p>
    <w:p w14:paraId="3F1C3750">
      <w:pPr>
        <w:spacing w:before="68" w:line="422" w:lineRule="auto"/>
        <w:ind w:right="5"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发包人有权通过工程师或自行对全部工程内容及其施</w:t>
      </w:r>
      <w:r>
        <w:rPr>
          <w:rFonts w:ascii="宋体" w:hAnsi="宋体" w:eastAsia="宋体" w:cs="宋体"/>
          <w:spacing w:val="-3"/>
          <w:sz w:val="21"/>
          <w:szCs w:val="21"/>
          <w:highlight w:val="none"/>
        </w:rPr>
        <w:t>工工艺、材料和工程设备进行检查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和检验。承包人应为工程师或发包人的检查和检验提供方便，包括到施工现场，</w:t>
      </w:r>
      <w:r>
        <w:rPr>
          <w:rFonts w:ascii="宋体" w:hAnsi="宋体" w:eastAsia="宋体" w:cs="宋体"/>
          <w:spacing w:val="-3"/>
          <w:sz w:val="21"/>
          <w:szCs w:val="21"/>
          <w:highlight w:val="none"/>
        </w:rPr>
        <w:t>或制造、加</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工地点，或专用合同条件约定的其他地方进行察看和查阅施</w:t>
      </w:r>
      <w:r>
        <w:rPr>
          <w:rFonts w:ascii="宋体" w:hAnsi="宋体" w:eastAsia="宋体" w:cs="宋体"/>
          <w:spacing w:val="-3"/>
          <w:sz w:val="21"/>
          <w:szCs w:val="21"/>
          <w:highlight w:val="none"/>
        </w:rPr>
        <w:t>工原始记录。承包人还应按工程</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师或发包人指示，进行施工现场的取样试验，工程复核测量和设备性能检测，提供试验样品、</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提交试验报告和测量成果以及工程师或发包人指示进行的其他工作。工</w:t>
      </w:r>
      <w:r>
        <w:rPr>
          <w:rFonts w:ascii="宋体" w:hAnsi="宋体" w:eastAsia="宋体" w:cs="宋体"/>
          <w:spacing w:val="-3"/>
          <w:sz w:val="21"/>
          <w:szCs w:val="21"/>
          <w:highlight w:val="none"/>
        </w:rPr>
        <w:t>程师或发包人的检查</w:t>
      </w:r>
    </w:p>
    <w:p w14:paraId="719912BA">
      <w:pPr>
        <w:spacing w:line="422" w:lineRule="auto"/>
        <w:rPr>
          <w:rFonts w:ascii="宋体" w:hAnsi="宋体" w:eastAsia="宋体" w:cs="宋体"/>
          <w:sz w:val="21"/>
          <w:szCs w:val="21"/>
          <w:highlight w:val="none"/>
        </w:rPr>
        <w:sectPr>
          <w:footerReference r:id="rId97" w:type="default"/>
          <w:pgSz w:w="11910" w:h="16840"/>
          <w:pgMar w:top="400" w:right="1729" w:bottom="1238" w:left="1769" w:header="0" w:footer="1006" w:gutter="0"/>
          <w:cols w:space="720" w:num="1"/>
        </w:sectPr>
      </w:pPr>
    </w:p>
    <w:p w14:paraId="58AE0613">
      <w:pPr>
        <w:pStyle w:val="2"/>
        <w:spacing w:line="270" w:lineRule="auto"/>
        <w:rPr>
          <w:highlight w:val="none"/>
        </w:rPr>
      </w:pPr>
    </w:p>
    <w:p w14:paraId="2C8D5B28">
      <w:pPr>
        <w:pStyle w:val="2"/>
        <w:spacing w:line="270" w:lineRule="auto"/>
        <w:rPr>
          <w:highlight w:val="none"/>
        </w:rPr>
      </w:pPr>
    </w:p>
    <w:p w14:paraId="2A4D30B1">
      <w:pPr>
        <w:pStyle w:val="2"/>
        <w:spacing w:line="270" w:lineRule="auto"/>
        <w:rPr>
          <w:highlight w:val="none"/>
        </w:rPr>
      </w:pPr>
    </w:p>
    <w:p w14:paraId="0BF2F953">
      <w:pPr>
        <w:pStyle w:val="2"/>
        <w:spacing w:line="271" w:lineRule="auto"/>
        <w:rPr>
          <w:highlight w:val="none"/>
        </w:rPr>
      </w:pPr>
    </w:p>
    <w:p w14:paraId="683129C3">
      <w:pPr>
        <w:spacing w:before="71" w:line="219" w:lineRule="auto"/>
        <w:rPr>
          <w:rFonts w:ascii="宋体" w:hAnsi="宋体" w:eastAsia="宋体" w:cs="宋体"/>
          <w:sz w:val="22"/>
          <w:szCs w:val="22"/>
          <w:highlight w:val="none"/>
        </w:rPr>
      </w:pPr>
      <w:r>
        <w:rPr>
          <w:rFonts w:ascii="宋体" w:hAnsi="宋体" w:eastAsia="宋体" w:cs="宋体"/>
          <w:spacing w:val="-11"/>
          <w:sz w:val="22"/>
          <w:szCs w:val="22"/>
          <w:highlight w:val="none"/>
        </w:rPr>
        <w:t>和检验，不免除承包人按合同约定应负的责任。</w:t>
      </w:r>
    </w:p>
    <w:p w14:paraId="2A13ACD5">
      <w:pPr>
        <w:spacing w:before="98" w:line="219" w:lineRule="auto"/>
        <w:ind w:left="410"/>
        <w:rPr>
          <w:rFonts w:ascii="宋体" w:hAnsi="宋体" w:eastAsia="宋体" w:cs="宋体"/>
          <w:sz w:val="22"/>
          <w:szCs w:val="22"/>
          <w:highlight w:val="none"/>
        </w:rPr>
      </w:pPr>
      <w:r>
        <w:rPr>
          <w:rFonts w:ascii="宋体" w:hAnsi="宋体" w:eastAsia="宋体" w:cs="宋体"/>
          <w:spacing w:val="-6"/>
          <w:sz w:val="22"/>
          <w:szCs w:val="22"/>
          <w:highlight w:val="none"/>
        </w:rPr>
        <w:t>6.4.3 隐蔽工程检查</w:t>
      </w:r>
    </w:p>
    <w:p w14:paraId="48FDA284">
      <w:pPr>
        <w:pStyle w:val="2"/>
        <w:spacing w:line="360" w:lineRule="auto"/>
        <w:rPr>
          <w:highlight w:val="none"/>
        </w:rPr>
      </w:pPr>
    </w:p>
    <w:p w14:paraId="4EBEBA1D">
      <w:pPr>
        <w:spacing w:before="65" w:line="440" w:lineRule="auto"/>
        <w:ind w:right="34" w:firstLine="410"/>
        <w:jc w:val="both"/>
        <w:rPr>
          <w:rFonts w:ascii="宋体" w:hAnsi="宋体" w:eastAsia="宋体" w:cs="宋体"/>
          <w:sz w:val="20"/>
          <w:szCs w:val="20"/>
          <w:highlight w:val="none"/>
        </w:rPr>
      </w:pPr>
      <w:r>
        <w:rPr>
          <w:rFonts w:ascii="宋体" w:hAnsi="宋体" w:eastAsia="宋体" w:cs="宋体"/>
          <w:spacing w:val="8"/>
          <w:sz w:val="20"/>
          <w:szCs w:val="20"/>
          <w:highlight w:val="none"/>
        </w:rPr>
        <w:t>除专用合同条件另有约定外，工程隐蔽部位经承包人自检确认具备覆盖</w:t>
      </w:r>
      <w:r>
        <w:rPr>
          <w:rFonts w:ascii="宋体" w:hAnsi="宋体" w:eastAsia="宋体" w:cs="宋体"/>
          <w:spacing w:val="7"/>
          <w:sz w:val="20"/>
          <w:szCs w:val="20"/>
          <w:highlight w:val="none"/>
        </w:rPr>
        <w:t>条件的，承包人</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应书面通知工程师在约定的期限内检查，通知中应载明隐蔽检</w:t>
      </w:r>
      <w:r>
        <w:rPr>
          <w:rFonts w:ascii="宋体" w:hAnsi="宋体" w:eastAsia="宋体" w:cs="宋体"/>
          <w:spacing w:val="7"/>
          <w:sz w:val="20"/>
          <w:szCs w:val="20"/>
          <w:highlight w:val="none"/>
        </w:rPr>
        <w:t>查的内容、时间和地点，并应</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附有自检记录和必要的检查资料。</w:t>
      </w:r>
    </w:p>
    <w:p w14:paraId="4C389376">
      <w:pPr>
        <w:spacing w:before="2" w:line="417" w:lineRule="auto"/>
        <w:ind w:right="19"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工程师应按时到场并对隐蔽工程及其施工工艺、材料和工程设备进行检查</w:t>
      </w:r>
      <w:r>
        <w:rPr>
          <w:rFonts w:ascii="宋体" w:hAnsi="宋体" w:eastAsia="宋体" w:cs="宋体"/>
          <w:spacing w:val="-3"/>
          <w:sz w:val="21"/>
          <w:szCs w:val="21"/>
          <w:highlight w:val="none"/>
        </w:rPr>
        <w:t>。经工程师检</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查确认质量符合隐蔽要求，并在验收记录上签字后，承包人才能进行覆盖。经工程师检查质</w:t>
      </w:r>
      <w:r>
        <w:rPr>
          <w:rFonts w:ascii="宋体" w:hAnsi="宋体" w:eastAsia="宋体" w:cs="宋体"/>
          <w:spacing w:val="2"/>
          <w:sz w:val="21"/>
          <w:szCs w:val="21"/>
          <w:highlight w:val="none"/>
        </w:rPr>
        <w:t xml:space="preserve"> </w:t>
      </w:r>
      <w:r>
        <w:rPr>
          <w:rFonts w:ascii="宋体" w:hAnsi="宋体" w:eastAsia="宋体" w:cs="宋体"/>
          <w:spacing w:val="-2"/>
          <w:sz w:val="21"/>
          <w:szCs w:val="21"/>
          <w:highlight w:val="none"/>
        </w:rPr>
        <w:t>量不合格的，承包人应在工程师指示的时间内完成修复，并由工程师重新检查，</w:t>
      </w:r>
      <w:r>
        <w:rPr>
          <w:rFonts w:ascii="宋体" w:hAnsi="宋体" w:eastAsia="宋体" w:cs="宋体"/>
          <w:spacing w:val="-3"/>
          <w:sz w:val="21"/>
          <w:szCs w:val="21"/>
          <w:highlight w:val="none"/>
        </w:rPr>
        <w:t>由此增加的</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费用和(或)延误的工期由承包人承担。</w:t>
      </w:r>
    </w:p>
    <w:p w14:paraId="592DF9A4">
      <w:pPr>
        <w:spacing w:before="5" w:line="422" w:lineRule="auto"/>
        <w:ind w:right="18"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除专用合同条件另有约定外，工程师不能按时进行检查的，应提前向承包人提交</w:t>
      </w:r>
      <w:r>
        <w:rPr>
          <w:rFonts w:ascii="宋体" w:hAnsi="宋体" w:eastAsia="宋体" w:cs="宋体"/>
          <w:spacing w:val="-3"/>
          <w:sz w:val="21"/>
          <w:szCs w:val="21"/>
          <w:highlight w:val="none"/>
        </w:rPr>
        <w:t>书面延</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期要求，顺延时间不得超过48小时，由此导致工期延误的，工期应予以顺延，顺延超过</w:t>
      </w:r>
      <w:r>
        <w:rPr>
          <w:rFonts w:ascii="宋体" w:hAnsi="宋体" w:eastAsia="宋体" w:cs="宋体"/>
          <w:spacing w:val="2"/>
          <w:sz w:val="21"/>
          <w:szCs w:val="21"/>
          <w:highlight w:val="none"/>
        </w:rPr>
        <w:t>48</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小时的，由此导致的工期延误及费用增加由发包人承担。工程师未按时进行检查，也未提出</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延期要求的，视为隐蔽工程检查合格，承包人可自行完成覆</w:t>
      </w:r>
      <w:r>
        <w:rPr>
          <w:rFonts w:ascii="宋体" w:hAnsi="宋体" w:eastAsia="宋体" w:cs="宋体"/>
          <w:spacing w:val="-3"/>
          <w:sz w:val="21"/>
          <w:szCs w:val="21"/>
          <w:highlight w:val="none"/>
        </w:rPr>
        <w:t>盖工作，并作相应记录报送工程</w:t>
      </w:r>
      <w:r>
        <w:rPr>
          <w:rFonts w:ascii="宋体" w:hAnsi="宋体" w:eastAsia="宋体" w:cs="宋体"/>
          <w:sz w:val="21"/>
          <w:szCs w:val="21"/>
          <w:highlight w:val="none"/>
        </w:rPr>
        <w:t xml:space="preserve"> 师，工程师应签字确认。工程师事后对检查记录有疑问的，可按下列</w:t>
      </w:r>
      <w:r>
        <w:rPr>
          <w:rFonts w:ascii="宋体" w:hAnsi="宋体" w:eastAsia="宋体" w:cs="宋体"/>
          <w:spacing w:val="-1"/>
          <w:sz w:val="21"/>
          <w:szCs w:val="21"/>
          <w:highlight w:val="none"/>
        </w:rPr>
        <w:t>约定重新检查。</w:t>
      </w:r>
    </w:p>
    <w:p w14:paraId="6378C096">
      <w:pPr>
        <w:spacing w:before="16" w:line="414" w:lineRule="auto"/>
        <w:ind w:right="26"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承包人覆盖工程隐蔽部位后，工程师对质量有疑问的，可要求承包人对</w:t>
      </w:r>
      <w:r>
        <w:rPr>
          <w:rFonts w:ascii="宋体" w:hAnsi="宋体" w:eastAsia="宋体" w:cs="宋体"/>
          <w:spacing w:val="-3"/>
          <w:sz w:val="21"/>
          <w:szCs w:val="21"/>
          <w:highlight w:val="none"/>
        </w:rPr>
        <w:t>已覆盖的部位进</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行钻孔探测或揭开重新检查，承包人应遵照执行，并在检查后重</w:t>
      </w:r>
      <w:r>
        <w:rPr>
          <w:rFonts w:ascii="宋体" w:hAnsi="宋体" w:eastAsia="宋体" w:cs="宋体"/>
          <w:spacing w:val="-3"/>
          <w:sz w:val="21"/>
          <w:szCs w:val="21"/>
          <w:highlight w:val="none"/>
        </w:rPr>
        <w:t>新覆盖恢复原状。经检查证</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明工程质量符合合同要求的，由发包人承担由此增加的费用和(或)延误的工期，并支付承</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包人合理的利润；经检查证明工程质量不符合合同要求的，由此增加的费用和(或)延误的</w:t>
      </w:r>
      <w:r>
        <w:rPr>
          <w:rFonts w:ascii="宋体" w:hAnsi="宋体" w:eastAsia="宋体" w:cs="宋体"/>
          <w:spacing w:val="5"/>
          <w:sz w:val="21"/>
          <w:szCs w:val="21"/>
          <w:highlight w:val="none"/>
        </w:rPr>
        <w:t xml:space="preserve"> </w:t>
      </w:r>
      <w:r>
        <w:rPr>
          <w:rFonts w:ascii="宋体" w:hAnsi="宋体" w:eastAsia="宋体" w:cs="宋体"/>
          <w:spacing w:val="-5"/>
          <w:sz w:val="21"/>
          <w:szCs w:val="21"/>
          <w:highlight w:val="none"/>
        </w:rPr>
        <w:t>工期由承包人承担。</w:t>
      </w:r>
    </w:p>
    <w:p w14:paraId="70DBCB57">
      <w:pPr>
        <w:spacing w:before="46" w:line="444" w:lineRule="auto"/>
        <w:ind w:right="30" w:firstLine="410"/>
        <w:jc w:val="both"/>
        <w:rPr>
          <w:rFonts w:ascii="宋体" w:hAnsi="宋体" w:eastAsia="宋体" w:cs="宋体"/>
          <w:sz w:val="20"/>
          <w:szCs w:val="20"/>
          <w:highlight w:val="none"/>
        </w:rPr>
      </w:pPr>
      <w:r>
        <w:rPr>
          <w:rFonts w:ascii="宋体" w:hAnsi="宋体" w:eastAsia="宋体" w:cs="宋体"/>
          <w:spacing w:val="8"/>
          <w:sz w:val="20"/>
          <w:szCs w:val="20"/>
          <w:highlight w:val="none"/>
        </w:rPr>
        <w:t>承包人未通知工程师到场检查，私自将工程隐蔽部位覆盖的，工程师有权</w:t>
      </w:r>
      <w:r>
        <w:rPr>
          <w:rFonts w:ascii="宋体" w:hAnsi="宋体" w:eastAsia="宋体" w:cs="宋体"/>
          <w:spacing w:val="7"/>
          <w:sz w:val="20"/>
          <w:szCs w:val="20"/>
          <w:highlight w:val="none"/>
        </w:rPr>
        <w:t>指示承包人钻</w:t>
      </w:r>
      <w:r>
        <w:rPr>
          <w:rFonts w:ascii="宋体" w:hAnsi="宋体" w:eastAsia="宋体" w:cs="宋体"/>
          <w:sz w:val="20"/>
          <w:szCs w:val="20"/>
          <w:highlight w:val="none"/>
        </w:rPr>
        <w:t xml:space="preserve"> </w:t>
      </w:r>
      <w:r>
        <w:rPr>
          <w:rFonts w:ascii="宋体" w:hAnsi="宋体" w:eastAsia="宋体" w:cs="宋体"/>
          <w:spacing w:val="13"/>
          <w:sz w:val="20"/>
          <w:szCs w:val="20"/>
          <w:highlight w:val="none"/>
        </w:rPr>
        <w:t>孔探测或揭开检查，无论工程隐蔽部位质量是否合格，由此增加的费用和</w:t>
      </w:r>
      <w:r>
        <w:rPr>
          <w:rFonts w:ascii="宋体" w:hAnsi="宋体" w:eastAsia="宋体" w:cs="宋体"/>
          <w:spacing w:val="12"/>
          <w:sz w:val="20"/>
          <w:szCs w:val="20"/>
          <w:highlight w:val="none"/>
        </w:rPr>
        <w:t>(或)延误的工期</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均由承包人承担。</w:t>
      </w:r>
    </w:p>
    <w:p w14:paraId="464628F8">
      <w:pPr>
        <w:pStyle w:val="2"/>
        <w:spacing w:before="105" w:line="300" w:lineRule="exact"/>
        <w:rPr>
          <w:rFonts w:ascii="黑体" w:hAnsi="黑体" w:eastAsia="黑体" w:cs="黑体"/>
          <w:sz w:val="22"/>
          <w:szCs w:val="22"/>
          <w:highlight w:val="none"/>
        </w:rPr>
      </w:pPr>
      <w:r>
        <w:rPr>
          <w:spacing w:val="-9"/>
          <w:position w:val="1"/>
          <w:sz w:val="22"/>
          <w:szCs w:val="22"/>
          <w:highlight w:val="none"/>
        </w:rPr>
        <w:t>6.5</w:t>
      </w:r>
      <w:r>
        <w:rPr>
          <w:spacing w:val="59"/>
          <w:w w:val="101"/>
          <w:position w:val="1"/>
          <w:sz w:val="22"/>
          <w:szCs w:val="22"/>
          <w:highlight w:val="none"/>
        </w:rPr>
        <w:t xml:space="preserve"> </w:t>
      </w:r>
      <w:r>
        <w:rPr>
          <w:rFonts w:ascii="黑体" w:hAnsi="黑体" w:eastAsia="黑体" w:cs="黑体"/>
          <w:spacing w:val="-9"/>
          <w:position w:val="1"/>
          <w:sz w:val="22"/>
          <w:szCs w:val="22"/>
          <w:highlight w:val="none"/>
        </w:rPr>
        <w:t>由承包人试验和检验</w:t>
      </w:r>
    </w:p>
    <w:p w14:paraId="21F78E59">
      <w:pPr>
        <w:spacing w:before="73" w:line="221" w:lineRule="auto"/>
        <w:ind w:left="41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 xml:space="preserve">6.5.1   </w:t>
      </w:r>
      <w:r>
        <w:rPr>
          <w:rFonts w:ascii="宋体" w:hAnsi="宋体" w:eastAsia="宋体" w:cs="宋体"/>
          <w:spacing w:val="-3"/>
          <w:sz w:val="22"/>
          <w:szCs w:val="22"/>
          <w:highlight w:val="none"/>
        </w:rPr>
        <w:t>试验设备与试验人员</w:t>
      </w:r>
    </w:p>
    <w:p w14:paraId="0836334F">
      <w:pPr>
        <w:pStyle w:val="2"/>
        <w:spacing w:line="361" w:lineRule="auto"/>
        <w:rPr>
          <w:highlight w:val="none"/>
        </w:rPr>
      </w:pPr>
    </w:p>
    <w:p w14:paraId="208F56E0">
      <w:pPr>
        <w:spacing w:before="69" w:line="424" w:lineRule="auto"/>
        <w:ind w:right="27" w:firstLine="520"/>
        <w:jc w:val="both"/>
        <w:rPr>
          <w:rFonts w:ascii="宋体" w:hAnsi="宋体" w:eastAsia="宋体" w:cs="宋体"/>
          <w:sz w:val="21"/>
          <w:szCs w:val="21"/>
          <w:highlight w:val="none"/>
        </w:rPr>
      </w:pPr>
      <w:r>
        <w:rPr>
          <w:rFonts w:ascii="宋体" w:hAnsi="宋体" w:eastAsia="宋体" w:cs="宋体"/>
          <w:spacing w:val="3"/>
          <w:sz w:val="21"/>
          <w:szCs w:val="21"/>
          <w:highlight w:val="none"/>
        </w:rPr>
        <w:t>(1)承包人根据合同约定或工程师指示进行的现场材料试验，应由承包人提供试验场</w:t>
      </w:r>
      <w:r>
        <w:rPr>
          <w:rFonts w:ascii="宋体" w:hAnsi="宋体" w:eastAsia="宋体" w:cs="宋体"/>
          <w:spacing w:val="13"/>
          <w:sz w:val="21"/>
          <w:szCs w:val="21"/>
          <w:highlight w:val="none"/>
        </w:rPr>
        <w:t xml:space="preserve"> </w:t>
      </w:r>
      <w:r>
        <w:rPr>
          <w:rFonts w:ascii="宋体" w:hAnsi="宋体" w:eastAsia="宋体" w:cs="宋体"/>
          <w:spacing w:val="-2"/>
          <w:sz w:val="21"/>
          <w:szCs w:val="21"/>
          <w:highlight w:val="none"/>
        </w:rPr>
        <w:t>所、试验人员、试验设备以及其他必要的试验条件。工程师在必要时可以使用承</w:t>
      </w:r>
      <w:r>
        <w:rPr>
          <w:rFonts w:ascii="宋体" w:hAnsi="宋体" w:eastAsia="宋体" w:cs="宋体"/>
          <w:spacing w:val="-3"/>
          <w:sz w:val="21"/>
          <w:szCs w:val="21"/>
          <w:highlight w:val="none"/>
        </w:rPr>
        <w:t>包人提供的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试验场所、试验设备以及其他试验条件，进行以工程质量检查为</w:t>
      </w:r>
      <w:r>
        <w:rPr>
          <w:rFonts w:ascii="宋体" w:hAnsi="宋体" w:eastAsia="宋体" w:cs="宋体"/>
          <w:spacing w:val="-3"/>
          <w:sz w:val="21"/>
          <w:szCs w:val="21"/>
          <w:highlight w:val="none"/>
        </w:rPr>
        <w:t>目的的材料复核试验，承包</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人应予以协助。</w:t>
      </w:r>
    </w:p>
    <w:p w14:paraId="0E77921B">
      <w:pPr>
        <w:spacing w:line="424" w:lineRule="auto"/>
        <w:rPr>
          <w:rFonts w:ascii="宋体" w:hAnsi="宋体" w:eastAsia="宋体" w:cs="宋体"/>
          <w:sz w:val="21"/>
          <w:szCs w:val="21"/>
          <w:highlight w:val="none"/>
        </w:rPr>
        <w:sectPr>
          <w:footerReference r:id="rId98" w:type="default"/>
          <w:pgSz w:w="11910" w:h="16840"/>
          <w:pgMar w:top="400" w:right="1786" w:bottom="1238" w:left="1779" w:header="0" w:footer="1007" w:gutter="0"/>
          <w:cols w:space="720" w:num="1"/>
        </w:sectPr>
      </w:pPr>
    </w:p>
    <w:p w14:paraId="313C1561">
      <w:pPr>
        <w:pStyle w:val="2"/>
        <w:spacing w:line="270" w:lineRule="auto"/>
        <w:rPr>
          <w:highlight w:val="none"/>
        </w:rPr>
      </w:pPr>
    </w:p>
    <w:p w14:paraId="1692EAE3">
      <w:pPr>
        <w:pStyle w:val="2"/>
        <w:spacing w:line="270" w:lineRule="auto"/>
        <w:rPr>
          <w:highlight w:val="none"/>
        </w:rPr>
      </w:pPr>
    </w:p>
    <w:p w14:paraId="13F787AE">
      <w:pPr>
        <w:pStyle w:val="2"/>
        <w:spacing w:line="270" w:lineRule="auto"/>
        <w:rPr>
          <w:highlight w:val="none"/>
        </w:rPr>
      </w:pPr>
    </w:p>
    <w:p w14:paraId="254FF037">
      <w:pPr>
        <w:pStyle w:val="2"/>
        <w:spacing w:line="270" w:lineRule="auto"/>
        <w:rPr>
          <w:highlight w:val="none"/>
        </w:rPr>
      </w:pPr>
    </w:p>
    <w:p w14:paraId="2C5C3633">
      <w:pPr>
        <w:spacing w:before="71" w:line="397" w:lineRule="auto"/>
        <w:ind w:left="3" w:firstLine="519"/>
        <w:rPr>
          <w:rFonts w:ascii="宋体" w:hAnsi="宋体" w:eastAsia="宋体" w:cs="宋体"/>
          <w:sz w:val="22"/>
          <w:szCs w:val="22"/>
          <w:highlight w:val="none"/>
        </w:rPr>
      </w:pPr>
      <w:r>
        <w:rPr>
          <w:rFonts w:ascii="宋体" w:hAnsi="宋体" w:eastAsia="宋体" w:cs="宋体"/>
          <w:spacing w:val="-9"/>
          <w:sz w:val="22"/>
          <w:szCs w:val="22"/>
          <w:highlight w:val="none"/>
        </w:rPr>
        <w:t>(2)承包人应按专用合同条件约定的试验</w:t>
      </w:r>
      <w:r>
        <w:rPr>
          <w:rFonts w:ascii="宋体" w:hAnsi="宋体" w:eastAsia="宋体" w:cs="宋体"/>
          <w:spacing w:val="-10"/>
          <w:sz w:val="22"/>
          <w:szCs w:val="22"/>
          <w:highlight w:val="none"/>
        </w:rPr>
        <w:t>内容、时间和地点提供试验设备、取样装置、</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试验场所和试验条件，并向工程师提交相应进场计划表。</w:t>
      </w:r>
    </w:p>
    <w:p w14:paraId="3D430939">
      <w:pPr>
        <w:spacing w:before="3" w:line="422" w:lineRule="auto"/>
        <w:ind w:left="3" w:right="100" w:firstLine="400"/>
        <w:rPr>
          <w:rFonts w:ascii="宋体" w:hAnsi="宋体" w:eastAsia="宋体" w:cs="宋体"/>
          <w:sz w:val="21"/>
          <w:szCs w:val="21"/>
          <w:highlight w:val="none"/>
        </w:rPr>
      </w:pPr>
      <w:r>
        <w:rPr>
          <w:rFonts w:ascii="宋体" w:hAnsi="宋体" w:eastAsia="宋体" w:cs="宋体"/>
          <w:spacing w:val="-2"/>
          <w:sz w:val="21"/>
          <w:szCs w:val="21"/>
          <w:highlight w:val="none"/>
        </w:rPr>
        <w:t>承包人配置的试验设备要符合相应试验规程的要求并经过具有资质的检测</w:t>
      </w:r>
      <w:r>
        <w:rPr>
          <w:rFonts w:ascii="宋体" w:hAnsi="宋体" w:eastAsia="宋体" w:cs="宋体"/>
          <w:spacing w:val="-3"/>
          <w:sz w:val="21"/>
          <w:szCs w:val="21"/>
          <w:highlight w:val="none"/>
        </w:rPr>
        <w:t>单位检测，且</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在正式使用该试验设备前，需要经过工程师与承包人共同校定。</w:t>
      </w:r>
    </w:p>
    <w:p w14:paraId="28074B1E">
      <w:pPr>
        <w:spacing w:line="219" w:lineRule="auto"/>
        <w:ind w:left="523"/>
        <w:rPr>
          <w:rFonts w:ascii="宋体" w:hAnsi="宋体" w:eastAsia="宋体" w:cs="宋体"/>
          <w:sz w:val="21"/>
          <w:szCs w:val="21"/>
          <w:highlight w:val="none"/>
        </w:rPr>
      </w:pPr>
      <w:r>
        <w:rPr>
          <w:rFonts w:ascii="宋体" w:hAnsi="宋体" w:eastAsia="宋体" w:cs="宋体"/>
          <w:spacing w:val="3"/>
          <w:sz w:val="21"/>
          <w:szCs w:val="21"/>
          <w:highlight w:val="none"/>
        </w:rPr>
        <w:t>(3)承包人应向工程师提交试验人员的名单及其岗位、资格等证明资料，试验人员必</w:t>
      </w:r>
    </w:p>
    <w:p w14:paraId="0D42F07E">
      <w:pPr>
        <w:spacing w:before="230" w:line="219" w:lineRule="auto"/>
        <w:ind w:left="3"/>
        <w:rPr>
          <w:rFonts w:ascii="宋体" w:hAnsi="宋体" w:eastAsia="宋体" w:cs="宋体"/>
          <w:sz w:val="21"/>
          <w:szCs w:val="21"/>
          <w:highlight w:val="none"/>
        </w:rPr>
      </w:pPr>
      <w:r>
        <w:rPr>
          <w:rFonts w:ascii="宋体" w:hAnsi="宋体" w:eastAsia="宋体" w:cs="宋体"/>
          <w:sz w:val="21"/>
          <w:szCs w:val="21"/>
          <w:highlight w:val="none"/>
        </w:rPr>
        <w:t>须能够熟练进行相应的检测试验，承包人对试验人员的试验程序和试验结果的</w:t>
      </w:r>
      <w:r>
        <w:rPr>
          <w:rFonts w:ascii="宋体" w:hAnsi="宋体" w:eastAsia="宋体" w:cs="宋体"/>
          <w:spacing w:val="-1"/>
          <w:sz w:val="21"/>
          <w:szCs w:val="21"/>
          <w:highlight w:val="none"/>
        </w:rPr>
        <w:t>正确性负责。</w:t>
      </w:r>
    </w:p>
    <w:p w14:paraId="4C8A9D45">
      <w:pPr>
        <w:spacing w:before="102" w:line="219" w:lineRule="auto"/>
        <w:ind w:left="403"/>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6.5.2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3"/>
          <w:sz w:val="22"/>
          <w:szCs w:val="22"/>
          <w:highlight w:val="none"/>
        </w:rPr>
        <w:t>取样</w:t>
      </w:r>
    </w:p>
    <w:p w14:paraId="29A2469B">
      <w:pPr>
        <w:pStyle w:val="2"/>
        <w:spacing w:line="367" w:lineRule="auto"/>
        <w:rPr>
          <w:highlight w:val="none"/>
        </w:rPr>
      </w:pPr>
    </w:p>
    <w:p w14:paraId="0DC3B62A">
      <w:pPr>
        <w:spacing w:before="68" w:line="365" w:lineRule="auto"/>
        <w:ind w:left="3" w:right="99" w:firstLine="400"/>
        <w:rPr>
          <w:rFonts w:ascii="宋体" w:hAnsi="宋体" w:eastAsia="宋体" w:cs="宋体"/>
          <w:sz w:val="21"/>
          <w:szCs w:val="21"/>
          <w:highlight w:val="none"/>
        </w:rPr>
      </w:pPr>
      <w:r>
        <w:rPr>
          <w:rFonts w:ascii="宋体" w:hAnsi="宋体" w:eastAsia="宋体" w:cs="宋体"/>
          <w:spacing w:val="-2"/>
          <w:sz w:val="21"/>
          <w:szCs w:val="21"/>
          <w:highlight w:val="none"/>
        </w:rPr>
        <w:t>试验属于自检性质的，承包人可以单独取样。试验属于工程师抽检性质的，</w:t>
      </w:r>
      <w:r>
        <w:rPr>
          <w:rFonts w:ascii="宋体" w:hAnsi="宋体" w:eastAsia="宋体" w:cs="宋体"/>
          <w:spacing w:val="-3"/>
          <w:sz w:val="21"/>
          <w:szCs w:val="21"/>
          <w:highlight w:val="none"/>
        </w:rPr>
        <w:t>可由工程师</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取样，也可由承包人的试验人员在工程师的监督下取样。</w:t>
      </w:r>
    </w:p>
    <w:p w14:paraId="6531B5D0">
      <w:pPr>
        <w:spacing w:before="1" w:line="218" w:lineRule="auto"/>
        <w:ind w:left="403"/>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6.5.3   </w:t>
      </w:r>
      <w:r>
        <w:rPr>
          <w:rFonts w:ascii="宋体" w:hAnsi="宋体" w:eastAsia="宋体" w:cs="宋体"/>
          <w:spacing w:val="-5"/>
          <w:sz w:val="22"/>
          <w:szCs w:val="22"/>
          <w:highlight w:val="none"/>
        </w:rPr>
        <w:t>材料、工程设备和工程的试验和检验</w:t>
      </w:r>
    </w:p>
    <w:p w14:paraId="3F39C42B">
      <w:pPr>
        <w:pStyle w:val="2"/>
        <w:spacing w:line="372" w:lineRule="auto"/>
        <w:rPr>
          <w:highlight w:val="none"/>
        </w:rPr>
      </w:pPr>
    </w:p>
    <w:p w14:paraId="156DC1F7">
      <w:pPr>
        <w:spacing w:before="65" w:line="368" w:lineRule="auto"/>
        <w:ind w:left="3" w:right="9" w:firstLine="519"/>
        <w:rPr>
          <w:rFonts w:ascii="宋体" w:hAnsi="宋体" w:eastAsia="宋体" w:cs="宋体"/>
          <w:sz w:val="20"/>
          <w:szCs w:val="20"/>
          <w:highlight w:val="none"/>
        </w:rPr>
      </w:pPr>
      <w:r>
        <w:rPr>
          <w:rFonts w:ascii="宋体" w:hAnsi="宋体" w:eastAsia="宋体" w:cs="宋体"/>
          <w:spacing w:val="9"/>
          <w:sz w:val="20"/>
          <w:szCs w:val="20"/>
          <w:highlight w:val="none"/>
        </w:rPr>
        <w:t>(1)承包人应按合同约定进行材料和工程设备的试验和检验，并为工程师对上述材料、</w:t>
      </w:r>
      <w:r>
        <w:rPr>
          <w:rFonts w:ascii="宋体" w:hAnsi="宋体" w:eastAsia="宋体" w:cs="宋体"/>
          <w:spacing w:val="18"/>
          <w:sz w:val="20"/>
          <w:szCs w:val="20"/>
          <w:highlight w:val="none"/>
        </w:rPr>
        <w:t xml:space="preserve"> </w:t>
      </w:r>
      <w:r>
        <w:rPr>
          <w:rFonts w:ascii="宋体" w:hAnsi="宋体" w:eastAsia="宋体" w:cs="宋体"/>
          <w:spacing w:val="7"/>
          <w:sz w:val="20"/>
          <w:szCs w:val="20"/>
          <w:highlight w:val="none"/>
        </w:rPr>
        <w:t>工程设备和工程的质量检查提供必要的试验资料和原始记录。按合同约定应由工程师与承包</w:t>
      </w:r>
      <w:r>
        <w:rPr>
          <w:rFonts w:ascii="宋体" w:hAnsi="宋体" w:eastAsia="宋体" w:cs="宋体"/>
          <w:spacing w:val="9"/>
          <w:sz w:val="20"/>
          <w:szCs w:val="20"/>
          <w:highlight w:val="none"/>
        </w:rPr>
        <w:t xml:space="preserve">  人共同进行试验和检验的，由承包人负责提供必要的试验资料和原始记录。</w:t>
      </w:r>
    </w:p>
    <w:p w14:paraId="40F20671">
      <w:pPr>
        <w:spacing w:before="252" w:line="383" w:lineRule="auto"/>
        <w:ind w:left="3" w:right="94" w:firstLine="519"/>
        <w:rPr>
          <w:rFonts w:ascii="宋体" w:hAnsi="宋体" w:eastAsia="宋体" w:cs="宋体"/>
          <w:sz w:val="20"/>
          <w:szCs w:val="20"/>
          <w:highlight w:val="none"/>
        </w:rPr>
      </w:pPr>
      <w:r>
        <w:rPr>
          <w:rFonts w:ascii="宋体" w:hAnsi="宋体" w:eastAsia="宋体" w:cs="宋体"/>
          <w:spacing w:val="12"/>
          <w:sz w:val="20"/>
          <w:szCs w:val="20"/>
          <w:highlight w:val="none"/>
        </w:rPr>
        <w:t>(2)试验属于自检性质的，承包人可以单独进</w:t>
      </w:r>
      <w:r>
        <w:rPr>
          <w:rFonts w:ascii="宋体" w:hAnsi="宋体" w:eastAsia="宋体" w:cs="宋体"/>
          <w:spacing w:val="11"/>
          <w:sz w:val="20"/>
          <w:szCs w:val="20"/>
          <w:highlight w:val="none"/>
        </w:rPr>
        <w:t>行试验。试验属于工程师抽检性质的，</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工程师可以单独进行试验，也可由承包人与工程师共同</w:t>
      </w:r>
      <w:r>
        <w:rPr>
          <w:rFonts w:ascii="宋体" w:hAnsi="宋体" w:eastAsia="宋体" w:cs="宋体"/>
          <w:spacing w:val="7"/>
          <w:sz w:val="20"/>
          <w:szCs w:val="20"/>
          <w:highlight w:val="none"/>
        </w:rPr>
        <w:t>进行。承包人对由工程师单独进行的</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试验结果有异议的，可以申请重新共同进行试验。</w:t>
      </w:r>
      <w:r>
        <w:rPr>
          <w:rFonts w:ascii="宋体" w:hAnsi="宋体" w:eastAsia="宋体" w:cs="宋体"/>
          <w:spacing w:val="7"/>
          <w:sz w:val="20"/>
          <w:szCs w:val="20"/>
          <w:highlight w:val="none"/>
        </w:rPr>
        <w:t>约定共同进行试验的，工程师未按照约定</w:t>
      </w:r>
      <w:r>
        <w:rPr>
          <w:rFonts w:ascii="宋体" w:hAnsi="宋体" w:eastAsia="宋体" w:cs="宋体"/>
          <w:sz w:val="20"/>
          <w:szCs w:val="20"/>
          <w:highlight w:val="none"/>
        </w:rPr>
        <w:t xml:space="preserve"> </w:t>
      </w:r>
      <w:r>
        <w:rPr>
          <w:rFonts w:ascii="宋体" w:hAnsi="宋体" w:eastAsia="宋体" w:cs="宋体"/>
          <w:spacing w:val="10"/>
          <w:sz w:val="20"/>
          <w:szCs w:val="20"/>
          <w:highlight w:val="none"/>
        </w:rPr>
        <w:t>参加试验的，承包人可自行试验，并将试验结果报送工程师，工</w:t>
      </w:r>
      <w:r>
        <w:rPr>
          <w:rFonts w:ascii="宋体" w:hAnsi="宋体" w:eastAsia="宋体" w:cs="宋体"/>
          <w:spacing w:val="9"/>
          <w:sz w:val="20"/>
          <w:szCs w:val="20"/>
          <w:highlight w:val="none"/>
        </w:rPr>
        <w:t>程师应承认该试验结果。</w:t>
      </w:r>
    </w:p>
    <w:p w14:paraId="29FD90EB">
      <w:pPr>
        <w:spacing w:before="242" w:line="371" w:lineRule="auto"/>
        <w:ind w:left="3" w:right="24" w:firstLine="519"/>
        <w:rPr>
          <w:rFonts w:ascii="宋体" w:hAnsi="宋体" w:eastAsia="宋体" w:cs="宋体"/>
          <w:sz w:val="21"/>
          <w:szCs w:val="21"/>
          <w:highlight w:val="none"/>
        </w:rPr>
      </w:pPr>
      <w:r>
        <w:rPr>
          <w:rFonts w:ascii="宋体" w:hAnsi="宋体" w:eastAsia="宋体" w:cs="宋体"/>
          <w:spacing w:val="3"/>
          <w:sz w:val="21"/>
          <w:szCs w:val="21"/>
          <w:highlight w:val="none"/>
        </w:rPr>
        <w:t>(3)工程师对承包人的试验和检验结果有异议的，或为查清承包人试验和检验成果的</w:t>
      </w:r>
      <w:r>
        <w:rPr>
          <w:rFonts w:ascii="宋体" w:hAnsi="宋体" w:eastAsia="宋体" w:cs="宋体"/>
          <w:spacing w:val="6"/>
          <w:sz w:val="21"/>
          <w:szCs w:val="21"/>
          <w:highlight w:val="none"/>
        </w:rPr>
        <w:t xml:space="preserve"> </w:t>
      </w:r>
      <w:r>
        <w:rPr>
          <w:rFonts w:ascii="宋体" w:hAnsi="宋体" w:eastAsia="宋体" w:cs="宋体"/>
          <w:spacing w:val="-2"/>
          <w:sz w:val="21"/>
          <w:szCs w:val="21"/>
          <w:highlight w:val="none"/>
        </w:rPr>
        <w:t>可靠性要求承包人重新试验和检验的，可由工程</w:t>
      </w:r>
      <w:r>
        <w:rPr>
          <w:rFonts w:ascii="宋体" w:hAnsi="宋体" w:eastAsia="宋体" w:cs="宋体"/>
          <w:spacing w:val="-3"/>
          <w:sz w:val="21"/>
          <w:szCs w:val="21"/>
          <w:highlight w:val="none"/>
        </w:rPr>
        <w:t>师与承包人共同进行。重新试验和检验的结</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果证明该项材料、工程设备或工程的质量不符合合同要求的，由此</w:t>
      </w:r>
      <w:r>
        <w:rPr>
          <w:rFonts w:ascii="宋体" w:hAnsi="宋体" w:eastAsia="宋体" w:cs="宋体"/>
          <w:spacing w:val="2"/>
          <w:sz w:val="21"/>
          <w:szCs w:val="21"/>
          <w:highlight w:val="none"/>
        </w:rPr>
        <w:t>增加的费用和(或)延误</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的工期由承包人承担；重新试验和检验结果证明该项材料、工程设备和工程符合合同要求的，</w:t>
      </w:r>
    </w:p>
    <w:p w14:paraId="50C84F2C">
      <w:pPr>
        <w:spacing w:before="233" w:line="219" w:lineRule="auto"/>
        <w:ind w:left="3"/>
        <w:rPr>
          <w:rFonts w:ascii="宋体" w:hAnsi="宋体" w:eastAsia="宋体" w:cs="宋体"/>
          <w:sz w:val="21"/>
          <w:szCs w:val="21"/>
          <w:highlight w:val="none"/>
        </w:rPr>
      </w:pPr>
      <w:r>
        <w:rPr>
          <w:rFonts w:ascii="宋体" w:hAnsi="宋体" w:eastAsia="宋体" w:cs="宋体"/>
          <w:spacing w:val="7"/>
          <w:sz w:val="21"/>
          <w:szCs w:val="21"/>
          <w:highlight w:val="none"/>
        </w:rPr>
        <w:t>由此增加的费用和(或)延误的工期由发包人承担。</w:t>
      </w:r>
    </w:p>
    <w:p w14:paraId="07BFA24F">
      <w:pPr>
        <w:spacing w:before="121" w:line="220" w:lineRule="auto"/>
        <w:ind w:left="403"/>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6.5.4</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5"/>
          <w:sz w:val="20"/>
          <w:szCs w:val="20"/>
          <w:highlight w:val="none"/>
        </w:rPr>
        <w:t>现场工艺试验</w:t>
      </w:r>
    </w:p>
    <w:p w14:paraId="233E1BD3">
      <w:pPr>
        <w:pStyle w:val="2"/>
        <w:spacing w:line="361" w:lineRule="auto"/>
        <w:rPr>
          <w:highlight w:val="none"/>
        </w:rPr>
      </w:pPr>
    </w:p>
    <w:p w14:paraId="7D656BFD">
      <w:pPr>
        <w:spacing w:before="68" w:line="415" w:lineRule="auto"/>
        <w:ind w:left="3" w:right="44" w:firstLine="400"/>
        <w:rPr>
          <w:rFonts w:ascii="宋体" w:hAnsi="宋体" w:eastAsia="宋体" w:cs="宋体"/>
          <w:sz w:val="21"/>
          <w:szCs w:val="21"/>
          <w:highlight w:val="none"/>
        </w:rPr>
      </w:pPr>
      <w:r>
        <w:rPr>
          <w:rFonts w:ascii="宋体" w:hAnsi="宋体" w:eastAsia="宋体" w:cs="宋体"/>
          <w:spacing w:val="-1"/>
          <w:sz w:val="21"/>
          <w:szCs w:val="21"/>
          <w:highlight w:val="none"/>
        </w:rPr>
        <w:t>承包人应按合同约定进行现场工艺试验。对大型的现场工艺试验，发包人认为必要时，</w:t>
      </w:r>
      <w:r>
        <w:rPr>
          <w:rFonts w:ascii="宋体" w:hAnsi="宋体" w:eastAsia="宋体" w:cs="宋体"/>
          <w:spacing w:val="12"/>
          <w:sz w:val="21"/>
          <w:szCs w:val="21"/>
          <w:highlight w:val="none"/>
        </w:rPr>
        <w:t xml:space="preserve"> </w:t>
      </w:r>
      <w:r>
        <w:rPr>
          <w:rFonts w:ascii="宋体" w:hAnsi="宋体" w:eastAsia="宋体" w:cs="宋体"/>
          <w:sz w:val="21"/>
          <w:szCs w:val="21"/>
          <w:highlight w:val="none"/>
        </w:rPr>
        <w:t>承包人应根据发包人提出的工艺试验要求，编制工</w:t>
      </w:r>
      <w:r>
        <w:rPr>
          <w:rFonts w:ascii="宋体" w:hAnsi="宋体" w:eastAsia="宋体" w:cs="宋体"/>
          <w:spacing w:val="-1"/>
          <w:sz w:val="21"/>
          <w:szCs w:val="21"/>
          <w:highlight w:val="none"/>
        </w:rPr>
        <w:t>艺试验措施计划，报送发包人审查。</w:t>
      </w:r>
    </w:p>
    <w:p w14:paraId="682C6DD0">
      <w:pPr>
        <w:spacing w:before="165" w:line="222" w:lineRule="auto"/>
        <w:ind w:left="3"/>
        <w:rPr>
          <w:rFonts w:ascii="黑体" w:hAnsi="黑体" w:eastAsia="黑体" w:cs="黑体"/>
          <w:sz w:val="22"/>
          <w:szCs w:val="22"/>
          <w:highlight w:val="none"/>
        </w:rPr>
      </w:pPr>
      <w:r>
        <w:rPr>
          <w:rFonts w:ascii="黑体" w:hAnsi="黑体" w:eastAsia="黑体" w:cs="黑体"/>
          <w:spacing w:val="4"/>
          <w:sz w:val="22"/>
          <w:szCs w:val="22"/>
          <w:highlight w:val="none"/>
        </w:rPr>
        <w:t>6.6缺陷和修补</w:t>
      </w:r>
    </w:p>
    <w:p w14:paraId="6A42250C">
      <w:pPr>
        <w:spacing w:before="115" w:line="219" w:lineRule="auto"/>
        <w:ind w:left="403"/>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6.6.1    </w:t>
      </w:r>
      <w:r>
        <w:rPr>
          <w:rFonts w:ascii="宋体" w:hAnsi="宋体" w:eastAsia="宋体" w:cs="宋体"/>
          <w:spacing w:val="6"/>
          <w:sz w:val="20"/>
          <w:szCs w:val="20"/>
          <w:highlight w:val="none"/>
        </w:rPr>
        <w:t>发包人可在颁发接收证书前随时指示承包人：</w:t>
      </w:r>
    </w:p>
    <w:p w14:paraId="7ED94051">
      <w:pPr>
        <w:pStyle w:val="2"/>
        <w:spacing w:line="375" w:lineRule="auto"/>
        <w:rPr>
          <w:highlight w:val="none"/>
        </w:rPr>
      </w:pPr>
    </w:p>
    <w:p w14:paraId="2DBE0132">
      <w:pPr>
        <w:spacing w:before="65" w:line="219" w:lineRule="auto"/>
        <w:ind w:left="523"/>
        <w:rPr>
          <w:rFonts w:ascii="宋体" w:hAnsi="宋体" w:eastAsia="宋体" w:cs="宋体"/>
          <w:sz w:val="20"/>
          <w:szCs w:val="20"/>
          <w:highlight w:val="none"/>
        </w:rPr>
      </w:pPr>
      <w:r>
        <w:rPr>
          <w:rFonts w:ascii="宋体" w:hAnsi="宋体" w:eastAsia="宋体" w:cs="宋体"/>
          <w:spacing w:val="13"/>
          <w:sz w:val="20"/>
          <w:szCs w:val="20"/>
          <w:highlight w:val="none"/>
        </w:rPr>
        <w:t>(1)对不符合合同要求的任何工程设备或材料进</w:t>
      </w:r>
      <w:r>
        <w:rPr>
          <w:rFonts w:ascii="宋体" w:hAnsi="宋体" w:eastAsia="宋体" w:cs="宋体"/>
          <w:spacing w:val="12"/>
          <w:sz w:val="20"/>
          <w:szCs w:val="20"/>
          <w:highlight w:val="none"/>
        </w:rPr>
        <w:t>行修补，或者将其移出现场并进行更</w:t>
      </w:r>
    </w:p>
    <w:p w14:paraId="1750FDF1">
      <w:pPr>
        <w:spacing w:line="219" w:lineRule="auto"/>
        <w:rPr>
          <w:rFonts w:ascii="宋体" w:hAnsi="宋体" w:eastAsia="宋体" w:cs="宋体"/>
          <w:sz w:val="20"/>
          <w:szCs w:val="20"/>
          <w:highlight w:val="none"/>
        </w:rPr>
        <w:sectPr>
          <w:footerReference r:id="rId99" w:type="default"/>
          <w:pgSz w:w="11910" w:h="16840"/>
          <w:pgMar w:top="400" w:right="1720" w:bottom="1197" w:left="1786" w:header="0" w:footer="993" w:gutter="0"/>
          <w:cols w:space="720" w:num="1"/>
        </w:sectPr>
      </w:pPr>
    </w:p>
    <w:p w14:paraId="3180E988">
      <w:pPr>
        <w:pStyle w:val="2"/>
        <w:spacing w:line="267" w:lineRule="auto"/>
        <w:rPr>
          <w:highlight w:val="none"/>
        </w:rPr>
      </w:pPr>
    </w:p>
    <w:p w14:paraId="0C08EC01">
      <w:pPr>
        <w:pStyle w:val="2"/>
        <w:spacing w:line="268" w:lineRule="auto"/>
        <w:rPr>
          <w:highlight w:val="none"/>
        </w:rPr>
      </w:pPr>
    </w:p>
    <w:p w14:paraId="5C925718">
      <w:pPr>
        <w:pStyle w:val="2"/>
        <w:spacing w:line="268" w:lineRule="auto"/>
        <w:rPr>
          <w:highlight w:val="none"/>
        </w:rPr>
      </w:pPr>
    </w:p>
    <w:p w14:paraId="5BD31BE5">
      <w:pPr>
        <w:pStyle w:val="2"/>
        <w:spacing w:line="268" w:lineRule="auto"/>
        <w:rPr>
          <w:highlight w:val="none"/>
        </w:rPr>
      </w:pPr>
    </w:p>
    <w:p w14:paraId="60CBB5BE">
      <w:pPr>
        <w:spacing w:before="72" w:line="220" w:lineRule="auto"/>
        <w:rPr>
          <w:rFonts w:ascii="宋体" w:hAnsi="宋体" w:eastAsia="宋体" w:cs="宋体"/>
          <w:sz w:val="22"/>
          <w:szCs w:val="22"/>
          <w:highlight w:val="none"/>
        </w:rPr>
      </w:pPr>
      <w:bookmarkStart w:id="90" w:name="bookmark223"/>
      <w:bookmarkEnd w:id="90"/>
      <w:r>
        <w:rPr>
          <w:rFonts w:ascii="宋体" w:hAnsi="宋体" w:eastAsia="宋体" w:cs="宋体"/>
          <w:spacing w:val="-16"/>
          <w:sz w:val="22"/>
          <w:szCs w:val="22"/>
          <w:highlight w:val="none"/>
        </w:rPr>
        <w:t>换；</w:t>
      </w:r>
    </w:p>
    <w:p w14:paraId="7580EA66">
      <w:pPr>
        <w:spacing w:before="227" w:line="219" w:lineRule="auto"/>
        <w:ind w:left="540"/>
        <w:rPr>
          <w:rFonts w:ascii="宋体" w:hAnsi="宋体" w:eastAsia="宋体" w:cs="宋体"/>
          <w:sz w:val="22"/>
          <w:szCs w:val="22"/>
          <w:highlight w:val="none"/>
        </w:rPr>
      </w:pPr>
      <w:r>
        <w:rPr>
          <w:rFonts w:ascii="宋体" w:hAnsi="宋体" w:eastAsia="宋体" w:cs="宋体"/>
          <w:spacing w:val="-7"/>
          <w:sz w:val="22"/>
          <w:szCs w:val="22"/>
          <w:highlight w:val="none"/>
        </w:rPr>
        <w:t>(2)对不符合合同的其他工作进行修补，或者将其去除并重新实施；</w:t>
      </w:r>
    </w:p>
    <w:p w14:paraId="18F7208B">
      <w:pPr>
        <w:spacing w:before="228" w:line="219" w:lineRule="auto"/>
        <w:ind w:left="539"/>
        <w:rPr>
          <w:rFonts w:ascii="宋体" w:hAnsi="宋体" w:eastAsia="宋体" w:cs="宋体"/>
          <w:sz w:val="20"/>
          <w:szCs w:val="20"/>
          <w:highlight w:val="none"/>
        </w:rPr>
      </w:pPr>
      <w:r>
        <w:rPr>
          <w:rFonts w:ascii="宋体" w:hAnsi="宋体" w:eastAsia="宋体" w:cs="宋体"/>
          <w:spacing w:val="13"/>
          <w:sz w:val="20"/>
          <w:szCs w:val="20"/>
          <w:highlight w:val="none"/>
        </w:rPr>
        <w:t>(3)实施因意外、不可预见的事件或其他原</w:t>
      </w:r>
      <w:r>
        <w:rPr>
          <w:rFonts w:ascii="宋体" w:hAnsi="宋体" w:eastAsia="宋体" w:cs="宋体"/>
          <w:spacing w:val="12"/>
          <w:sz w:val="20"/>
          <w:szCs w:val="20"/>
          <w:highlight w:val="none"/>
        </w:rPr>
        <w:t>因引起的、为工程的安全迫切需要的任何</w:t>
      </w:r>
    </w:p>
    <w:p w14:paraId="343EAFCB">
      <w:pPr>
        <w:spacing w:before="242" w:line="219" w:lineRule="auto"/>
        <w:rPr>
          <w:rFonts w:ascii="宋体" w:hAnsi="宋体" w:eastAsia="宋体" w:cs="宋体"/>
          <w:sz w:val="20"/>
          <w:szCs w:val="20"/>
          <w:highlight w:val="none"/>
        </w:rPr>
      </w:pPr>
      <w:r>
        <w:rPr>
          <w:rFonts w:ascii="宋体" w:hAnsi="宋体" w:eastAsia="宋体" w:cs="宋体"/>
          <w:spacing w:val="2"/>
          <w:sz w:val="20"/>
          <w:szCs w:val="20"/>
          <w:highlight w:val="none"/>
        </w:rPr>
        <w:t>修补工作。</w:t>
      </w:r>
    </w:p>
    <w:p w14:paraId="671A06D4">
      <w:pPr>
        <w:spacing w:before="122" w:line="333" w:lineRule="auto"/>
        <w:ind w:right="30" w:firstLine="420"/>
        <w:jc w:val="both"/>
        <w:rPr>
          <w:rFonts w:ascii="宋体" w:hAnsi="宋体" w:eastAsia="宋体" w:cs="宋体"/>
          <w:sz w:val="22"/>
          <w:szCs w:val="22"/>
          <w:highlight w:val="none"/>
        </w:rPr>
      </w:pPr>
      <w:r>
        <w:rPr>
          <w:rFonts w:ascii="宋体" w:hAnsi="宋体" w:eastAsia="宋体" w:cs="宋体"/>
          <w:spacing w:val="-5"/>
          <w:sz w:val="22"/>
          <w:szCs w:val="22"/>
          <w:highlight w:val="none"/>
        </w:rPr>
        <w:t>6.6.2承包人应遵守第6.6.1项下指示，并在合理可行的情况下，根据</w:t>
      </w:r>
      <w:r>
        <w:rPr>
          <w:rFonts w:ascii="宋体" w:hAnsi="宋体" w:eastAsia="宋体" w:cs="宋体"/>
          <w:spacing w:val="-6"/>
          <w:sz w:val="22"/>
          <w:szCs w:val="22"/>
          <w:highlight w:val="none"/>
        </w:rPr>
        <w:t>上述指示中规定</w:t>
      </w:r>
      <w:r>
        <w:rPr>
          <w:rFonts w:ascii="宋体" w:hAnsi="宋体" w:eastAsia="宋体" w:cs="宋体"/>
          <w:sz w:val="22"/>
          <w:szCs w:val="22"/>
          <w:highlight w:val="none"/>
        </w:rPr>
        <w:t xml:space="preserve"> </w:t>
      </w:r>
      <w:r>
        <w:rPr>
          <w:rFonts w:ascii="宋体" w:hAnsi="宋体" w:eastAsia="宋体" w:cs="宋体"/>
          <w:spacing w:val="-1"/>
          <w:sz w:val="22"/>
          <w:szCs w:val="22"/>
          <w:highlight w:val="none"/>
        </w:rPr>
        <w:t>的时间完成修补工作。除因下列原因引起的第6.6.1项第(3)目下的情形外，承包人应承</w:t>
      </w:r>
      <w:r>
        <w:rPr>
          <w:rFonts w:ascii="宋体" w:hAnsi="宋体" w:eastAsia="宋体" w:cs="宋体"/>
          <w:spacing w:val="14"/>
          <w:sz w:val="22"/>
          <w:szCs w:val="22"/>
          <w:highlight w:val="none"/>
        </w:rPr>
        <w:t xml:space="preserve"> </w:t>
      </w:r>
      <w:r>
        <w:rPr>
          <w:rFonts w:ascii="宋体" w:hAnsi="宋体" w:eastAsia="宋体" w:cs="宋体"/>
          <w:spacing w:val="-14"/>
          <w:sz w:val="22"/>
          <w:szCs w:val="22"/>
          <w:highlight w:val="none"/>
        </w:rPr>
        <w:t>担所有修补工作的费用：</w:t>
      </w:r>
    </w:p>
    <w:p w14:paraId="239B10C1">
      <w:pPr>
        <w:spacing w:before="198" w:line="277" w:lineRule="auto"/>
        <w:ind w:right="56" w:firstLine="539"/>
        <w:rPr>
          <w:rFonts w:ascii="宋体" w:hAnsi="宋体" w:eastAsia="宋体" w:cs="宋体"/>
          <w:sz w:val="21"/>
          <w:szCs w:val="21"/>
          <w:highlight w:val="none"/>
        </w:rPr>
      </w:pPr>
      <w:r>
        <w:rPr>
          <w:rFonts w:ascii="宋体" w:hAnsi="宋体" w:eastAsia="宋体" w:cs="宋体"/>
          <w:spacing w:val="3"/>
          <w:sz w:val="21"/>
          <w:szCs w:val="21"/>
          <w:highlight w:val="none"/>
        </w:rPr>
        <w:t>(1)因发包人或其人员的任何行为导致的情形，且在此情况下发包人应承担因此</w:t>
      </w:r>
      <w:r>
        <w:rPr>
          <w:rFonts w:ascii="宋体" w:hAnsi="宋体" w:eastAsia="宋体" w:cs="宋体"/>
          <w:spacing w:val="2"/>
          <w:sz w:val="21"/>
          <w:szCs w:val="21"/>
          <w:highlight w:val="none"/>
        </w:rPr>
        <w:t>引起</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的工期延误和承包人费用损失，并向承包人</w:t>
      </w:r>
      <w:r>
        <w:rPr>
          <w:rFonts w:ascii="宋体" w:hAnsi="宋体" w:eastAsia="宋体" w:cs="宋体"/>
          <w:spacing w:val="-2"/>
          <w:sz w:val="21"/>
          <w:szCs w:val="21"/>
          <w:highlight w:val="none"/>
        </w:rPr>
        <w:t>支付合理的利润。</w:t>
      </w:r>
    </w:p>
    <w:p w14:paraId="5388B21D">
      <w:pPr>
        <w:spacing w:before="312" w:line="219" w:lineRule="auto"/>
        <w:ind w:left="539"/>
        <w:rPr>
          <w:rFonts w:ascii="宋体" w:hAnsi="宋体" w:eastAsia="宋体" w:cs="宋体"/>
          <w:sz w:val="22"/>
          <w:szCs w:val="22"/>
          <w:highlight w:val="none"/>
        </w:rPr>
      </w:pPr>
      <w:r>
        <w:rPr>
          <w:rFonts w:ascii="宋体" w:hAnsi="宋体" w:eastAsia="宋体" w:cs="宋体"/>
          <w:spacing w:val="-2"/>
          <w:sz w:val="22"/>
          <w:szCs w:val="22"/>
          <w:highlight w:val="none"/>
        </w:rPr>
        <w:t>(2)第17.4款[不可抗力后果的承担]中适用</w:t>
      </w:r>
      <w:r>
        <w:rPr>
          <w:rFonts w:ascii="宋体" w:hAnsi="宋体" w:eastAsia="宋体" w:cs="宋体"/>
          <w:spacing w:val="-3"/>
          <w:sz w:val="22"/>
          <w:szCs w:val="22"/>
          <w:highlight w:val="none"/>
        </w:rPr>
        <w:t>的不可抗力事件的情形。</w:t>
      </w:r>
    </w:p>
    <w:p w14:paraId="1DA27D5D">
      <w:pPr>
        <w:pStyle w:val="2"/>
        <w:spacing w:line="258" w:lineRule="auto"/>
        <w:rPr>
          <w:highlight w:val="none"/>
        </w:rPr>
      </w:pPr>
    </w:p>
    <w:p w14:paraId="2A6B518A">
      <w:pPr>
        <w:spacing w:before="69" w:line="353" w:lineRule="auto"/>
        <w:ind w:right="49" w:firstLine="420"/>
        <w:jc w:val="both"/>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6.6.3    </w:t>
      </w:r>
      <w:r>
        <w:rPr>
          <w:rFonts w:ascii="宋体" w:hAnsi="宋体" w:eastAsia="宋体" w:cs="宋体"/>
          <w:spacing w:val="-2"/>
          <w:sz w:val="21"/>
          <w:szCs w:val="21"/>
          <w:highlight w:val="none"/>
        </w:rPr>
        <w:t>如果承包人未能遵守发包人的指示，发包人可以自行决定请第三方完成上述修补</w:t>
      </w:r>
      <w:r>
        <w:rPr>
          <w:rFonts w:ascii="宋体" w:hAnsi="宋体" w:eastAsia="宋体" w:cs="宋体"/>
          <w:spacing w:val="12"/>
          <w:sz w:val="21"/>
          <w:szCs w:val="21"/>
          <w:highlight w:val="none"/>
        </w:rPr>
        <w:t xml:space="preserve"> </w:t>
      </w:r>
      <w:r>
        <w:rPr>
          <w:rFonts w:ascii="宋体" w:hAnsi="宋体" w:eastAsia="宋体" w:cs="宋体"/>
          <w:spacing w:val="1"/>
          <w:sz w:val="21"/>
          <w:szCs w:val="21"/>
          <w:highlight w:val="none"/>
        </w:rPr>
        <w:t>工作，并有权要求承包人支付因未履行指示而产生的所有</w:t>
      </w:r>
      <w:r>
        <w:rPr>
          <w:rFonts w:ascii="宋体" w:hAnsi="宋体" w:eastAsia="宋体" w:cs="宋体"/>
          <w:sz w:val="21"/>
          <w:szCs w:val="21"/>
          <w:highlight w:val="none"/>
        </w:rPr>
        <w:t xml:space="preserve">费用，但承包人根据第6.6.2项有 </w:t>
      </w:r>
      <w:r>
        <w:rPr>
          <w:rFonts w:ascii="宋体" w:hAnsi="宋体" w:eastAsia="宋体" w:cs="宋体"/>
          <w:spacing w:val="-3"/>
          <w:sz w:val="21"/>
          <w:szCs w:val="21"/>
          <w:highlight w:val="none"/>
        </w:rPr>
        <w:t>权就修补工作获得支付的情况除外。</w:t>
      </w:r>
    </w:p>
    <w:p w14:paraId="322F558D">
      <w:pPr>
        <w:pStyle w:val="2"/>
        <w:spacing w:line="253" w:lineRule="auto"/>
        <w:rPr>
          <w:highlight w:val="none"/>
        </w:rPr>
      </w:pPr>
    </w:p>
    <w:p w14:paraId="4798014D">
      <w:pPr>
        <w:spacing w:before="92" w:line="222" w:lineRule="auto"/>
        <w:outlineLvl w:val="1"/>
        <w:rPr>
          <w:rFonts w:ascii="黑体" w:hAnsi="黑体" w:eastAsia="黑体" w:cs="黑体"/>
          <w:sz w:val="28"/>
          <w:szCs w:val="28"/>
          <w:highlight w:val="none"/>
        </w:rPr>
      </w:pPr>
      <w:bookmarkStart w:id="91" w:name="bookmark53"/>
      <w:bookmarkEnd w:id="91"/>
      <w:r>
        <w:rPr>
          <w:rFonts w:ascii="黑体" w:hAnsi="黑体" w:eastAsia="黑体" w:cs="黑体"/>
          <w:spacing w:val="-9"/>
          <w:sz w:val="28"/>
          <w:szCs w:val="28"/>
          <w:highlight w:val="none"/>
        </w:rPr>
        <w:t>第</w:t>
      </w:r>
      <w:r>
        <w:rPr>
          <w:rFonts w:ascii="黑体" w:hAnsi="黑体" w:eastAsia="黑体" w:cs="黑体"/>
          <w:spacing w:val="-55"/>
          <w:sz w:val="28"/>
          <w:szCs w:val="28"/>
          <w:highlight w:val="none"/>
        </w:rPr>
        <w:t xml:space="preserve"> </w:t>
      </w:r>
      <w:r>
        <w:rPr>
          <w:rFonts w:ascii="黑体" w:hAnsi="黑体" w:eastAsia="黑体" w:cs="黑体"/>
          <w:spacing w:val="-9"/>
          <w:sz w:val="28"/>
          <w:szCs w:val="28"/>
          <w:highlight w:val="none"/>
        </w:rPr>
        <w:t>7</w:t>
      </w:r>
      <w:r>
        <w:rPr>
          <w:rFonts w:ascii="黑体" w:hAnsi="黑体" w:eastAsia="黑体" w:cs="黑体"/>
          <w:spacing w:val="-55"/>
          <w:sz w:val="28"/>
          <w:szCs w:val="28"/>
          <w:highlight w:val="none"/>
        </w:rPr>
        <w:t xml:space="preserve"> </w:t>
      </w:r>
      <w:r>
        <w:rPr>
          <w:rFonts w:ascii="黑体" w:hAnsi="黑体" w:eastAsia="黑体" w:cs="黑体"/>
          <w:spacing w:val="-9"/>
          <w:sz w:val="28"/>
          <w:szCs w:val="28"/>
          <w:highlight w:val="none"/>
        </w:rPr>
        <w:t>条</w:t>
      </w:r>
      <w:r>
        <w:rPr>
          <w:rFonts w:ascii="黑体" w:hAnsi="黑体" w:eastAsia="黑体" w:cs="黑体"/>
          <w:spacing w:val="-58"/>
          <w:sz w:val="28"/>
          <w:szCs w:val="28"/>
          <w:highlight w:val="none"/>
        </w:rPr>
        <w:t xml:space="preserve"> </w:t>
      </w:r>
      <w:r>
        <w:rPr>
          <w:rFonts w:ascii="黑体" w:hAnsi="黑体" w:eastAsia="黑体" w:cs="黑体"/>
          <w:spacing w:val="-9"/>
          <w:sz w:val="28"/>
          <w:szCs w:val="28"/>
          <w:highlight w:val="none"/>
        </w:rPr>
        <w:t>施</w:t>
      </w:r>
      <w:r>
        <w:rPr>
          <w:rFonts w:ascii="黑体" w:hAnsi="黑体" w:eastAsia="黑体" w:cs="黑体"/>
          <w:spacing w:val="-54"/>
          <w:sz w:val="28"/>
          <w:szCs w:val="28"/>
          <w:highlight w:val="none"/>
        </w:rPr>
        <w:t xml:space="preserve"> </w:t>
      </w:r>
      <w:r>
        <w:rPr>
          <w:rFonts w:ascii="黑体" w:hAnsi="黑体" w:eastAsia="黑体" w:cs="黑体"/>
          <w:spacing w:val="-9"/>
          <w:sz w:val="28"/>
          <w:szCs w:val="28"/>
          <w:highlight w:val="none"/>
        </w:rPr>
        <w:t>工</w:t>
      </w:r>
    </w:p>
    <w:p w14:paraId="6F3CF42A">
      <w:pPr>
        <w:pStyle w:val="2"/>
        <w:spacing w:line="376" w:lineRule="auto"/>
        <w:rPr>
          <w:highlight w:val="none"/>
        </w:rPr>
      </w:pPr>
    </w:p>
    <w:p w14:paraId="1A04F49D">
      <w:pPr>
        <w:pStyle w:val="2"/>
        <w:spacing w:before="62" w:line="222" w:lineRule="auto"/>
        <w:rPr>
          <w:rFonts w:ascii="黑体" w:hAnsi="黑体" w:eastAsia="黑体" w:cs="黑体"/>
          <w:sz w:val="19"/>
          <w:szCs w:val="19"/>
          <w:highlight w:val="none"/>
        </w:rPr>
      </w:pPr>
      <w:r>
        <w:rPr>
          <w:spacing w:val="9"/>
          <w:sz w:val="19"/>
          <w:szCs w:val="19"/>
          <w:highlight w:val="none"/>
        </w:rPr>
        <w:t>7.1</w:t>
      </w:r>
      <w:r>
        <w:rPr>
          <w:spacing w:val="26"/>
          <w:sz w:val="19"/>
          <w:szCs w:val="19"/>
          <w:highlight w:val="none"/>
        </w:rPr>
        <w:t xml:space="preserve">  </w:t>
      </w:r>
      <w:r>
        <w:rPr>
          <w:rFonts w:ascii="黑体" w:hAnsi="黑体" w:eastAsia="黑体" w:cs="黑体"/>
          <w:spacing w:val="9"/>
          <w:sz w:val="19"/>
          <w:szCs w:val="19"/>
          <w:highlight w:val="none"/>
        </w:rPr>
        <w:t>交通运输</w:t>
      </w:r>
    </w:p>
    <w:p w14:paraId="685CE963">
      <w:pPr>
        <w:spacing w:before="94" w:line="219" w:lineRule="auto"/>
        <w:ind w:left="420"/>
        <w:rPr>
          <w:rFonts w:ascii="宋体" w:hAnsi="宋体" w:eastAsia="宋体" w:cs="宋体"/>
          <w:sz w:val="22"/>
          <w:szCs w:val="22"/>
          <w:highlight w:val="none"/>
        </w:rPr>
      </w:pPr>
      <w:r>
        <w:rPr>
          <w:rFonts w:ascii="宋体" w:hAnsi="宋体" w:eastAsia="宋体" w:cs="宋体"/>
          <w:spacing w:val="1"/>
          <w:sz w:val="22"/>
          <w:szCs w:val="22"/>
          <w:highlight w:val="none"/>
        </w:rPr>
        <w:t>7.1.1出入现场的权利</w:t>
      </w:r>
    </w:p>
    <w:p w14:paraId="427CD69A">
      <w:pPr>
        <w:pStyle w:val="2"/>
        <w:spacing w:line="348" w:lineRule="auto"/>
        <w:rPr>
          <w:highlight w:val="none"/>
        </w:rPr>
      </w:pPr>
    </w:p>
    <w:p w14:paraId="7B44D00C">
      <w:pPr>
        <w:spacing w:before="68" w:line="398" w:lineRule="auto"/>
        <w:ind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除专用合同条件另有约定外，发包人应根据工程实施需要，负责取得出入施工现</w:t>
      </w:r>
      <w:r>
        <w:rPr>
          <w:rFonts w:ascii="宋体" w:hAnsi="宋体" w:eastAsia="宋体" w:cs="宋体"/>
          <w:spacing w:val="-3"/>
          <w:sz w:val="21"/>
          <w:szCs w:val="21"/>
          <w:highlight w:val="none"/>
        </w:rPr>
        <w:t>场所需</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的批准手续和全部权利，以及取得因工程实施所需修建道路、桥梁以及其他基础设施的权利，</w:t>
      </w:r>
      <w:r>
        <w:rPr>
          <w:rFonts w:ascii="宋体" w:hAnsi="宋体" w:eastAsia="宋体" w:cs="宋体"/>
          <w:spacing w:val="10"/>
          <w:sz w:val="21"/>
          <w:szCs w:val="21"/>
          <w:highlight w:val="none"/>
        </w:rPr>
        <w:t xml:space="preserve"> </w:t>
      </w:r>
      <w:r>
        <w:rPr>
          <w:rFonts w:ascii="宋体" w:hAnsi="宋体" w:eastAsia="宋体" w:cs="宋体"/>
          <w:spacing w:val="-2"/>
          <w:sz w:val="21"/>
          <w:szCs w:val="21"/>
          <w:highlight w:val="none"/>
        </w:rPr>
        <w:t>并承担相关手续费用和建设费用。承包人应协助发包人办理修建场内外道路、桥梁以</w:t>
      </w:r>
      <w:r>
        <w:rPr>
          <w:rFonts w:ascii="宋体" w:hAnsi="宋体" w:eastAsia="宋体" w:cs="宋体"/>
          <w:spacing w:val="-3"/>
          <w:sz w:val="21"/>
          <w:szCs w:val="21"/>
          <w:highlight w:val="none"/>
        </w:rPr>
        <w:t>及其他</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基础设施的手续。</w:t>
      </w:r>
    </w:p>
    <w:p w14:paraId="1831F04B">
      <w:pPr>
        <w:spacing w:line="220"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7.1.2</w:t>
      </w:r>
      <w:r>
        <w:rPr>
          <w:rFonts w:ascii="Times New Roman" w:hAnsi="Times New Roman" w:eastAsia="Times New Roman" w:cs="Times New Roman"/>
          <w:spacing w:val="12"/>
          <w:sz w:val="22"/>
          <w:szCs w:val="22"/>
          <w:highlight w:val="none"/>
        </w:rPr>
        <w:t xml:space="preserve">   </w:t>
      </w:r>
      <w:r>
        <w:rPr>
          <w:rFonts w:ascii="宋体" w:hAnsi="宋体" w:eastAsia="宋体" w:cs="宋体"/>
          <w:spacing w:val="-5"/>
          <w:sz w:val="22"/>
          <w:szCs w:val="22"/>
          <w:highlight w:val="none"/>
        </w:rPr>
        <w:t>场外交通</w:t>
      </w:r>
    </w:p>
    <w:p w14:paraId="3B4E53E9">
      <w:pPr>
        <w:pStyle w:val="2"/>
        <w:spacing w:line="357" w:lineRule="auto"/>
        <w:rPr>
          <w:highlight w:val="none"/>
        </w:rPr>
      </w:pPr>
    </w:p>
    <w:p w14:paraId="31CC6DD7">
      <w:pPr>
        <w:spacing w:before="68" w:line="399" w:lineRule="auto"/>
        <w:ind w:right="52"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除专用合同条件另有约定外，发包人应提供场外交通设施的技术参数和具体条件</w:t>
      </w:r>
      <w:r>
        <w:rPr>
          <w:rFonts w:ascii="宋体" w:hAnsi="宋体" w:eastAsia="宋体" w:cs="宋体"/>
          <w:spacing w:val="-3"/>
          <w:sz w:val="21"/>
          <w:szCs w:val="21"/>
          <w:highlight w:val="none"/>
        </w:rPr>
        <w:t>，场外</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交通设施无法满足工程施工需要的，由发包人负责承担</w:t>
      </w:r>
      <w:r>
        <w:rPr>
          <w:rFonts w:ascii="宋体" w:hAnsi="宋体" w:eastAsia="宋体" w:cs="宋体"/>
          <w:spacing w:val="-3"/>
          <w:sz w:val="21"/>
          <w:szCs w:val="21"/>
          <w:highlight w:val="none"/>
        </w:rPr>
        <w:t>由此产生的相关费用。承包人应遵守</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有关交通法规，严格按照道路和桥梁的限制荷载行驶，执行有关道路限速、限行、禁止超载</w:t>
      </w:r>
      <w:r>
        <w:rPr>
          <w:rFonts w:ascii="宋体" w:hAnsi="宋体" w:eastAsia="宋体" w:cs="宋体"/>
          <w:spacing w:val="17"/>
          <w:sz w:val="21"/>
          <w:szCs w:val="21"/>
          <w:highlight w:val="none"/>
        </w:rPr>
        <w:t xml:space="preserve"> </w:t>
      </w:r>
      <w:r>
        <w:rPr>
          <w:rFonts w:ascii="宋体" w:hAnsi="宋体" w:eastAsia="宋体" w:cs="宋体"/>
          <w:spacing w:val="-2"/>
          <w:sz w:val="21"/>
          <w:szCs w:val="21"/>
          <w:highlight w:val="none"/>
        </w:rPr>
        <w:t>的规定，并配合交通管理部门的监督和检查。承包人车辆外出行驶所需的场外公共道</w:t>
      </w:r>
      <w:r>
        <w:rPr>
          <w:rFonts w:ascii="宋体" w:hAnsi="宋体" w:eastAsia="宋体" w:cs="宋体"/>
          <w:spacing w:val="-3"/>
          <w:sz w:val="21"/>
          <w:szCs w:val="21"/>
          <w:highlight w:val="none"/>
        </w:rPr>
        <w:t>路的通</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行费、养路费和税款等由承包人承担。</w:t>
      </w:r>
    </w:p>
    <w:p w14:paraId="55D55A86">
      <w:pPr>
        <w:spacing w:before="1"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7.1.3</w:t>
      </w:r>
      <w:r>
        <w:rPr>
          <w:rFonts w:ascii="Times New Roman" w:hAnsi="Times New Roman" w:eastAsia="Times New Roman" w:cs="Times New Roman"/>
          <w:spacing w:val="5"/>
          <w:sz w:val="22"/>
          <w:szCs w:val="22"/>
          <w:highlight w:val="none"/>
        </w:rPr>
        <w:t xml:space="preserve">   </w:t>
      </w:r>
      <w:r>
        <w:rPr>
          <w:rFonts w:ascii="宋体" w:hAnsi="宋体" w:eastAsia="宋体" w:cs="宋体"/>
          <w:spacing w:val="-5"/>
          <w:sz w:val="22"/>
          <w:szCs w:val="22"/>
          <w:highlight w:val="none"/>
        </w:rPr>
        <w:t>场内交通</w:t>
      </w:r>
    </w:p>
    <w:p w14:paraId="04B8A495">
      <w:pPr>
        <w:pStyle w:val="2"/>
        <w:spacing w:line="345" w:lineRule="auto"/>
        <w:rPr>
          <w:highlight w:val="none"/>
        </w:rPr>
      </w:pPr>
    </w:p>
    <w:p w14:paraId="661E31F2">
      <w:pPr>
        <w:spacing w:before="72" w:line="219" w:lineRule="auto"/>
        <w:ind w:left="420"/>
        <w:rPr>
          <w:rFonts w:ascii="宋体" w:hAnsi="宋体" w:eastAsia="宋体" w:cs="宋体"/>
          <w:sz w:val="22"/>
          <w:szCs w:val="22"/>
          <w:highlight w:val="none"/>
        </w:rPr>
      </w:pPr>
      <w:r>
        <w:rPr>
          <w:rFonts w:ascii="宋体" w:hAnsi="宋体" w:eastAsia="宋体" w:cs="宋体"/>
          <w:spacing w:val="-12"/>
          <w:sz w:val="22"/>
          <w:szCs w:val="22"/>
          <w:highlight w:val="none"/>
        </w:rPr>
        <w:t>除专用合同条件另有约定外，承包人应负责修建、维修、养护和管理施工所需的临时道</w:t>
      </w:r>
    </w:p>
    <w:p w14:paraId="1143FEBB">
      <w:pPr>
        <w:spacing w:line="219" w:lineRule="auto"/>
        <w:rPr>
          <w:rFonts w:ascii="宋体" w:hAnsi="宋体" w:eastAsia="宋体" w:cs="宋体"/>
          <w:sz w:val="22"/>
          <w:szCs w:val="22"/>
          <w:highlight w:val="none"/>
        </w:rPr>
        <w:sectPr>
          <w:footerReference r:id="rId100" w:type="default"/>
          <w:pgSz w:w="11910" w:h="16840"/>
          <w:pgMar w:top="400" w:right="1764" w:bottom="1197" w:left="1769" w:header="0" w:footer="993" w:gutter="0"/>
          <w:cols w:space="720" w:num="1"/>
        </w:sectPr>
      </w:pPr>
    </w:p>
    <w:p w14:paraId="1448B489">
      <w:pPr>
        <w:pStyle w:val="2"/>
        <w:spacing w:line="272" w:lineRule="auto"/>
        <w:rPr>
          <w:highlight w:val="none"/>
        </w:rPr>
      </w:pPr>
    </w:p>
    <w:p w14:paraId="43E3F884">
      <w:pPr>
        <w:pStyle w:val="2"/>
        <w:spacing w:line="272" w:lineRule="auto"/>
        <w:rPr>
          <w:highlight w:val="none"/>
        </w:rPr>
      </w:pPr>
    </w:p>
    <w:p w14:paraId="0C5A7064">
      <w:pPr>
        <w:pStyle w:val="2"/>
        <w:spacing w:line="272" w:lineRule="auto"/>
        <w:rPr>
          <w:highlight w:val="none"/>
        </w:rPr>
      </w:pPr>
    </w:p>
    <w:p w14:paraId="7CEB8FCB">
      <w:pPr>
        <w:pStyle w:val="2"/>
        <w:spacing w:line="273" w:lineRule="auto"/>
        <w:rPr>
          <w:highlight w:val="none"/>
        </w:rPr>
      </w:pPr>
    </w:p>
    <w:p w14:paraId="610D77A8">
      <w:pPr>
        <w:spacing w:before="71" w:line="395" w:lineRule="auto"/>
        <w:ind w:left="3" w:right="70"/>
        <w:rPr>
          <w:rFonts w:ascii="宋体" w:hAnsi="宋体" w:eastAsia="宋体" w:cs="宋体"/>
          <w:sz w:val="22"/>
          <w:szCs w:val="22"/>
          <w:highlight w:val="none"/>
        </w:rPr>
      </w:pPr>
      <w:r>
        <w:rPr>
          <w:rFonts w:ascii="宋体" w:hAnsi="宋体" w:eastAsia="宋体" w:cs="宋体"/>
          <w:spacing w:val="-13"/>
          <w:sz w:val="22"/>
          <w:szCs w:val="22"/>
          <w:highlight w:val="none"/>
        </w:rPr>
        <w:t>路和交通设施，包括维修、养护和管理发包人提供的道路和交通设施，并承担相应费用。承</w:t>
      </w:r>
      <w:r>
        <w:rPr>
          <w:rFonts w:ascii="宋体" w:hAnsi="宋体" w:eastAsia="宋体" w:cs="宋体"/>
          <w:spacing w:val="18"/>
          <w:sz w:val="22"/>
          <w:szCs w:val="22"/>
          <w:highlight w:val="none"/>
        </w:rPr>
        <w:t xml:space="preserve"> </w:t>
      </w:r>
      <w:r>
        <w:rPr>
          <w:rFonts w:ascii="宋体" w:hAnsi="宋体" w:eastAsia="宋体" w:cs="宋体"/>
          <w:spacing w:val="-13"/>
          <w:sz w:val="22"/>
          <w:szCs w:val="22"/>
          <w:highlight w:val="none"/>
        </w:rPr>
        <w:t>包人修建的临时道路和交通设施应免费提供发包人和工程师为实现合同目的使用。场内交通</w:t>
      </w:r>
    </w:p>
    <w:p w14:paraId="54DDA556">
      <w:pPr>
        <w:spacing w:line="219" w:lineRule="auto"/>
        <w:ind w:left="3"/>
        <w:rPr>
          <w:rFonts w:ascii="宋体" w:hAnsi="宋体" w:eastAsia="宋体" w:cs="宋体"/>
          <w:sz w:val="22"/>
          <w:szCs w:val="22"/>
          <w:highlight w:val="none"/>
        </w:rPr>
      </w:pPr>
      <w:r>
        <w:rPr>
          <w:rFonts w:ascii="宋体" w:hAnsi="宋体" w:eastAsia="宋体" w:cs="宋体"/>
          <w:spacing w:val="-11"/>
          <w:sz w:val="22"/>
          <w:szCs w:val="22"/>
          <w:highlight w:val="none"/>
        </w:rPr>
        <w:t>与场外交通的边界由合同当事人在专用合同条件中约定。</w:t>
      </w:r>
    </w:p>
    <w:p w14:paraId="0034CBB3">
      <w:pPr>
        <w:spacing w:before="99" w:line="219" w:lineRule="auto"/>
        <w:ind w:left="413"/>
        <w:rPr>
          <w:rFonts w:ascii="宋体" w:hAnsi="宋体" w:eastAsia="宋体" w:cs="宋体"/>
          <w:sz w:val="22"/>
          <w:szCs w:val="22"/>
          <w:highlight w:val="none"/>
        </w:rPr>
      </w:pPr>
      <w:r>
        <w:rPr>
          <w:rFonts w:ascii="宋体" w:hAnsi="宋体" w:eastAsia="宋体" w:cs="宋体"/>
          <w:spacing w:val="-1"/>
          <w:sz w:val="22"/>
          <w:szCs w:val="22"/>
          <w:highlight w:val="none"/>
        </w:rPr>
        <w:t>7.1.4超大件和超重件的运输</w:t>
      </w:r>
    </w:p>
    <w:p w14:paraId="57F8B43F">
      <w:pPr>
        <w:pStyle w:val="2"/>
        <w:spacing w:line="365" w:lineRule="auto"/>
        <w:rPr>
          <w:highlight w:val="none"/>
        </w:rPr>
      </w:pPr>
    </w:p>
    <w:p w14:paraId="1C67CD23">
      <w:pPr>
        <w:spacing w:before="72" w:line="366" w:lineRule="auto"/>
        <w:ind w:left="3" w:firstLine="410"/>
        <w:jc w:val="both"/>
        <w:rPr>
          <w:rFonts w:ascii="宋体" w:hAnsi="宋体" w:eastAsia="宋体" w:cs="宋体"/>
          <w:sz w:val="22"/>
          <w:szCs w:val="22"/>
          <w:highlight w:val="none"/>
        </w:rPr>
      </w:pPr>
      <w:r>
        <w:rPr>
          <w:rFonts w:ascii="宋体" w:hAnsi="宋体" w:eastAsia="宋体" w:cs="宋体"/>
          <w:spacing w:val="-11"/>
          <w:sz w:val="22"/>
          <w:szCs w:val="22"/>
          <w:highlight w:val="none"/>
        </w:rPr>
        <w:t>由承包人负责运输的超大件或超重件，应由承包人负责向交通管理部门办理申请手续，</w:t>
      </w:r>
      <w:r>
        <w:rPr>
          <w:rFonts w:ascii="宋体" w:hAnsi="宋体" w:eastAsia="宋体" w:cs="宋体"/>
          <w:spacing w:val="16"/>
          <w:sz w:val="22"/>
          <w:szCs w:val="22"/>
          <w:highlight w:val="none"/>
        </w:rPr>
        <w:t xml:space="preserve"> </w:t>
      </w:r>
      <w:r>
        <w:rPr>
          <w:rFonts w:ascii="宋体" w:hAnsi="宋体" w:eastAsia="宋体" w:cs="宋体"/>
          <w:spacing w:val="-7"/>
          <w:sz w:val="22"/>
          <w:szCs w:val="22"/>
          <w:highlight w:val="none"/>
        </w:rPr>
        <w:t>发包人给予协助。运输超大件或超重件所需的道路和桥梁临时加固改造费用和</w:t>
      </w:r>
      <w:r>
        <w:rPr>
          <w:rFonts w:ascii="宋体" w:hAnsi="宋体" w:eastAsia="宋体" w:cs="宋体"/>
          <w:spacing w:val="-8"/>
          <w:sz w:val="22"/>
          <w:szCs w:val="22"/>
          <w:highlight w:val="none"/>
        </w:rPr>
        <w:t>其他有关费</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用，由承包人承担，但专用合同条件另有约定的除外。</w:t>
      </w:r>
    </w:p>
    <w:p w14:paraId="6FA85E13">
      <w:pPr>
        <w:spacing w:line="219" w:lineRule="auto"/>
        <w:ind w:left="413"/>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7.1.5    </w:t>
      </w:r>
      <w:r>
        <w:rPr>
          <w:rFonts w:ascii="宋体" w:hAnsi="宋体" w:eastAsia="宋体" w:cs="宋体"/>
          <w:spacing w:val="7"/>
          <w:sz w:val="20"/>
          <w:szCs w:val="20"/>
          <w:highlight w:val="none"/>
        </w:rPr>
        <w:t>道路和桥梁的损坏责任</w:t>
      </w:r>
    </w:p>
    <w:p w14:paraId="572C2C6B">
      <w:pPr>
        <w:pStyle w:val="2"/>
        <w:spacing w:line="394" w:lineRule="auto"/>
        <w:rPr>
          <w:highlight w:val="none"/>
        </w:rPr>
      </w:pPr>
    </w:p>
    <w:p w14:paraId="37F3CF3B">
      <w:pPr>
        <w:spacing w:before="65" w:line="388" w:lineRule="auto"/>
        <w:ind w:left="3" w:right="68" w:firstLine="410"/>
        <w:rPr>
          <w:rFonts w:ascii="宋体" w:hAnsi="宋体" w:eastAsia="宋体" w:cs="宋体"/>
          <w:sz w:val="20"/>
          <w:szCs w:val="20"/>
          <w:highlight w:val="none"/>
        </w:rPr>
      </w:pPr>
      <w:r>
        <w:rPr>
          <w:rFonts w:ascii="宋体" w:hAnsi="宋体" w:eastAsia="宋体" w:cs="宋体"/>
          <w:spacing w:val="8"/>
          <w:sz w:val="20"/>
          <w:szCs w:val="20"/>
          <w:highlight w:val="none"/>
        </w:rPr>
        <w:t>因承包人运输造成施工现场内外公共道路和桥梁损坏的</w:t>
      </w:r>
      <w:r>
        <w:rPr>
          <w:rFonts w:ascii="宋体" w:hAnsi="宋体" w:eastAsia="宋体" w:cs="宋体"/>
          <w:spacing w:val="7"/>
          <w:sz w:val="20"/>
          <w:szCs w:val="20"/>
          <w:highlight w:val="none"/>
        </w:rPr>
        <w:t>，由承包人承担修复损坏的全部</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费用和可能引起的赔偿。</w:t>
      </w:r>
    </w:p>
    <w:p w14:paraId="78DA5A92">
      <w:pPr>
        <w:spacing w:line="219" w:lineRule="auto"/>
        <w:ind w:left="413"/>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7.1.6</w:t>
      </w:r>
      <w:r>
        <w:rPr>
          <w:rFonts w:ascii="Times New Roman" w:hAnsi="Times New Roman" w:eastAsia="Times New Roman" w:cs="Times New Roman"/>
          <w:spacing w:val="9"/>
          <w:sz w:val="20"/>
          <w:szCs w:val="20"/>
          <w:highlight w:val="none"/>
        </w:rPr>
        <w:t xml:space="preserve">    </w:t>
      </w:r>
      <w:r>
        <w:rPr>
          <w:rFonts w:ascii="宋体" w:hAnsi="宋体" w:eastAsia="宋体" w:cs="宋体"/>
          <w:spacing w:val="5"/>
          <w:sz w:val="20"/>
          <w:szCs w:val="20"/>
          <w:highlight w:val="none"/>
        </w:rPr>
        <w:t>水路和航空运输</w:t>
      </w:r>
    </w:p>
    <w:p w14:paraId="3D6943D9">
      <w:pPr>
        <w:pStyle w:val="2"/>
        <w:spacing w:line="361" w:lineRule="auto"/>
        <w:rPr>
          <w:highlight w:val="none"/>
        </w:rPr>
      </w:pPr>
    </w:p>
    <w:p w14:paraId="52DFA536">
      <w:pPr>
        <w:spacing w:before="69" w:line="423" w:lineRule="auto"/>
        <w:ind w:left="3" w:right="19" w:firstLine="410"/>
        <w:jc w:val="both"/>
        <w:rPr>
          <w:rFonts w:ascii="宋体" w:hAnsi="宋体" w:eastAsia="宋体" w:cs="宋体"/>
          <w:sz w:val="21"/>
          <w:szCs w:val="21"/>
          <w:highlight w:val="none"/>
        </w:rPr>
      </w:pPr>
      <w:r>
        <w:rPr>
          <w:rFonts w:ascii="宋体" w:hAnsi="宋体" w:eastAsia="宋体" w:cs="宋体"/>
          <w:spacing w:val="-1"/>
          <w:sz w:val="21"/>
          <w:szCs w:val="21"/>
          <w:highlight w:val="none"/>
        </w:rPr>
        <w:t>本条上述各款的内容适用于水路运输和航空运输，其中“道路”一词的涵义包括</w:t>
      </w:r>
      <w:r>
        <w:rPr>
          <w:rFonts w:ascii="宋体" w:hAnsi="宋体" w:eastAsia="宋体" w:cs="宋体"/>
          <w:spacing w:val="-2"/>
          <w:sz w:val="21"/>
          <w:szCs w:val="21"/>
          <w:highlight w:val="none"/>
        </w:rPr>
        <w:t>河道、</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航线、船闸、机场、码头、堤防以及水路或航空运</w:t>
      </w:r>
      <w:r>
        <w:rPr>
          <w:rFonts w:ascii="宋体" w:hAnsi="宋体" w:eastAsia="宋体" w:cs="宋体"/>
          <w:spacing w:val="-3"/>
          <w:sz w:val="21"/>
          <w:szCs w:val="21"/>
          <w:highlight w:val="none"/>
        </w:rPr>
        <w:t>输中其他相似结构物；“车辆”一词的涵</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义包括船舶和飞机等。</w:t>
      </w:r>
    </w:p>
    <w:p w14:paraId="3A29A96B">
      <w:pPr>
        <w:spacing w:before="146" w:line="222" w:lineRule="auto"/>
        <w:ind w:left="3"/>
        <w:rPr>
          <w:rFonts w:ascii="黑体" w:hAnsi="黑体" w:eastAsia="黑体" w:cs="黑体"/>
          <w:sz w:val="22"/>
          <w:szCs w:val="22"/>
          <w:highlight w:val="none"/>
        </w:rPr>
      </w:pPr>
      <w:r>
        <w:rPr>
          <w:rFonts w:ascii="黑体" w:hAnsi="黑体" w:eastAsia="黑体" w:cs="黑体"/>
          <w:spacing w:val="-1"/>
          <w:sz w:val="22"/>
          <w:szCs w:val="22"/>
          <w:highlight w:val="none"/>
        </w:rPr>
        <w:t>7.2施工设备和临时设施</w:t>
      </w:r>
    </w:p>
    <w:p w14:paraId="4F1D6F65">
      <w:pPr>
        <w:spacing w:before="96" w:line="219" w:lineRule="auto"/>
        <w:ind w:left="413"/>
        <w:rPr>
          <w:rFonts w:ascii="宋体" w:hAnsi="宋体" w:eastAsia="宋体" w:cs="宋体"/>
          <w:sz w:val="22"/>
          <w:szCs w:val="22"/>
          <w:highlight w:val="none"/>
        </w:rPr>
      </w:pPr>
      <w:r>
        <w:rPr>
          <w:rFonts w:ascii="宋体" w:hAnsi="宋体" w:eastAsia="宋体" w:cs="宋体"/>
          <w:spacing w:val="-3"/>
          <w:sz w:val="22"/>
          <w:szCs w:val="22"/>
          <w:highlight w:val="none"/>
        </w:rPr>
        <w:t>7.2.1承包人提供的施工设备和临时设施</w:t>
      </w:r>
    </w:p>
    <w:p w14:paraId="65B86182">
      <w:pPr>
        <w:pStyle w:val="2"/>
        <w:spacing w:line="369" w:lineRule="auto"/>
        <w:rPr>
          <w:highlight w:val="none"/>
        </w:rPr>
      </w:pPr>
    </w:p>
    <w:p w14:paraId="76E91845">
      <w:pPr>
        <w:spacing w:before="69" w:line="413" w:lineRule="auto"/>
        <w:ind w:left="3" w:right="63"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承包人应按项目进度计划的要求，及时配置施工设备和修建临时设</w:t>
      </w:r>
      <w:r>
        <w:rPr>
          <w:rFonts w:ascii="宋体" w:hAnsi="宋体" w:eastAsia="宋体" w:cs="宋体"/>
          <w:spacing w:val="-3"/>
          <w:sz w:val="21"/>
          <w:szCs w:val="21"/>
          <w:highlight w:val="none"/>
        </w:rPr>
        <w:t>施。进入施工现场的</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承包人提供的施工设备需经工程师核查后才能投入使用。承包人更换合同约定由承包人提供</w:t>
      </w:r>
      <w:r>
        <w:rPr>
          <w:rFonts w:ascii="宋体" w:hAnsi="宋体" w:eastAsia="宋体" w:cs="宋体"/>
          <w:spacing w:val="16"/>
          <w:sz w:val="21"/>
          <w:szCs w:val="21"/>
          <w:highlight w:val="none"/>
        </w:rPr>
        <w:t xml:space="preserve"> </w:t>
      </w:r>
      <w:r>
        <w:rPr>
          <w:rFonts w:ascii="宋体" w:hAnsi="宋体" w:eastAsia="宋体" w:cs="宋体"/>
          <w:spacing w:val="-2"/>
          <w:sz w:val="21"/>
          <w:szCs w:val="21"/>
          <w:highlight w:val="none"/>
        </w:rPr>
        <w:t>的施工设备的，应报工程师批准。</w:t>
      </w:r>
    </w:p>
    <w:p w14:paraId="6012CE33">
      <w:pPr>
        <w:spacing w:before="2" w:line="395" w:lineRule="auto"/>
        <w:ind w:left="3" w:right="4" w:firstLine="410"/>
        <w:jc w:val="both"/>
        <w:rPr>
          <w:rFonts w:ascii="宋体" w:hAnsi="宋体" w:eastAsia="宋体" w:cs="宋体"/>
          <w:sz w:val="21"/>
          <w:szCs w:val="21"/>
          <w:highlight w:val="none"/>
        </w:rPr>
      </w:pPr>
      <w:r>
        <w:rPr>
          <w:rFonts w:ascii="宋体" w:hAnsi="宋体" w:eastAsia="宋体" w:cs="宋体"/>
          <w:spacing w:val="-6"/>
          <w:sz w:val="21"/>
          <w:szCs w:val="21"/>
          <w:highlight w:val="none"/>
        </w:rPr>
        <w:t>除专用合同条件另有约定外，承包人应自行承担修建临时设施的费用，需要临时占地</w:t>
      </w:r>
      <w:r>
        <w:rPr>
          <w:rFonts w:ascii="宋体" w:hAnsi="宋体" w:eastAsia="宋体" w:cs="宋体"/>
          <w:spacing w:val="-7"/>
          <w:sz w:val="21"/>
          <w:szCs w:val="21"/>
          <w:highlight w:val="none"/>
        </w:rPr>
        <w:t>的，</w:t>
      </w:r>
      <w:r>
        <w:rPr>
          <w:rFonts w:ascii="宋体" w:hAnsi="宋体" w:eastAsia="宋体" w:cs="宋体"/>
          <w:sz w:val="21"/>
          <w:szCs w:val="21"/>
          <w:highlight w:val="none"/>
        </w:rPr>
        <w:t xml:space="preserve"> 应由发包人办理申请手续并承担相应费用。承包人应在专用合同条件7.2款约定的时间内向</w:t>
      </w:r>
      <w:r>
        <w:rPr>
          <w:rFonts w:ascii="宋体" w:hAnsi="宋体" w:eastAsia="宋体" w:cs="宋体"/>
          <w:spacing w:val="16"/>
          <w:sz w:val="21"/>
          <w:szCs w:val="21"/>
          <w:highlight w:val="none"/>
        </w:rPr>
        <w:t xml:space="preserve"> </w:t>
      </w:r>
      <w:r>
        <w:rPr>
          <w:rFonts w:ascii="宋体" w:hAnsi="宋体" w:eastAsia="宋体" w:cs="宋体"/>
          <w:spacing w:val="-2"/>
          <w:sz w:val="21"/>
          <w:szCs w:val="21"/>
          <w:highlight w:val="none"/>
        </w:rPr>
        <w:t>发包人提交临时占地资料，因承包人未能按时提交资料，导致工期延误的，由</w:t>
      </w:r>
      <w:r>
        <w:rPr>
          <w:rFonts w:ascii="宋体" w:hAnsi="宋体" w:eastAsia="宋体" w:cs="宋体"/>
          <w:spacing w:val="-3"/>
          <w:sz w:val="21"/>
          <w:szCs w:val="21"/>
          <w:highlight w:val="none"/>
        </w:rPr>
        <w:t>此增加的费用</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和(或)竣工日期延误，由承包人负责。</w:t>
      </w:r>
    </w:p>
    <w:p w14:paraId="0E412577">
      <w:pPr>
        <w:spacing w:before="1" w:line="218" w:lineRule="auto"/>
        <w:ind w:left="413"/>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7.2.2   </w:t>
      </w:r>
      <w:r>
        <w:rPr>
          <w:rFonts w:ascii="宋体" w:hAnsi="宋体" w:eastAsia="宋体" w:cs="宋体"/>
          <w:spacing w:val="-5"/>
          <w:sz w:val="22"/>
          <w:szCs w:val="22"/>
          <w:highlight w:val="none"/>
        </w:rPr>
        <w:t>发包人提供的施工设备和临时设施</w:t>
      </w:r>
    </w:p>
    <w:p w14:paraId="6F7ECE74">
      <w:pPr>
        <w:pStyle w:val="2"/>
        <w:spacing w:line="365" w:lineRule="auto"/>
        <w:rPr>
          <w:highlight w:val="none"/>
        </w:rPr>
      </w:pPr>
    </w:p>
    <w:p w14:paraId="4606693A">
      <w:pPr>
        <w:spacing w:before="72" w:line="219" w:lineRule="auto"/>
        <w:ind w:left="413"/>
        <w:rPr>
          <w:rFonts w:ascii="宋体" w:hAnsi="宋体" w:eastAsia="宋体" w:cs="宋体"/>
          <w:sz w:val="22"/>
          <w:szCs w:val="22"/>
          <w:highlight w:val="none"/>
        </w:rPr>
      </w:pPr>
      <w:r>
        <w:rPr>
          <w:rFonts w:ascii="宋体" w:hAnsi="宋体" w:eastAsia="宋体" w:cs="宋体"/>
          <w:spacing w:val="-11"/>
          <w:sz w:val="22"/>
          <w:szCs w:val="22"/>
          <w:highlight w:val="none"/>
        </w:rPr>
        <w:t>发包人提供的施工设备或临时设施在专用合同条件中约定。</w:t>
      </w:r>
    </w:p>
    <w:p w14:paraId="06EBA4FC">
      <w:pPr>
        <w:spacing w:before="119" w:line="219" w:lineRule="auto"/>
        <w:ind w:left="413"/>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7.2.3    </w:t>
      </w:r>
      <w:r>
        <w:rPr>
          <w:rFonts w:ascii="宋体" w:hAnsi="宋体" w:eastAsia="宋体" w:cs="宋体"/>
          <w:spacing w:val="7"/>
          <w:sz w:val="20"/>
          <w:szCs w:val="20"/>
          <w:highlight w:val="none"/>
        </w:rPr>
        <w:t>要求承包人增加或更换施工设备</w:t>
      </w:r>
    </w:p>
    <w:p w14:paraId="739E000A">
      <w:pPr>
        <w:pStyle w:val="2"/>
        <w:spacing w:line="372" w:lineRule="auto"/>
        <w:rPr>
          <w:highlight w:val="none"/>
        </w:rPr>
      </w:pPr>
    </w:p>
    <w:p w14:paraId="10EA59C3">
      <w:pPr>
        <w:spacing w:before="69" w:line="219" w:lineRule="auto"/>
        <w:ind w:left="413"/>
        <w:rPr>
          <w:rFonts w:ascii="宋体" w:hAnsi="宋体" w:eastAsia="宋体" w:cs="宋体"/>
          <w:sz w:val="21"/>
          <w:szCs w:val="21"/>
          <w:highlight w:val="none"/>
        </w:rPr>
      </w:pPr>
      <w:r>
        <w:rPr>
          <w:rFonts w:ascii="宋体" w:hAnsi="宋体" w:eastAsia="宋体" w:cs="宋体"/>
          <w:spacing w:val="3"/>
          <w:sz w:val="21"/>
          <w:szCs w:val="21"/>
          <w:highlight w:val="none"/>
        </w:rPr>
        <w:t>承包人使用的施工设备不能满足项目进度计划和(或)质量要求时，工程师有权要求承</w:t>
      </w:r>
    </w:p>
    <w:p w14:paraId="1FBF915D">
      <w:pPr>
        <w:spacing w:line="219" w:lineRule="auto"/>
        <w:rPr>
          <w:rFonts w:ascii="宋体" w:hAnsi="宋体" w:eastAsia="宋体" w:cs="宋体"/>
          <w:sz w:val="21"/>
          <w:szCs w:val="21"/>
          <w:highlight w:val="none"/>
        </w:rPr>
        <w:sectPr>
          <w:footerReference r:id="rId101" w:type="default"/>
          <w:pgSz w:w="11910" w:h="16840"/>
          <w:pgMar w:top="400" w:right="1750" w:bottom="1217" w:left="1786" w:header="0" w:footer="1013" w:gutter="0"/>
          <w:cols w:space="720" w:num="1"/>
        </w:sectPr>
      </w:pPr>
    </w:p>
    <w:p w14:paraId="05AB565A">
      <w:pPr>
        <w:pStyle w:val="2"/>
        <w:spacing w:line="276" w:lineRule="auto"/>
        <w:rPr>
          <w:highlight w:val="none"/>
        </w:rPr>
      </w:pPr>
    </w:p>
    <w:p w14:paraId="19EE61A6">
      <w:pPr>
        <w:pStyle w:val="2"/>
        <w:spacing w:line="276" w:lineRule="auto"/>
        <w:rPr>
          <w:highlight w:val="none"/>
        </w:rPr>
      </w:pPr>
    </w:p>
    <w:p w14:paraId="078816ED">
      <w:pPr>
        <w:pStyle w:val="2"/>
        <w:spacing w:line="276" w:lineRule="auto"/>
        <w:rPr>
          <w:highlight w:val="none"/>
        </w:rPr>
      </w:pPr>
    </w:p>
    <w:p w14:paraId="360C8C8D">
      <w:pPr>
        <w:pStyle w:val="2"/>
        <w:spacing w:line="277" w:lineRule="auto"/>
        <w:rPr>
          <w:highlight w:val="none"/>
        </w:rPr>
      </w:pPr>
    </w:p>
    <w:p w14:paraId="19CE679A">
      <w:pPr>
        <w:spacing w:before="65" w:line="379" w:lineRule="auto"/>
        <w:ind w:right="116"/>
        <w:rPr>
          <w:rFonts w:ascii="宋体" w:hAnsi="宋体" w:eastAsia="宋体" w:cs="宋体"/>
          <w:sz w:val="20"/>
          <w:szCs w:val="20"/>
          <w:highlight w:val="none"/>
        </w:rPr>
      </w:pPr>
      <w:r>
        <w:rPr>
          <w:rFonts w:ascii="宋体" w:hAnsi="宋体" w:eastAsia="宋体" w:cs="宋体"/>
          <w:spacing w:val="13"/>
          <w:sz w:val="20"/>
          <w:szCs w:val="20"/>
          <w:highlight w:val="none"/>
        </w:rPr>
        <w:t>包人增加或更换施工设备，承包人应及时增加或更</w:t>
      </w:r>
      <w:r>
        <w:rPr>
          <w:rFonts w:ascii="宋体" w:hAnsi="宋体" w:eastAsia="宋体" w:cs="宋体"/>
          <w:spacing w:val="12"/>
          <w:sz w:val="20"/>
          <w:szCs w:val="20"/>
          <w:highlight w:val="none"/>
        </w:rPr>
        <w:t>换，由此增加的费用和(或)延误的工期</w:t>
      </w:r>
      <w:r>
        <w:rPr>
          <w:rFonts w:ascii="宋体" w:hAnsi="宋体" w:eastAsia="宋体" w:cs="宋体"/>
          <w:sz w:val="20"/>
          <w:szCs w:val="20"/>
          <w:highlight w:val="none"/>
        </w:rPr>
        <w:t xml:space="preserve"> </w:t>
      </w:r>
      <w:r>
        <w:rPr>
          <w:rFonts w:ascii="宋体" w:hAnsi="宋体" w:eastAsia="宋体" w:cs="宋体"/>
          <w:spacing w:val="2"/>
          <w:sz w:val="20"/>
          <w:szCs w:val="20"/>
          <w:highlight w:val="none"/>
        </w:rPr>
        <w:t>由承包人承担。</w:t>
      </w:r>
    </w:p>
    <w:p w14:paraId="6021CC16">
      <w:pPr>
        <w:spacing w:line="219" w:lineRule="auto"/>
        <w:ind w:left="420"/>
        <w:rPr>
          <w:rFonts w:ascii="宋体" w:hAnsi="宋体" w:eastAsia="宋体" w:cs="宋体"/>
          <w:sz w:val="22"/>
          <w:szCs w:val="22"/>
          <w:highlight w:val="none"/>
        </w:rPr>
      </w:pPr>
      <w:r>
        <w:rPr>
          <w:rFonts w:ascii="宋体" w:hAnsi="宋体" w:eastAsia="宋体" w:cs="宋体"/>
          <w:spacing w:val="-4"/>
          <w:sz w:val="22"/>
          <w:szCs w:val="22"/>
          <w:highlight w:val="none"/>
        </w:rPr>
        <w:t>7.2.4施工设备和临时设施专用于合同工程</w:t>
      </w:r>
    </w:p>
    <w:p w14:paraId="1ED7A05D">
      <w:pPr>
        <w:pStyle w:val="2"/>
        <w:spacing w:line="367" w:lineRule="auto"/>
        <w:rPr>
          <w:highlight w:val="none"/>
        </w:rPr>
      </w:pPr>
    </w:p>
    <w:p w14:paraId="6C63AD68">
      <w:pPr>
        <w:spacing w:before="68" w:line="411" w:lineRule="auto"/>
        <w:ind w:right="101"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承包人运入施工现场的施工设备以及在施工现场建设的临时设施必须专</w:t>
      </w:r>
      <w:r>
        <w:rPr>
          <w:rFonts w:ascii="宋体" w:hAnsi="宋体" w:eastAsia="宋体" w:cs="宋体"/>
          <w:spacing w:val="-3"/>
          <w:sz w:val="21"/>
          <w:szCs w:val="21"/>
          <w:highlight w:val="none"/>
        </w:rPr>
        <w:t>用于工程。未经</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发包人批准，承包人不得运出施工现场或挪作他用；经发包人批准，承包人可以根据</w:t>
      </w:r>
      <w:r>
        <w:rPr>
          <w:rFonts w:ascii="宋体" w:hAnsi="宋体" w:eastAsia="宋体" w:cs="宋体"/>
          <w:spacing w:val="-3"/>
          <w:sz w:val="21"/>
          <w:szCs w:val="21"/>
          <w:highlight w:val="none"/>
        </w:rPr>
        <w:t>施工进</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度计划撤走闲置的施工设备和其他物品。</w:t>
      </w:r>
    </w:p>
    <w:p w14:paraId="3588B87B">
      <w:pPr>
        <w:pStyle w:val="2"/>
        <w:spacing w:before="138" w:line="300" w:lineRule="exact"/>
        <w:rPr>
          <w:rFonts w:ascii="黑体" w:hAnsi="黑体" w:eastAsia="黑体" w:cs="黑体"/>
          <w:sz w:val="22"/>
          <w:szCs w:val="22"/>
          <w:highlight w:val="none"/>
        </w:rPr>
      </w:pPr>
      <w:r>
        <w:rPr>
          <w:spacing w:val="-5"/>
          <w:position w:val="1"/>
          <w:sz w:val="22"/>
          <w:szCs w:val="22"/>
          <w:highlight w:val="none"/>
        </w:rPr>
        <w:t xml:space="preserve">7.3  </w:t>
      </w:r>
      <w:r>
        <w:rPr>
          <w:rFonts w:ascii="黑体" w:hAnsi="黑体" w:eastAsia="黑体" w:cs="黑体"/>
          <w:spacing w:val="-5"/>
          <w:position w:val="1"/>
          <w:sz w:val="22"/>
          <w:szCs w:val="22"/>
          <w:highlight w:val="none"/>
        </w:rPr>
        <w:t>现场合作</w:t>
      </w:r>
    </w:p>
    <w:p w14:paraId="10950AC5">
      <w:pPr>
        <w:spacing w:before="239" w:line="434" w:lineRule="auto"/>
        <w:ind w:right="94" w:firstLine="420"/>
        <w:jc w:val="both"/>
        <w:rPr>
          <w:rFonts w:ascii="宋体" w:hAnsi="宋体" w:eastAsia="宋体" w:cs="宋体"/>
          <w:sz w:val="20"/>
          <w:szCs w:val="20"/>
          <w:highlight w:val="none"/>
        </w:rPr>
      </w:pPr>
      <w:r>
        <w:rPr>
          <w:rFonts w:ascii="宋体" w:hAnsi="宋体" w:eastAsia="宋体" w:cs="宋体"/>
          <w:spacing w:val="8"/>
          <w:sz w:val="20"/>
          <w:szCs w:val="20"/>
          <w:highlight w:val="none"/>
        </w:rPr>
        <w:t>承包人应按合同约定或发包人的指示，与发包人人员、发包人的其他承包人</w:t>
      </w:r>
      <w:r>
        <w:rPr>
          <w:rFonts w:ascii="宋体" w:hAnsi="宋体" w:eastAsia="宋体" w:cs="宋体"/>
          <w:spacing w:val="7"/>
          <w:sz w:val="20"/>
          <w:szCs w:val="20"/>
          <w:highlight w:val="none"/>
        </w:rPr>
        <w:t>等人员就在</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现场或附近实施与工程有关的各项工作进行合作并提供适当条件，包括使用承包人设备、临</w:t>
      </w:r>
      <w:r>
        <w:rPr>
          <w:rFonts w:ascii="宋体" w:hAnsi="宋体" w:eastAsia="宋体" w:cs="宋体"/>
          <w:spacing w:val="5"/>
          <w:sz w:val="20"/>
          <w:szCs w:val="20"/>
          <w:highlight w:val="none"/>
        </w:rPr>
        <w:t xml:space="preserve"> </w:t>
      </w:r>
      <w:r>
        <w:rPr>
          <w:rFonts w:ascii="宋体" w:hAnsi="宋体" w:eastAsia="宋体" w:cs="宋体"/>
          <w:spacing w:val="7"/>
          <w:sz w:val="20"/>
          <w:szCs w:val="20"/>
          <w:highlight w:val="none"/>
        </w:rPr>
        <w:t>时工程或进入现场等。</w:t>
      </w:r>
    </w:p>
    <w:p w14:paraId="47A5BD17">
      <w:pPr>
        <w:spacing w:line="413" w:lineRule="auto"/>
        <w:ind w:right="98" w:firstLine="420"/>
        <w:rPr>
          <w:rFonts w:ascii="宋体" w:hAnsi="宋体" w:eastAsia="宋体" w:cs="宋体"/>
          <w:sz w:val="21"/>
          <w:szCs w:val="21"/>
          <w:highlight w:val="none"/>
        </w:rPr>
      </w:pPr>
      <w:r>
        <w:rPr>
          <w:rFonts w:ascii="宋体" w:hAnsi="宋体" w:eastAsia="宋体" w:cs="宋体"/>
          <w:spacing w:val="-2"/>
          <w:sz w:val="21"/>
          <w:szCs w:val="21"/>
          <w:highlight w:val="none"/>
        </w:rPr>
        <w:t>承包人应对其在现场的施工活动负责，并应尽合理努力按合同约定或发包人的</w:t>
      </w:r>
      <w:r>
        <w:rPr>
          <w:rFonts w:ascii="宋体" w:hAnsi="宋体" w:eastAsia="宋体" w:cs="宋体"/>
          <w:spacing w:val="-3"/>
          <w:sz w:val="21"/>
          <w:szCs w:val="21"/>
          <w:highlight w:val="none"/>
        </w:rPr>
        <w:t>指示，协</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调自身与发包人人员、发包人的其他承包人等人员的活动。</w:t>
      </w:r>
    </w:p>
    <w:p w14:paraId="4D967F47">
      <w:pPr>
        <w:spacing w:before="1" w:line="400" w:lineRule="auto"/>
        <w:ind w:right="101" w:firstLine="420"/>
        <w:jc w:val="both"/>
        <w:rPr>
          <w:rFonts w:ascii="宋体" w:hAnsi="宋体" w:eastAsia="宋体" w:cs="宋体"/>
          <w:sz w:val="22"/>
          <w:szCs w:val="22"/>
          <w:highlight w:val="none"/>
        </w:rPr>
      </w:pPr>
      <w:r>
        <w:rPr>
          <w:rFonts w:ascii="宋体" w:hAnsi="宋体" w:eastAsia="宋体" w:cs="宋体"/>
          <w:spacing w:val="-12"/>
          <w:sz w:val="22"/>
          <w:szCs w:val="22"/>
          <w:highlight w:val="none"/>
        </w:rPr>
        <w:t>除专用合同条件另有约定外，如果承包人提供上述合作、条件或协调在考</w:t>
      </w:r>
      <w:r>
        <w:rPr>
          <w:rFonts w:ascii="宋体" w:hAnsi="宋体" w:eastAsia="宋体" w:cs="宋体"/>
          <w:spacing w:val="-13"/>
          <w:sz w:val="22"/>
          <w:szCs w:val="22"/>
          <w:highlight w:val="none"/>
        </w:rPr>
        <w:t>虑到《发包人</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要求》所列内容的情况下是不可预见的，则承包人有权就额外费用和合理利润从发包人</w:t>
      </w:r>
      <w:r>
        <w:rPr>
          <w:rFonts w:ascii="宋体" w:hAnsi="宋体" w:eastAsia="宋体" w:cs="宋体"/>
          <w:spacing w:val="-13"/>
          <w:sz w:val="22"/>
          <w:szCs w:val="22"/>
          <w:highlight w:val="none"/>
        </w:rPr>
        <w:t>处获</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得支付，且因此延误的工期应相应顺延。</w:t>
      </w:r>
    </w:p>
    <w:p w14:paraId="1EBEA8E1">
      <w:pPr>
        <w:spacing w:before="206" w:line="219" w:lineRule="auto"/>
        <w:rPr>
          <w:rFonts w:ascii="黑体" w:hAnsi="黑体" w:eastAsia="黑体" w:cs="黑体"/>
          <w:sz w:val="19"/>
          <w:szCs w:val="19"/>
          <w:highlight w:val="none"/>
        </w:rPr>
      </w:pPr>
      <w:r>
        <w:rPr>
          <w:rFonts w:ascii="黑体" w:hAnsi="黑体" w:eastAsia="黑体" w:cs="黑体"/>
          <w:spacing w:val="17"/>
          <w:sz w:val="19"/>
          <w:szCs w:val="19"/>
          <w:highlight w:val="none"/>
        </w:rPr>
        <w:t>7</w:t>
      </w:r>
      <w:r>
        <w:rPr>
          <w:rFonts w:ascii="黑体" w:hAnsi="黑体" w:eastAsia="黑体" w:cs="黑体"/>
          <w:spacing w:val="-43"/>
          <w:sz w:val="19"/>
          <w:szCs w:val="19"/>
          <w:highlight w:val="none"/>
        </w:rPr>
        <w:t xml:space="preserve"> </w:t>
      </w:r>
      <w:r>
        <w:rPr>
          <w:rFonts w:ascii="黑体" w:hAnsi="黑体" w:eastAsia="黑体" w:cs="黑体"/>
          <w:spacing w:val="17"/>
          <w:sz w:val="19"/>
          <w:szCs w:val="19"/>
          <w:highlight w:val="none"/>
        </w:rPr>
        <w:t>.</w:t>
      </w:r>
      <w:r>
        <w:rPr>
          <w:rFonts w:ascii="黑体" w:hAnsi="黑体" w:eastAsia="黑体" w:cs="黑体"/>
          <w:spacing w:val="-57"/>
          <w:sz w:val="19"/>
          <w:szCs w:val="19"/>
          <w:highlight w:val="none"/>
        </w:rPr>
        <w:t xml:space="preserve"> </w:t>
      </w:r>
      <w:r>
        <w:rPr>
          <w:rFonts w:ascii="黑体" w:hAnsi="黑体" w:eastAsia="黑体" w:cs="黑体"/>
          <w:spacing w:val="17"/>
          <w:sz w:val="19"/>
          <w:szCs w:val="19"/>
          <w:highlight w:val="none"/>
        </w:rPr>
        <w:t>4测量放线</w:t>
      </w:r>
    </w:p>
    <w:p w14:paraId="5D9AE156">
      <w:pPr>
        <w:spacing w:before="126" w:line="308" w:lineRule="auto"/>
        <w:ind w:right="90"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7.4.1    </w:t>
      </w:r>
      <w:r>
        <w:rPr>
          <w:rFonts w:ascii="宋体" w:hAnsi="宋体" w:eastAsia="宋体" w:cs="宋体"/>
          <w:spacing w:val="-2"/>
          <w:sz w:val="21"/>
          <w:szCs w:val="21"/>
          <w:highlight w:val="none"/>
        </w:rPr>
        <w:t>除专用合同条件另有约定外，承包人应根据国家测绘基准、测绘系统和工程测量</w:t>
      </w:r>
      <w:r>
        <w:rPr>
          <w:rFonts w:ascii="宋体" w:hAnsi="宋体" w:eastAsia="宋体" w:cs="宋体"/>
          <w:spacing w:val="5"/>
          <w:sz w:val="21"/>
          <w:szCs w:val="21"/>
          <w:highlight w:val="none"/>
        </w:rPr>
        <w:t xml:space="preserve"> </w:t>
      </w:r>
      <w:r>
        <w:rPr>
          <w:rFonts w:ascii="宋体" w:hAnsi="宋体" w:eastAsia="宋体" w:cs="宋体"/>
          <w:spacing w:val="3"/>
          <w:sz w:val="21"/>
          <w:szCs w:val="21"/>
          <w:highlight w:val="none"/>
        </w:rPr>
        <w:t>技术规范，按基准点(线)以及合同工程精度要求，测设施工控制网，并在专用合同条件约</w:t>
      </w:r>
      <w:r>
        <w:rPr>
          <w:rFonts w:ascii="宋体" w:hAnsi="宋体" w:eastAsia="宋体" w:cs="宋体"/>
          <w:spacing w:val="18"/>
          <w:sz w:val="21"/>
          <w:szCs w:val="21"/>
          <w:highlight w:val="none"/>
        </w:rPr>
        <w:t xml:space="preserve"> </w:t>
      </w:r>
      <w:r>
        <w:rPr>
          <w:rFonts w:ascii="宋体" w:hAnsi="宋体" w:eastAsia="宋体" w:cs="宋体"/>
          <w:spacing w:val="-3"/>
          <w:sz w:val="21"/>
          <w:szCs w:val="21"/>
          <w:highlight w:val="none"/>
        </w:rPr>
        <w:t>定的期限内，将施工控制网资料报送工程师。</w:t>
      </w:r>
    </w:p>
    <w:p w14:paraId="43153489">
      <w:pPr>
        <w:pStyle w:val="2"/>
        <w:spacing w:line="279" w:lineRule="auto"/>
        <w:rPr>
          <w:highlight w:val="none"/>
        </w:rPr>
      </w:pPr>
    </w:p>
    <w:p w14:paraId="2BD2CFDE">
      <w:pPr>
        <w:spacing w:before="69" w:line="302" w:lineRule="auto"/>
        <w:ind w:right="82" w:firstLine="420"/>
        <w:rPr>
          <w:rFonts w:ascii="宋体" w:hAnsi="宋体" w:eastAsia="宋体" w:cs="宋体"/>
          <w:sz w:val="21"/>
          <w:szCs w:val="21"/>
          <w:highlight w:val="none"/>
        </w:rPr>
      </w:pPr>
      <w:r>
        <w:rPr>
          <w:rFonts w:ascii="宋体" w:hAnsi="宋体" w:eastAsia="宋体" w:cs="宋体"/>
          <w:spacing w:val="1"/>
          <w:sz w:val="21"/>
          <w:szCs w:val="21"/>
          <w:highlight w:val="none"/>
        </w:rPr>
        <w:t xml:space="preserve">7.4.2承包人应负责管理施工控制网点。施工控制网点丢失或损坏的，承包人应及时修 </w:t>
      </w:r>
      <w:r>
        <w:rPr>
          <w:rFonts w:ascii="宋体" w:hAnsi="宋体" w:eastAsia="宋体" w:cs="宋体"/>
          <w:spacing w:val="-2"/>
          <w:sz w:val="21"/>
          <w:szCs w:val="21"/>
          <w:highlight w:val="none"/>
        </w:rPr>
        <w:t>复。承包人应承担施工控制网点的管理与修复费用，并在工程竣工后将施工控制网点移</w:t>
      </w:r>
      <w:r>
        <w:rPr>
          <w:rFonts w:ascii="宋体" w:hAnsi="宋体" w:eastAsia="宋体" w:cs="宋体"/>
          <w:spacing w:val="-3"/>
          <w:sz w:val="21"/>
          <w:szCs w:val="21"/>
          <w:highlight w:val="none"/>
        </w:rPr>
        <w:t>交发</w:t>
      </w:r>
      <w:r>
        <w:rPr>
          <w:rFonts w:ascii="宋体" w:hAnsi="宋体" w:eastAsia="宋体" w:cs="宋体"/>
          <w:sz w:val="21"/>
          <w:szCs w:val="21"/>
          <w:highlight w:val="none"/>
        </w:rPr>
        <w:t xml:space="preserve"> 包人。承包人负责对工程、单位/区段工程、施工部位放线，</w:t>
      </w:r>
      <w:r>
        <w:rPr>
          <w:rFonts w:ascii="宋体" w:hAnsi="宋体" w:eastAsia="宋体" w:cs="宋体"/>
          <w:spacing w:val="-1"/>
          <w:sz w:val="21"/>
          <w:szCs w:val="21"/>
          <w:highlight w:val="none"/>
        </w:rPr>
        <w:t>并对放线的准确性负责。</w:t>
      </w:r>
    </w:p>
    <w:p w14:paraId="555AF432">
      <w:pPr>
        <w:pStyle w:val="2"/>
        <w:spacing w:line="279" w:lineRule="auto"/>
        <w:rPr>
          <w:highlight w:val="none"/>
        </w:rPr>
      </w:pPr>
    </w:p>
    <w:p w14:paraId="6E2DB9C5">
      <w:pPr>
        <w:spacing w:before="72" w:line="302" w:lineRule="auto"/>
        <w:ind w:firstLine="420"/>
        <w:rPr>
          <w:rFonts w:ascii="宋体" w:hAnsi="宋体" w:eastAsia="宋体" w:cs="宋体"/>
          <w:sz w:val="22"/>
          <w:szCs w:val="22"/>
          <w:highlight w:val="none"/>
        </w:rPr>
      </w:pPr>
      <w:r>
        <w:rPr>
          <w:rFonts w:ascii="宋体" w:hAnsi="宋体" w:eastAsia="宋体" w:cs="宋体"/>
          <w:spacing w:val="-6"/>
          <w:sz w:val="22"/>
          <w:szCs w:val="22"/>
          <w:highlight w:val="none"/>
        </w:rPr>
        <w:t>7.4.3承包人负责施工过程中的全部施工测量放线工作，并配</w:t>
      </w:r>
      <w:r>
        <w:rPr>
          <w:rFonts w:ascii="宋体" w:hAnsi="宋体" w:eastAsia="宋体" w:cs="宋体"/>
          <w:spacing w:val="-7"/>
          <w:sz w:val="22"/>
          <w:szCs w:val="22"/>
          <w:highlight w:val="none"/>
        </w:rPr>
        <w:t>置具有相应资质的人员、</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合格的仪器、设备和其他物品。承包人应矫正工程的位置、标高、尺寸或基准线中出现</w:t>
      </w:r>
      <w:r>
        <w:rPr>
          <w:rFonts w:ascii="宋体" w:hAnsi="宋体" w:eastAsia="宋体" w:cs="宋体"/>
          <w:spacing w:val="-13"/>
          <w:sz w:val="22"/>
          <w:szCs w:val="22"/>
          <w:highlight w:val="none"/>
        </w:rPr>
        <w:t>的任</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何差错，并对工程各部分的定位负责。施工过程中对施工现场内水准点等测量标志物的保护</w:t>
      </w:r>
      <w:r>
        <w:rPr>
          <w:rFonts w:ascii="宋体" w:hAnsi="宋体" w:eastAsia="宋体" w:cs="宋体"/>
          <w:spacing w:val="2"/>
          <w:sz w:val="22"/>
          <w:szCs w:val="22"/>
          <w:highlight w:val="none"/>
        </w:rPr>
        <w:t xml:space="preserve">  </w:t>
      </w:r>
      <w:r>
        <w:rPr>
          <w:rFonts w:ascii="宋体" w:hAnsi="宋体" w:eastAsia="宋体" w:cs="宋体"/>
          <w:spacing w:val="-12"/>
          <w:sz w:val="22"/>
          <w:szCs w:val="22"/>
          <w:highlight w:val="none"/>
        </w:rPr>
        <w:t>工作由承包人负责。</w:t>
      </w:r>
    </w:p>
    <w:p w14:paraId="2E2DD78F">
      <w:pPr>
        <w:spacing w:line="302" w:lineRule="auto"/>
        <w:rPr>
          <w:rFonts w:ascii="宋体" w:hAnsi="宋体" w:eastAsia="宋体" w:cs="宋体"/>
          <w:sz w:val="22"/>
          <w:szCs w:val="22"/>
          <w:highlight w:val="none"/>
        </w:rPr>
        <w:sectPr>
          <w:footerReference r:id="rId102" w:type="default"/>
          <w:pgSz w:w="11910" w:h="16840"/>
          <w:pgMar w:top="400" w:right="1709" w:bottom="1218" w:left="1779" w:header="0" w:footer="986" w:gutter="0"/>
          <w:cols w:space="720" w:num="1"/>
        </w:sectPr>
      </w:pPr>
    </w:p>
    <w:p w14:paraId="40EB01F1">
      <w:pPr>
        <w:pStyle w:val="2"/>
        <w:spacing w:line="267" w:lineRule="auto"/>
        <w:rPr>
          <w:highlight w:val="none"/>
        </w:rPr>
      </w:pPr>
    </w:p>
    <w:p w14:paraId="27621136">
      <w:pPr>
        <w:pStyle w:val="2"/>
        <w:spacing w:line="267" w:lineRule="auto"/>
        <w:rPr>
          <w:highlight w:val="none"/>
        </w:rPr>
      </w:pPr>
    </w:p>
    <w:p w14:paraId="116B826B">
      <w:pPr>
        <w:pStyle w:val="2"/>
        <w:spacing w:line="267" w:lineRule="auto"/>
        <w:rPr>
          <w:highlight w:val="none"/>
        </w:rPr>
      </w:pPr>
    </w:p>
    <w:p w14:paraId="70210A46">
      <w:pPr>
        <w:pStyle w:val="2"/>
        <w:spacing w:line="268" w:lineRule="auto"/>
        <w:rPr>
          <w:highlight w:val="none"/>
        </w:rPr>
      </w:pPr>
    </w:p>
    <w:p w14:paraId="540BBE3B">
      <w:pPr>
        <w:spacing w:before="71" w:line="222" w:lineRule="auto"/>
        <w:rPr>
          <w:rFonts w:ascii="黑体" w:hAnsi="黑体" w:eastAsia="黑体" w:cs="黑体"/>
          <w:sz w:val="22"/>
          <w:szCs w:val="22"/>
          <w:highlight w:val="none"/>
        </w:rPr>
      </w:pPr>
      <w:r>
        <w:rPr>
          <w:rFonts w:ascii="黑体" w:hAnsi="黑体" w:eastAsia="黑体" w:cs="黑体"/>
          <w:spacing w:val="3"/>
          <w:sz w:val="22"/>
          <w:szCs w:val="22"/>
          <w:highlight w:val="none"/>
        </w:rPr>
        <w:t>7.5现场劳动用工</w:t>
      </w:r>
    </w:p>
    <w:p w14:paraId="5E4DB230">
      <w:pPr>
        <w:spacing w:before="114" w:line="308" w:lineRule="auto"/>
        <w:ind w:right="94" w:firstLine="420"/>
        <w:rPr>
          <w:rFonts w:ascii="宋体" w:hAnsi="宋体" w:eastAsia="宋体" w:cs="宋体"/>
          <w:sz w:val="21"/>
          <w:szCs w:val="21"/>
          <w:highlight w:val="none"/>
        </w:rPr>
      </w:pPr>
      <w:r>
        <w:rPr>
          <w:rFonts w:ascii="宋体" w:hAnsi="宋体" w:eastAsia="宋体" w:cs="宋体"/>
          <w:spacing w:val="6"/>
          <w:sz w:val="21"/>
          <w:szCs w:val="21"/>
          <w:highlight w:val="none"/>
        </w:rPr>
        <w:t>7.5.1承包人及其分包人招用建筑工人的，应当依法与所招用的建筑工人订立劳</w:t>
      </w:r>
      <w:r>
        <w:rPr>
          <w:rFonts w:ascii="宋体" w:hAnsi="宋体" w:eastAsia="宋体" w:cs="宋体"/>
          <w:spacing w:val="5"/>
          <w:sz w:val="21"/>
          <w:szCs w:val="21"/>
          <w:highlight w:val="none"/>
        </w:rPr>
        <w:t>动合</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同，实行建筑工人劳动用工实名制管理，承包人应当按照有关规定开设建筑工人工资专用账</w:t>
      </w:r>
      <w:r>
        <w:rPr>
          <w:rFonts w:ascii="宋体" w:hAnsi="宋体" w:eastAsia="宋体" w:cs="宋体"/>
          <w:sz w:val="21"/>
          <w:szCs w:val="21"/>
          <w:highlight w:val="none"/>
        </w:rPr>
        <w:t xml:space="preserve"> 户、存储工资保证金，专项用于支付和保障该工程建设项目建筑工人工资。</w:t>
      </w:r>
    </w:p>
    <w:p w14:paraId="601ADD9C">
      <w:pPr>
        <w:pStyle w:val="2"/>
        <w:spacing w:line="260" w:lineRule="auto"/>
        <w:rPr>
          <w:highlight w:val="none"/>
        </w:rPr>
      </w:pPr>
    </w:p>
    <w:p w14:paraId="033C4835">
      <w:pPr>
        <w:spacing w:before="68" w:line="327" w:lineRule="auto"/>
        <w:ind w:right="71" w:firstLine="420"/>
        <w:rPr>
          <w:rFonts w:ascii="宋体" w:hAnsi="宋体" w:eastAsia="宋体" w:cs="宋体"/>
          <w:sz w:val="21"/>
          <w:szCs w:val="21"/>
          <w:highlight w:val="none"/>
        </w:rPr>
      </w:pPr>
      <w:r>
        <w:rPr>
          <w:rFonts w:ascii="宋体" w:hAnsi="宋体" w:eastAsia="宋体" w:cs="宋体"/>
          <w:spacing w:val="1"/>
          <w:sz w:val="21"/>
          <w:szCs w:val="21"/>
          <w:highlight w:val="none"/>
        </w:rPr>
        <w:t>7.5.2承包人应当在工程项目部配备劳资专管员</w:t>
      </w:r>
      <w:r>
        <w:rPr>
          <w:rFonts w:ascii="宋体" w:hAnsi="宋体" w:eastAsia="宋体" w:cs="宋体"/>
          <w:sz w:val="21"/>
          <w:szCs w:val="21"/>
          <w:highlight w:val="none"/>
        </w:rPr>
        <w:t xml:space="preserve">，对分包单位劳动用工及工资发放实施 </w:t>
      </w:r>
      <w:r>
        <w:rPr>
          <w:rFonts w:ascii="宋体" w:hAnsi="宋体" w:eastAsia="宋体" w:cs="宋体"/>
          <w:spacing w:val="-1"/>
          <w:sz w:val="21"/>
          <w:szCs w:val="21"/>
          <w:highlight w:val="none"/>
        </w:rPr>
        <w:t>监督管理。承包人拖欠建筑工人工资的，应当依法予</w:t>
      </w:r>
      <w:r>
        <w:rPr>
          <w:rFonts w:ascii="宋体" w:hAnsi="宋体" w:eastAsia="宋体" w:cs="宋体"/>
          <w:spacing w:val="-2"/>
          <w:sz w:val="21"/>
          <w:szCs w:val="21"/>
          <w:highlight w:val="none"/>
        </w:rPr>
        <w:t>以清偿。分包人拖欠建筑工人工资的，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由承包人先行清偿，再依法进行追偿。因发包</w:t>
      </w:r>
      <w:r>
        <w:rPr>
          <w:rFonts w:ascii="宋体" w:hAnsi="宋体" w:eastAsia="宋体" w:cs="宋体"/>
          <w:spacing w:val="-3"/>
          <w:sz w:val="21"/>
          <w:szCs w:val="21"/>
          <w:highlight w:val="none"/>
        </w:rPr>
        <w:t>人未按照合同约定及时拨付工程款导致建筑工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人工资拖欠的，发包人应当以未结清的工程款为限先行垫付被拖欠的建筑工人工资。合同当</w:t>
      </w:r>
      <w:r>
        <w:rPr>
          <w:rFonts w:ascii="宋体" w:hAnsi="宋体" w:eastAsia="宋体" w:cs="宋体"/>
          <w:spacing w:val="8"/>
          <w:sz w:val="21"/>
          <w:szCs w:val="21"/>
          <w:highlight w:val="none"/>
        </w:rPr>
        <w:t xml:space="preserve"> </w:t>
      </w:r>
      <w:r>
        <w:rPr>
          <w:rFonts w:ascii="宋体" w:hAnsi="宋体" w:eastAsia="宋体" w:cs="宋体"/>
          <w:spacing w:val="-2"/>
          <w:sz w:val="21"/>
          <w:szCs w:val="21"/>
          <w:highlight w:val="none"/>
        </w:rPr>
        <w:t>事人可在专用合同条件中约定具体的清偿事宜和违约责任。</w:t>
      </w:r>
    </w:p>
    <w:p w14:paraId="433E0F6D">
      <w:pPr>
        <w:pStyle w:val="2"/>
        <w:spacing w:line="270" w:lineRule="auto"/>
        <w:rPr>
          <w:highlight w:val="none"/>
        </w:rPr>
      </w:pPr>
    </w:p>
    <w:p w14:paraId="29633C20">
      <w:pPr>
        <w:spacing w:before="69" w:line="219" w:lineRule="auto"/>
        <w:jc w:val="right"/>
        <w:rPr>
          <w:rFonts w:ascii="宋体" w:hAnsi="宋体" w:eastAsia="宋体" w:cs="宋体"/>
          <w:sz w:val="21"/>
          <w:szCs w:val="21"/>
          <w:highlight w:val="none"/>
        </w:rPr>
      </w:pPr>
      <w:r>
        <w:rPr>
          <w:rFonts w:ascii="宋体" w:hAnsi="宋体" w:eastAsia="宋体" w:cs="宋体"/>
          <w:spacing w:val="3"/>
          <w:sz w:val="21"/>
          <w:szCs w:val="21"/>
          <w:highlight w:val="none"/>
        </w:rPr>
        <w:t>7.5.3承包人应当按照相关法律法规的要求，进行劳动用工管理和建筑工人工资支付。</w:t>
      </w:r>
    </w:p>
    <w:p w14:paraId="15576602">
      <w:pPr>
        <w:pStyle w:val="2"/>
        <w:spacing w:line="345" w:lineRule="auto"/>
        <w:rPr>
          <w:highlight w:val="none"/>
        </w:rPr>
      </w:pPr>
    </w:p>
    <w:p w14:paraId="752D0CF2">
      <w:pPr>
        <w:spacing w:before="72" w:line="221" w:lineRule="auto"/>
        <w:rPr>
          <w:rFonts w:ascii="黑体" w:hAnsi="黑体" w:eastAsia="黑体" w:cs="黑体"/>
          <w:sz w:val="22"/>
          <w:szCs w:val="22"/>
          <w:highlight w:val="none"/>
        </w:rPr>
      </w:pPr>
      <w:r>
        <w:rPr>
          <w:rFonts w:ascii="黑体" w:hAnsi="黑体" w:eastAsia="黑体" w:cs="黑体"/>
          <w:spacing w:val="3"/>
          <w:sz w:val="22"/>
          <w:szCs w:val="22"/>
          <w:highlight w:val="none"/>
        </w:rPr>
        <w:t>7.6安全文明施工</w:t>
      </w:r>
    </w:p>
    <w:p w14:paraId="28E646A4">
      <w:pPr>
        <w:spacing w:before="99"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7.6.1</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5"/>
          <w:sz w:val="22"/>
          <w:szCs w:val="22"/>
          <w:highlight w:val="none"/>
        </w:rPr>
        <w:t>安全生产要求</w:t>
      </w:r>
    </w:p>
    <w:p w14:paraId="0001A0A0">
      <w:pPr>
        <w:pStyle w:val="2"/>
        <w:spacing w:line="377" w:lineRule="auto"/>
        <w:rPr>
          <w:highlight w:val="none"/>
        </w:rPr>
      </w:pPr>
    </w:p>
    <w:p w14:paraId="6178E92D">
      <w:pPr>
        <w:spacing w:before="69" w:line="414" w:lineRule="auto"/>
        <w:ind w:right="85"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合同履行期间，合同当事人均应当遵守国家和工程所在地有关安全生产的要求，合同当</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事人有特别要求的，应在专用合同条件中明确安全生产标准化目标及相应事项。承包</w:t>
      </w:r>
      <w:r>
        <w:rPr>
          <w:rFonts w:ascii="宋体" w:hAnsi="宋体" w:eastAsia="宋体" w:cs="宋体"/>
          <w:spacing w:val="-3"/>
          <w:sz w:val="21"/>
          <w:szCs w:val="21"/>
          <w:highlight w:val="none"/>
        </w:rPr>
        <w:t>人有权</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拒绝发包人及工程师强令承包人违章作业、冒</w:t>
      </w:r>
      <w:r>
        <w:rPr>
          <w:rFonts w:ascii="宋体" w:hAnsi="宋体" w:eastAsia="宋体" w:cs="宋体"/>
          <w:spacing w:val="-2"/>
          <w:sz w:val="21"/>
          <w:szCs w:val="21"/>
          <w:highlight w:val="none"/>
        </w:rPr>
        <w:t>险施工的任何指示。</w:t>
      </w:r>
    </w:p>
    <w:p w14:paraId="1B653711">
      <w:pPr>
        <w:spacing w:before="17" w:line="414" w:lineRule="auto"/>
        <w:ind w:right="40"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在工程实施过程中，如遇到突发的地质变动、事先未知的地下施工障碍等</w:t>
      </w:r>
      <w:r>
        <w:rPr>
          <w:rFonts w:ascii="宋体" w:hAnsi="宋体" w:eastAsia="宋体" w:cs="宋体"/>
          <w:spacing w:val="-3"/>
          <w:sz w:val="21"/>
          <w:szCs w:val="21"/>
          <w:highlight w:val="none"/>
        </w:rPr>
        <w:t>影响施工安全</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的紧急情况，承包人应及时报告工程师和发包人，发包人应当及时下令停工并采取应急措施，</w:t>
      </w:r>
      <w:r>
        <w:rPr>
          <w:rFonts w:ascii="宋体" w:hAnsi="宋体" w:eastAsia="宋体" w:cs="宋体"/>
          <w:spacing w:val="10"/>
          <w:sz w:val="21"/>
          <w:szCs w:val="21"/>
          <w:highlight w:val="none"/>
        </w:rPr>
        <w:t xml:space="preserve"> </w:t>
      </w:r>
      <w:r>
        <w:rPr>
          <w:rFonts w:ascii="宋体" w:hAnsi="宋体" w:eastAsia="宋体" w:cs="宋体"/>
          <w:spacing w:val="-1"/>
          <w:sz w:val="21"/>
          <w:szCs w:val="21"/>
          <w:highlight w:val="none"/>
        </w:rPr>
        <w:t>按照相关法律法规的要求需上报政府有关行政管理部门的，应依法上报。</w:t>
      </w:r>
    </w:p>
    <w:p w14:paraId="633CC519">
      <w:pPr>
        <w:spacing w:before="8" w:line="219" w:lineRule="auto"/>
        <w:ind w:left="420"/>
        <w:rPr>
          <w:rFonts w:ascii="宋体" w:hAnsi="宋体" w:eastAsia="宋体" w:cs="宋体"/>
          <w:sz w:val="22"/>
          <w:szCs w:val="22"/>
          <w:highlight w:val="none"/>
        </w:rPr>
      </w:pPr>
      <w:r>
        <w:rPr>
          <w:rFonts w:ascii="宋体" w:hAnsi="宋体" w:eastAsia="宋体" w:cs="宋体"/>
          <w:spacing w:val="-6"/>
          <w:sz w:val="22"/>
          <w:szCs w:val="22"/>
          <w:highlight w:val="none"/>
        </w:rPr>
        <w:t>因安全生产需要暂停施工的，按照第8.9款[暂停工作]的约定执</w:t>
      </w:r>
      <w:r>
        <w:rPr>
          <w:rFonts w:ascii="宋体" w:hAnsi="宋体" w:eastAsia="宋体" w:cs="宋体"/>
          <w:spacing w:val="-7"/>
          <w:sz w:val="22"/>
          <w:szCs w:val="22"/>
          <w:highlight w:val="none"/>
        </w:rPr>
        <w:t>行。</w:t>
      </w:r>
    </w:p>
    <w:p w14:paraId="75774D45">
      <w:pPr>
        <w:spacing w:before="109"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7.6.2</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6"/>
          <w:sz w:val="22"/>
          <w:szCs w:val="22"/>
          <w:highlight w:val="none"/>
        </w:rPr>
        <w:t>安全生产保证措施</w:t>
      </w:r>
    </w:p>
    <w:p w14:paraId="58937BAD">
      <w:pPr>
        <w:pStyle w:val="2"/>
        <w:spacing w:line="366" w:lineRule="auto"/>
        <w:rPr>
          <w:highlight w:val="none"/>
        </w:rPr>
      </w:pPr>
    </w:p>
    <w:p w14:paraId="10DD3F4A">
      <w:pPr>
        <w:spacing w:before="69" w:line="415" w:lineRule="auto"/>
        <w:ind w:right="95"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承包人应当按照法律、法规和工程建设强制性标准进行设计、在设计文件</w:t>
      </w:r>
      <w:r>
        <w:rPr>
          <w:rFonts w:ascii="宋体" w:hAnsi="宋体" w:eastAsia="宋体" w:cs="宋体"/>
          <w:spacing w:val="-3"/>
          <w:sz w:val="21"/>
          <w:szCs w:val="21"/>
          <w:highlight w:val="none"/>
        </w:rPr>
        <w:t>中注明涉及施</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工安全的重点部位和环节，提出保障施工作业人员和预防安全事故的措施建议，防止因</w:t>
      </w:r>
      <w:r>
        <w:rPr>
          <w:rFonts w:ascii="宋体" w:hAnsi="宋体" w:eastAsia="宋体" w:cs="宋体"/>
          <w:spacing w:val="-3"/>
          <w:sz w:val="21"/>
          <w:szCs w:val="21"/>
          <w:highlight w:val="none"/>
        </w:rPr>
        <w:t>设计</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不合理导致生产安全事故的发生。</w:t>
      </w:r>
    </w:p>
    <w:p w14:paraId="40655741">
      <w:pPr>
        <w:spacing w:before="17" w:line="396" w:lineRule="auto"/>
        <w:ind w:right="93" w:firstLine="420"/>
        <w:jc w:val="both"/>
        <w:rPr>
          <w:rFonts w:ascii="宋体" w:hAnsi="宋体" w:eastAsia="宋体" w:cs="宋体"/>
          <w:sz w:val="22"/>
          <w:szCs w:val="22"/>
          <w:highlight w:val="none"/>
        </w:rPr>
      </w:pPr>
      <w:r>
        <w:rPr>
          <w:rFonts w:ascii="宋体" w:hAnsi="宋体" w:eastAsia="宋体" w:cs="宋体"/>
          <w:spacing w:val="-7"/>
          <w:sz w:val="22"/>
          <w:szCs w:val="22"/>
          <w:highlight w:val="none"/>
        </w:rPr>
        <w:t>承包人应当按照有关规定编制安全技术措施或者专项施工方案，建立安全生产责任制</w:t>
      </w:r>
      <w:r>
        <w:rPr>
          <w:rFonts w:ascii="宋体" w:hAnsi="宋体" w:eastAsia="宋体" w:cs="宋体"/>
          <w:spacing w:val="6"/>
          <w:sz w:val="22"/>
          <w:szCs w:val="22"/>
          <w:highlight w:val="none"/>
        </w:rPr>
        <w:t xml:space="preserve"> </w:t>
      </w:r>
      <w:r>
        <w:rPr>
          <w:rFonts w:ascii="宋体" w:hAnsi="宋体" w:eastAsia="宋体" w:cs="宋体"/>
          <w:spacing w:val="-12"/>
          <w:sz w:val="22"/>
          <w:szCs w:val="22"/>
          <w:highlight w:val="none"/>
        </w:rPr>
        <w:t>度、治安保卫制度及安全生产教育培训制度，并按安全生产法律规定及合同约定履行安全职</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责，如实编制工程安全生产的有关记录，接受发包人、工程</w:t>
      </w:r>
      <w:r>
        <w:rPr>
          <w:rFonts w:ascii="宋体" w:hAnsi="宋体" w:eastAsia="宋体" w:cs="宋体"/>
          <w:spacing w:val="-13"/>
          <w:sz w:val="22"/>
          <w:szCs w:val="22"/>
          <w:highlight w:val="none"/>
        </w:rPr>
        <w:t>师及政府安全监督部门的检查与</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监督。</w:t>
      </w:r>
    </w:p>
    <w:p w14:paraId="277566EC">
      <w:pPr>
        <w:spacing w:before="20" w:line="432" w:lineRule="auto"/>
        <w:ind w:right="92" w:firstLine="420"/>
        <w:rPr>
          <w:rFonts w:ascii="宋体" w:hAnsi="宋体" w:eastAsia="宋体" w:cs="宋体"/>
          <w:sz w:val="21"/>
          <w:szCs w:val="21"/>
          <w:highlight w:val="none"/>
        </w:rPr>
      </w:pPr>
      <w:r>
        <w:rPr>
          <w:rFonts w:ascii="宋体" w:hAnsi="宋体" w:eastAsia="宋体" w:cs="宋体"/>
          <w:spacing w:val="-2"/>
          <w:sz w:val="21"/>
          <w:szCs w:val="21"/>
          <w:highlight w:val="none"/>
        </w:rPr>
        <w:t>承包人应按照法律规定进行施工，开工前做好安全技术交底工作，施工过程中做</w:t>
      </w:r>
      <w:r>
        <w:rPr>
          <w:rFonts w:ascii="宋体" w:hAnsi="宋体" w:eastAsia="宋体" w:cs="宋体"/>
          <w:spacing w:val="-3"/>
          <w:sz w:val="21"/>
          <w:szCs w:val="21"/>
          <w:highlight w:val="none"/>
        </w:rPr>
        <w:t>好各项</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安全防护措施。承包人为实施合同而雇用的特殊工种的人员应受过专门的培训并已取得政府</w:t>
      </w:r>
    </w:p>
    <w:p w14:paraId="66AB41CA">
      <w:pPr>
        <w:spacing w:line="432" w:lineRule="auto"/>
        <w:rPr>
          <w:rFonts w:ascii="宋体" w:hAnsi="宋体" w:eastAsia="宋体" w:cs="宋体"/>
          <w:sz w:val="21"/>
          <w:szCs w:val="21"/>
          <w:highlight w:val="none"/>
        </w:rPr>
        <w:sectPr>
          <w:footerReference r:id="rId103" w:type="default"/>
          <w:pgSz w:w="11910" w:h="16840"/>
          <w:pgMar w:top="400" w:right="1714" w:bottom="1238" w:left="1779" w:header="0" w:footer="1006" w:gutter="0"/>
          <w:cols w:space="720" w:num="1"/>
        </w:sectPr>
      </w:pPr>
    </w:p>
    <w:p w14:paraId="6DF8C63A">
      <w:pPr>
        <w:pStyle w:val="2"/>
        <w:spacing w:line="272" w:lineRule="auto"/>
        <w:rPr>
          <w:highlight w:val="none"/>
        </w:rPr>
      </w:pPr>
    </w:p>
    <w:p w14:paraId="396989FE">
      <w:pPr>
        <w:pStyle w:val="2"/>
        <w:spacing w:line="272" w:lineRule="auto"/>
        <w:rPr>
          <w:highlight w:val="none"/>
        </w:rPr>
      </w:pPr>
    </w:p>
    <w:p w14:paraId="56B11858">
      <w:pPr>
        <w:pStyle w:val="2"/>
        <w:spacing w:line="273" w:lineRule="auto"/>
        <w:rPr>
          <w:highlight w:val="none"/>
        </w:rPr>
      </w:pPr>
    </w:p>
    <w:p w14:paraId="55162442">
      <w:pPr>
        <w:pStyle w:val="2"/>
        <w:spacing w:line="273" w:lineRule="auto"/>
        <w:rPr>
          <w:highlight w:val="none"/>
        </w:rPr>
      </w:pPr>
    </w:p>
    <w:p w14:paraId="33895677">
      <w:pPr>
        <w:spacing w:before="72" w:line="369" w:lineRule="auto"/>
        <w:ind w:right="70"/>
        <w:jc w:val="both"/>
        <w:rPr>
          <w:rFonts w:ascii="宋体" w:hAnsi="宋体" w:eastAsia="宋体" w:cs="宋体"/>
          <w:sz w:val="22"/>
          <w:szCs w:val="22"/>
          <w:highlight w:val="none"/>
        </w:rPr>
      </w:pPr>
      <w:r>
        <w:rPr>
          <w:rFonts w:ascii="宋体" w:hAnsi="宋体" w:eastAsia="宋体" w:cs="宋体"/>
          <w:spacing w:val="-12"/>
          <w:sz w:val="22"/>
          <w:szCs w:val="22"/>
          <w:highlight w:val="none"/>
        </w:rPr>
        <w:t>有关管理机构颁发的上岗证书。承包人应加强施工作业安全管理，特别应加强对于易燃、易</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爆材料、火工器材、有毒与腐蚀性材料和其他危险品的管理，以及对爆破作业和地下工程施</w:t>
      </w:r>
      <w:r>
        <w:rPr>
          <w:rFonts w:ascii="宋体" w:hAnsi="宋体" w:eastAsia="宋体" w:cs="宋体"/>
          <w:spacing w:val="8"/>
          <w:sz w:val="22"/>
          <w:szCs w:val="22"/>
          <w:highlight w:val="none"/>
        </w:rPr>
        <w:t xml:space="preserve"> </w:t>
      </w:r>
      <w:r>
        <w:rPr>
          <w:rFonts w:ascii="宋体" w:hAnsi="宋体" w:eastAsia="宋体" w:cs="宋体"/>
          <w:spacing w:val="-12"/>
          <w:sz w:val="22"/>
          <w:szCs w:val="22"/>
          <w:highlight w:val="none"/>
        </w:rPr>
        <w:t>工等危险作业的管理。</w:t>
      </w:r>
    </w:p>
    <w:p w14:paraId="6DAF50C3">
      <w:pPr>
        <w:spacing w:line="219" w:lineRule="auto"/>
        <w:ind w:left="420"/>
        <w:rPr>
          <w:rFonts w:ascii="宋体" w:hAnsi="宋体" w:eastAsia="宋体" w:cs="宋体"/>
          <w:sz w:val="20"/>
          <w:szCs w:val="20"/>
          <w:highlight w:val="none"/>
        </w:rPr>
      </w:pPr>
      <w:r>
        <w:rPr>
          <w:rFonts w:ascii="Times New Roman" w:hAnsi="Times New Roman" w:eastAsia="Times New Roman" w:cs="Times New Roman"/>
          <w:spacing w:val="3"/>
          <w:sz w:val="20"/>
          <w:szCs w:val="20"/>
          <w:highlight w:val="none"/>
        </w:rPr>
        <w:t>7.6.3</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3"/>
          <w:sz w:val="20"/>
          <w:szCs w:val="20"/>
          <w:highlight w:val="none"/>
        </w:rPr>
        <w:t>文明施工</w:t>
      </w:r>
    </w:p>
    <w:p w14:paraId="6562C56D">
      <w:pPr>
        <w:pStyle w:val="2"/>
        <w:spacing w:line="383" w:lineRule="auto"/>
        <w:rPr>
          <w:highlight w:val="none"/>
        </w:rPr>
      </w:pPr>
    </w:p>
    <w:p w14:paraId="19F921D5">
      <w:pPr>
        <w:spacing w:before="68" w:line="410" w:lineRule="auto"/>
        <w:ind w:right="90"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承包人在工程施工期间，应当采取措施保持施工</w:t>
      </w:r>
      <w:r>
        <w:rPr>
          <w:rFonts w:ascii="宋体" w:hAnsi="宋体" w:eastAsia="宋体" w:cs="宋体"/>
          <w:spacing w:val="-3"/>
          <w:sz w:val="21"/>
          <w:szCs w:val="21"/>
          <w:highlight w:val="none"/>
        </w:rPr>
        <w:t>现场平整，物料堆放整齐。工程所在地</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有关政府行政管理部门有特殊要求的，按照其要求执行。合同当</w:t>
      </w:r>
      <w:r>
        <w:rPr>
          <w:rFonts w:ascii="宋体" w:hAnsi="宋体" w:eastAsia="宋体" w:cs="宋体"/>
          <w:spacing w:val="-3"/>
          <w:sz w:val="21"/>
          <w:szCs w:val="21"/>
          <w:highlight w:val="none"/>
        </w:rPr>
        <w:t>事人对文明施工有其他要求</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的，可以在专用合同条件中明确。</w:t>
      </w:r>
    </w:p>
    <w:p w14:paraId="3DBE1B5A">
      <w:pPr>
        <w:spacing w:before="9" w:line="422" w:lineRule="auto"/>
        <w:ind w:right="83" w:firstLine="420"/>
        <w:rPr>
          <w:rFonts w:ascii="宋体" w:hAnsi="宋体" w:eastAsia="宋体" w:cs="宋体"/>
          <w:sz w:val="21"/>
          <w:szCs w:val="21"/>
          <w:highlight w:val="none"/>
        </w:rPr>
      </w:pPr>
      <w:r>
        <w:rPr>
          <w:rFonts w:ascii="宋体" w:hAnsi="宋体" w:eastAsia="宋体" w:cs="宋体"/>
          <w:spacing w:val="-2"/>
          <w:sz w:val="21"/>
          <w:szCs w:val="21"/>
          <w:highlight w:val="none"/>
        </w:rPr>
        <w:t>在工程移交之前，承包人应当从施工现场清除承</w:t>
      </w:r>
      <w:r>
        <w:rPr>
          <w:rFonts w:ascii="宋体" w:hAnsi="宋体" w:eastAsia="宋体" w:cs="宋体"/>
          <w:spacing w:val="-3"/>
          <w:sz w:val="21"/>
          <w:szCs w:val="21"/>
          <w:highlight w:val="none"/>
        </w:rPr>
        <w:t>包人的全部工程设备、多余材料、垃圾</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和各种临时工程，并保持施工现场清洁整齐。经发包人书面同意，承包人可在发</w:t>
      </w:r>
      <w:r>
        <w:rPr>
          <w:rFonts w:ascii="宋体" w:hAnsi="宋体" w:eastAsia="宋体" w:cs="宋体"/>
          <w:spacing w:val="-3"/>
          <w:sz w:val="21"/>
          <w:szCs w:val="21"/>
          <w:highlight w:val="none"/>
        </w:rPr>
        <w:t>包人指定的</w:t>
      </w:r>
    </w:p>
    <w:p w14:paraId="7FD69342">
      <w:pPr>
        <w:spacing w:line="218" w:lineRule="auto"/>
        <w:rPr>
          <w:rFonts w:ascii="宋体" w:hAnsi="宋体" w:eastAsia="宋体" w:cs="宋体"/>
          <w:sz w:val="21"/>
          <w:szCs w:val="21"/>
          <w:highlight w:val="none"/>
        </w:rPr>
      </w:pPr>
      <w:r>
        <w:rPr>
          <w:rFonts w:ascii="宋体" w:hAnsi="宋体" w:eastAsia="宋体" w:cs="宋体"/>
          <w:sz w:val="21"/>
          <w:szCs w:val="21"/>
          <w:highlight w:val="none"/>
        </w:rPr>
        <w:t>地点保留承包人履行保修期内的各项义务所需要的材料、施工设备</w:t>
      </w:r>
      <w:r>
        <w:rPr>
          <w:rFonts w:ascii="宋体" w:hAnsi="宋体" w:eastAsia="宋体" w:cs="宋体"/>
          <w:spacing w:val="-1"/>
          <w:sz w:val="21"/>
          <w:szCs w:val="21"/>
          <w:highlight w:val="none"/>
        </w:rPr>
        <w:t>和临时工程。</w:t>
      </w:r>
    </w:p>
    <w:p w14:paraId="12C4E8FC">
      <w:pPr>
        <w:spacing w:before="103" w:line="220" w:lineRule="auto"/>
        <w:ind w:left="529"/>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7.6.4</w:t>
      </w:r>
      <w:r>
        <w:rPr>
          <w:rFonts w:ascii="Times New Roman" w:hAnsi="Times New Roman" w:eastAsia="Times New Roman" w:cs="Times New Roman"/>
          <w:spacing w:val="8"/>
          <w:sz w:val="22"/>
          <w:szCs w:val="22"/>
          <w:highlight w:val="none"/>
        </w:rPr>
        <w:t xml:space="preserve">   </w:t>
      </w:r>
      <w:r>
        <w:rPr>
          <w:rFonts w:ascii="宋体" w:hAnsi="宋体" w:eastAsia="宋体" w:cs="宋体"/>
          <w:spacing w:val="-4"/>
          <w:sz w:val="22"/>
          <w:szCs w:val="22"/>
          <w:highlight w:val="none"/>
        </w:rPr>
        <w:t>事故处理</w:t>
      </w:r>
    </w:p>
    <w:p w14:paraId="6DBD868B">
      <w:pPr>
        <w:pStyle w:val="2"/>
        <w:spacing w:line="377" w:lineRule="auto"/>
        <w:rPr>
          <w:highlight w:val="none"/>
        </w:rPr>
      </w:pPr>
    </w:p>
    <w:p w14:paraId="2D450533">
      <w:pPr>
        <w:spacing w:before="68" w:line="416" w:lineRule="auto"/>
        <w:ind w:right="24"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工程实施过程中发生事故的，承包人应立即通知</w:t>
      </w:r>
      <w:r>
        <w:rPr>
          <w:rFonts w:ascii="宋体" w:hAnsi="宋体" w:eastAsia="宋体" w:cs="宋体"/>
          <w:spacing w:val="-3"/>
          <w:sz w:val="21"/>
          <w:szCs w:val="21"/>
          <w:highlight w:val="none"/>
        </w:rPr>
        <w:t>工程师。发包人和承包人应立即组织人</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员和设备进行紧急抢救和抢修，减少人员伤亡和财产损失，防止事故扩大，并保护事故现场。</w:t>
      </w:r>
      <w:r>
        <w:rPr>
          <w:rFonts w:ascii="宋体" w:hAnsi="宋体" w:eastAsia="宋体" w:cs="宋体"/>
          <w:spacing w:val="10"/>
          <w:sz w:val="21"/>
          <w:szCs w:val="21"/>
          <w:highlight w:val="none"/>
        </w:rPr>
        <w:t xml:space="preserve"> </w:t>
      </w:r>
      <w:r>
        <w:rPr>
          <w:rFonts w:ascii="宋体" w:hAnsi="宋体" w:eastAsia="宋体" w:cs="宋体"/>
          <w:spacing w:val="-2"/>
          <w:sz w:val="21"/>
          <w:szCs w:val="21"/>
          <w:highlight w:val="none"/>
        </w:rPr>
        <w:t>需要移动现场物品时，应作出标记和书面记录，妥善保管有关证据。发包人和承包人应按国</w:t>
      </w:r>
      <w:r>
        <w:rPr>
          <w:rFonts w:ascii="宋体" w:hAnsi="宋体" w:eastAsia="宋体" w:cs="宋体"/>
          <w:sz w:val="21"/>
          <w:szCs w:val="21"/>
          <w:highlight w:val="none"/>
        </w:rPr>
        <w:t xml:space="preserve"> 家有关规定，及时如实地向有关部门报告事故发生的情况，以及正在采取的</w:t>
      </w:r>
      <w:r>
        <w:rPr>
          <w:rFonts w:ascii="宋体" w:hAnsi="宋体" w:eastAsia="宋体" w:cs="宋体"/>
          <w:spacing w:val="-1"/>
          <w:sz w:val="21"/>
          <w:szCs w:val="21"/>
          <w:highlight w:val="none"/>
        </w:rPr>
        <w:t>紧急措施等。</w:t>
      </w:r>
    </w:p>
    <w:p w14:paraId="0D8FD254">
      <w:pPr>
        <w:spacing w:before="4" w:line="416" w:lineRule="auto"/>
        <w:ind w:firstLine="420"/>
        <w:jc w:val="both"/>
        <w:rPr>
          <w:rFonts w:ascii="宋体" w:hAnsi="宋体" w:eastAsia="宋体" w:cs="宋体"/>
          <w:sz w:val="20"/>
          <w:szCs w:val="20"/>
          <w:highlight w:val="none"/>
        </w:rPr>
      </w:pPr>
      <w:r>
        <w:rPr>
          <w:rFonts w:ascii="宋体" w:hAnsi="宋体" w:eastAsia="宋体" w:cs="宋体"/>
          <w:spacing w:val="8"/>
          <w:sz w:val="20"/>
          <w:szCs w:val="20"/>
          <w:highlight w:val="none"/>
        </w:rPr>
        <w:t>在工程实施期间或缺陷责任期内发生危及工程</w:t>
      </w:r>
      <w:r>
        <w:rPr>
          <w:rFonts w:ascii="宋体" w:hAnsi="宋体" w:eastAsia="宋体" w:cs="宋体"/>
          <w:spacing w:val="7"/>
          <w:sz w:val="20"/>
          <w:szCs w:val="20"/>
          <w:highlight w:val="none"/>
        </w:rPr>
        <w:t>安全的事件，工程师通知承包人进行抢救</w:t>
      </w:r>
      <w:r>
        <w:rPr>
          <w:rFonts w:ascii="宋体" w:hAnsi="宋体" w:eastAsia="宋体" w:cs="宋体"/>
          <w:sz w:val="20"/>
          <w:szCs w:val="20"/>
          <w:highlight w:val="none"/>
        </w:rPr>
        <w:t xml:space="preserve">  </w:t>
      </w:r>
      <w:r>
        <w:rPr>
          <w:rFonts w:ascii="宋体" w:hAnsi="宋体" w:eastAsia="宋体" w:cs="宋体"/>
          <w:spacing w:val="10"/>
          <w:sz w:val="20"/>
          <w:szCs w:val="20"/>
          <w:highlight w:val="none"/>
        </w:rPr>
        <w:t>和抢修，承包人声明无能力或不愿立即执行的，发包人有权雇佣其他人员进行抢救和抢</w:t>
      </w:r>
      <w:r>
        <w:rPr>
          <w:rFonts w:ascii="宋体" w:hAnsi="宋体" w:eastAsia="宋体" w:cs="宋体"/>
          <w:spacing w:val="9"/>
          <w:sz w:val="20"/>
          <w:szCs w:val="20"/>
          <w:highlight w:val="none"/>
        </w:rPr>
        <w:t>修。</w:t>
      </w:r>
      <w:r>
        <w:rPr>
          <w:rFonts w:ascii="宋体" w:hAnsi="宋体" w:eastAsia="宋体" w:cs="宋体"/>
          <w:sz w:val="20"/>
          <w:szCs w:val="20"/>
          <w:highlight w:val="none"/>
        </w:rPr>
        <w:t xml:space="preserve"> </w:t>
      </w:r>
      <w:r>
        <w:rPr>
          <w:rFonts w:ascii="宋体" w:hAnsi="宋体" w:eastAsia="宋体" w:cs="宋体"/>
          <w:spacing w:val="13"/>
          <w:sz w:val="20"/>
          <w:szCs w:val="20"/>
          <w:highlight w:val="none"/>
        </w:rPr>
        <w:t>此类抢救和抢修按合同约定属于承包人义务的，由此增加的费用</w:t>
      </w:r>
      <w:r>
        <w:rPr>
          <w:rFonts w:ascii="宋体" w:hAnsi="宋体" w:eastAsia="宋体" w:cs="宋体"/>
          <w:spacing w:val="12"/>
          <w:sz w:val="20"/>
          <w:szCs w:val="20"/>
          <w:highlight w:val="none"/>
        </w:rPr>
        <w:t>和(或)延误的工期由承包</w:t>
      </w:r>
      <w:r>
        <w:rPr>
          <w:rFonts w:ascii="宋体" w:hAnsi="宋体" w:eastAsia="宋体" w:cs="宋体"/>
          <w:sz w:val="20"/>
          <w:szCs w:val="20"/>
          <w:highlight w:val="none"/>
        </w:rPr>
        <w:t xml:space="preserve">  人承担。</w:t>
      </w:r>
    </w:p>
    <w:p w14:paraId="0019A72A">
      <w:pPr>
        <w:spacing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7.6.5</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6"/>
          <w:sz w:val="22"/>
          <w:szCs w:val="22"/>
          <w:highlight w:val="none"/>
        </w:rPr>
        <w:t>安全生产责任</w:t>
      </w:r>
    </w:p>
    <w:p w14:paraId="0AB17BAF">
      <w:pPr>
        <w:pStyle w:val="2"/>
        <w:spacing w:line="355" w:lineRule="auto"/>
        <w:rPr>
          <w:highlight w:val="none"/>
        </w:rPr>
      </w:pPr>
    </w:p>
    <w:p w14:paraId="20EA990B">
      <w:pPr>
        <w:spacing w:before="72" w:line="219" w:lineRule="auto"/>
        <w:ind w:left="420"/>
        <w:rPr>
          <w:rFonts w:ascii="宋体" w:hAnsi="宋体" w:eastAsia="宋体" w:cs="宋体"/>
          <w:sz w:val="22"/>
          <w:szCs w:val="22"/>
          <w:highlight w:val="none"/>
        </w:rPr>
      </w:pPr>
      <w:r>
        <w:rPr>
          <w:rFonts w:ascii="宋体" w:hAnsi="宋体" w:eastAsia="宋体" w:cs="宋体"/>
          <w:spacing w:val="-12"/>
          <w:sz w:val="22"/>
          <w:szCs w:val="22"/>
          <w:highlight w:val="none"/>
        </w:rPr>
        <w:t>发包人应负责赔偿以下各种情况造成的损失：</w:t>
      </w:r>
    </w:p>
    <w:p w14:paraId="5D6DE8FC">
      <w:pPr>
        <w:spacing w:before="228" w:line="219"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(1)工程或工程的任何部分对土地的占用所造成的第三者财产损失；</w:t>
      </w:r>
    </w:p>
    <w:p w14:paraId="6C8D97D0">
      <w:pPr>
        <w:spacing w:before="232" w:line="303" w:lineRule="auto"/>
        <w:ind w:right="88" w:firstLine="529"/>
        <w:rPr>
          <w:rFonts w:ascii="宋体" w:hAnsi="宋体" w:eastAsia="宋体" w:cs="宋体"/>
          <w:sz w:val="22"/>
          <w:szCs w:val="22"/>
          <w:highlight w:val="none"/>
        </w:rPr>
      </w:pPr>
      <w:r>
        <w:rPr>
          <w:rFonts w:ascii="宋体" w:hAnsi="宋体" w:eastAsia="宋体" w:cs="宋体"/>
          <w:spacing w:val="-7"/>
          <w:sz w:val="22"/>
          <w:szCs w:val="22"/>
          <w:highlight w:val="none"/>
        </w:rPr>
        <w:t>(2)由于发包人原因在施工现场及其毗邻地带、履行合同工作中造成的第三者人身伤</w:t>
      </w:r>
      <w:r>
        <w:rPr>
          <w:rFonts w:ascii="宋体" w:hAnsi="宋体" w:eastAsia="宋体" w:cs="宋体"/>
          <w:spacing w:val="16"/>
          <w:sz w:val="22"/>
          <w:szCs w:val="22"/>
          <w:highlight w:val="none"/>
        </w:rPr>
        <w:t xml:space="preserve"> </w:t>
      </w:r>
      <w:r>
        <w:rPr>
          <w:rFonts w:ascii="宋体" w:hAnsi="宋体" w:eastAsia="宋体" w:cs="宋体"/>
          <w:spacing w:val="-15"/>
          <w:sz w:val="22"/>
          <w:szCs w:val="22"/>
          <w:highlight w:val="none"/>
        </w:rPr>
        <w:t>亡和财产损失；</w:t>
      </w:r>
    </w:p>
    <w:p w14:paraId="0E05BD3A">
      <w:pPr>
        <w:spacing w:before="229" w:line="219" w:lineRule="auto"/>
        <w:ind w:left="529"/>
        <w:rPr>
          <w:rFonts w:ascii="宋体" w:hAnsi="宋体" w:eastAsia="宋体" w:cs="宋体"/>
          <w:sz w:val="21"/>
          <w:szCs w:val="21"/>
          <w:highlight w:val="none"/>
        </w:rPr>
      </w:pPr>
      <w:r>
        <w:rPr>
          <w:rFonts w:ascii="宋体" w:hAnsi="宋体" w:eastAsia="宋体" w:cs="宋体"/>
          <w:spacing w:val="3"/>
          <w:sz w:val="21"/>
          <w:szCs w:val="21"/>
          <w:highlight w:val="none"/>
        </w:rPr>
        <w:t>(3)由于发包人原因对发包人自身、承包人、工程师造</w:t>
      </w:r>
      <w:r>
        <w:rPr>
          <w:rFonts w:ascii="宋体" w:hAnsi="宋体" w:eastAsia="宋体" w:cs="宋体"/>
          <w:spacing w:val="2"/>
          <w:sz w:val="21"/>
          <w:szCs w:val="21"/>
          <w:highlight w:val="none"/>
        </w:rPr>
        <w:t>成的人身伤害和财产损失。</w:t>
      </w:r>
    </w:p>
    <w:p w14:paraId="3F4D14B9">
      <w:pPr>
        <w:spacing w:before="251" w:line="219" w:lineRule="auto"/>
        <w:ind w:left="420"/>
        <w:rPr>
          <w:rFonts w:ascii="宋体" w:hAnsi="宋体" w:eastAsia="宋体" w:cs="宋体"/>
          <w:sz w:val="20"/>
          <w:szCs w:val="20"/>
          <w:highlight w:val="none"/>
        </w:rPr>
      </w:pPr>
      <w:r>
        <w:rPr>
          <w:rFonts w:ascii="宋体" w:hAnsi="宋体" w:eastAsia="宋体" w:cs="宋体"/>
          <w:spacing w:val="8"/>
          <w:sz w:val="20"/>
          <w:szCs w:val="20"/>
          <w:highlight w:val="none"/>
        </w:rPr>
        <w:t>承包人应负责赔偿由于承包人原因在施工现场及其毗邻地带</w:t>
      </w:r>
      <w:r>
        <w:rPr>
          <w:rFonts w:ascii="宋体" w:hAnsi="宋体" w:eastAsia="宋体" w:cs="宋体"/>
          <w:spacing w:val="7"/>
          <w:sz w:val="20"/>
          <w:szCs w:val="20"/>
          <w:highlight w:val="none"/>
        </w:rPr>
        <w:t>、履行合同工作中造成的第</w:t>
      </w:r>
    </w:p>
    <w:p w14:paraId="5C4E8DCD">
      <w:pPr>
        <w:spacing w:before="232" w:line="219" w:lineRule="auto"/>
        <w:rPr>
          <w:rFonts w:ascii="宋体" w:hAnsi="宋体" w:eastAsia="宋体" w:cs="宋体"/>
          <w:sz w:val="20"/>
          <w:szCs w:val="20"/>
          <w:highlight w:val="none"/>
        </w:rPr>
      </w:pPr>
      <w:r>
        <w:rPr>
          <w:rFonts w:ascii="宋体" w:hAnsi="宋体" w:eastAsia="宋体" w:cs="宋体"/>
          <w:spacing w:val="7"/>
          <w:sz w:val="20"/>
          <w:szCs w:val="20"/>
          <w:highlight w:val="none"/>
        </w:rPr>
        <w:t>三者人身伤亡和财产损失。</w:t>
      </w:r>
    </w:p>
    <w:p w14:paraId="28DE88E7">
      <w:pPr>
        <w:spacing w:before="253" w:line="219" w:lineRule="auto"/>
        <w:ind w:left="420"/>
        <w:rPr>
          <w:rFonts w:ascii="宋体" w:hAnsi="宋体" w:eastAsia="宋体" w:cs="宋体"/>
          <w:sz w:val="20"/>
          <w:szCs w:val="20"/>
          <w:highlight w:val="none"/>
        </w:rPr>
      </w:pPr>
      <w:r>
        <w:rPr>
          <w:rFonts w:ascii="宋体" w:hAnsi="宋体" w:eastAsia="宋体" w:cs="宋体"/>
          <w:spacing w:val="8"/>
          <w:sz w:val="20"/>
          <w:szCs w:val="20"/>
          <w:highlight w:val="none"/>
        </w:rPr>
        <w:t>如果上述损失是由于发包人和承包人共同原因导致</w:t>
      </w:r>
      <w:r>
        <w:rPr>
          <w:rFonts w:ascii="宋体" w:hAnsi="宋体" w:eastAsia="宋体" w:cs="宋体"/>
          <w:spacing w:val="7"/>
          <w:sz w:val="20"/>
          <w:szCs w:val="20"/>
          <w:highlight w:val="none"/>
        </w:rPr>
        <w:t>的，则双方应根据过错情况按比例承</w:t>
      </w:r>
    </w:p>
    <w:p w14:paraId="133171B5">
      <w:pPr>
        <w:spacing w:line="219" w:lineRule="auto"/>
        <w:rPr>
          <w:rFonts w:ascii="宋体" w:hAnsi="宋体" w:eastAsia="宋体" w:cs="宋体"/>
          <w:sz w:val="20"/>
          <w:szCs w:val="20"/>
          <w:highlight w:val="none"/>
        </w:rPr>
        <w:sectPr>
          <w:footerReference r:id="rId104" w:type="default"/>
          <w:pgSz w:w="11910" w:h="16840"/>
          <w:pgMar w:top="400" w:right="1730" w:bottom="1238" w:left="1779" w:header="0" w:footer="1006" w:gutter="0"/>
          <w:cols w:space="720" w:num="1"/>
        </w:sectPr>
      </w:pPr>
    </w:p>
    <w:p w14:paraId="38306272">
      <w:pPr>
        <w:pStyle w:val="2"/>
        <w:spacing w:line="267" w:lineRule="auto"/>
        <w:rPr>
          <w:highlight w:val="none"/>
        </w:rPr>
      </w:pPr>
    </w:p>
    <w:p w14:paraId="47CDD684">
      <w:pPr>
        <w:pStyle w:val="2"/>
        <w:spacing w:line="268" w:lineRule="auto"/>
        <w:rPr>
          <w:highlight w:val="none"/>
        </w:rPr>
      </w:pPr>
    </w:p>
    <w:p w14:paraId="1C52AAE4">
      <w:pPr>
        <w:pStyle w:val="2"/>
        <w:spacing w:line="268" w:lineRule="auto"/>
        <w:rPr>
          <w:highlight w:val="none"/>
        </w:rPr>
      </w:pPr>
    </w:p>
    <w:p w14:paraId="79210A71">
      <w:pPr>
        <w:pStyle w:val="2"/>
        <w:spacing w:line="268" w:lineRule="auto"/>
        <w:rPr>
          <w:highlight w:val="none"/>
        </w:rPr>
      </w:pPr>
    </w:p>
    <w:p w14:paraId="565FEBBD">
      <w:pPr>
        <w:spacing w:before="72" w:line="220" w:lineRule="auto"/>
        <w:rPr>
          <w:rFonts w:ascii="宋体" w:hAnsi="宋体" w:eastAsia="宋体" w:cs="宋体"/>
          <w:sz w:val="22"/>
          <w:szCs w:val="22"/>
          <w:highlight w:val="none"/>
        </w:rPr>
      </w:pPr>
      <w:r>
        <w:rPr>
          <w:rFonts w:ascii="宋体" w:hAnsi="宋体" w:eastAsia="宋体" w:cs="宋体"/>
          <w:spacing w:val="-11"/>
          <w:sz w:val="22"/>
          <w:szCs w:val="22"/>
          <w:highlight w:val="none"/>
        </w:rPr>
        <w:t>担。</w:t>
      </w:r>
    </w:p>
    <w:p w14:paraId="1D93FC91">
      <w:pPr>
        <w:pStyle w:val="2"/>
        <w:spacing w:line="314" w:lineRule="auto"/>
        <w:rPr>
          <w:highlight w:val="none"/>
        </w:rPr>
      </w:pPr>
    </w:p>
    <w:p w14:paraId="6E306BC3">
      <w:pPr>
        <w:pStyle w:val="2"/>
        <w:spacing w:before="72" w:line="224" w:lineRule="auto"/>
        <w:rPr>
          <w:rFonts w:ascii="黑体" w:hAnsi="黑体" w:eastAsia="黑体" w:cs="黑体"/>
          <w:sz w:val="22"/>
          <w:szCs w:val="22"/>
          <w:highlight w:val="none"/>
        </w:rPr>
      </w:pPr>
      <w:r>
        <w:rPr>
          <w:spacing w:val="-5"/>
          <w:sz w:val="22"/>
          <w:szCs w:val="22"/>
          <w:highlight w:val="none"/>
        </w:rPr>
        <w:t xml:space="preserve">7.7  </w:t>
      </w:r>
      <w:r>
        <w:rPr>
          <w:rFonts w:ascii="黑体" w:hAnsi="黑体" w:eastAsia="黑体" w:cs="黑体"/>
          <w:spacing w:val="-5"/>
          <w:sz w:val="22"/>
          <w:szCs w:val="22"/>
          <w:highlight w:val="none"/>
        </w:rPr>
        <w:t>职业健康</w:t>
      </w:r>
    </w:p>
    <w:p w14:paraId="309163EB">
      <w:pPr>
        <w:spacing w:before="190" w:line="401" w:lineRule="auto"/>
        <w:ind w:right="109" w:firstLine="430"/>
        <w:rPr>
          <w:rFonts w:ascii="宋体" w:hAnsi="宋体" w:eastAsia="宋体" w:cs="宋体"/>
          <w:sz w:val="22"/>
          <w:szCs w:val="22"/>
          <w:highlight w:val="none"/>
        </w:rPr>
      </w:pPr>
      <w:r>
        <w:rPr>
          <w:rFonts w:ascii="宋体" w:hAnsi="宋体" w:eastAsia="宋体" w:cs="宋体"/>
          <w:spacing w:val="-10"/>
          <w:sz w:val="22"/>
          <w:szCs w:val="22"/>
          <w:highlight w:val="none"/>
        </w:rPr>
        <w:t>承包人应遵守适用的职业健康的法律和合同约定(包括对雇用、职业健康、安全、福利</w:t>
      </w:r>
      <w:r>
        <w:rPr>
          <w:rFonts w:ascii="宋体" w:hAnsi="宋体" w:eastAsia="宋体" w:cs="宋体"/>
          <w:spacing w:val="14"/>
          <w:sz w:val="22"/>
          <w:szCs w:val="22"/>
          <w:highlight w:val="none"/>
        </w:rPr>
        <w:t xml:space="preserve"> </w:t>
      </w:r>
      <w:r>
        <w:rPr>
          <w:rFonts w:ascii="宋体" w:hAnsi="宋体" w:eastAsia="宋体" w:cs="宋体"/>
          <w:spacing w:val="-7"/>
          <w:sz w:val="22"/>
          <w:szCs w:val="22"/>
          <w:highlight w:val="none"/>
        </w:rPr>
        <w:t>等方面的规定),负责现场实施过程中其人员的职</w:t>
      </w:r>
      <w:r>
        <w:rPr>
          <w:rFonts w:ascii="宋体" w:hAnsi="宋体" w:eastAsia="宋体" w:cs="宋体"/>
          <w:spacing w:val="-8"/>
          <w:sz w:val="22"/>
          <w:szCs w:val="22"/>
          <w:highlight w:val="none"/>
        </w:rPr>
        <w:t>业健康和保护，包括：</w:t>
      </w:r>
    </w:p>
    <w:p w14:paraId="0EFEB7E0">
      <w:pPr>
        <w:spacing w:before="26" w:line="367" w:lineRule="auto"/>
        <w:ind w:right="35" w:firstLine="539"/>
        <w:rPr>
          <w:rFonts w:ascii="宋体" w:hAnsi="宋体" w:eastAsia="宋体" w:cs="宋体"/>
          <w:sz w:val="22"/>
          <w:szCs w:val="22"/>
          <w:highlight w:val="none"/>
        </w:rPr>
      </w:pPr>
      <w:r>
        <w:rPr>
          <w:rFonts w:ascii="宋体" w:hAnsi="宋体" w:eastAsia="宋体" w:cs="宋体"/>
          <w:spacing w:val="3"/>
          <w:sz w:val="21"/>
          <w:szCs w:val="21"/>
          <w:highlight w:val="none"/>
        </w:rPr>
        <w:t>(1)承包人应遵守适用的劳动法规，保护承包人员工及承包</w:t>
      </w:r>
      <w:r>
        <w:rPr>
          <w:rFonts w:ascii="宋体" w:hAnsi="宋体" w:eastAsia="宋体" w:cs="宋体"/>
          <w:spacing w:val="2"/>
          <w:sz w:val="21"/>
          <w:szCs w:val="21"/>
          <w:highlight w:val="none"/>
        </w:rPr>
        <w:t>人聘用的第三方人员的合</w:t>
      </w:r>
      <w:r>
        <w:rPr>
          <w:rFonts w:ascii="宋体" w:hAnsi="宋体" w:eastAsia="宋体" w:cs="宋体"/>
          <w:sz w:val="21"/>
          <w:szCs w:val="21"/>
          <w:highlight w:val="none"/>
        </w:rPr>
        <w:t xml:space="preserve"> </w:t>
      </w:r>
      <w:r>
        <w:rPr>
          <w:rFonts w:ascii="宋体" w:hAnsi="宋体" w:eastAsia="宋体" w:cs="宋体"/>
          <w:spacing w:val="8"/>
          <w:sz w:val="20"/>
          <w:szCs w:val="20"/>
          <w:highlight w:val="none"/>
        </w:rPr>
        <w:t>法休假权等合法权益，按照法律规定安排现场施工人员的劳动和休</w:t>
      </w:r>
      <w:r>
        <w:rPr>
          <w:rFonts w:ascii="宋体" w:hAnsi="宋体" w:eastAsia="宋体" w:cs="宋体"/>
          <w:spacing w:val="7"/>
          <w:sz w:val="20"/>
          <w:szCs w:val="20"/>
          <w:highlight w:val="none"/>
        </w:rPr>
        <w:t>息时间，保障劳动者的休</w:t>
      </w:r>
      <w:r>
        <w:rPr>
          <w:rFonts w:ascii="宋体" w:hAnsi="宋体" w:eastAsia="宋体" w:cs="宋体"/>
          <w:sz w:val="20"/>
          <w:szCs w:val="20"/>
          <w:highlight w:val="none"/>
        </w:rPr>
        <w:t xml:space="preserve"> </w:t>
      </w:r>
      <w:r>
        <w:rPr>
          <w:rFonts w:ascii="宋体" w:hAnsi="宋体" w:eastAsia="宋体" w:cs="宋体"/>
          <w:spacing w:val="-10"/>
          <w:sz w:val="22"/>
          <w:szCs w:val="22"/>
          <w:highlight w:val="none"/>
        </w:rPr>
        <w:t>息时间，并支付合理的报酬和费用。因工程施工的特殊需要占用休</w:t>
      </w:r>
      <w:r>
        <w:rPr>
          <w:rFonts w:ascii="宋体" w:hAnsi="宋体" w:eastAsia="宋体" w:cs="宋体"/>
          <w:spacing w:val="-11"/>
          <w:sz w:val="22"/>
          <w:szCs w:val="22"/>
          <w:highlight w:val="none"/>
        </w:rPr>
        <w:t>假日或延长工作时间的，</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应不超过法律规定的限度，并按法律规定给予补休或酬劳。</w:t>
      </w:r>
    </w:p>
    <w:p w14:paraId="6FD5D418">
      <w:pPr>
        <w:spacing w:before="230" w:line="344" w:lineRule="auto"/>
        <w:ind w:right="108" w:firstLine="539"/>
        <w:rPr>
          <w:rFonts w:ascii="宋体" w:hAnsi="宋体" w:eastAsia="宋体" w:cs="宋体"/>
          <w:sz w:val="22"/>
          <w:szCs w:val="22"/>
          <w:highlight w:val="none"/>
        </w:rPr>
      </w:pPr>
      <w:r>
        <w:rPr>
          <w:rFonts w:ascii="宋体" w:hAnsi="宋体" w:eastAsia="宋体" w:cs="宋体"/>
          <w:spacing w:val="-7"/>
          <w:sz w:val="22"/>
          <w:szCs w:val="22"/>
          <w:highlight w:val="none"/>
        </w:rPr>
        <w:t>(2)承包人应依法为承包人员工及承包人聘用的第三方人员办理必要的证件、许可、</w:t>
      </w:r>
      <w:r>
        <w:rPr>
          <w:rFonts w:ascii="宋体" w:hAnsi="宋体" w:eastAsia="宋体" w:cs="宋体"/>
          <w:spacing w:val="11"/>
          <w:sz w:val="22"/>
          <w:szCs w:val="22"/>
          <w:highlight w:val="none"/>
        </w:rPr>
        <w:t xml:space="preserve"> </w:t>
      </w:r>
      <w:r>
        <w:rPr>
          <w:rFonts w:ascii="宋体" w:hAnsi="宋体" w:eastAsia="宋体" w:cs="宋体"/>
          <w:spacing w:val="-12"/>
          <w:sz w:val="22"/>
          <w:szCs w:val="22"/>
          <w:highlight w:val="none"/>
        </w:rPr>
        <w:t>保险和注册等，承包人应督促其分包人为分包人员工及分包人聘用的第三方人员</w:t>
      </w:r>
      <w:r>
        <w:rPr>
          <w:rFonts w:ascii="宋体" w:hAnsi="宋体" w:eastAsia="宋体" w:cs="宋体"/>
          <w:spacing w:val="-13"/>
          <w:sz w:val="22"/>
          <w:szCs w:val="22"/>
          <w:highlight w:val="none"/>
        </w:rPr>
        <w:t>办理必要的</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证件、许可、保险和注册等。承包人应为其履行合同所雇用的人</w:t>
      </w:r>
      <w:r>
        <w:rPr>
          <w:rFonts w:ascii="宋体" w:hAnsi="宋体" w:eastAsia="宋体" w:cs="宋体"/>
          <w:spacing w:val="-13"/>
          <w:sz w:val="22"/>
          <w:szCs w:val="22"/>
          <w:highlight w:val="none"/>
        </w:rPr>
        <w:t>员提供必要的膳宿条件和生</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活环境，必要的现场食宿条件。</w:t>
      </w:r>
    </w:p>
    <w:p w14:paraId="0D53D9D5">
      <w:pPr>
        <w:spacing w:before="268" w:line="367" w:lineRule="auto"/>
        <w:ind w:firstLine="539"/>
        <w:rPr>
          <w:rFonts w:ascii="宋体" w:hAnsi="宋体" w:eastAsia="宋体" w:cs="宋体"/>
          <w:sz w:val="21"/>
          <w:szCs w:val="21"/>
          <w:highlight w:val="none"/>
        </w:rPr>
      </w:pPr>
      <w:r>
        <w:rPr>
          <w:rFonts w:ascii="宋体" w:hAnsi="宋体" w:eastAsia="宋体" w:cs="宋体"/>
          <w:sz w:val="21"/>
          <w:szCs w:val="21"/>
          <w:highlight w:val="none"/>
        </w:rPr>
        <w:t>(3)承包人应对其施工人员进行相关作业的职业健康知识培训、危险及危害因素交底、</w:t>
      </w:r>
      <w:r>
        <w:rPr>
          <w:rFonts w:ascii="宋体" w:hAnsi="宋体" w:eastAsia="宋体" w:cs="宋体"/>
          <w:spacing w:val="9"/>
          <w:sz w:val="21"/>
          <w:szCs w:val="21"/>
          <w:highlight w:val="none"/>
        </w:rPr>
        <w:t xml:space="preserve"> </w:t>
      </w:r>
      <w:r>
        <w:rPr>
          <w:rFonts w:ascii="宋体" w:hAnsi="宋体" w:eastAsia="宋体" w:cs="宋体"/>
          <w:spacing w:val="-4"/>
          <w:sz w:val="21"/>
          <w:szCs w:val="21"/>
          <w:highlight w:val="none"/>
        </w:rPr>
        <w:t>安全操作规程交底、采取有效措施，按有关</w:t>
      </w:r>
      <w:r>
        <w:rPr>
          <w:rFonts w:ascii="宋体" w:hAnsi="宋体" w:eastAsia="宋体" w:cs="宋体"/>
          <w:spacing w:val="-5"/>
          <w:sz w:val="21"/>
          <w:szCs w:val="21"/>
          <w:highlight w:val="none"/>
        </w:rPr>
        <w:t>规定为其现场人员提供劳动保护用品、防护器具、</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防暑降温用品和安全生产设施。采取有效的</w:t>
      </w:r>
      <w:r>
        <w:rPr>
          <w:rFonts w:ascii="宋体" w:hAnsi="宋体" w:eastAsia="宋体" w:cs="宋体"/>
          <w:spacing w:val="-5"/>
          <w:sz w:val="21"/>
          <w:szCs w:val="21"/>
          <w:highlight w:val="none"/>
        </w:rPr>
        <w:t>防止粉尘、降低噪声、控制有害气体和保障高温、</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高寒、高空作业安全等劳动保护措施。</w:t>
      </w:r>
    </w:p>
    <w:p w14:paraId="007B039A">
      <w:pPr>
        <w:spacing w:before="220" w:line="357" w:lineRule="auto"/>
        <w:ind w:right="96" w:firstLine="539"/>
        <w:rPr>
          <w:rFonts w:ascii="宋体" w:hAnsi="宋体" w:eastAsia="宋体" w:cs="宋体"/>
          <w:sz w:val="22"/>
          <w:szCs w:val="22"/>
          <w:highlight w:val="none"/>
        </w:rPr>
      </w:pPr>
      <w:r>
        <w:rPr>
          <w:rFonts w:ascii="宋体" w:hAnsi="宋体" w:eastAsia="宋体" w:cs="宋体"/>
          <w:spacing w:val="-6"/>
          <w:sz w:val="22"/>
          <w:szCs w:val="22"/>
          <w:highlight w:val="none"/>
        </w:rPr>
        <w:t>(4)承包人应在有毒有害作业区域设置警示标志和说</w:t>
      </w:r>
      <w:r>
        <w:rPr>
          <w:rFonts w:ascii="宋体" w:hAnsi="宋体" w:eastAsia="宋体" w:cs="宋体"/>
          <w:spacing w:val="-7"/>
          <w:sz w:val="22"/>
          <w:szCs w:val="22"/>
          <w:highlight w:val="none"/>
        </w:rPr>
        <w:t>明，对有毒有害岗位进行防治检</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查，对不合格的防护设施、器具、搭设等及时整改，消除危害职业健康的隐患。发包人人员</w:t>
      </w:r>
      <w:r>
        <w:rPr>
          <w:rFonts w:ascii="宋体" w:hAnsi="宋体" w:eastAsia="宋体" w:cs="宋体"/>
          <w:spacing w:val="7"/>
          <w:sz w:val="22"/>
          <w:szCs w:val="22"/>
          <w:highlight w:val="none"/>
        </w:rPr>
        <w:t xml:space="preserve"> </w:t>
      </w:r>
      <w:r>
        <w:rPr>
          <w:rFonts w:ascii="宋体" w:hAnsi="宋体" w:eastAsia="宋体" w:cs="宋体"/>
          <w:spacing w:val="-12"/>
          <w:sz w:val="22"/>
          <w:szCs w:val="22"/>
          <w:highlight w:val="none"/>
        </w:rPr>
        <w:t>和工程师人员未经承包人允许、未配备相关保护器具，进入该作业区域所造成的伤害，由发</w:t>
      </w:r>
      <w:r>
        <w:rPr>
          <w:rFonts w:ascii="宋体" w:hAnsi="宋体" w:eastAsia="宋体" w:cs="宋体"/>
          <w:spacing w:val="8"/>
          <w:sz w:val="22"/>
          <w:szCs w:val="22"/>
          <w:highlight w:val="none"/>
        </w:rPr>
        <w:t xml:space="preserve"> </w:t>
      </w:r>
      <w:r>
        <w:rPr>
          <w:rFonts w:ascii="宋体" w:hAnsi="宋体" w:eastAsia="宋体" w:cs="宋体"/>
          <w:spacing w:val="-11"/>
          <w:sz w:val="22"/>
          <w:szCs w:val="22"/>
          <w:highlight w:val="none"/>
        </w:rPr>
        <w:t>包人承担责任和费用。</w:t>
      </w:r>
    </w:p>
    <w:p w14:paraId="2AA2A6D2">
      <w:pPr>
        <w:spacing w:before="249" w:line="360" w:lineRule="auto"/>
        <w:ind w:right="20" w:firstLine="539"/>
        <w:rPr>
          <w:rFonts w:ascii="宋体" w:hAnsi="宋体" w:eastAsia="宋体" w:cs="宋体"/>
          <w:sz w:val="21"/>
          <w:szCs w:val="21"/>
          <w:highlight w:val="none"/>
        </w:rPr>
      </w:pPr>
      <w:r>
        <w:rPr>
          <w:rFonts w:ascii="宋体" w:hAnsi="宋体" w:eastAsia="宋体" w:cs="宋体"/>
          <w:sz w:val="21"/>
          <w:szCs w:val="21"/>
          <w:highlight w:val="none"/>
        </w:rPr>
        <w:t>(5)承包人应采取有效措施预防传染病，保持食堂的饮食卫生</w:t>
      </w:r>
      <w:r>
        <w:rPr>
          <w:rFonts w:ascii="宋体" w:hAnsi="宋体" w:eastAsia="宋体" w:cs="宋体"/>
          <w:spacing w:val="-1"/>
          <w:sz w:val="21"/>
          <w:szCs w:val="21"/>
          <w:highlight w:val="none"/>
        </w:rPr>
        <w:t>，保证施工人员的健康，</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并定期对施工现场、施工人员生活基地和工程进行防疫和卫生的专业检查和处理，在远离城</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镇的施工现场，还应配备必要的伤病防治和急救的医务人员与医疗设</w:t>
      </w:r>
      <w:r>
        <w:rPr>
          <w:rFonts w:ascii="宋体" w:hAnsi="宋体" w:eastAsia="宋体" w:cs="宋体"/>
          <w:spacing w:val="-3"/>
          <w:sz w:val="21"/>
          <w:szCs w:val="21"/>
          <w:highlight w:val="none"/>
        </w:rPr>
        <w:t>施。承包人雇佣人员在</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施工中受到伤害的，承包人应立即采取有效措</w:t>
      </w:r>
      <w:r>
        <w:rPr>
          <w:rFonts w:ascii="宋体" w:hAnsi="宋体" w:eastAsia="宋体" w:cs="宋体"/>
          <w:spacing w:val="-2"/>
          <w:sz w:val="21"/>
          <w:szCs w:val="21"/>
          <w:highlight w:val="none"/>
        </w:rPr>
        <w:t>施进行抢救和治疗。</w:t>
      </w:r>
    </w:p>
    <w:p w14:paraId="52BCE41C">
      <w:pPr>
        <w:pStyle w:val="2"/>
        <w:spacing w:line="337" w:lineRule="auto"/>
        <w:rPr>
          <w:highlight w:val="none"/>
        </w:rPr>
      </w:pPr>
    </w:p>
    <w:p w14:paraId="781712FE">
      <w:pPr>
        <w:spacing w:before="72" w:line="222" w:lineRule="auto"/>
        <w:rPr>
          <w:rFonts w:ascii="黑体" w:hAnsi="黑体" w:eastAsia="黑体" w:cs="黑体"/>
          <w:sz w:val="22"/>
          <w:szCs w:val="22"/>
          <w:highlight w:val="none"/>
        </w:rPr>
      </w:pPr>
      <w:r>
        <w:rPr>
          <w:rFonts w:ascii="黑体" w:hAnsi="黑体" w:eastAsia="黑体" w:cs="黑体"/>
          <w:spacing w:val="8"/>
          <w:sz w:val="22"/>
          <w:szCs w:val="22"/>
          <w:highlight w:val="none"/>
        </w:rPr>
        <w:t>7.8环境保护</w:t>
      </w:r>
    </w:p>
    <w:p w14:paraId="7544C27E">
      <w:pPr>
        <w:spacing w:before="115" w:line="362" w:lineRule="auto"/>
        <w:ind w:right="20" w:firstLine="440"/>
        <w:jc w:val="both"/>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7.8.1   </w:t>
      </w:r>
      <w:r>
        <w:rPr>
          <w:rFonts w:ascii="宋体" w:hAnsi="宋体" w:eastAsia="宋体" w:cs="宋体"/>
          <w:spacing w:val="1"/>
          <w:sz w:val="21"/>
          <w:szCs w:val="21"/>
          <w:highlight w:val="none"/>
        </w:rPr>
        <w:t>承包人负责在现场施工过程中对现场周围的建筑物、构筑物、文</w:t>
      </w:r>
      <w:r>
        <w:rPr>
          <w:rFonts w:ascii="宋体" w:hAnsi="宋体" w:eastAsia="宋体" w:cs="宋体"/>
          <w:sz w:val="21"/>
          <w:szCs w:val="21"/>
          <w:highlight w:val="none"/>
        </w:rPr>
        <w:t xml:space="preserve">物建筑、古树、 </w:t>
      </w:r>
      <w:r>
        <w:rPr>
          <w:rFonts w:ascii="宋体" w:hAnsi="宋体" w:eastAsia="宋体" w:cs="宋体"/>
          <w:spacing w:val="-2"/>
          <w:sz w:val="21"/>
          <w:szCs w:val="21"/>
          <w:highlight w:val="none"/>
        </w:rPr>
        <w:t>名木，及地下管线、线缆、构筑物、文物、化石和坟墓等进行保</w:t>
      </w:r>
      <w:r>
        <w:rPr>
          <w:rFonts w:ascii="宋体" w:hAnsi="宋体" w:eastAsia="宋体" w:cs="宋体"/>
          <w:spacing w:val="-3"/>
          <w:sz w:val="21"/>
          <w:szCs w:val="21"/>
          <w:highlight w:val="none"/>
        </w:rPr>
        <w:t>护。因承包人未能通知发包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人，并在未能得到发包人进一步指示的情况下，所造成的损害、损失、赔偿等费用增</w:t>
      </w:r>
      <w:r>
        <w:rPr>
          <w:rFonts w:ascii="宋体" w:hAnsi="宋体" w:eastAsia="宋体" w:cs="宋体"/>
          <w:spacing w:val="-3"/>
          <w:sz w:val="21"/>
          <w:szCs w:val="21"/>
          <w:highlight w:val="none"/>
        </w:rPr>
        <w:t>加，和</w:t>
      </w:r>
    </w:p>
    <w:p w14:paraId="7F0EFD5A">
      <w:pPr>
        <w:spacing w:line="362" w:lineRule="auto"/>
        <w:rPr>
          <w:rFonts w:ascii="宋体" w:hAnsi="宋体" w:eastAsia="宋体" w:cs="宋体"/>
          <w:sz w:val="21"/>
          <w:szCs w:val="21"/>
          <w:highlight w:val="none"/>
        </w:rPr>
        <w:sectPr>
          <w:footerReference r:id="rId105" w:type="default"/>
          <w:pgSz w:w="11910" w:h="16840"/>
          <w:pgMar w:top="400" w:right="1714" w:bottom="1228" w:left="1769" w:header="0" w:footer="1009" w:gutter="0"/>
          <w:cols w:space="720" w:num="1"/>
        </w:sectPr>
      </w:pPr>
    </w:p>
    <w:p w14:paraId="50F4A2FB">
      <w:pPr>
        <w:pStyle w:val="2"/>
        <w:spacing w:line="246" w:lineRule="auto"/>
        <w:rPr>
          <w:highlight w:val="none"/>
        </w:rPr>
      </w:pPr>
    </w:p>
    <w:p w14:paraId="725DD6CA">
      <w:pPr>
        <w:pStyle w:val="2"/>
        <w:spacing w:line="246" w:lineRule="auto"/>
        <w:rPr>
          <w:highlight w:val="none"/>
        </w:rPr>
      </w:pPr>
    </w:p>
    <w:p w14:paraId="2D567BF1">
      <w:pPr>
        <w:pStyle w:val="2"/>
        <w:spacing w:line="246" w:lineRule="auto"/>
        <w:rPr>
          <w:highlight w:val="none"/>
        </w:rPr>
      </w:pPr>
    </w:p>
    <w:p w14:paraId="0FB60A04">
      <w:pPr>
        <w:pStyle w:val="2"/>
        <w:spacing w:line="246" w:lineRule="auto"/>
        <w:rPr>
          <w:highlight w:val="none"/>
        </w:rPr>
      </w:pPr>
    </w:p>
    <w:p w14:paraId="6DB499B1">
      <w:pPr>
        <w:spacing w:before="68" w:line="336" w:lineRule="auto"/>
        <w:ind w:right="50" w:firstLine="120"/>
        <w:rPr>
          <w:rFonts w:ascii="宋体" w:hAnsi="宋体" w:eastAsia="宋体" w:cs="宋体"/>
          <w:sz w:val="21"/>
          <w:szCs w:val="21"/>
          <w:highlight w:val="none"/>
        </w:rPr>
      </w:pPr>
      <w:bookmarkStart w:id="92" w:name="bookmark224"/>
      <w:bookmarkEnd w:id="92"/>
      <w:r>
        <w:rPr>
          <w:rFonts w:ascii="宋体" w:hAnsi="宋体" w:eastAsia="宋体" w:cs="宋体"/>
          <w:sz w:val="21"/>
          <w:szCs w:val="21"/>
          <w:highlight w:val="none"/>
        </w:rPr>
        <w:t>(或)竣工日期延误，由承包人负责。如承包人已及时通知发包人，发包人未能及时作出指</w:t>
      </w:r>
      <w:r>
        <w:rPr>
          <w:rFonts w:ascii="宋体" w:hAnsi="宋体" w:eastAsia="宋体" w:cs="宋体"/>
          <w:spacing w:val="13"/>
          <w:sz w:val="21"/>
          <w:szCs w:val="21"/>
          <w:highlight w:val="none"/>
        </w:rPr>
        <w:t xml:space="preserve"> </w:t>
      </w:r>
      <w:r>
        <w:rPr>
          <w:rFonts w:ascii="宋体" w:hAnsi="宋体" w:eastAsia="宋体" w:cs="宋体"/>
          <w:spacing w:val="6"/>
          <w:sz w:val="21"/>
          <w:szCs w:val="21"/>
          <w:highlight w:val="none"/>
        </w:rPr>
        <w:t>示的，所造成的损害、损失、赔偿等费用增加，和(或)竣工日</w:t>
      </w:r>
      <w:r>
        <w:rPr>
          <w:rFonts w:ascii="宋体" w:hAnsi="宋体" w:eastAsia="宋体" w:cs="宋体"/>
          <w:spacing w:val="5"/>
          <w:sz w:val="21"/>
          <w:szCs w:val="21"/>
          <w:highlight w:val="none"/>
        </w:rPr>
        <w:t>期延误，由发包人负责。</w:t>
      </w:r>
    </w:p>
    <w:p w14:paraId="6E7AD150">
      <w:pPr>
        <w:spacing w:before="193" w:line="314" w:lineRule="auto"/>
        <w:ind w:right="47" w:firstLine="420"/>
        <w:rPr>
          <w:rFonts w:ascii="宋体" w:hAnsi="宋体" w:eastAsia="宋体" w:cs="宋体"/>
          <w:sz w:val="21"/>
          <w:szCs w:val="21"/>
          <w:highlight w:val="none"/>
        </w:rPr>
      </w:pPr>
      <w:r>
        <w:rPr>
          <w:rFonts w:ascii="宋体" w:hAnsi="宋体" w:eastAsia="宋体" w:cs="宋体"/>
          <w:spacing w:val="6"/>
          <w:sz w:val="21"/>
          <w:szCs w:val="21"/>
          <w:highlight w:val="none"/>
        </w:rPr>
        <w:t>7.8.2承包人应采取措施，并负责控制和(或)处理现场的粉尘、废气、</w:t>
      </w:r>
      <w:r>
        <w:rPr>
          <w:rFonts w:ascii="宋体" w:hAnsi="宋体" w:eastAsia="宋体" w:cs="宋体"/>
          <w:spacing w:val="5"/>
          <w:sz w:val="21"/>
          <w:szCs w:val="21"/>
          <w:highlight w:val="none"/>
        </w:rPr>
        <w:t>废水、固体废</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物和噪声对环境的污染和危害。因此发生的伤害、赔偿、罚款等费用增加，和(或)竣工日</w:t>
      </w:r>
      <w:r>
        <w:rPr>
          <w:rFonts w:ascii="宋体" w:hAnsi="宋体" w:eastAsia="宋体" w:cs="宋体"/>
          <w:spacing w:val="16"/>
          <w:sz w:val="21"/>
          <w:szCs w:val="21"/>
          <w:highlight w:val="none"/>
        </w:rPr>
        <w:t xml:space="preserve"> </w:t>
      </w:r>
      <w:r>
        <w:rPr>
          <w:rFonts w:ascii="宋体" w:hAnsi="宋体" w:eastAsia="宋体" w:cs="宋体"/>
          <w:spacing w:val="-4"/>
          <w:sz w:val="21"/>
          <w:szCs w:val="21"/>
          <w:highlight w:val="none"/>
        </w:rPr>
        <w:t>期延误，由承包人负责。</w:t>
      </w:r>
    </w:p>
    <w:p w14:paraId="41A3A2C7">
      <w:pPr>
        <w:pStyle w:val="2"/>
        <w:spacing w:line="260" w:lineRule="auto"/>
        <w:rPr>
          <w:highlight w:val="none"/>
        </w:rPr>
      </w:pPr>
    </w:p>
    <w:p w14:paraId="0BBD9918">
      <w:pPr>
        <w:spacing w:before="68" w:line="327" w:lineRule="auto"/>
        <w:ind w:right="18" w:firstLine="420"/>
        <w:rPr>
          <w:rFonts w:ascii="宋体" w:hAnsi="宋体" w:eastAsia="宋体" w:cs="宋体"/>
          <w:sz w:val="21"/>
          <w:szCs w:val="21"/>
          <w:highlight w:val="none"/>
        </w:rPr>
      </w:pPr>
      <w:r>
        <w:rPr>
          <w:rFonts w:ascii="宋体" w:hAnsi="宋体" w:eastAsia="宋体" w:cs="宋体"/>
          <w:spacing w:val="1"/>
          <w:sz w:val="21"/>
          <w:szCs w:val="21"/>
          <w:highlight w:val="none"/>
        </w:rPr>
        <w:t>7.8.3承包人及时或定期将施工现场残留、废弃的</w:t>
      </w:r>
      <w:r>
        <w:rPr>
          <w:rFonts w:ascii="宋体" w:hAnsi="宋体" w:eastAsia="宋体" w:cs="宋体"/>
          <w:sz w:val="21"/>
          <w:szCs w:val="21"/>
          <w:highlight w:val="none"/>
        </w:rPr>
        <w:t xml:space="preserve">垃圾分类后运到发包人或当地有关行 </w:t>
      </w:r>
      <w:r>
        <w:rPr>
          <w:rFonts w:ascii="宋体" w:hAnsi="宋体" w:eastAsia="宋体" w:cs="宋体"/>
          <w:spacing w:val="-2"/>
          <w:sz w:val="21"/>
          <w:szCs w:val="21"/>
          <w:highlight w:val="none"/>
        </w:rPr>
        <w:t>政部门指定的地点，防止对周围环境的污染及对作业的影响。承包人应当承担因其原因</w:t>
      </w:r>
      <w:r>
        <w:rPr>
          <w:rFonts w:ascii="宋体" w:hAnsi="宋体" w:eastAsia="宋体" w:cs="宋体"/>
          <w:spacing w:val="-3"/>
          <w:sz w:val="21"/>
          <w:szCs w:val="21"/>
          <w:highlight w:val="none"/>
        </w:rPr>
        <w:t>引起</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的环境污染侵权损害赔偿责任，因违反上述约定导致当地行政部门的罚款、赔偿等增加的费</w:t>
      </w:r>
      <w:r>
        <w:rPr>
          <w:rFonts w:ascii="宋体" w:hAnsi="宋体" w:eastAsia="宋体" w:cs="宋体"/>
          <w:spacing w:val="1"/>
          <w:sz w:val="21"/>
          <w:szCs w:val="21"/>
          <w:highlight w:val="none"/>
        </w:rPr>
        <w:t xml:space="preserve"> </w:t>
      </w:r>
      <w:r>
        <w:rPr>
          <w:rFonts w:ascii="宋体" w:hAnsi="宋体" w:eastAsia="宋体" w:cs="宋体"/>
          <w:spacing w:val="4"/>
          <w:sz w:val="21"/>
          <w:szCs w:val="21"/>
          <w:highlight w:val="none"/>
        </w:rPr>
        <w:t>用，由承包人承担；因上述环境污染引起纠纷而导致暂停施工的，由此增加的费用和(或)</w:t>
      </w:r>
      <w:r>
        <w:rPr>
          <w:rFonts w:ascii="宋体" w:hAnsi="宋体" w:eastAsia="宋体" w:cs="宋体"/>
          <w:spacing w:val="5"/>
          <w:sz w:val="21"/>
          <w:szCs w:val="21"/>
          <w:highlight w:val="none"/>
        </w:rPr>
        <w:t xml:space="preserve"> </w:t>
      </w:r>
      <w:r>
        <w:rPr>
          <w:rFonts w:ascii="宋体" w:hAnsi="宋体" w:eastAsia="宋体" w:cs="宋体"/>
          <w:spacing w:val="-4"/>
          <w:sz w:val="21"/>
          <w:szCs w:val="21"/>
          <w:highlight w:val="none"/>
        </w:rPr>
        <w:t>延误的工期由承包人承担。</w:t>
      </w:r>
    </w:p>
    <w:p w14:paraId="4634B009">
      <w:pPr>
        <w:pStyle w:val="2"/>
        <w:spacing w:line="356" w:lineRule="auto"/>
        <w:rPr>
          <w:highlight w:val="none"/>
        </w:rPr>
      </w:pPr>
    </w:p>
    <w:p w14:paraId="733137F7">
      <w:pPr>
        <w:spacing w:before="71" w:line="222" w:lineRule="auto"/>
        <w:rPr>
          <w:rFonts w:ascii="黑体" w:hAnsi="黑体" w:eastAsia="黑体" w:cs="黑体"/>
          <w:sz w:val="22"/>
          <w:szCs w:val="22"/>
          <w:highlight w:val="none"/>
        </w:rPr>
      </w:pPr>
      <w:r>
        <w:rPr>
          <w:rFonts w:ascii="黑体" w:hAnsi="黑体" w:eastAsia="黑体" w:cs="黑体"/>
          <w:spacing w:val="2"/>
          <w:sz w:val="22"/>
          <w:szCs w:val="22"/>
          <w:highlight w:val="none"/>
        </w:rPr>
        <w:t>7.9临时性公用设施</w:t>
      </w:r>
    </w:p>
    <w:p w14:paraId="2C744FC0">
      <w:pPr>
        <w:spacing w:before="105"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7.9.1   </w:t>
      </w:r>
      <w:r>
        <w:rPr>
          <w:rFonts w:ascii="宋体" w:hAnsi="宋体" w:eastAsia="宋体" w:cs="宋体"/>
          <w:spacing w:val="-5"/>
          <w:sz w:val="22"/>
          <w:szCs w:val="22"/>
          <w:highlight w:val="none"/>
        </w:rPr>
        <w:t>提供临时用水、用电等和节</w:t>
      </w:r>
      <w:r>
        <w:rPr>
          <w:rFonts w:ascii="宋体" w:hAnsi="宋体" w:eastAsia="宋体" w:cs="宋体"/>
          <w:spacing w:val="-6"/>
          <w:sz w:val="22"/>
          <w:szCs w:val="22"/>
          <w:highlight w:val="none"/>
        </w:rPr>
        <w:t>点铺设</w:t>
      </w:r>
    </w:p>
    <w:p w14:paraId="2F892FAB">
      <w:pPr>
        <w:pStyle w:val="2"/>
        <w:spacing w:line="360" w:lineRule="auto"/>
        <w:rPr>
          <w:highlight w:val="none"/>
        </w:rPr>
      </w:pPr>
    </w:p>
    <w:p w14:paraId="4AE86EFC">
      <w:pPr>
        <w:spacing w:before="69" w:line="416" w:lineRule="auto"/>
        <w:ind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除专用合同条件另有约定外，发包人应在承包人进场前将施工临时用水、用电等接至约</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定的节点位置，并保证其需要。上述临时使用的水、电等的类别、取费单价在专用合</w:t>
      </w:r>
      <w:r>
        <w:rPr>
          <w:rFonts w:ascii="宋体" w:hAnsi="宋体" w:eastAsia="宋体" w:cs="宋体"/>
          <w:spacing w:val="-3"/>
          <w:sz w:val="21"/>
          <w:szCs w:val="21"/>
          <w:highlight w:val="none"/>
        </w:rPr>
        <w:t>同条件</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中约定，发包人按实际计量结果收费。发包人无法提供的水、电等在专用合同条件中约定，</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相关费用由承包人纳入报价并承担相关责任。</w:t>
      </w:r>
    </w:p>
    <w:p w14:paraId="06398493">
      <w:pPr>
        <w:spacing w:before="16" w:line="384" w:lineRule="auto"/>
        <w:ind w:right="17"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发包人未能按约定的类别和时间完成节点铺设，使开工时间延误，竣工日</w:t>
      </w:r>
      <w:r>
        <w:rPr>
          <w:rFonts w:ascii="宋体" w:hAnsi="宋体" w:eastAsia="宋体" w:cs="宋体"/>
          <w:spacing w:val="-2"/>
          <w:sz w:val="21"/>
          <w:szCs w:val="21"/>
          <w:highlight w:val="none"/>
        </w:rPr>
        <w:t>期相应顺延。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未能按约定的品质、数量和时间提供水、电等</w:t>
      </w:r>
      <w:r>
        <w:rPr>
          <w:rFonts w:ascii="宋体" w:hAnsi="宋体" w:eastAsia="宋体" w:cs="宋体"/>
          <w:spacing w:val="-3"/>
          <w:sz w:val="21"/>
          <w:szCs w:val="21"/>
          <w:highlight w:val="none"/>
        </w:rPr>
        <w:t>，给承包人造成的损失由发包人承担，导致工</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程关键路径延误的，竣工日期相应顺延。</w:t>
      </w:r>
    </w:p>
    <w:p w14:paraId="68433D4D">
      <w:pPr>
        <w:spacing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7.9.2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6"/>
          <w:sz w:val="22"/>
          <w:szCs w:val="22"/>
          <w:highlight w:val="none"/>
        </w:rPr>
        <w:t>临时用水、用电等</w:t>
      </w:r>
    </w:p>
    <w:p w14:paraId="06894100">
      <w:pPr>
        <w:pStyle w:val="2"/>
        <w:spacing w:line="368" w:lineRule="auto"/>
        <w:rPr>
          <w:highlight w:val="none"/>
        </w:rPr>
      </w:pPr>
    </w:p>
    <w:p w14:paraId="3D76222A">
      <w:pPr>
        <w:spacing w:before="69" w:line="416" w:lineRule="auto"/>
        <w:ind w:right="20" w:firstLine="420"/>
        <w:jc w:val="both"/>
        <w:rPr>
          <w:rFonts w:ascii="宋体" w:hAnsi="宋体" w:eastAsia="宋体" w:cs="宋体"/>
          <w:sz w:val="21"/>
          <w:szCs w:val="21"/>
          <w:highlight w:val="none"/>
        </w:rPr>
      </w:pPr>
      <w:r>
        <w:rPr>
          <w:rFonts w:ascii="宋体" w:hAnsi="宋体" w:eastAsia="宋体" w:cs="宋体"/>
          <w:spacing w:val="4"/>
          <w:sz w:val="21"/>
          <w:szCs w:val="21"/>
          <w:highlight w:val="none"/>
        </w:rPr>
        <w:t>承包人应在计划开始现场施工日期28天前或双方约定的其它</w:t>
      </w:r>
      <w:r>
        <w:rPr>
          <w:rFonts w:ascii="宋体" w:hAnsi="宋体" w:eastAsia="宋体" w:cs="宋体"/>
          <w:spacing w:val="3"/>
          <w:sz w:val="21"/>
          <w:szCs w:val="21"/>
          <w:highlight w:val="none"/>
        </w:rPr>
        <w:t>时间，按专用合同条件中</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约定的发包人能够提供的临时用水、用电等类别，向发包人</w:t>
      </w:r>
      <w:r>
        <w:rPr>
          <w:rFonts w:ascii="宋体" w:hAnsi="宋体" w:eastAsia="宋体" w:cs="宋体"/>
          <w:spacing w:val="2"/>
          <w:sz w:val="21"/>
          <w:szCs w:val="21"/>
          <w:highlight w:val="none"/>
        </w:rPr>
        <w:t>提交施工(含工程物资保管)所</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需的临时用水、用电等的品质、正常用量、高峰用量、使用时间和节点位置等资料。承</w:t>
      </w:r>
      <w:r>
        <w:rPr>
          <w:rFonts w:ascii="宋体" w:hAnsi="宋体" w:eastAsia="宋体" w:cs="宋体"/>
          <w:spacing w:val="-3"/>
          <w:sz w:val="21"/>
          <w:szCs w:val="21"/>
          <w:highlight w:val="none"/>
        </w:rPr>
        <w:t>包人</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自费负责计量仪器的购买、安装和维护，并依据专用合同条件中约定的单价向</w:t>
      </w:r>
      <w:r>
        <w:rPr>
          <w:rFonts w:ascii="宋体" w:hAnsi="宋体" w:eastAsia="宋体" w:cs="宋体"/>
          <w:spacing w:val="-2"/>
          <w:sz w:val="21"/>
          <w:szCs w:val="21"/>
          <w:highlight w:val="none"/>
        </w:rPr>
        <w:t>发包人交费，</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合同当事人另有约定时除外。</w:t>
      </w:r>
    </w:p>
    <w:p w14:paraId="141991C7">
      <w:pPr>
        <w:spacing w:before="52" w:line="427" w:lineRule="auto"/>
        <w:ind w:right="55" w:firstLine="420"/>
        <w:rPr>
          <w:rFonts w:ascii="宋体" w:hAnsi="宋体" w:eastAsia="宋体" w:cs="宋体"/>
          <w:sz w:val="20"/>
          <w:szCs w:val="20"/>
          <w:highlight w:val="none"/>
        </w:rPr>
      </w:pPr>
      <w:r>
        <w:rPr>
          <w:rFonts w:ascii="宋体" w:hAnsi="宋体" w:eastAsia="宋体" w:cs="宋体"/>
          <w:spacing w:val="8"/>
          <w:sz w:val="20"/>
          <w:szCs w:val="20"/>
          <w:highlight w:val="none"/>
        </w:rPr>
        <w:t>因承包人未能按合同约定提交上述资料，造成发包人费用增加和竣工日期</w:t>
      </w:r>
      <w:r>
        <w:rPr>
          <w:rFonts w:ascii="宋体" w:hAnsi="宋体" w:eastAsia="宋体" w:cs="宋体"/>
          <w:spacing w:val="7"/>
          <w:sz w:val="20"/>
          <w:szCs w:val="20"/>
          <w:highlight w:val="none"/>
        </w:rPr>
        <w:t>延误时，由承</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包人负责。</w:t>
      </w:r>
    </w:p>
    <w:p w14:paraId="17E53903">
      <w:pPr>
        <w:spacing w:before="155" w:line="222" w:lineRule="auto"/>
        <w:rPr>
          <w:rFonts w:ascii="黑体" w:hAnsi="黑体" w:eastAsia="黑体" w:cs="黑体"/>
          <w:sz w:val="22"/>
          <w:szCs w:val="22"/>
          <w:highlight w:val="none"/>
        </w:rPr>
      </w:pPr>
      <w:r>
        <w:rPr>
          <w:rFonts w:ascii="黑体" w:hAnsi="黑体" w:eastAsia="黑体" w:cs="黑体"/>
          <w:spacing w:val="5"/>
          <w:sz w:val="22"/>
          <w:szCs w:val="22"/>
          <w:highlight w:val="none"/>
        </w:rPr>
        <w:t>7.10现场安保</w:t>
      </w:r>
    </w:p>
    <w:p w14:paraId="55D5C72D">
      <w:pPr>
        <w:spacing w:before="246" w:line="219" w:lineRule="auto"/>
        <w:ind w:left="420"/>
        <w:rPr>
          <w:rFonts w:ascii="宋体" w:hAnsi="宋体" w:eastAsia="宋体" w:cs="宋体"/>
          <w:sz w:val="20"/>
          <w:szCs w:val="20"/>
          <w:highlight w:val="none"/>
        </w:rPr>
      </w:pPr>
      <w:r>
        <w:rPr>
          <w:rFonts w:ascii="宋体" w:hAnsi="宋体" w:eastAsia="宋体" w:cs="宋体"/>
          <w:spacing w:val="11"/>
          <w:sz w:val="20"/>
          <w:szCs w:val="20"/>
          <w:highlight w:val="none"/>
        </w:rPr>
        <w:t>承包人承担自发包人向其移交施工现场、进</w:t>
      </w:r>
      <w:r>
        <w:rPr>
          <w:rFonts w:ascii="宋体" w:hAnsi="宋体" w:eastAsia="宋体" w:cs="宋体"/>
          <w:spacing w:val="10"/>
          <w:sz w:val="20"/>
          <w:szCs w:val="20"/>
          <w:highlight w:val="none"/>
        </w:rPr>
        <w:t>入占有施工现场至发包人接收单位/区段工</w:t>
      </w:r>
    </w:p>
    <w:p w14:paraId="7C105892">
      <w:pPr>
        <w:spacing w:line="219" w:lineRule="auto"/>
        <w:rPr>
          <w:rFonts w:ascii="宋体" w:hAnsi="宋体" w:eastAsia="宋体" w:cs="宋体"/>
          <w:sz w:val="20"/>
          <w:szCs w:val="20"/>
          <w:highlight w:val="none"/>
        </w:rPr>
        <w:sectPr>
          <w:footerReference r:id="rId106" w:type="default"/>
          <w:pgSz w:w="11910" w:h="16840"/>
          <w:pgMar w:top="400" w:right="1754" w:bottom="1217" w:left="1779" w:header="0" w:footer="1013" w:gutter="0"/>
          <w:cols w:space="720" w:num="1"/>
        </w:sectPr>
      </w:pPr>
    </w:p>
    <w:p w14:paraId="721194EB">
      <w:pPr>
        <w:pStyle w:val="2"/>
        <w:spacing w:line="273" w:lineRule="auto"/>
        <w:rPr>
          <w:highlight w:val="none"/>
        </w:rPr>
      </w:pPr>
    </w:p>
    <w:p w14:paraId="5CE9CC2C">
      <w:pPr>
        <w:pStyle w:val="2"/>
        <w:spacing w:line="273" w:lineRule="auto"/>
        <w:rPr>
          <w:highlight w:val="none"/>
        </w:rPr>
      </w:pPr>
    </w:p>
    <w:p w14:paraId="498CB461">
      <w:pPr>
        <w:pStyle w:val="2"/>
        <w:spacing w:line="274" w:lineRule="auto"/>
        <w:rPr>
          <w:highlight w:val="none"/>
        </w:rPr>
      </w:pPr>
    </w:p>
    <w:p w14:paraId="35825DF9">
      <w:pPr>
        <w:pStyle w:val="2"/>
        <w:spacing w:line="274" w:lineRule="auto"/>
        <w:rPr>
          <w:highlight w:val="none"/>
        </w:rPr>
      </w:pPr>
    </w:p>
    <w:p w14:paraId="114C1905">
      <w:pPr>
        <w:spacing w:before="68" w:line="423" w:lineRule="auto"/>
        <w:jc w:val="both"/>
        <w:rPr>
          <w:rFonts w:ascii="宋体" w:hAnsi="宋体" w:eastAsia="宋体" w:cs="宋体"/>
          <w:sz w:val="21"/>
          <w:szCs w:val="21"/>
          <w:highlight w:val="none"/>
        </w:rPr>
      </w:pPr>
      <w:r>
        <w:rPr>
          <w:rFonts w:ascii="宋体" w:hAnsi="宋体" w:eastAsia="宋体" w:cs="宋体"/>
          <w:spacing w:val="4"/>
          <w:sz w:val="21"/>
          <w:szCs w:val="21"/>
          <w:highlight w:val="none"/>
        </w:rPr>
        <w:t>程或(和)工程之前的现场安保责任，并负责编制相关的安保制度、责任制度和报告制度，</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提交给发包人。除专用合同条件另有约定外，承包人的该等义务不</w:t>
      </w:r>
      <w:r>
        <w:rPr>
          <w:rFonts w:ascii="宋体" w:hAnsi="宋体" w:eastAsia="宋体" w:cs="宋体"/>
          <w:spacing w:val="-3"/>
          <w:sz w:val="21"/>
          <w:szCs w:val="21"/>
          <w:highlight w:val="none"/>
        </w:rPr>
        <w:t>因其与他人共同合法占有</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施工现场而减免。承包人有权要求发包人负责协调他人就共同合</w:t>
      </w:r>
      <w:r>
        <w:rPr>
          <w:rFonts w:ascii="宋体" w:hAnsi="宋体" w:eastAsia="宋体" w:cs="宋体"/>
          <w:spacing w:val="-3"/>
          <w:sz w:val="21"/>
          <w:szCs w:val="21"/>
          <w:highlight w:val="none"/>
        </w:rPr>
        <w:t>法占有现场的安保事宜接受</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承包人的管理。</w:t>
      </w:r>
    </w:p>
    <w:p w14:paraId="6DD12F44">
      <w:pPr>
        <w:spacing w:before="4" w:line="434" w:lineRule="auto"/>
        <w:ind w:right="51" w:firstLine="420"/>
        <w:jc w:val="both"/>
        <w:rPr>
          <w:rFonts w:ascii="宋体" w:hAnsi="宋体" w:eastAsia="宋体" w:cs="宋体"/>
          <w:sz w:val="20"/>
          <w:szCs w:val="20"/>
          <w:highlight w:val="none"/>
        </w:rPr>
      </w:pPr>
      <w:r>
        <w:rPr>
          <w:rFonts w:ascii="宋体" w:hAnsi="宋体" w:eastAsia="宋体" w:cs="宋体"/>
          <w:spacing w:val="8"/>
          <w:sz w:val="20"/>
          <w:szCs w:val="20"/>
          <w:highlight w:val="none"/>
        </w:rPr>
        <w:t>承包人应将其作业限制在现场区域、合同约定的区</w:t>
      </w:r>
      <w:r>
        <w:rPr>
          <w:rFonts w:ascii="宋体" w:hAnsi="宋体" w:eastAsia="宋体" w:cs="宋体"/>
          <w:spacing w:val="7"/>
          <w:sz w:val="20"/>
          <w:szCs w:val="20"/>
          <w:highlight w:val="none"/>
        </w:rPr>
        <w:t>域或为履行合同所需的区域内。承包</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人应采取一切必要的预防措施，以保持承包人的设备和人员处于现场区域</w:t>
      </w:r>
      <w:r>
        <w:rPr>
          <w:rFonts w:ascii="宋体" w:hAnsi="宋体" w:eastAsia="宋体" w:cs="宋体"/>
          <w:spacing w:val="7"/>
          <w:sz w:val="20"/>
          <w:szCs w:val="20"/>
          <w:highlight w:val="none"/>
        </w:rPr>
        <w:t>内，避免其进入邻</w:t>
      </w:r>
      <w:r>
        <w:rPr>
          <w:rFonts w:ascii="宋体" w:hAnsi="宋体" w:eastAsia="宋体" w:cs="宋体"/>
          <w:sz w:val="20"/>
          <w:szCs w:val="20"/>
          <w:highlight w:val="none"/>
        </w:rPr>
        <w:t xml:space="preserve"> 近地区。</w:t>
      </w:r>
    </w:p>
    <w:p w14:paraId="082466C2">
      <w:pPr>
        <w:spacing w:line="414" w:lineRule="auto"/>
        <w:ind w:right="52" w:firstLine="420"/>
        <w:rPr>
          <w:rFonts w:ascii="宋体" w:hAnsi="宋体" w:eastAsia="宋体" w:cs="宋体"/>
          <w:sz w:val="21"/>
          <w:szCs w:val="21"/>
          <w:highlight w:val="none"/>
        </w:rPr>
      </w:pPr>
      <w:r>
        <w:rPr>
          <w:rFonts w:ascii="宋体" w:hAnsi="宋体" w:eastAsia="宋体" w:cs="宋体"/>
          <w:spacing w:val="9"/>
          <w:sz w:val="21"/>
          <w:szCs w:val="21"/>
          <w:highlight w:val="none"/>
        </w:rPr>
        <w:t>承包人为履行合同义务而占用的其他场所(如预制加工场所、办公及生活营区)</w:t>
      </w:r>
      <w:r>
        <w:rPr>
          <w:rFonts w:ascii="宋体" w:hAnsi="宋体" w:eastAsia="宋体" w:cs="宋体"/>
          <w:spacing w:val="8"/>
          <w:sz w:val="21"/>
          <w:szCs w:val="21"/>
          <w:highlight w:val="none"/>
        </w:rPr>
        <w:t>的安</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保适用本款前述关于现场安保的规定。</w:t>
      </w:r>
    </w:p>
    <w:p w14:paraId="79B2E1F7">
      <w:pPr>
        <w:pStyle w:val="2"/>
        <w:spacing w:before="166" w:line="222" w:lineRule="auto"/>
        <w:rPr>
          <w:rFonts w:ascii="黑体" w:hAnsi="黑体" w:eastAsia="黑体" w:cs="黑体"/>
          <w:sz w:val="22"/>
          <w:szCs w:val="22"/>
          <w:highlight w:val="none"/>
        </w:rPr>
      </w:pPr>
      <w:r>
        <w:rPr>
          <w:spacing w:val="-5"/>
          <w:sz w:val="22"/>
          <w:szCs w:val="22"/>
          <w:highlight w:val="none"/>
        </w:rPr>
        <w:t>7.11</w:t>
      </w:r>
      <w:r>
        <w:rPr>
          <w:spacing w:val="56"/>
          <w:w w:val="101"/>
          <w:sz w:val="22"/>
          <w:szCs w:val="22"/>
          <w:highlight w:val="none"/>
        </w:rPr>
        <w:t xml:space="preserve"> </w:t>
      </w:r>
      <w:r>
        <w:rPr>
          <w:rFonts w:ascii="黑体" w:hAnsi="黑体" w:eastAsia="黑体" w:cs="黑体"/>
          <w:spacing w:val="-5"/>
          <w:sz w:val="22"/>
          <w:szCs w:val="22"/>
          <w:highlight w:val="none"/>
        </w:rPr>
        <w:t>工程照管</w:t>
      </w:r>
    </w:p>
    <w:p w14:paraId="1E941DEF">
      <w:pPr>
        <w:spacing w:before="234" w:line="421" w:lineRule="auto"/>
        <w:ind w:right="4" w:firstLine="420"/>
        <w:rPr>
          <w:rFonts w:ascii="宋体" w:hAnsi="宋体" w:eastAsia="宋体" w:cs="宋体"/>
          <w:sz w:val="20"/>
          <w:szCs w:val="20"/>
          <w:highlight w:val="none"/>
        </w:rPr>
      </w:pPr>
      <w:r>
        <w:rPr>
          <w:rFonts w:ascii="宋体" w:hAnsi="宋体" w:eastAsia="宋体" w:cs="宋体"/>
          <w:spacing w:val="9"/>
          <w:sz w:val="20"/>
          <w:szCs w:val="20"/>
          <w:highlight w:val="none"/>
        </w:rPr>
        <w:t>自开始现场施工日期起至发包人应当接收工程之日止，承包人应承担工程现场、</w:t>
      </w:r>
      <w:r>
        <w:rPr>
          <w:rFonts w:ascii="宋体" w:hAnsi="宋体" w:eastAsia="宋体" w:cs="宋体"/>
          <w:spacing w:val="8"/>
          <w:sz w:val="20"/>
          <w:szCs w:val="20"/>
          <w:highlight w:val="none"/>
        </w:rPr>
        <w:t>材料、</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设备及承包人文件的照管和维护工作。</w:t>
      </w:r>
    </w:p>
    <w:p w14:paraId="519D3BE3">
      <w:pPr>
        <w:spacing w:line="419" w:lineRule="auto"/>
        <w:ind w:right="29" w:firstLine="420"/>
        <w:rPr>
          <w:rFonts w:ascii="宋体" w:hAnsi="宋体" w:eastAsia="宋体" w:cs="宋体"/>
          <w:sz w:val="22"/>
          <w:szCs w:val="22"/>
          <w:highlight w:val="none"/>
        </w:rPr>
      </w:pPr>
      <w:r>
        <w:rPr>
          <w:rFonts w:ascii="宋体" w:hAnsi="宋体" w:eastAsia="宋体" w:cs="宋体"/>
          <w:spacing w:val="-12"/>
          <w:sz w:val="22"/>
          <w:szCs w:val="22"/>
          <w:highlight w:val="none"/>
        </w:rPr>
        <w:t>如部分工程于竣工验收前提前交付发包人的，则自交付之日起，该部分工程照管及维护</w:t>
      </w:r>
      <w:r>
        <w:rPr>
          <w:rFonts w:ascii="宋体" w:hAnsi="宋体" w:eastAsia="宋体" w:cs="宋体"/>
          <w:spacing w:val="10"/>
          <w:sz w:val="22"/>
          <w:szCs w:val="22"/>
          <w:highlight w:val="none"/>
        </w:rPr>
        <w:t xml:space="preserve"> </w:t>
      </w:r>
      <w:r>
        <w:rPr>
          <w:rFonts w:ascii="宋体" w:hAnsi="宋体" w:eastAsia="宋体" w:cs="宋体"/>
          <w:spacing w:val="-12"/>
          <w:sz w:val="22"/>
          <w:szCs w:val="22"/>
          <w:highlight w:val="none"/>
        </w:rPr>
        <w:t>职责由发包人承担。</w:t>
      </w:r>
    </w:p>
    <w:p w14:paraId="79D30651">
      <w:pPr>
        <w:spacing w:before="2" w:line="438" w:lineRule="auto"/>
        <w:ind w:right="57" w:firstLine="420"/>
        <w:rPr>
          <w:rFonts w:ascii="宋体" w:hAnsi="宋体" w:eastAsia="宋体" w:cs="宋体"/>
          <w:sz w:val="20"/>
          <w:szCs w:val="20"/>
          <w:highlight w:val="none"/>
        </w:rPr>
      </w:pPr>
      <w:r>
        <w:rPr>
          <w:rFonts w:ascii="宋体" w:hAnsi="宋体" w:eastAsia="宋体" w:cs="宋体"/>
          <w:spacing w:val="8"/>
          <w:sz w:val="20"/>
          <w:szCs w:val="20"/>
          <w:highlight w:val="none"/>
        </w:rPr>
        <w:t>如发包人及承包人进行竣工验收时尚有部分未</w:t>
      </w:r>
      <w:r>
        <w:rPr>
          <w:rFonts w:ascii="宋体" w:hAnsi="宋体" w:eastAsia="宋体" w:cs="宋体"/>
          <w:spacing w:val="7"/>
          <w:sz w:val="20"/>
          <w:szCs w:val="20"/>
          <w:highlight w:val="none"/>
        </w:rPr>
        <w:t>竣工工程的，承包人应负责该未竣工工程</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的照管和维护工作，直至竣工后移交给发包人。</w:t>
      </w:r>
    </w:p>
    <w:p w14:paraId="27351653">
      <w:pPr>
        <w:spacing w:before="1" w:line="399" w:lineRule="auto"/>
        <w:ind w:right="54" w:firstLine="420"/>
        <w:rPr>
          <w:rFonts w:ascii="仿宋" w:hAnsi="仿宋" w:eastAsia="仿宋" w:cs="仿宋"/>
          <w:sz w:val="22"/>
          <w:szCs w:val="22"/>
          <w:highlight w:val="none"/>
        </w:rPr>
      </w:pPr>
      <w:r>
        <w:rPr>
          <w:rFonts w:ascii="宋体" w:hAnsi="宋体" w:eastAsia="宋体" w:cs="宋体"/>
          <w:spacing w:val="-7"/>
          <w:sz w:val="22"/>
          <w:szCs w:val="22"/>
          <w:highlight w:val="none"/>
        </w:rPr>
        <w:t>如合同解除或终止的，承包人自合同解除或终止之日起不再对工程承担照管和维护义</w:t>
      </w:r>
      <w:r>
        <w:rPr>
          <w:rFonts w:ascii="宋体" w:hAnsi="宋体" w:eastAsia="宋体" w:cs="宋体"/>
          <w:spacing w:val="8"/>
          <w:sz w:val="22"/>
          <w:szCs w:val="22"/>
          <w:highlight w:val="none"/>
        </w:rPr>
        <w:t xml:space="preserve"> </w:t>
      </w:r>
      <w:r>
        <w:rPr>
          <w:rFonts w:ascii="仿宋" w:hAnsi="仿宋" w:eastAsia="仿宋" w:cs="仿宋"/>
          <w:spacing w:val="-13"/>
          <w:sz w:val="22"/>
          <w:szCs w:val="22"/>
          <w:highlight w:val="none"/>
        </w:rPr>
        <w:t>务。</w:t>
      </w:r>
    </w:p>
    <w:p w14:paraId="274783B3">
      <w:pPr>
        <w:spacing w:before="119" w:line="222" w:lineRule="auto"/>
        <w:outlineLvl w:val="1"/>
        <w:rPr>
          <w:rFonts w:ascii="黑体" w:hAnsi="黑体" w:eastAsia="黑体" w:cs="黑体"/>
          <w:sz w:val="28"/>
          <w:szCs w:val="28"/>
          <w:highlight w:val="none"/>
        </w:rPr>
      </w:pPr>
      <w:bookmarkStart w:id="93" w:name="bookmark54"/>
      <w:bookmarkEnd w:id="93"/>
      <w:r>
        <w:rPr>
          <w:rFonts w:ascii="黑体" w:hAnsi="黑体" w:eastAsia="黑体" w:cs="黑体"/>
          <w:spacing w:val="39"/>
          <w:sz w:val="28"/>
          <w:szCs w:val="28"/>
          <w:highlight w:val="none"/>
        </w:rPr>
        <w:t>第8条工期和进度</w:t>
      </w:r>
    </w:p>
    <w:p w14:paraId="06E1A0F7">
      <w:pPr>
        <w:pStyle w:val="2"/>
        <w:spacing w:line="298" w:lineRule="auto"/>
        <w:rPr>
          <w:highlight w:val="none"/>
        </w:rPr>
      </w:pPr>
    </w:p>
    <w:p w14:paraId="7EF3FE40">
      <w:pPr>
        <w:pStyle w:val="2"/>
        <w:spacing w:before="72" w:line="300" w:lineRule="exact"/>
        <w:rPr>
          <w:rFonts w:ascii="黑体" w:hAnsi="黑体" w:eastAsia="黑体" w:cs="黑体"/>
          <w:sz w:val="22"/>
          <w:szCs w:val="22"/>
          <w:highlight w:val="none"/>
        </w:rPr>
      </w:pPr>
      <w:r>
        <w:rPr>
          <w:spacing w:val="-3"/>
          <w:position w:val="1"/>
          <w:sz w:val="22"/>
          <w:szCs w:val="22"/>
          <w:highlight w:val="none"/>
        </w:rPr>
        <w:t>8.1</w:t>
      </w:r>
      <w:r>
        <w:rPr>
          <w:spacing w:val="54"/>
          <w:position w:val="1"/>
          <w:sz w:val="22"/>
          <w:szCs w:val="22"/>
          <w:highlight w:val="none"/>
        </w:rPr>
        <w:t xml:space="preserve"> </w:t>
      </w:r>
      <w:r>
        <w:rPr>
          <w:rFonts w:ascii="黑体" w:hAnsi="黑体" w:eastAsia="黑体" w:cs="黑体"/>
          <w:spacing w:val="-3"/>
          <w:position w:val="1"/>
          <w:sz w:val="22"/>
          <w:szCs w:val="22"/>
          <w:highlight w:val="none"/>
        </w:rPr>
        <w:t>开始工作</w:t>
      </w:r>
    </w:p>
    <w:p w14:paraId="547DB12C">
      <w:pPr>
        <w:spacing w:before="92" w:line="220" w:lineRule="auto"/>
        <w:ind w:left="420"/>
        <w:rPr>
          <w:rFonts w:ascii="宋体" w:hAnsi="宋体" w:eastAsia="宋体" w:cs="宋体"/>
          <w:sz w:val="22"/>
          <w:szCs w:val="22"/>
          <w:highlight w:val="none"/>
        </w:rPr>
      </w:pPr>
      <w:r>
        <w:rPr>
          <w:rFonts w:ascii="宋体" w:hAnsi="宋体" w:eastAsia="宋体" w:cs="宋体"/>
          <w:spacing w:val="1"/>
          <w:sz w:val="22"/>
          <w:szCs w:val="22"/>
          <w:highlight w:val="none"/>
        </w:rPr>
        <w:t>8.1.1开始工作准备</w:t>
      </w:r>
    </w:p>
    <w:p w14:paraId="6D6DBC49">
      <w:pPr>
        <w:pStyle w:val="2"/>
        <w:spacing w:line="343" w:lineRule="auto"/>
        <w:rPr>
          <w:highlight w:val="none"/>
        </w:rPr>
      </w:pPr>
    </w:p>
    <w:p w14:paraId="49D0D1B4">
      <w:pPr>
        <w:spacing w:before="72" w:line="219"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合同当事人应按专用合同条件约定完成开始工作准备工作。</w:t>
      </w:r>
    </w:p>
    <w:p w14:paraId="519BD6BE">
      <w:pPr>
        <w:spacing w:before="109" w:line="220"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8.1.2开始工作通知</w:t>
      </w:r>
    </w:p>
    <w:p w14:paraId="3530CC24">
      <w:pPr>
        <w:pStyle w:val="2"/>
        <w:spacing w:line="353" w:lineRule="auto"/>
        <w:rPr>
          <w:highlight w:val="none"/>
        </w:rPr>
      </w:pPr>
    </w:p>
    <w:p w14:paraId="3337A3F7">
      <w:pPr>
        <w:spacing w:before="72" w:line="388" w:lineRule="auto"/>
        <w:ind w:right="31" w:firstLine="420"/>
        <w:rPr>
          <w:rFonts w:ascii="宋体" w:hAnsi="宋体" w:eastAsia="宋体" w:cs="宋体"/>
          <w:sz w:val="22"/>
          <w:szCs w:val="22"/>
          <w:highlight w:val="none"/>
        </w:rPr>
      </w:pPr>
      <w:r>
        <w:rPr>
          <w:rFonts w:ascii="宋体" w:hAnsi="宋体" w:eastAsia="宋体" w:cs="宋体"/>
          <w:spacing w:val="-9"/>
          <w:sz w:val="22"/>
          <w:szCs w:val="22"/>
          <w:highlight w:val="none"/>
        </w:rPr>
        <w:t>经发包人同意后，工程师应提前7天向承包人发出经发包人签认的开始工作通知，工期</w:t>
      </w:r>
      <w:r>
        <w:rPr>
          <w:rFonts w:ascii="宋体" w:hAnsi="宋体" w:eastAsia="宋体" w:cs="宋体"/>
          <w:spacing w:val="4"/>
          <w:sz w:val="22"/>
          <w:szCs w:val="22"/>
          <w:highlight w:val="none"/>
        </w:rPr>
        <w:t xml:space="preserve"> </w:t>
      </w:r>
      <w:r>
        <w:rPr>
          <w:rFonts w:ascii="宋体" w:hAnsi="宋体" w:eastAsia="宋体" w:cs="宋体"/>
          <w:spacing w:val="-11"/>
          <w:sz w:val="22"/>
          <w:szCs w:val="22"/>
          <w:highlight w:val="none"/>
        </w:rPr>
        <w:t>自开始工作通知中载明的开始工作日期起算。</w:t>
      </w:r>
    </w:p>
    <w:p w14:paraId="44F3F5F3">
      <w:pPr>
        <w:spacing w:before="36" w:line="413" w:lineRule="auto"/>
        <w:ind w:right="55" w:firstLine="420"/>
        <w:rPr>
          <w:rFonts w:ascii="宋体" w:hAnsi="宋体" w:eastAsia="宋体" w:cs="宋体"/>
          <w:sz w:val="21"/>
          <w:szCs w:val="21"/>
          <w:highlight w:val="none"/>
        </w:rPr>
      </w:pPr>
      <w:r>
        <w:rPr>
          <w:rFonts w:ascii="宋体" w:hAnsi="宋体" w:eastAsia="宋体" w:cs="宋体"/>
          <w:spacing w:val="-2"/>
          <w:sz w:val="21"/>
          <w:szCs w:val="21"/>
          <w:highlight w:val="none"/>
        </w:rPr>
        <w:t>除专用合同条件另有约定外，因发包人原因造成</w:t>
      </w:r>
      <w:r>
        <w:rPr>
          <w:rFonts w:ascii="宋体" w:hAnsi="宋体" w:eastAsia="宋体" w:cs="宋体"/>
          <w:spacing w:val="-3"/>
          <w:sz w:val="21"/>
          <w:szCs w:val="21"/>
          <w:highlight w:val="none"/>
        </w:rPr>
        <w:t>实际开始现场施工日期迟于计划开始现</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场施工日期后第84天的，承包人有权提出价格调整要求，或者解除合同。发包人应当</w:t>
      </w:r>
      <w:r>
        <w:rPr>
          <w:rFonts w:ascii="宋体" w:hAnsi="宋体" w:eastAsia="宋体" w:cs="宋体"/>
          <w:spacing w:val="2"/>
          <w:sz w:val="21"/>
          <w:szCs w:val="21"/>
          <w:highlight w:val="none"/>
        </w:rPr>
        <w:t>承担</w:t>
      </w:r>
    </w:p>
    <w:p w14:paraId="14F191A2">
      <w:pPr>
        <w:spacing w:line="413" w:lineRule="auto"/>
        <w:rPr>
          <w:rFonts w:ascii="宋体" w:hAnsi="宋体" w:eastAsia="宋体" w:cs="宋体"/>
          <w:sz w:val="21"/>
          <w:szCs w:val="21"/>
          <w:highlight w:val="none"/>
        </w:rPr>
        <w:sectPr>
          <w:footerReference r:id="rId107" w:type="default"/>
          <w:pgSz w:w="11910" w:h="16840"/>
          <w:pgMar w:top="400" w:right="1774" w:bottom="1217" w:left="1769" w:header="0" w:footer="1013" w:gutter="0"/>
          <w:cols w:space="720" w:num="1"/>
        </w:sectPr>
      </w:pPr>
    </w:p>
    <w:p w14:paraId="14E36C8E">
      <w:pPr>
        <w:pStyle w:val="2"/>
        <w:spacing w:line="270" w:lineRule="auto"/>
        <w:rPr>
          <w:highlight w:val="none"/>
        </w:rPr>
      </w:pPr>
    </w:p>
    <w:p w14:paraId="16A470AE">
      <w:pPr>
        <w:pStyle w:val="2"/>
        <w:spacing w:line="270" w:lineRule="auto"/>
        <w:rPr>
          <w:highlight w:val="none"/>
        </w:rPr>
      </w:pPr>
    </w:p>
    <w:p w14:paraId="65FC1C4C">
      <w:pPr>
        <w:pStyle w:val="2"/>
        <w:spacing w:line="270" w:lineRule="auto"/>
        <w:rPr>
          <w:highlight w:val="none"/>
        </w:rPr>
      </w:pPr>
    </w:p>
    <w:p w14:paraId="154BB8AF">
      <w:pPr>
        <w:pStyle w:val="2"/>
        <w:spacing w:line="271" w:lineRule="auto"/>
        <w:rPr>
          <w:highlight w:val="none"/>
        </w:rPr>
      </w:pPr>
    </w:p>
    <w:p w14:paraId="0C78A714">
      <w:pPr>
        <w:spacing w:before="71" w:line="219" w:lineRule="auto"/>
        <w:rPr>
          <w:rFonts w:ascii="宋体" w:hAnsi="宋体" w:eastAsia="宋体" w:cs="宋体"/>
          <w:sz w:val="22"/>
          <w:szCs w:val="22"/>
          <w:highlight w:val="none"/>
        </w:rPr>
      </w:pPr>
      <w:r>
        <w:rPr>
          <w:rFonts w:ascii="宋体" w:hAnsi="宋体" w:eastAsia="宋体" w:cs="宋体"/>
          <w:spacing w:val="-4"/>
          <w:sz w:val="22"/>
          <w:szCs w:val="22"/>
          <w:highlight w:val="none"/>
        </w:rPr>
        <w:t>由此增加的费用和(或)延误的工期，并向承包人支付合理利润。</w:t>
      </w:r>
    </w:p>
    <w:p w14:paraId="295F89CD">
      <w:pPr>
        <w:pStyle w:val="2"/>
        <w:spacing w:line="264" w:lineRule="auto"/>
        <w:rPr>
          <w:highlight w:val="none"/>
        </w:rPr>
      </w:pPr>
    </w:p>
    <w:p w14:paraId="1909EEB8">
      <w:pPr>
        <w:pStyle w:val="2"/>
        <w:spacing w:before="71" w:line="300" w:lineRule="exact"/>
        <w:rPr>
          <w:rFonts w:ascii="黑体" w:hAnsi="黑体" w:eastAsia="黑体" w:cs="黑体"/>
          <w:sz w:val="22"/>
          <w:szCs w:val="22"/>
          <w:highlight w:val="none"/>
        </w:rPr>
      </w:pPr>
      <w:r>
        <w:rPr>
          <w:spacing w:val="-3"/>
          <w:position w:val="1"/>
          <w:sz w:val="22"/>
          <w:szCs w:val="22"/>
          <w:highlight w:val="none"/>
        </w:rPr>
        <w:t>8.2</w:t>
      </w:r>
      <w:r>
        <w:rPr>
          <w:spacing w:val="57"/>
          <w:w w:val="101"/>
          <w:position w:val="1"/>
          <w:sz w:val="22"/>
          <w:szCs w:val="22"/>
          <w:highlight w:val="none"/>
        </w:rPr>
        <w:t xml:space="preserve"> </w:t>
      </w:r>
      <w:r>
        <w:rPr>
          <w:rFonts w:ascii="黑体" w:hAnsi="黑体" w:eastAsia="黑体" w:cs="黑体"/>
          <w:spacing w:val="-3"/>
          <w:position w:val="1"/>
          <w:sz w:val="22"/>
          <w:szCs w:val="22"/>
          <w:highlight w:val="none"/>
        </w:rPr>
        <w:t>竣工日期</w:t>
      </w:r>
    </w:p>
    <w:p w14:paraId="796FB2F0">
      <w:pPr>
        <w:spacing w:before="200" w:line="426" w:lineRule="auto"/>
        <w:ind w:right="97" w:firstLine="420"/>
        <w:rPr>
          <w:rFonts w:ascii="宋体" w:hAnsi="宋体" w:eastAsia="宋体" w:cs="宋体"/>
          <w:sz w:val="21"/>
          <w:szCs w:val="21"/>
          <w:highlight w:val="none"/>
        </w:rPr>
      </w:pPr>
      <w:r>
        <w:rPr>
          <w:rFonts w:ascii="宋体" w:hAnsi="宋体" w:eastAsia="宋体" w:cs="宋体"/>
          <w:spacing w:val="-2"/>
          <w:sz w:val="21"/>
          <w:szCs w:val="21"/>
          <w:highlight w:val="none"/>
        </w:rPr>
        <w:t>承包人应在合同协议书约定的工期内完成合同</w:t>
      </w:r>
      <w:r>
        <w:rPr>
          <w:rFonts w:ascii="宋体" w:hAnsi="宋体" w:eastAsia="宋体" w:cs="宋体"/>
          <w:spacing w:val="-3"/>
          <w:sz w:val="21"/>
          <w:szCs w:val="21"/>
          <w:highlight w:val="none"/>
        </w:rPr>
        <w:t>工作。除专用合同条件另有约定外，工程</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的竣工日期以第10.1条[竣工验收]的约定为</w:t>
      </w:r>
      <w:r>
        <w:rPr>
          <w:rFonts w:ascii="宋体" w:hAnsi="宋体" w:eastAsia="宋体" w:cs="宋体"/>
          <w:spacing w:val="2"/>
          <w:sz w:val="21"/>
          <w:szCs w:val="21"/>
          <w:highlight w:val="none"/>
        </w:rPr>
        <w:t>准，并在工程接收证书中写明。</w:t>
      </w:r>
    </w:p>
    <w:p w14:paraId="685A1CAE">
      <w:pPr>
        <w:spacing w:before="2" w:line="400" w:lineRule="auto"/>
        <w:ind w:right="95" w:firstLine="420"/>
        <w:jc w:val="both"/>
        <w:rPr>
          <w:rFonts w:ascii="宋体" w:hAnsi="宋体" w:eastAsia="宋体" w:cs="宋体"/>
          <w:sz w:val="22"/>
          <w:szCs w:val="22"/>
          <w:highlight w:val="none"/>
        </w:rPr>
      </w:pPr>
      <w:r>
        <w:rPr>
          <w:rFonts w:ascii="宋体" w:hAnsi="宋体" w:eastAsia="宋体" w:cs="宋体"/>
          <w:spacing w:val="-7"/>
          <w:sz w:val="22"/>
          <w:szCs w:val="22"/>
          <w:highlight w:val="none"/>
        </w:rPr>
        <w:t>因发包人原因，在工程师收到承包人竣工验收申请报告42天后未进行验收的，视为验</w:t>
      </w:r>
      <w:r>
        <w:rPr>
          <w:rFonts w:ascii="宋体" w:hAnsi="宋体" w:eastAsia="宋体" w:cs="宋体"/>
          <w:spacing w:val="14"/>
          <w:sz w:val="22"/>
          <w:szCs w:val="22"/>
          <w:highlight w:val="none"/>
        </w:rPr>
        <w:t xml:space="preserve"> </w:t>
      </w:r>
      <w:r>
        <w:rPr>
          <w:rFonts w:ascii="宋体" w:hAnsi="宋体" w:eastAsia="宋体" w:cs="宋体"/>
          <w:spacing w:val="-12"/>
          <w:sz w:val="22"/>
          <w:szCs w:val="22"/>
          <w:highlight w:val="none"/>
        </w:rPr>
        <w:t>收合格，实际竣工日期以提交竣工验收申请报告的日期为准，</w:t>
      </w:r>
      <w:r>
        <w:rPr>
          <w:rFonts w:ascii="宋体" w:hAnsi="宋体" w:eastAsia="宋体" w:cs="宋体"/>
          <w:spacing w:val="-13"/>
          <w:sz w:val="22"/>
          <w:szCs w:val="22"/>
          <w:highlight w:val="none"/>
        </w:rPr>
        <w:t>但发包人由于不可抗力不能进</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行验收的除外。</w:t>
      </w:r>
    </w:p>
    <w:p w14:paraId="3FDA9E0A">
      <w:pPr>
        <w:spacing w:before="158" w:line="222" w:lineRule="auto"/>
        <w:rPr>
          <w:rFonts w:ascii="黑体" w:hAnsi="黑体" w:eastAsia="黑体" w:cs="黑体"/>
          <w:sz w:val="22"/>
          <w:szCs w:val="22"/>
          <w:highlight w:val="none"/>
        </w:rPr>
      </w:pPr>
      <w:r>
        <w:rPr>
          <w:rFonts w:ascii="黑体" w:hAnsi="黑体" w:eastAsia="黑体" w:cs="黑体"/>
          <w:spacing w:val="4"/>
          <w:sz w:val="22"/>
          <w:szCs w:val="22"/>
          <w:highlight w:val="none"/>
        </w:rPr>
        <w:t>8.3项目实施计划</w:t>
      </w:r>
    </w:p>
    <w:p w14:paraId="6A4EB3B6">
      <w:pPr>
        <w:spacing w:before="116" w:line="219" w:lineRule="auto"/>
        <w:ind w:left="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8.3.1    </w:t>
      </w:r>
      <w:r>
        <w:rPr>
          <w:rFonts w:ascii="宋体" w:hAnsi="宋体" w:eastAsia="宋体" w:cs="宋体"/>
          <w:spacing w:val="7"/>
          <w:sz w:val="20"/>
          <w:szCs w:val="20"/>
          <w:highlight w:val="none"/>
        </w:rPr>
        <w:t>项目实施计划的内容</w:t>
      </w:r>
    </w:p>
    <w:p w14:paraId="1507E03E">
      <w:pPr>
        <w:pStyle w:val="2"/>
        <w:spacing w:line="370" w:lineRule="auto"/>
        <w:rPr>
          <w:highlight w:val="none"/>
        </w:rPr>
      </w:pPr>
    </w:p>
    <w:p w14:paraId="3D09E97D">
      <w:pPr>
        <w:spacing w:before="69" w:line="390" w:lineRule="auto"/>
        <w:ind w:right="93" w:firstLine="420"/>
        <w:jc w:val="both"/>
        <w:rPr>
          <w:rFonts w:ascii="宋体" w:hAnsi="宋体" w:eastAsia="宋体" w:cs="宋体"/>
          <w:sz w:val="21"/>
          <w:szCs w:val="21"/>
          <w:highlight w:val="none"/>
        </w:rPr>
      </w:pPr>
      <w:r>
        <w:rPr>
          <w:rFonts w:ascii="宋体" w:hAnsi="宋体" w:eastAsia="宋体" w:cs="宋体"/>
          <w:spacing w:val="3"/>
          <w:sz w:val="21"/>
          <w:szCs w:val="21"/>
          <w:highlight w:val="none"/>
        </w:rPr>
        <w:t>项目实施计划是依据合同和经批准的项目管理计划进行编制并用于对项目实施进行管</w:t>
      </w:r>
      <w:r>
        <w:rPr>
          <w:rFonts w:ascii="宋体" w:hAnsi="宋体" w:eastAsia="宋体" w:cs="宋体"/>
          <w:spacing w:val="9"/>
          <w:sz w:val="21"/>
          <w:szCs w:val="21"/>
          <w:highlight w:val="none"/>
        </w:rPr>
        <w:t xml:space="preserve"> </w:t>
      </w:r>
      <w:r>
        <w:rPr>
          <w:rFonts w:ascii="宋体" w:hAnsi="宋体" w:eastAsia="宋体" w:cs="宋体"/>
          <w:spacing w:val="-3"/>
          <w:sz w:val="21"/>
          <w:szCs w:val="21"/>
          <w:highlight w:val="none"/>
        </w:rPr>
        <w:t>理和控制的文件，应包含概述、总体实施方案、项目实施要点、项目初步进度计划以及合同</w:t>
      </w:r>
      <w:r>
        <w:rPr>
          <w:rFonts w:ascii="宋体" w:hAnsi="宋体" w:eastAsia="宋体" w:cs="宋体"/>
          <w:spacing w:val="17"/>
          <w:sz w:val="21"/>
          <w:szCs w:val="21"/>
          <w:highlight w:val="none"/>
        </w:rPr>
        <w:t xml:space="preserve"> </w:t>
      </w:r>
      <w:r>
        <w:rPr>
          <w:rFonts w:ascii="宋体" w:hAnsi="宋体" w:eastAsia="宋体" w:cs="宋体"/>
          <w:spacing w:val="-2"/>
          <w:sz w:val="21"/>
          <w:szCs w:val="21"/>
          <w:highlight w:val="none"/>
        </w:rPr>
        <w:t>当事人在专用合同条件中约定的其他内容。</w:t>
      </w:r>
    </w:p>
    <w:p w14:paraId="3E597B55">
      <w:pPr>
        <w:spacing w:line="219" w:lineRule="auto"/>
        <w:ind w:left="420"/>
        <w:rPr>
          <w:rFonts w:ascii="宋体" w:hAnsi="宋体" w:eastAsia="宋体" w:cs="宋体"/>
          <w:sz w:val="20"/>
          <w:szCs w:val="20"/>
          <w:highlight w:val="none"/>
        </w:rPr>
      </w:pPr>
      <w:r>
        <w:rPr>
          <w:rFonts w:ascii="宋体" w:hAnsi="宋体" w:eastAsia="宋体" w:cs="宋体"/>
          <w:spacing w:val="15"/>
          <w:sz w:val="20"/>
          <w:szCs w:val="20"/>
          <w:highlight w:val="none"/>
        </w:rPr>
        <w:t>8.3.2项目实施计划的提交和修改</w:t>
      </w:r>
    </w:p>
    <w:p w14:paraId="6B9F6DEE">
      <w:pPr>
        <w:pStyle w:val="2"/>
        <w:spacing w:line="373" w:lineRule="auto"/>
        <w:rPr>
          <w:highlight w:val="none"/>
        </w:rPr>
      </w:pPr>
    </w:p>
    <w:p w14:paraId="2BE712C5">
      <w:pPr>
        <w:spacing w:before="69" w:line="414" w:lineRule="auto"/>
        <w:ind w:right="19" w:firstLine="420"/>
        <w:jc w:val="both"/>
        <w:rPr>
          <w:rFonts w:ascii="宋体" w:hAnsi="宋体" w:eastAsia="宋体" w:cs="宋体"/>
          <w:sz w:val="21"/>
          <w:szCs w:val="21"/>
          <w:highlight w:val="none"/>
        </w:rPr>
      </w:pPr>
      <w:r>
        <w:rPr>
          <w:rFonts w:ascii="宋体" w:hAnsi="宋体" w:eastAsia="宋体" w:cs="宋体"/>
          <w:spacing w:val="3"/>
          <w:sz w:val="21"/>
          <w:szCs w:val="21"/>
          <w:highlight w:val="none"/>
        </w:rPr>
        <w:t>除专用合同条件另有约定外，承包人应在合同订立后14天内，向工程师提交项目实施</w:t>
      </w:r>
      <w:r>
        <w:rPr>
          <w:rFonts w:ascii="宋体" w:hAnsi="宋体" w:eastAsia="宋体" w:cs="宋体"/>
          <w:spacing w:val="5"/>
          <w:sz w:val="21"/>
          <w:szCs w:val="21"/>
          <w:highlight w:val="none"/>
        </w:rPr>
        <w:t xml:space="preserve"> </w:t>
      </w:r>
      <w:r>
        <w:rPr>
          <w:rFonts w:ascii="宋体" w:hAnsi="宋体" w:eastAsia="宋体" w:cs="宋体"/>
          <w:spacing w:val="3"/>
          <w:sz w:val="21"/>
          <w:szCs w:val="21"/>
          <w:highlight w:val="none"/>
        </w:rPr>
        <w:t>计划，工程师应在收到项目实施计划后21天内确认或提出修改意见。对工程师提</w:t>
      </w:r>
      <w:r>
        <w:rPr>
          <w:rFonts w:ascii="宋体" w:hAnsi="宋体" w:eastAsia="宋体" w:cs="宋体"/>
          <w:spacing w:val="2"/>
          <w:sz w:val="21"/>
          <w:szCs w:val="21"/>
          <w:highlight w:val="none"/>
        </w:rPr>
        <w:t>出的合理</w:t>
      </w:r>
      <w:r>
        <w:rPr>
          <w:rFonts w:ascii="宋体" w:hAnsi="宋体" w:eastAsia="宋体" w:cs="宋体"/>
          <w:sz w:val="21"/>
          <w:szCs w:val="21"/>
          <w:highlight w:val="none"/>
        </w:rPr>
        <w:t xml:space="preserve"> 意见和要求，承包人应自费修改完善。根据工程实施的</w:t>
      </w:r>
      <w:r>
        <w:rPr>
          <w:rFonts w:ascii="宋体" w:hAnsi="宋体" w:eastAsia="宋体" w:cs="宋体"/>
          <w:spacing w:val="-1"/>
          <w:sz w:val="21"/>
          <w:szCs w:val="21"/>
          <w:highlight w:val="none"/>
        </w:rPr>
        <w:t>实际情况需要修改项目实施计划的，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承包人应向工程师提交修改后的项目实施计划。</w:t>
      </w:r>
    </w:p>
    <w:p w14:paraId="1BDC7554">
      <w:pPr>
        <w:spacing w:before="6" w:line="219" w:lineRule="auto"/>
        <w:ind w:left="420"/>
        <w:rPr>
          <w:rFonts w:ascii="宋体" w:hAnsi="宋体" w:eastAsia="宋体" w:cs="宋体"/>
          <w:sz w:val="22"/>
          <w:szCs w:val="22"/>
          <w:highlight w:val="none"/>
        </w:rPr>
      </w:pPr>
      <w:r>
        <w:rPr>
          <w:rFonts w:ascii="宋体" w:hAnsi="宋体" w:eastAsia="宋体" w:cs="宋体"/>
          <w:spacing w:val="-6"/>
          <w:sz w:val="22"/>
          <w:szCs w:val="22"/>
          <w:highlight w:val="none"/>
        </w:rPr>
        <w:t>项目进度计划的编制和修改按照第8.4款[项目进度计划</w:t>
      </w:r>
      <w:r>
        <w:rPr>
          <w:rFonts w:ascii="宋体" w:hAnsi="宋体" w:eastAsia="宋体" w:cs="宋体"/>
          <w:spacing w:val="-7"/>
          <w:sz w:val="22"/>
          <w:szCs w:val="22"/>
          <w:highlight w:val="none"/>
        </w:rPr>
        <w:t>]执行。</w:t>
      </w:r>
    </w:p>
    <w:p w14:paraId="51DC6115">
      <w:pPr>
        <w:pStyle w:val="2"/>
        <w:spacing w:line="314" w:lineRule="auto"/>
        <w:rPr>
          <w:highlight w:val="none"/>
        </w:rPr>
      </w:pPr>
    </w:p>
    <w:p w14:paraId="4C2385D2">
      <w:pPr>
        <w:spacing w:before="72" w:line="222" w:lineRule="auto"/>
        <w:rPr>
          <w:rFonts w:ascii="黑体" w:hAnsi="黑体" w:eastAsia="黑体" w:cs="黑体"/>
          <w:sz w:val="22"/>
          <w:szCs w:val="22"/>
          <w:highlight w:val="none"/>
        </w:rPr>
      </w:pPr>
      <w:r>
        <w:rPr>
          <w:rFonts w:ascii="黑体" w:hAnsi="黑体" w:eastAsia="黑体" w:cs="黑体"/>
          <w:spacing w:val="4"/>
          <w:sz w:val="22"/>
          <w:szCs w:val="22"/>
          <w:highlight w:val="none"/>
        </w:rPr>
        <w:t>8.4项目进度计划</w:t>
      </w:r>
    </w:p>
    <w:p w14:paraId="280253AF">
      <w:pPr>
        <w:spacing w:before="97" w:line="219" w:lineRule="auto"/>
        <w:ind w:left="42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 xml:space="preserve">8.4.1   </w:t>
      </w:r>
      <w:r>
        <w:rPr>
          <w:rFonts w:ascii="宋体" w:hAnsi="宋体" w:eastAsia="宋体" w:cs="宋体"/>
          <w:spacing w:val="-4"/>
          <w:sz w:val="22"/>
          <w:szCs w:val="22"/>
          <w:highlight w:val="none"/>
        </w:rPr>
        <w:t>项目进度计划的提交和修改</w:t>
      </w:r>
    </w:p>
    <w:p w14:paraId="1CEEB00A">
      <w:pPr>
        <w:pStyle w:val="2"/>
        <w:spacing w:line="358" w:lineRule="auto"/>
        <w:rPr>
          <w:highlight w:val="none"/>
        </w:rPr>
      </w:pPr>
    </w:p>
    <w:p w14:paraId="31D6A8FE">
      <w:pPr>
        <w:spacing w:before="68" w:line="417" w:lineRule="auto"/>
        <w:ind w:firstLine="420"/>
        <w:jc w:val="both"/>
        <w:rPr>
          <w:rFonts w:ascii="宋体" w:hAnsi="宋体" w:eastAsia="宋体" w:cs="宋体"/>
          <w:sz w:val="21"/>
          <w:szCs w:val="21"/>
          <w:highlight w:val="none"/>
        </w:rPr>
      </w:pPr>
      <w:r>
        <w:rPr>
          <w:rFonts w:ascii="宋体" w:hAnsi="宋体" w:eastAsia="宋体" w:cs="宋体"/>
          <w:sz w:val="21"/>
          <w:szCs w:val="21"/>
          <w:highlight w:val="none"/>
        </w:rPr>
        <w:t>承包人应按照第8.3款[项目实施计划]约定编制并向工程师提交项目初步进度计划，经</w:t>
      </w:r>
      <w:r>
        <w:rPr>
          <w:rFonts w:ascii="宋体" w:hAnsi="宋体" w:eastAsia="宋体" w:cs="宋体"/>
          <w:spacing w:val="6"/>
          <w:sz w:val="21"/>
          <w:szCs w:val="21"/>
          <w:highlight w:val="none"/>
        </w:rPr>
        <w:t xml:space="preserve">  </w:t>
      </w:r>
      <w:r>
        <w:rPr>
          <w:rFonts w:ascii="宋体" w:hAnsi="宋体" w:eastAsia="宋体" w:cs="宋体"/>
          <w:sz w:val="21"/>
          <w:szCs w:val="21"/>
          <w:highlight w:val="none"/>
        </w:rPr>
        <w:t>工程师批准后实施。除专用合同条件另有约定外，工程师应在21天内批复或提出修改意见，</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否则该项目初步进度计划视为已得到批准。对工程师提出的合理意见和要</w:t>
      </w:r>
      <w:r>
        <w:rPr>
          <w:rFonts w:ascii="宋体" w:hAnsi="宋体" w:eastAsia="宋体" w:cs="宋体"/>
          <w:spacing w:val="-3"/>
          <w:sz w:val="21"/>
          <w:szCs w:val="21"/>
          <w:highlight w:val="none"/>
        </w:rPr>
        <w:t>求，承包人应自费</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修改完善。</w:t>
      </w:r>
    </w:p>
    <w:p w14:paraId="099FB0D7">
      <w:pPr>
        <w:spacing w:before="21" w:line="390" w:lineRule="auto"/>
        <w:ind w:right="73"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经工程师批准的项目初步进度计划称为项目进度计划，是控制合同工程进度的依据，工</w:t>
      </w:r>
      <w:r>
        <w:rPr>
          <w:rFonts w:ascii="宋体" w:hAnsi="宋体" w:eastAsia="宋体" w:cs="宋体"/>
          <w:spacing w:val="6"/>
          <w:sz w:val="21"/>
          <w:szCs w:val="21"/>
          <w:highlight w:val="none"/>
        </w:rPr>
        <w:t xml:space="preserve"> </w:t>
      </w:r>
      <w:r>
        <w:rPr>
          <w:rFonts w:ascii="宋体" w:hAnsi="宋体" w:eastAsia="宋体" w:cs="宋体"/>
          <w:spacing w:val="-2"/>
          <w:sz w:val="21"/>
          <w:szCs w:val="21"/>
          <w:highlight w:val="none"/>
        </w:rPr>
        <w:t>程师有权按照进度计划检查工程进度情况。承包人还应根据项目进度计划，编制</w:t>
      </w:r>
      <w:r>
        <w:rPr>
          <w:rFonts w:ascii="宋体" w:hAnsi="宋体" w:eastAsia="宋体" w:cs="宋体"/>
          <w:spacing w:val="-3"/>
          <w:sz w:val="21"/>
          <w:szCs w:val="21"/>
          <w:highlight w:val="none"/>
        </w:rPr>
        <w:t>更为详细的</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分阶段或分项的进度计划，由工程师批准。</w:t>
      </w:r>
    </w:p>
    <w:p w14:paraId="2941B60A">
      <w:pPr>
        <w:spacing w:line="219"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8.4.2</w:t>
      </w:r>
      <w:r>
        <w:rPr>
          <w:rFonts w:ascii="Times New Roman" w:hAnsi="Times New Roman" w:eastAsia="Times New Roman" w:cs="Times New Roman"/>
          <w:spacing w:val="11"/>
          <w:sz w:val="20"/>
          <w:szCs w:val="20"/>
          <w:highlight w:val="none"/>
        </w:rPr>
        <w:t xml:space="preserve">    </w:t>
      </w:r>
      <w:r>
        <w:rPr>
          <w:rFonts w:ascii="宋体" w:hAnsi="宋体" w:eastAsia="宋体" w:cs="宋体"/>
          <w:spacing w:val="6"/>
          <w:sz w:val="20"/>
          <w:szCs w:val="20"/>
          <w:highlight w:val="none"/>
        </w:rPr>
        <w:t>项目进度计划的内容</w:t>
      </w:r>
    </w:p>
    <w:p w14:paraId="4567DD81">
      <w:pPr>
        <w:spacing w:line="219" w:lineRule="auto"/>
        <w:rPr>
          <w:rFonts w:ascii="宋体" w:hAnsi="宋体" w:eastAsia="宋体" w:cs="宋体"/>
          <w:sz w:val="20"/>
          <w:szCs w:val="20"/>
          <w:highlight w:val="none"/>
        </w:rPr>
        <w:sectPr>
          <w:footerReference r:id="rId108" w:type="default"/>
          <w:pgSz w:w="11910" w:h="16840"/>
          <w:pgMar w:top="400" w:right="1735" w:bottom="1228" w:left="1769" w:header="0" w:footer="1010" w:gutter="0"/>
          <w:cols w:space="720" w:num="1"/>
        </w:sectPr>
      </w:pPr>
    </w:p>
    <w:p w14:paraId="6694BDBA">
      <w:pPr>
        <w:pStyle w:val="2"/>
        <w:spacing w:line="273" w:lineRule="auto"/>
        <w:rPr>
          <w:highlight w:val="none"/>
        </w:rPr>
      </w:pPr>
    </w:p>
    <w:p w14:paraId="79FDBCA6">
      <w:pPr>
        <w:pStyle w:val="2"/>
        <w:spacing w:line="273" w:lineRule="auto"/>
        <w:rPr>
          <w:highlight w:val="none"/>
        </w:rPr>
      </w:pPr>
    </w:p>
    <w:p w14:paraId="656CF009">
      <w:pPr>
        <w:pStyle w:val="2"/>
        <w:spacing w:line="273" w:lineRule="auto"/>
        <w:rPr>
          <w:highlight w:val="none"/>
        </w:rPr>
      </w:pPr>
    </w:p>
    <w:p w14:paraId="1199EFDA">
      <w:pPr>
        <w:pStyle w:val="2"/>
        <w:spacing w:line="274" w:lineRule="auto"/>
        <w:rPr>
          <w:highlight w:val="none"/>
        </w:rPr>
      </w:pPr>
    </w:p>
    <w:p w14:paraId="4A4DBAD1">
      <w:pPr>
        <w:spacing w:before="68" w:line="422" w:lineRule="auto"/>
        <w:ind w:firstLine="420"/>
        <w:jc w:val="both"/>
        <w:rPr>
          <w:rFonts w:ascii="宋体" w:hAnsi="宋体" w:eastAsia="宋体" w:cs="宋体"/>
          <w:sz w:val="21"/>
          <w:szCs w:val="21"/>
          <w:highlight w:val="none"/>
        </w:rPr>
      </w:pPr>
      <w:r>
        <w:rPr>
          <w:rFonts w:ascii="宋体" w:hAnsi="宋体" w:eastAsia="宋体" w:cs="宋体"/>
          <w:sz w:val="21"/>
          <w:szCs w:val="21"/>
          <w:highlight w:val="none"/>
        </w:rPr>
        <w:t>项目进度计划应当包括设计、承包人文件提交、采购、制造、检验、运达现场、施工、</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安装、试验的各个阶段的预期时间以及设计和施工组织方案说明等，其编制应当符合国家法</w:t>
      </w:r>
      <w:r>
        <w:rPr>
          <w:rFonts w:ascii="宋体" w:hAnsi="宋体" w:eastAsia="宋体" w:cs="宋体"/>
          <w:spacing w:val="6"/>
          <w:sz w:val="21"/>
          <w:szCs w:val="21"/>
          <w:highlight w:val="none"/>
        </w:rPr>
        <w:t xml:space="preserve"> </w:t>
      </w:r>
      <w:r>
        <w:rPr>
          <w:rFonts w:ascii="宋体" w:hAnsi="宋体" w:eastAsia="宋体" w:cs="宋体"/>
          <w:spacing w:val="-2"/>
          <w:sz w:val="21"/>
          <w:szCs w:val="21"/>
          <w:highlight w:val="none"/>
        </w:rPr>
        <w:t>律规定和一般工程实践惯例。项目进度计划的具体要求、关键路径及关键路径变化的</w:t>
      </w:r>
      <w:r>
        <w:rPr>
          <w:rFonts w:ascii="宋体" w:hAnsi="宋体" w:eastAsia="宋体" w:cs="宋体"/>
          <w:spacing w:val="-3"/>
          <w:sz w:val="21"/>
          <w:szCs w:val="21"/>
          <w:highlight w:val="none"/>
        </w:rPr>
        <w:t>确定原</w:t>
      </w:r>
    </w:p>
    <w:p w14:paraId="162F926F">
      <w:pPr>
        <w:spacing w:line="219" w:lineRule="auto"/>
        <w:rPr>
          <w:rFonts w:ascii="宋体" w:hAnsi="宋体" w:eastAsia="宋体" w:cs="宋体"/>
          <w:sz w:val="21"/>
          <w:szCs w:val="21"/>
          <w:highlight w:val="none"/>
        </w:rPr>
      </w:pPr>
      <w:r>
        <w:rPr>
          <w:rFonts w:ascii="宋体" w:hAnsi="宋体" w:eastAsia="宋体" w:cs="宋体"/>
          <w:spacing w:val="-2"/>
          <w:sz w:val="21"/>
          <w:szCs w:val="21"/>
          <w:highlight w:val="none"/>
        </w:rPr>
        <w:t>则、承包人提交的份数和时间等，在专用合同条件约定。</w:t>
      </w:r>
    </w:p>
    <w:p w14:paraId="523CB2DA">
      <w:pPr>
        <w:spacing w:before="110" w:line="219" w:lineRule="auto"/>
        <w:ind w:left="420"/>
        <w:rPr>
          <w:rFonts w:ascii="宋体" w:hAnsi="宋体" w:eastAsia="宋体" w:cs="宋体"/>
          <w:sz w:val="21"/>
          <w:szCs w:val="21"/>
          <w:highlight w:val="none"/>
        </w:rPr>
      </w:pPr>
      <w:r>
        <w:rPr>
          <w:rFonts w:ascii="宋体" w:hAnsi="宋体" w:eastAsia="宋体" w:cs="宋体"/>
          <w:spacing w:val="6"/>
          <w:sz w:val="21"/>
          <w:szCs w:val="21"/>
          <w:highlight w:val="none"/>
        </w:rPr>
        <w:t>8.4.3项目进度计划的修订</w:t>
      </w:r>
    </w:p>
    <w:p w14:paraId="0650CBD6">
      <w:pPr>
        <w:pStyle w:val="2"/>
        <w:spacing w:line="360" w:lineRule="auto"/>
        <w:rPr>
          <w:highlight w:val="none"/>
        </w:rPr>
      </w:pPr>
    </w:p>
    <w:p w14:paraId="2B0B5C10">
      <w:pPr>
        <w:spacing w:before="69" w:line="414" w:lineRule="auto"/>
        <w:ind w:right="85"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项目进度计划不符合合同要求或与工程的实际进</w:t>
      </w:r>
      <w:r>
        <w:rPr>
          <w:rFonts w:ascii="宋体" w:hAnsi="宋体" w:eastAsia="宋体" w:cs="宋体"/>
          <w:spacing w:val="-3"/>
          <w:sz w:val="21"/>
          <w:szCs w:val="21"/>
          <w:highlight w:val="none"/>
        </w:rPr>
        <w:t>度不一致的，承包人应向工程师提交修</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订的项目进度计划，并附具有关措施和相关资料。工程师也可以直接向承包人发出修订</w:t>
      </w:r>
      <w:r>
        <w:rPr>
          <w:rFonts w:ascii="宋体" w:hAnsi="宋体" w:eastAsia="宋体" w:cs="宋体"/>
          <w:spacing w:val="-3"/>
          <w:sz w:val="21"/>
          <w:szCs w:val="21"/>
          <w:highlight w:val="none"/>
        </w:rPr>
        <w:t>项目</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进度计划的通知，承包人如接受，应按该通知修订项目进度计划，报工程师批</w:t>
      </w:r>
      <w:r>
        <w:rPr>
          <w:rFonts w:ascii="宋体" w:hAnsi="宋体" w:eastAsia="宋体" w:cs="宋体"/>
          <w:spacing w:val="-3"/>
          <w:sz w:val="21"/>
          <w:szCs w:val="21"/>
          <w:highlight w:val="none"/>
        </w:rPr>
        <w:t>准。承包人如</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不接受，应当在14天内答复，如未按时答复视作已接受修订项目进度计划</w:t>
      </w:r>
      <w:r>
        <w:rPr>
          <w:rFonts w:ascii="宋体" w:hAnsi="宋体" w:eastAsia="宋体" w:cs="宋体"/>
          <w:spacing w:val="2"/>
          <w:sz w:val="21"/>
          <w:szCs w:val="21"/>
          <w:highlight w:val="none"/>
        </w:rPr>
        <w:t>通知中的内容。</w:t>
      </w:r>
    </w:p>
    <w:p w14:paraId="2C46753D">
      <w:pPr>
        <w:spacing w:before="5" w:line="423" w:lineRule="auto"/>
        <w:ind w:right="96" w:firstLine="420"/>
        <w:jc w:val="both"/>
        <w:rPr>
          <w:rFonts w:ascii="宋体" w:hAnsi="宋体" w:eastAsia="宋体" w:cs="宋体"/>
          <w:sz w:val="21"/>
          <w:szCs w:val="21"/>
          <w:highlight w:val="none"/>
        </w:rPr>
      </w:pPr>
      <w:r>
        <w:rPr>
          <w:rFonts w:ascii="宋体" w:hAnsi="宋体" w:eastAsia="宋体" w:cs="宋体"/>
          <w:spacing w:val="3"/>
          <w:sz w:val="21"/>
          <w:szCs w:val="21"/>
          <w:highlight w:val="none"/>
        </w:rPr>
        <w:t xml:space="preserve">除专用合同条件另有约定外，工程师应在收到修订的项目进度计划后14天内完成审批 </w:t>
      </w:r>
      <w:r>
        <w:rPr>
          <w:rFonts w:ascii="宋体" w:hAnsi="宋体" w:eastAsia="宋体" w:cs="宋体"/>
          <w:spacing w:val="-2"/>
          <w:sz w:val="21"/>
          <w:szCs w:val="21"/>
          <w:highlight w:val="none"/>
        </w:rPr>
        <w:t>或提出修改意见，如未按时答复视作已批准承包人修订后的项目</w:t>
      </w:r>
      <w:r>
        <w:rPr>
          <w:rFonts w:ascii="宋体" w:hAnsi="宋体" w:eastAsia="宋体" w:cs="宋体"/>
          <w:spacing w:val="-3"/>
          <w:sz w:val="21"/>
          <w:szCs w:val="21"/>
          <w:highlight w:val="none"/>
        </w:rPr>
        <w:t>进度计划。工程师对承包人</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提交的项目进度计划的确认，不能减轻或免除承包人根据法律</w:t>
      </w:r>
      <w:r>
        <w:rPr>
          <w:rFonts w:ascii="宋体" w:hAnsi="宋体" w:eastAsia="宋体" w:cs="宋体"/>
          <w:spacing w:val="-3"/>
          <w:sz w:val="21"/>
          <w:szCs w:val="21"/>
          <w:highlight w:val="none"/>
        </w:rPr>
        <w:t>规定和合同约定应承担的任何</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责任或义务。</w:t>
      </w:r>
    </w:p>
    <w:p w14:paraId="397E5049">
      <w:pPr>
        <w:spacing w:before="5" w:line="405" w:lineRule="auto"/>
        <w:ind w:right="96" w:firstLine="420"/>
        <w:rPr>
          <w:rFonts w:ascii="宋体" w:hAnsi="宋体" w:eastAsia="宋体" w:cs="宋体"/>
          <w:sz w:val="22"/>
          <w:szCs w:val="22"/>
          <w:highlight w:val="none"/>
        </w:rPr>
      </w:pPr>
      <w:r>
        <w:rPr>
          <w:rFonts w:ascii="宋体" w:hAnsi="宋体" w:eastAsia="宋体" w:cs="宋体"/>
          <w:spacing w:val="-4"/>
          <w:sz w:val="22"/>
          <w:szCs w:val="22"/>
          <w:highlight w:val="none"/>
        </w:rPr>
        <w:t>除合同当事人另有约定外，项目进度计划的修订并不能减轻或者免除双方按第8.7款</w:t>
      </w:r>
      <w:r>
        <w:rPr>
          <w:rFonts w:ascii="宋体" w:hAnsi="宋体" w:eastAsia="宋体" w:cs="宋体"/>
          <w:spacing w:val="10"/>
          <w:sz w:val="22"/>
          <w:szCs w:val="22"/>
          <w:highlight w:val="none"/>
        </w:rPr>
        <w:t xml:space="preserve"> </w:t>
      </w:r>
      <w:r>
        <w:rPr>
          <w:rFonts w:ascii="宋体" w:hAnsi="宋体" w:eastAsia="宋体" w:cs="宋体"/>
          <w:spacing w:val="-3"/>
          <w:sz w:val="22"/>
          <w:szCs w:val="22"/>
          <w:highlight w:val="none"/>
        </w:rPr>
        <w:t>[工期延误]、第8.8款[工期提前]、第8.9款[暂停工作]应承担的合同责任。</w:t>
      </w:r>
    </w:p>
    <w:p w14:paraId="7EB74A27">
      <w:pPr>
        <w:pStyle w:val="2"/>
        <w:spacing w:before="105" w:line="300" w:lineRule="exact"/>
        <w:rPr>
          <w:rFonts w:ascii="黑体" w:hAnsi="黑体" w:eastAsia="黑体" w:cs="黑体"/>
          <w:sz w:val="22"/>
          <w:szCs w:val="22"/>
          <w:highlight w:val="none"/>
        </w:rPr>
      </w:pPr>
      <w:r>
        <w:rPr>
          <w:spacing w:val="-5"/>
          <w:position w:val="1"/>
          <w:sz w:val="22"/>
          <w:szCs w:val="22"/>
          <w:highlight w:val="none"/>
        </w:rPr>
        <w:t>8.5</w:t>
      </w:r>
      <w:r>
        <w:rPr>
          <w:spacing w:val="55"/>
          <w:w w:val="101"/>
          <w:position w:val="1"/>
          <w:sz w:val="22"/>
          <w:szCs w:val="22"/>
          <w:highlight w:val="none"/>
        </w:rPr>
        <w:t xml:space="preserve"> </w:t>
      </w:r>
      <w:r>
        <w:rPr>
          <w:rFonts w:ascii="黑体" w:hAnsi="黑体" w:eastAsia="黑体" w:cs="黑体"/>
          <w:spacing w:val="-5"/>
          <w:position w:val="1"/>
          <w:sz w:val="22"/>
          <w:szCs w:val="22"/>
          <w:highlight w:val="none"/>
        </w:rPr>
        <w:t>进度报告</w:t>
      </w:r>
    </w:p>
    <w:p w14:paraId="46AD1089">
      <w:pPr>
        <w:spacing w:before="219" w:line="422" w:lineRule="auto"/>
        <w:ind w:right="40" w:firstLine="420"/>
        <w:rPr>
          <w:rFonts w:ascii="宋体" w:hAnsi="宋体" w:eastAsia="宋体" w:cs="宋体"/>
          <w:sz w:val="21"/>
          <w:szCs w:val="21"/>
          <w:highlight w:val="none"/>
        </w:rPr>
      </w:pPr>
      <w:r>
        <w:rPr>
          <w:rFonts w:ascii="宋体" w:hAnsi="宋体" w:eastAsia="宋体" w:cs="宋体"/>
          <w:spacing w:val="-1"/>
          <w:sz w:val="21"/>
          <w:szCs w:val="21"/>
          <w:highlight w:val="none"/>
        </w:rPr>
        <w:t>项目实施过程中，承包人应进行实际进度记录，并根据工程师的要求编制月进度报告，</w:t>
      </w:r>
      <w:r>
        <w:rPr>
          <w:rFonts w:ascii="宋体" w:hAnsi="宋体" w:eastAsia="宋体" w:cs="宋体"/>
          <w:spacing w:val="2"/>
          <w:sz w:val="21"/>
          <w:szCs w:val="21"/>
          <w:highlight w:val="none"/>
        </w:rPr>
        <w:t xml:space="preserve"> </w:t>
      </w:r>
      <w:r>
        <w:rPr>
          <w:rFonts w:ascii="宋体" w:hAnsi="宋体" w:eastAsia="宋体" w:cs="宋体"/>
          <w:spacing w:val="-3"/>
          <w:sz w:val="21"/>
          <w:szCs w:val="21"/>
          <w:highlight w:val="none"/>
        </w:rPr>
        <w:t>并提交给工程师。进度报告应包含以下主要内容：</w:t>
      </w:r>
    </w:p>
    <w:p w14:paraId="14F49579">
      <w:pPr>
        <w:spacing w:before="1" w:line="217"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(1)工程设计、采购、施工等各个工作内容的进展报告；</w:t>
      </w:r>
    </w:p>
    <w:p w14:paraId="50932219">
      <w:pPr>
        <w:spacing w:before="212" w:line="219" w:lineRule="auto"/>
        <w:ind w:left="529"/>
        <w:rPr>
          <w:rFonts w:ascii="宋体" w:hAnsi="宋体" w:eastAsia="宋体" w:cs="宋体"/>
          <w:sz w:val="22"/>
          <w:szCs w:val="22"/>
          <w:highlight w:val="none"/>
        </w:rPr>
      </w:pPr>
      <w:r>
        <w:rPr>
          <w:rFonts w:ascii="宋体" w:hAnsi="宋体" w:eastAsia="宋体" w:cs="宋体"/>
          <w:spacing w:val="-4"/>
          <w:sz w:val="22"/>
          <w:szCs w:val="22"/>
          <w:highlight w:val="none"/>
        </w:rPr>
        <w:t>(2)工程施工方法的一般说明；</w:t>
      </w:r>
    </w:p>
    <w:p w14:paraId="40E66370">
      <w:pPr>
        <w:spacing w:before="237" w:line="218"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(3)当月工程实施介入的项目人员、设备和材料的预估明</w:t>
      </w:r>
      <w:r>
        <w:rPr>
          <w:rFonts w:ascii="宋体" w:hAnsi="宋体" w:eastAsia="宋体" w:cs="宋体"/>
          <w:spacing w:val="-8"/>
          <w:sz w:val="22"/>
          <w:szCs w:val="22"/>
          <w:highlight w:val="none"/>
        </w:rPr>
        <w:t>细报告；</w:t>
      </w:r>
    </w:p>
    <w:p w14:paraId="172B53E6">
      <w:pPr>
        <w:spacing w:before="212" w:line="316" w:lineRule="auto"/>
        <w:ind w:right="86" w:firstLine="529"/>
        <w:rPr>
          <w:rFonts w:ascii="宋体" w:hAnsi="宋体" w:eastAsia="宋体" w:cs="宋体"/>
          <w:sz w:val="21"/>
          <w:szCs w:val="21"/>
          <w:highlight w:val="none"/>
        </w:rPr>
      </w:pPr>
      <w:r>
        <w:rPr>
          <w:rFonts w:ascii="宋体" w:hAnsi="宋体" w:eastAsia="宋体" w:cs="宋体"/>
          <w:spacing w:val="3"/>
          <w:sz w:val="21"/>
          <w:szCs w:val="21"/>
          <w:highlight w:val="none"/>
        </w:rPr>
        <w:t>(4)当月实际进度与进度计划对比分析，以及提出未来可能引起工期延误的情形，同</w:t>
      </w:r>
      <w:r>
        <w:rPr>
          <w:rFonts w:ascii="宋体" w:hAnsi="宋体" w:eastAsia="宋体" w:cs="宋体"/>
          <w:spacing w:val="9"/>
          <w:sz w:val="21"/>
          <w:szCs w:val="21"/>
          <w:highlight w:val="none"/>
        </w:rPr>
        <w:t xml:space="preserve"> </w:t>
      </w:r>
      <w:r>
        <w:rPr>
          <w:rFonts w:ascii="宋体" w:hAnsi="宋体" w:eastAsia="宋体" w:cs="宋体"/>
          <w:spacing w:val="-1"/>
          <w:sz w:val="21"/>
          <w:szCs w:val="21"/>
          <w:highlight w:val="none"/>
        </w:rPr>
        <w:t>时提出应对措施；需要修订项目进度计划的，应对项目进度计划的修订部分进行说明；</w:t>
      </w:r>
    </w:p>
    <w:p w14:paraId="6E5BFB2C">
      <w:pPr>
        <w:spacing w:before="251" w:line="219"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(5)承包人对于解决工期延误所提出的建议；</w:t>
      </w:r>
    </w:p>
    <w:p w14:paraId="24180632">
      <w:pPr>
        <w:spacing w:before="224" w:line="220" w:lineRule="auto"/>
        <w:ind w:left="529"/>
        <w:rPr>
          <w:rFonts w:ascii="宋体" w:hAnsi="宋体" w:eastAsia="宋体" w:cs="宋体"/>
          <w:sz w:val="22"/>
          <w:szCs w:val="22"/>
          <w:highlight w:val="none"/>
        </w:rPr>
      </w:pPr>
      <w:r>
        <w:rPr>
          <w:rFonts w:ascii="宋体" w:hAnsi="宋体" w:eastAsia="宋体" w:cs="宋体"/>
          <w:spacing w:val="-5"/>
          <w:sz w:val="22"/>
          <w:szCs w:val="22"/>
          <w:highlight w:val="none"/>
        </w:rPr>
        <w:t>(6)其他与工程有关的重大事项。</w:t>
      </w:r>
    </w:p>
    <w:p w14:paraId="2D6D4F44">
      <w:pPr>
        <w:spacing w:before="205" w:line="218"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进度报告的具体要求等，在专用合同条件约定。</w:t>
      </w:r>
    </w:p>
    <w:p w14:paraId="432E1057">
      <w:pPr>
        <w:pStyle w:val="2"/>
        <w:spacing w:line="317" w:lineRule="auto"/>
        <w:rPr>
          <w:highlight w:val="none"/>
        </w:rPr>
      </w:pPr>
    </w:p>
    <w:p w14:paraId="3FB0E058">
      <w:pPr>
        <w:spacing w:before="72" w:line="222" w:lineRule="auto"/>
        <w:rPr>
          <w:rFonts w:ascii="黑体" w:hAnsi="黑体" w:eastAsia="黑体" w:cs="黑体"/>
          <w:sz w:val="22"/>
          <w:szCs w:val="22"/>
          <w:highlight w:val="none"/>
        </w:rPr>
      </w:pPr>
      <w:r>
        <w:rPr>
          <w:rFonts w:ascii="黑体" w:hAnsi="黑体" w:eastAsia="黑体" w:cs="黑体"/>
          <w:spacing w:val="6"/>
          <w:sz w:val="22"/>
          <w:szCs w:val="22"/>
          <w:highlight w:val="none"/>
        </w:rPr>
        <w:t>8.6提前预警</w:t>
      </w:r>
    </w:p>
    <w:p w14:paraId="333389D5">
      <w:pPr>
        <w:spacing w:before="205" w:line="219"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任何一方应当在下列情形发生时尽快书面通知另一方：</w:t>
      </w:r>
    </w:p>
    <w:p w14:paraId="6B8AC8A5">
      <w:pPr>
        <w:spacing w:line="219" w:lineRule="auto"/>
        <w:rPr>
          <w:rFonts w:ascii="宋体" w:hAnsi="宋体" w:eastAsia="宋体" w:cs="宋体"/>
          <w:sz w:val="22"/>
          <w:szCs w:val="22"/>
          <w:highlight w:val="none"/>
        </w:rPr>
        <w:sectPr>
          <w:footerReference r:id="rId109" w:type="default"/>
          <w:pgSz w:w="11910" w:h="16840"/>
          <w:pgMar w:top="400" w:right="1724" w:bottom="1228" w:left="1779" w:header="0" w:footer="1009" w:gutter="0"/>
          <w:cols w:space="720" w:num="1"/>
        </w:sectPr>
      </w:pPr>
    </w:p>
    <w:p w14:paraId="22FB80BA">
      <w:pPr>
        <w:pStyle w:val="2"/>
        <w:spacing w:line="270" w:lineRule="auto"/>
        <w:rPr>
          <w:highlight w:val="none"/>
        </w:rPr>
      </w:pPr>
    </w:p>
    <w:p w14:paraId="7DD0EDD9">
      <w:pPr>
        <w:pStyle w:val="2"/>
        <w:spacing w:line="270" w:lineRule="auto"/>
        <w:rPr>
          <w:highlight w:val="none"/>
        </w:rPr>
      </w:pPr>
    </w:p>
    <w:p w14:paraId="0D8FA473">
      <w:pPr>
        <w:pStyle w:val="2"/>
        <w:spacing w:line="270" w:lineRule="auto"/>
        <w:rPr>
          <w:highlight w:val="none"/>
        </w:rPr>
      </w:pPr>
    </w:p>
    <w:p w14:paraId="7308663B">
      <w:pPr>
        <w:pStyle w:val="2"/>
        <w:spacing w:line="271" w:lineRule="auto"/>
        <w:rPr>
          <w:highlight w:val="none"/>
        </w:rPr>
      </w:pPr>
    </w:p>
    <w:p w14:paraId="3B43A3E6">
      <w:pPr>
        <w:spacing w:before="71"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(1)该情形可能对合同的履行或实现合同目的产生不利影响；</w:t>
      </w:r>
    </w:p>
    <w:p w14:paraId="20561B46">
      <w:pPr>
        <w:spacing w:before="228" w:line="219"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(2)该情形可能对工程完成后的使用产生不利影响；</w:t>
      </w:r>
    </w:p>
    <w:p w14:paraId="33EAD19B">
      <w:pPr>
        <w:spacing w:before="240" w:line="218"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(3)该情形可能导致合同价款增加；</w:t>
      </w:r>
    </w:p>
    <w:p w14:paraId="7CAEE3F2">
      <w:pPr>
        <w:spacing w:before="255" w:line="219"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(4)该情形可能导致整个工程或单位/区段</w:t>
      </w:r>
      <w:r>
        <w:rPr>
          <w:rFonts w:ascii="宋体" w:hAnsi="宋体" w:eastAsia="宋体" w:cs="宋体"/>
          <w:spacing w:val="11"/>
          <w:sz w:val="20"/>
          <w:szCs w:val="20"/>
          <w:highlight w:val="none"/>
        </w:rPr>
        <w:t>工程的工期延长。</w:t>
      </w:r>
    </w:p>
    <w:p w14:paraId="27044081">
      <w:pPr>
        <w:spacing w:before="211" w:line="425" w:lineRule="auto"/>
        <w:ind w:right="96" w:firstLine="420"/>
        <w:rPr>
          <w:rFonts w:ascii="宋体" w:hAnsi="宋体" w:eastAsia="宋体" w:cs="宋体"/>
          <w:sz w:val="21"/>
          <w:szCs w:val="21"/>
          <w:highlight w:val="none"/>
        </w:rPr>
      </w:pPr>
      <w:r>
        <w:rPr>
          <w:rFonts w:ascii="宋体" w:hAnsi="宋体" w:eastAsia="宋体" w:cs="宋体"/>
          <w:spacing w:val="3"/>
          <w:sz w:val="21"/>
          <w:szCs w:val="21"/>
          <w:highlight w:val="none"/>
        </w:rPr>
        <w:t>发包人有权要求承包人根据第13.2款[承包人的合理化建议]的约定提交变更建议，采</w:t>
      </w:r>
      <w:r>
        <w:rPr>
          <w:rFonts w:ascii="宋体" w:hAnsi="宋体" w:eastAsia="宋体" w:cs="宋体"/>
          <w:spacing w:val="7"/>
          <w:sz w:val="21"/>
          <w:szCs w:val="21"/>
          <w:highlight w:val="none"/>
        </w:rPr>
        <w:t xml:space="preserve"> </w:t>
      </w:r>
      <w:r>
        <w:rPr>
          <w:rFonts w:ascii="宋体" w:hAnsi="宋体" w:eastAsia="宋体" w:cs="宋体"/>
          <w:spacing w:val="-2"/>
          <w:sz w:val="21"/>
          <w:szCs w:val="21"/>
          <w:highlight w:val="none"/>
        </w:rPr>
        <w:t>取措施尽量避免或最小化上述情形的发生或影响。</w:t>
      </w:r>
    </w:p>
    <w:p w14:paraId="50536344">
      <w:pPr>
        <w:pStyle w:val="2"/>
        <w:spacing w:before="115" w:line="300" w:lineRule="exact"/>
        <w:rPr>
          <w:rFonts w:ascii="黑体" w:hAnsi="黑体" w:eastAsia="黑体" w:cs="黑体"/>
          <w:sz w:val="22"/>
          <w:szCs w:val="22"/>
          <w:highlight w:val="none"/>
        </w:rPr>
      </w:pPr>
      <w:r>
        <w:rPr>
          <w:spacing w:val="-4"/>
          <w:position w:val="1"/>
          <w:sz w:val="22"/>
          <w:szCs w:val="22"/>
          <w:highlight w:val="none"/>
        </w:rPr>
        <w:t xml:space="preserve">8.7  </w:t>
      </w:r>
      <w:r>
        <w:rPr>
          <w:rFonts w:ascii="黑体" w:hAnsi="黑体" w:eastAsia="黑体" w:cs="黑体"/>
          <w:spacing w:val="-4"/>
          <w:position w:val="1"/>
          <w:sz w:val="22"/>
          <w:szCs w:val="22"/>
          <w:highlight w:val="none"/>
        </w:rPr>
        <w:t>工期延误</w:t>
      </w:r>
    </w:p>
    <w:p w14:paraId="7265D066">
      <w:pPr>
        <w:spacing w:before="120" w:line="220"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8.7.1</w:t>
      </w:r>
      <w:r>
        <w:rPr>
          <w:rFonts w:ascii="Times New Roman" w:hAnsi="Times New Roman" w:eastAsia="Times New Roman" w:cs="Times New Roman"/>
          <w:spacing w:val="14"/>
          <w:sz w:val="20"/>
          <w:szCs w:val="20"/>
          <w:highlight w:val="none"/>
        </w:rPr>
        <w:t xml:space="preserve">    </w:t>
      </w:r>
      <w:r>
        <w:rPr>
          <w:rFonts w:ascii="宋体" w:hAnsi="宋体" w:eastAsia="宋体" w:cs="宋体"/>
          <w:spacing w:val="6"/>
          <w:sz w:val="20"/>
          <w:szCs w:val="20"/>
          <w:highlight w:val="none"/>
        </w:rPr>
        <w:t>因发包人原因导致工期延误</w:t>
      </w:r>
    </w:p>
    <w:p w14:paraId="26E67145">
      <w:pPr>
        <w:pStyle w:val="2"/>
        <w:spacing w:line="349" w:lineRule="auto"/>
        <w:rPr>
          <w:highlight w:val="none"/>
        </w:rPr>
      </w:pPr>
    </w:p>
    <w:p w14:paraId="795A3E92">
      <w:pPr>
        <w:spacing w:before="69" w:line="427" w:lineRule="auto"/>
        <w:ind w:right="97" w:firstLine="420"/>
        <w:rPr>
          <w:rFonts w:ascii="宋体" w:hAnsi="宋体" w:eastAsia="宋体" w:cs="宋体"/>
          <w:sz w:val="21"/>
          <w:szCs w:val="21"/>
          <w:highlight w:val="none"/>
        </w:rPr>
      </w:pPr>
      <w:r>
        <w:rPr>
          <w:rFonts w:ascii="宋体" w:hAnsi="宋体" w:eastAsia="宋体" w:cs="宋体"/>
          <w:spacing w:val="3"/>
          <w:sz w:val="21"/>
          <w:szCs w:val="21"/>
          <w:highlight w:val="none"/>
        </w:rPr>
        <w:t>在合同履行过程中，因下列情况导致工期延误和(或)费用增加的，由发包人承担由此</w:t>
      </w:r>
      <w:r>
        <w:rPr>
          <w:rFonts w:ascii="宋体" w:hAnsi="宋体" w:eastAsia="宋体" w:cs="宋体"/>
          <w:spacing w:val="13"/>
          <w:sz w:val="21"/>
          <w:szCs w:val="21"/>
          <w:highlight w:val="none"/>
        </w:rPr>
        <w:t xml:space="preserve"> </w:t>
      </w:r>
      <w:r>
        <w:rPr>
          <w:rFonts w:ascii="宋体" w:hAnsi="宋体" w:eastAsia="宋体" w:cs="宋体"/>
          <w:spacing w:val="5"/>
          <w:sz w:val="21"/>
          <w:szCs w:val="21"/>
          <w:highlight w:val="none"/>
        </w:rPr>
        <w:t>延误的工期和(或)增加的费用，且发包人应支付承包人合理的利润：</w:t>
      </w:r>
    </w:p>
    <w:p w14:paraId="1320EDF5">
      <w:pPr>
        <w:spacing w:before="1" w:line="219" w:lineRule="auto"/>
        <w:ind w:left="529"/>
        <w:rPr>
          <w:rFonts w:ascii="宋体" w:hAnsi="宋体" w:eastAsia="宋体" w:cs="宋体"/>
          <w:sz w:val="22"/>
          <w:szCs w:val="22"/>
          <w:highlight w:val="none"/>
        </w:rPr>
      </w:pPr>
      <w:r>
        <w:rPr>
          <w:rFonts w:ascii="宋体" w:hAnsi="宋体" w:eastAsia="宋体" w:cs="宋体"/>
          <w:spacing w:val="-2"/>
          <w:sz w:val="22"/>
          <w:szCs w:val="22"/>
          <w:highlight w:val="none"/>
        </w:rPr>
        <w:t>(1)根据第13条[变更与调整]的约定构成一项变更的；</w:t>
      </w:r>
    </w:p>
    <w:p w14:paraId="7B1B1967">
      <w:pPr>
        <w:spacing w:before="197" w:line="219" w:lineRule="auto"/>
        <w:ind w:left="529"/>
        <w:rPr>
          <w:rFonts w:ascii="宋体" w:hAnsi="宋体" w:eastAsia="宋体" w:cs="宋体"/>
          <w:sz w:val="22"/>
          <w:szCs w:val="22"/>
          <w:highlight w:val="none"/>
        </w:rPr>
      </w:pPr>
      <w:r>
        <w:rPr>
          <w:rFonts w:ascii="宋体" w:hAnsi="宋体" w:eastAsia="宋体" w:cs="宋体"/>
          <w:sz w:val="22"/>
          <w:szCs w:val="22"/>
          <w:highlight w:val="none"/>
        </w:rPr>
        <w:t>(2)发包人违反本合同约定，导致工期延误和(或)费用增加的；</w:t>
      </w:r>
    </w:p>
    <w:p w14:paraId="5FB34BC0">
      <w:pPr>
        <w:spacing w:before="240" w:line="316" w:lineRule="auto"/>
        <w:ind w:firstLine="529"/>
        <w:rPr>
          <w:rFonts w:ascii="宋体" w:hAnsi="宋体" w:eastAsia="宋体" w:cs="宋体"/>
          <w:sz w:val="21"/>
          <w:szCs w:val="21"/>
          <w:highlight w:val="none"/>
        </w:rPr>
      </w:pPr>
      <w:r>
        <w:rPr>
          <w:rFonts w:ascii="宋体" w:hAnsi="宋体" w:eastAsia="宋体" w:cs="宋体"/>
          <w:sz w:val="21"/>
          <w:szCs w:val="21"/>
          <w:highlight w:val="none"/>
        </w:rPr>
        <w:t>(3)发包人、发包人代表、工程师或发包人聘请的任意第三方造成或引起的任何延误、</w:t>
      </w:r>
      <w:r>
        <w:rPr>
          <w:rFonts w:ascii="宋体" w:hAnsi="宋体" w:eastAsia="宋体" w:cs="宋体"/>
          <w:spacing w:val="9"/>
          <w:sz w:val="21"/>
          <w:szCs w:val="21"/>
          <w:highlight w:val="none"/>
        </w:rPr>
        <w:t xml:space="preserve"> </w:t>
      </w:r>
      <w:r>
        <w:rPr>
          <w:rFonts w:ascii="宋体" w:hAnsi="宋体" w:eastAsia="宋体" w:cs="宋体"/>
          <w:spacing w:val="-8"/>
          <w:sz w:val="21"/>
          <w:szCs w:val="21"/>
          <w:highlight w:val="none"/>
        </w:rPr>
        <w:t>妨碍和阻碍；</w:t>
      </w:r>
    </w:p>
    <w:p w14:paraId="7413F7B8">
      <w:pPr>
        <w:spacing w:before="230" w:line="304" w:lineRule="auto"/>
        <w:ind w:right="93" w:firstLine="529"/>
        <w:rPr>
          <w:rFonts w:ascii="宋体" w:hAnsi="宋体" w:eastAsia="宋体" w:cs="宋体"/>
          <w:sz w:val="22"/>
          <w:szCs w:val="22"/>
          <w:highlight w:val="none"/>
        </w:rPr>
      </w:pPr>
      <w:r>
        <w:rPr>
          <w:rFonts w:ascii="宋体" w:hAnsi="宋体" w:eastAsia="宋体" w:cs="宋体"/>
          <w:spacing w:val="-3"/>
          <w:sz w:val="22"/>
          <w:szCs w:val="22"/>
          <w:highlight w:val="none"/>
        </w:rPr>
        <w:t>(4)发包人未能依据第6.2.1项[发包人提供的材料和工程设备]的约定</w:t>
      </w:r>
      <w:r>
        <w:rPr>
          <w:rFonts w:ascii="宋体" w:hAnsi="宋体" w:eastAsia="宋体" w:cs="宋体"/>
          <w:spacing w:val="-4"/>
          <w:sz w:val="22"/>
          <w:szCs w:val="22"/>
          <w:highlight w:val="none"/>
        </w:rPr>
        <w:t>提供材料和工</w:t>
      </w:r>
      <w:r>
        <w:rPr>
          <w:rFonts w:ascii="宋体" w:hAnsi="宋体" w:eastAsia="宋体" w:cs="宋体"/>
          <w:sz w:val="22"/>
          <w:szCs w:val="22"/>
          <w:highlight w:val="none"/>
        </w:rPr>
        <w:t xml:space="preserve"> </w:t>
      </w:r>
      <w:r>
        <w:rPr>
          <w:rFonts w:ascii="宋体" w:hAnsi="宋体" w:eastAsia="宋体" w:cs="宋体"/>
          <w:spacing w:val="-1"/>
          <w:sz w:val="22"/>
          <w:szCs w:val="22"/>
          <w:highlight w:val="none"/>
        </w:rPr>
        <w:t>程设备导致工期延误和(或)费用增加的；</w:t>
      </w:r>
    </w:p>
    <w:p w14:paraId="121DC520">
      <w:pPr>
        <w:spacing w:before="247" w:line="220"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(5)因发包人原因导致的暂停施工；</w:t>
      </w:r>
    </w:p>
    <w:p w14:paraId="5D2E8AFD">
      <w:pPr>
        <w:spacing w:before="232"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(6)发包人未及时履行相关合同义务，造成工期延误的其他原因。</w:t>
      </w:r>
    </w:p>
    <w:p w14:paraId="13201ED1">
      <w:pPr>
        <w:spacing w:before="79"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8.7.2    </w:t>
      </w:r>
      <w:r>
        <w:rPr>
          <w:rFonts w:ascii="宋体" w:hAnsi="宋体" w:eastAsia="宋体" w:cs="宋体"/>
          <w:spacing w:val="-7"/>
          <w:sz w:val="22"/>
          <w:szCs w:val="22"/>
          <w:highlight w:val="none"/>
        </w:rPr>
        <w:t>因承包人原因导致工期延误</w:t>
      </w:r>
    </w:p>
    <w:p w14:paraId="34D9BCC2">
      <w:pPr>
        <w:pStyle w:val="2"/>
        <w:spacing w:line="355" w:lineRule="auto"/>
        <w:rPr>
          <w:highlight w:val="none"/>
        </w:rPr>
      </w:pPr>
    </w:p>
    <w:p w14:paraId="7A0E7F75">
      <w:pPr>
        <w:spacing w:before="72" w:line="406" w:lineRule="auto"/>
        <w:ind w:right="95" w:firstLine="420"/>
        <w:rPr>
          <w:rFonts w:ascii="宋体" w:hAnsi="宋体" w:eastAsia="宋体" w:cs="宋体"/>
          <w:sz w:val="22"/>
          <w:szCs w:val="22"/>
          <w:highlight w:val="none"/>
        </w:rPr>
      </w:pPr>
      <w:r>
        <w:rPr>
          <w:rFonts w:ascii="宋体" w:hAnsi="宋体" w:eastAsia="宋体" w:cs="宋体"/>
          <w:spacing w:val="-12"/>
          <w:sz w:val="22"/>
          <w:szCs w:val="22"/>
          <w:highlight w:val="none"/>
        </w:rPr>
        <w:t>由于承包人的原因，未能按项目进度计划完成工作，承包人应采取措施加</w:t>
      </w:r>
      <w:r>
        <w:rPr>
          <w:rFonts w:ascii="宋体" w:hAnsi="宋体" w:eastAsia="宋体" w:cs="宋体"/>
          <w:spacing w:val="-13"/>
          <w:sz w:val="22"/>
          <w:szCs w:val="22"/>
          <w:highlight w:val="none"/>
        </w:rPr>
        <w:t>快进度，并承</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担加快进度所增加的费用。</w:t>
      </w:r>
    </w:p>
    <w:p w14:paraId="79AB81BE">
      <w:pPr>
        <w:spacing w:before="1" w:line="398" w:lineRule="auto"/>
        <w:ind w:right="91"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由于承包人原因造成工期延误并导致逾期竣工的，承包人应支付逾期竣工违约金。</w:t>
      </w:r>
      <w:r>
        <w:rPr>
          <w:rFonts w:ascii="宋体" w:hAnsi="宋体" w:eastAsia="宋体" w:cs="宋体"/>
          <w:spacing w:val="-3"/>
          <w:sz w:val="21"/>
          <w:szCs w:val="21"/>
          <w:highlight w:val="none"/>
        </w:rPr>
        <w:t>逾期</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竣工违约金的计算方法和最高限额在专用合同条件中约定。承包人支付逾期竣工违约金，不</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免除承包人完成工作及修补缺陷的义务，且发包人有权从工程进度款、竣工结算款或</w:t>
      </w:r>
      <w:r>
        <w:rPr>
          <w:rFonts w:ascii="宋体" w:hAnsi="宋体" w:eastAsia="宋体" w:cs="宋体"/>
          <w:spacing w:val="-3"/>
          <w:sz w:val="21"/>
          <w:szCs w:val="21"/>
          <w:highlight w:val="none"/>
        </w:rPr>
        <w:t>约定提</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交的履约担保中扣除相当于逾期竣工违约金的金额。</w:t>
      </w:r>
    </w:p>
    <w:p w14:paraId="0507A698">
      <w:pPr>
        <w:spacing w:line="220" w:lineRule="auto"/>
        <w:ind w:left="420"/>
        <w:rPr>
          <w:rFonts w:ascii="宋体" w:hAnsi="宋体" w:eastAsia="宋体" w:cs="宋体"/>
          <w:sz w:val="20"/>
          <w:szCs w:val="20"/>
          <w:highlight w:val="none"/>
        </w:rPr>
      </w:pPr>
      <w:r>
        <w:rPr>
          <w:rFonts w:ascii="宋体" w:hAnsi="宋体" w:eastAsia="宋体" w:cs="宋体"/>
          <w:spacing w:val="17"/>
          <w:sz w:val="20"/>
          <w:szCs w:val="20"/>
          <w:highlight w:val="none"/>
        </w:rPr>
        <w:t>8.7.3行政审批迟延</w:t>
      </w:r>
    </w:p>
    <w:p w14:paraId="510BF7CF">
      <w:pPr>
        <w:pStyle w:val="2"/>
        <w:spacing w:line="350" w:lineRule="auto"/>
        <w:rPr>
          <w:highlight w:val="none"/>
        </w:rPr>
      </w:pPr>
    </w:p>
    <w:p w14:paraId="02A69FC4">
      <w:pPr>
        <w:spacing w:before="68" w:line="442" w:lineRule="auto"/>
        <w:ind w:right="86" w:firstLine="420"/>
        <w:rPr>
          <w:rFonts w:ascii="宋体" w:hAnsi="宋体" w:eastAsia="宋体" w:cs="宋体"/>
          <w:sz w:val="21"/>
          <w:szCs w:val="21"/>
          <w:highlight w:val="none"/>
        </w:rPr>
      </w:pPr>
      <w:r>
        <w:rPr>
          <w:rFonts w:ascii="宋体" w:hAnsi="宋体" w:eastAsia="宋体" w:cs="宋体"/>
          <w:spacing w:val="4"/>
          <w:sz w:val="21"/>
          <w:szCs w:val="21"/>
          <w:highlight w:val="none"/>
        </w:rPr>
        <w:t>合同约定范围内的工作需国家有关部门审批的，发包</w:t>
      </w:r>
      <w:r>
        <w:rPr>
          <w:rFonts w:ascii="宋体" w:hAnsi="宋体" w:eastAsia="宋体" w:cs="宋体"/>
          <w:spacing w:val="3"/>
          <w:sz w:val="21"/>
          <w:szCs w:val="21"/>
          <w:highlight w:val="none"/>
        </w:rPr>
        <w:t>人和(或)承包人应按照专用合同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条件约定的职责分工完成行政审批报送。因国家有关部门审批迟延造成工期延误的，竣工日</w:t>
      </w:r>
    </w:p>
    <w:p w14:paraId="54B6260A">
      <w:pPr>
        <w:spacing w:line="442" w:lineRule="auto"/>
        <w:rPr>
          <w:rFonts w:ascii="宋体" w:hAnsi="宋体" w:eastAsia="宋体" w:cs="宋体"/>
          <w:sz w:val="21"/>
          <w:szCs w:val="21"/>
          <w:highlight w:val="none"/>
        </w:rPr>
        <w:sectPr>
          <w:footerReference r:id="rId110" w:type="default"/>
          <w:pgSz w:w="11910" w:h="16840"/>
          <w:pgMar w:top="400" w:right="1714" w:bottom="1228" w:left="1779" w:header="0" w:footer="1009" w:gutter="0"/>
          <w:cols w:space="720" w:num="1"/>
        </w:sectPr>
      </w:pPr>
    </w:p>
    <w:p w14:paraId="684880CA">
      <w:pPr>
        <w:pStyle w:val="2"/>
        <w:spacing w:line="276" w:lineRule="auto"/>
        <w:rPr>
          <w:highlight w:val="none"/>
        </w:rPr>
      </w:pPr>
    </w:p>
    <w:p w14:paraId="5B979CC0">
      <w:pPr>
        <w:pStyle w:val="2"/>
        <w:spacing w:line="276" w:lineRule="auto"/>
        <w:rPr>
          <w:highlight w:val="none"/>
        </w:rPr>
      </w:pPr>
    </w:p>
    <w:p w14:paraId="7EF55CC8">
      <w:pPr>
        <w:pStyle w:val="2"/>
        <w:spacing w:line="277" w:lineRule="auto"/>
        <w:rPr>
          <w:highlight w:val="none"/>
        </w:rPr>
      </w:pPr>
    </w:p>
    <w:p w14:paraId="775A54A8">
      <w:pPr>
        <w:pStyle w:val="2"/>
        <w:spacing w:line="277" w:lineRule="auto"/>
        <w:rPr>
          <w:highlight w:val="none"/>
        </w:rPr>
      </w:pPr>
    </w:p>
    <w:p w14:paraId="163D6093">
      <w:pPr>
        <w:spacing w:before="65" w:line="219" w:lineRule="auto"/>
        <w:rPr>
          <w:rFonts w:ascii="宋体" w:hAnsi="宋体" w:eastAsia="宋体" w:cs="宋体"/>
          <w:sz w:val="20"/>
          <w:szCs w:val="20"/>
          <w:highlight w:val="none"/>
        </w:rPr>
      </w:pPr>
      <w:r>
        <w:rPr>
          <w:rFonts w:ascii="宋体" w:hAnsi="宋体" w:eastAsia="宋体" w:cs="宋体"/>
          <w:spacing w:val="8"/>
          <w:sz w:val="20"/>
          <w:szCs w:val="20"/>
          <w:highlight w:val="none"/>
        </w:rPr>
        <w:t>期相应顺延。造成费用增加的，由双方在负责的范围内各自承担。</w:t>
      </w:r>
    </w:p>
    <w:p w14:paraId="232DDCA3">
      <w:pPr>
        <w:spacing w:before="103" w:line="219" w:lineRule="auto"/>
        <w:ind w:left="410"/>
        <w:rPr>
          <w:rFonts w:ascii="宋体" w:hAnsi="宋体" w:eastAsia="宋体" w:cs="宋体"/>
          <w:sz w:val="22"/>
          <w:szCs w:val="22"/>
          <w:highlight w:val="none"/>
        </w:rPr>
      </w:pPr>
      <w:r>
        <w:rPr>
          <w:rFonts w:ascii="宋体" w:hAnsi="宋体" w:eastAsia="宋体" w:cs="宋体"/>
          <w:spacing w:val="-1"/>
          <w:sz w:val="22"/>
          <w:szCs w:val="22"/>
          <w:highlight w:val="none"/>
        </w:rPr>
        <w:t>8.7.4异常恶劣的气候条件</w:t>
      </w:r>
    </w:p>
    <w:p w14:paraId="36CE9729">
      <w:pPr>
        <w:pStyle w:val="2"/>
        <w:spacing w:line="347" w:lineRule="auto"/>
        <w:rPr>
          <w:highlight w:val="none"/>
        </w:rPr>
      </w:pPr>
    </w:p>
    <w:p w14:paraId="72B21E06">
      <w:pPr>
        <w:spacing w:before="68" w:line="425" w:lineRule="auto"/>
        <w:ind w:right="94"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异常恶劣的气候条件是指在施工过程中遇到的，有经</w:t>
      </w:r>
      <w:r>
        <w:rPr>
          <w:rFonts w:ascii="宋体" w:hAnsi="宋体" w:eastAsia="宋体" w:cs="宋体"/>
          <w:spacing w:val="-3"/>
          <w:sz w:val="21"/>
          <w:szCs w:val="21"/>
          <w:highlight w:val="none"/>
        </w:rPr>
        <w:t>验的承包人在订立合同时不可预见</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的，对合同履行造成实质性影响的，但尚未构成不可抗力事件的恶劣气候条件。合同当事人</w:t>
      </w:r>
      <w:r>
        <w:rPr>
          <w:rFonts w:ascii="宋体" w:hAnsi="宋体" w:eastAsia="宋体" w:cs="宋体"/>
          <w:spacing w:val="18"/>
          <w:sz w:val="21"/>
          <w:szCs w:val="21"/>
          <w:highlight w:val="none"/>
        </w:rPr>
        <w:t xml:space="preserve"> </w:t>
      </w:r>
      <w:r>
        <w:rPr>
          <w:rFonts w:ascii="宋体" w:hAnsi="宋体" w:eastAsia="宋体" w:cs="宋体"/>
          <w:spacing w:val="-2"/>
          <w:sz w:val="21"/>
          <w:szCs w:val="21"/>
          <w:highlight w:val="none"/>
        </w:rPr>
        <w:t>可以在专用合同条件中约定异常恶劣的气候条件的具体情形。</w:t>
      </w:r>
    </w:p>
    <w:p w14:paraId="366BFE79">
      <w:pPr>
        <w:spacing w:before="2" w:line="414" w:lineRule="auto"/>
        <w:ind w:right="95"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承包人应采取克服异常恶劣的气候条件的合理</w:t>
      </w:r>
      <w:r>
        <w:rPr>
          <w:rFonts w:ascii="宋体" w:hAnsi="宋体" w:eastAsia="宋体" w:cs="宋体"/>
          <w:spacing w:val="-3"/>
          <w:sz w:val="21"/>
          <w:szCs w:val="21"/>
          <w:highlight w:val="none"/>
        </w:rPr>
        <w:t>措施继续施工，并及时通知工程师。工程</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师应当及时发出指示，指示构成变更的，按第13条[变更与</w:t>
      </w:r>
      <w:r>
        <w:rPr>
          <w:rFonts w:ascii="宋体" w:hAnsi="宋体" w:eastAsia="宋体" w:cs="宋体"/>
          <w:spacing w:val="2"/>
          <w:sz w:val="21"/>
          <w:szCs w:val="21"/>
          <w:highlight w:val="none"/>
        </w:rPr>
        <w:t>调整]约定办理。承包人因采取</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合理措施而延误的工期由发包人承担。</w:t>
      </w:r>
    </w:p>
    <w:p w14:paraId="1FE5765F">
      <w:pPr>
        <w:pStyle w:val="2"/>
        <w:spacing w:before="125" w:line="300" w:lineRule="exact"/>
        <w:rPr>
          <w:rFonts w:ascii="黑体" w:hAnsi="黑体" w:eastAsia="黑体" w:cs="黑体"/>
          <w:sz w:val="22"/>
          <w:szCs w:val="22"/>
          <w:highlight w:val="none"/>
        </w:rPr>
      </w:pPr>
      <w:r>
        <w:rPr>
          <w:spacing w:val="-5"/>
          <w:position w:val="1"/>
          <w:sz w:val="22"/>
          <w:szCs w:val="22"/>
          <w:highlight w:val="none"/>
        </w:rPr>
        <w:t xml:space="preserve">8.8  </w:t>
      </w:r>
      <w:r>
        <w:rPr>
          <w:rFonts w:ascii="黑体" w:hAnsi="黑体" w:eastAsia="黑体" w:cs="黑体"/>
          <w:spacing w:val="-5"/>
          <w:position w:val="1"/>
          <w:sz w:val="22"/>
          <w:szCs w:val="22"/>
          <w:highlight w:val="none"/>
        </w:rPr>
        <w:t>工期提前</w:t>
      </w:r>
    </w:p>
    <w:p w14:paraId="666519B5">
      <w:pPr>
        <w:spacing w:before="108" w:line="319" w:lineRule="auto"/>
        <w:ind w:firstLine="41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8.8.1    </w:t>
      </w:r>
      <w:r>
        <w:rPr>
          <w:rFonts w:ascii="宋体" w:hAnsi="宋体" w:eastAsia="宋体" w:cs="宋体"/>
          <w:spacing w:val="-2"/>
          <w:sz w:val="21"/>
          <w:szCs w:val="21"/>
          <w:highlight w:val="none"/>
        </w:rPr>
        <w:t>发包人指示承包人提前竣工且被承包人接受的，应与承包人共同协商采取加</w:t>
      </w:r>
      <w:r>
        <w:rPr>
          <w:rFonts w:ascii="宋体" w:hAnsi="宋体" w:eastAsia="宋体" w:cs="宋体"/>
          <w:spacing w:val="-3"/>
          <w:sz w:val="21"/>
          <w:szCs w:val="21"/>
          <w:highlight w:val="none"/>
        </w:rPr>
        <w:t>快工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程进度的措施和修订项目进度计划。发包人应承担</w:t>
      </w:r>
      <w:r>
        <w:rPr>
          <w:rFonts w:ascii="宋体" w:hAnsi="宋体" w:eastAsia="宋体" w:cs="宋体"/>
          <w:spacing w:val="-3"/>
          <w:sz w:val="21"/>
          <w:szCs w:val="21"/>
          <w:highlight w:val="none"/>
        </w:rPr>
        <w:t>承包人由此增加的费用，增加的费用按第</w:t>
      </w:r>
      <w:r>
        <w:rPr>
          <w:rFonts w:ascii="宋体" w:hAnsi="宋体" w:eastAsia="宋体" w:cs="宋体"/>
          <w:sz w:val="21"/>
          <w:szCs w:val="21"/>
          <w:highlight w:val="none"/>
        </w:rPr>
        <w:t xml:space="preserve">  13条[变更与调整]的约定执行；发包人不得以任何理由要求承包人超过合理限</w:t>
      </w:r>
      <w:r>
        <w:rPr>
          <w:rFonts w:ascii="宋体" w:hAnsi="宋体" w:eastAsia="宋体" w:cs="宋体"/>
          <w:spacing w:val="-1"/>
          <w:sz w:val="21"/>
          <w:szCs w:val="21"/>
          <w:highlight w:val="none"/>
        </w:rPr>
        <w:t>度压缩工期。</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承包人有权不接受提前竣工的指示，工期按照合同约定执行。</w:t>
      </w:r>
    </w:p>
    <w:p w14:paraId="0067B272">
      <w:pPr>
        <w:pStyle w:val="2"/>
        <w:spacing w:line="299" w:lineRule="auto"/>
        <w:rPr>
          <w:highlight w:val="none"/>
        </w:rPr>
      </w:pPr>
    </w:p>
    <w:p w14:paraId="4B9C69AC">
      <w:pPr>
        <w:spacing w:before="68" w:line="305" w:lineRule="auto"/>
        <w:ind w:right="91" w:firstLine="410"/>
        <w:rPr>
          <w:rFonts w:ascii="宋体" w:hAnsi="宋体" w:eastAsia="宋体" w:cs="宋体"/>
          <w:sz w:val="21"/>
          <w:szCs w:val="21"/>
          <w:highlight w:val="none"/>
        </w:rPr>
      </w:pPr>
      <w:r>
        <w:rPr>
          <w:rFonts w:ascii="宋体" w:hAnsi="宋体" w:eastAsia="宋体" w:cs="宋体"/>
          <w:sz w:val="21"/>
          <w:szCs w:val="21"/>
          <w:highlight w:val="none"/>
        </w:rPr>
        <w:t>8.8.2承包人提出提前竣工的建议且发包人接受的，应与发包人共同协商采取加快工程</w:t>
      </w:r>
      <w:r>
        <w:rPr>
          <w:rFonts w:ascii="宋体" w:hAnsi="宋体" w:eastAsia="宋体" w:cs="宋体"/>
          <w:spacing w:val="11"/>
          <w:sz w:val="21"/>
          <w:szCs w:val="21"/>
          <w:highlight w:val="none"/>
        </w:rPr>
        <w:t xml:space="preserve"> </w:t>
      </w:r>
      <w:r>
        <w:rPr>
          <w:rFonts w:ascii="宋体" w:hAnsi="宋体" w:eastAsia="宋体" w:cs="宋体"/>
          <w:spacing w:val="3"/>
          <w:sz w:val="21"/>
          <w:szCs w:val="21"/>
          <w:highlight w:val="none"/>
        </w:rPr>
        <w:t>进度的措施和修订项目进度计划。发包人应承担承包人由此增加的费用，增加</w:t>
      </w:r>
      <w:r>
        <w:rPr>
          <w:rFonts w:ascii="宋体" w:hAnsi="宋体" w:eastAsia="宋体" w:cs="宋体"/>
          <w:spacing w:val="2"/>
          <w:sz w:val="21"/>
          <w:szCs w:val="21"/>
          <w:highlight w:val="none"/>
        </w:rPr>
        <w:t>的费用按第</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13条[变更与调整]的约定执行，并向承包人支付专用合同条件约定的相应奖励金。</w:t>
      </w:r>
    </w:p>
    <w:p w14:paraId="110B1807">
      <w:pPr>
        <w:pStyle w:val="2"/>
        <w:spacing w:line="346" w:lineRule="auto"/>
        <w:rPr>
          <w:highlight w:val="none"/>
        </w:rPr>
      </w:pPr>
    </w:p>
    <w:p w14:paraId="3A94B5BB">
      <w:pPr>
        <w:spacing w:before="72" w:line="222" w:lineRule="auto"/>
        <w:rPr>
          <w:rFonts w:ascii="黑体" w:hAnsi="黑体" w:eastAsia="黑体" w:cs="黑体"/>
          <w:sz w:val="22"/>
          <w:szCs w:val="22"/>
          <w:highlight w:val="none"/>
        </w:rPr>
      </w:pPr>
      <w:r>
        <w:rPr>
          <w:rFonts w:ascii="黑体" w:hAnsi="黑体" w:eastAsia="黑体" w:cs="黑体"/>
          <w:spacing w:val="7"/>
          <w:sz w:val="22"/>
          <w:szCs w:val="22"/>
          <w:highlight w:val="none"/>
        </w:rPr>
        <w:t>8.9暂停工作</w:t>
      </w:r>
    </w:p>
    <w:p w14:paraId="43F8B672">
      <w:pPr>
        <w:spacing w:before="87" w:line="220" w:lineRule="auto"/>
        <w:ind w:left="41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8.9.1</w:t>
      </w:r>
      <w:r>
        <w:rPr>
          <w:rFonts w:ascii="Times New Roman" w:hAnsi="Times New Roman" w:eastAsia="Times New Roman" w:cs="Times New Roman"/>
          <w:spacing w:val="8"/>
          <w:sz w:val="22"/>
          <w:szCs w:val="22"/>
          <w:highlight w:val="none"/>
        </w:rPr>
        <w:t xml:space="preserve">   </w:t>
      </w:r>
      <w:r>
        <w:rPr>
          <w:rFonts w:ascii="宋体" w:hAnsi="宋体" w:eastAsia="宋体" w:cs="宋体"/>
          <w:spacing w:val="-4"/>
          <w:sz w:val="22"/>
          <w:szCs w:val="22"/>
          <w:highlight w:val="none"/>
        </w:rPr>
        <w:t>由发包人暂停工作</w:t>
      </w:r>
    </w:p>
    <w:p w14:paraId="3EA3FE9B">
      <w:pPr>
        <w:pStyle w:val="2"/>
        <w:spacing w:line="366" w:lineRule="auto"/>
        <w:rPr>
          <w:highlight w:val="none"/>
        </w:rPr>
      </w:pPr>
    </w:p>
    <w:p w14:paraId="50A26721">
      <w:pPr>
        <w:spacing w:before="69" w:line="426" w:lineRule="auto"/>
        <w:ind w:right="82" w:firstLine="410"/>
        <w:rPr>
          <w:rFonts w:ascii="宋体" w:hAnsi="宋体" w:eastAsia="宋体" w:cs="宋体"/>
          <w:sz w:val="21"/>
          <w:szCs w:val="21"/>
          <w:highlight w:val="none"/>
        </w:rPr>
      </w:pPr>
      <w:r>
        <w:rPr>
          <w:rFonts w:ascii="宋体" w:hAnsi="宋体" w:eastAsia="宋体" w:cs="宋体"/>
          <w:spacing w:val="-2"/>
          <w:sz w:val="21"/>
          <w:szCs w:val="21"/>
          <w:highlight w:val="none"/>
        </w:rPr>
        <w:t>发包人认为必要时，可通过工程师向承包人发出经发包人签认的暂停工作通知，</w:t>
      </w:r>
      <w:r>
        <w:rPr>
          <w:rFonts w:ascii="宋体" w:hAnsi="宋体" w:eastAsia="宋体" w:cs="宋体"/>
          <w:spacing w:val="-3"/>
          <w:sz w:val="21"/>
          <w:szCs w:val="21"/>
          <w:highlight w:val="none"/>
        </w:rPr>
        <w:t>应列明</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暂停原因、暂停的日期及预计暂停的期限。承包人应按该通知暂停工作。</w:t>
      </w:r>
    </w:p>
    <w:p w14:paraId="74C251AA">
      <w:pPr>
        <w:spacing w:before="1" w:line="219" w:lineRule="auto"/>
        <w:ind w:left="410"/>
        <w:rPr>
          <w:rFonts w:ascii="宋体" w:hAnsi="宋体" w:eastAsia="宋体" w:cs="宋体"/>
          <w:sz w:val="21"/>
          <w:szCs w:val="21"/>
          <w:highlight w:val="none"/>
        </w:rPr>
      </w:pPr>
      <w:r>
        <w:rPr>
          <w:rFonts w:ascii="宋体" w:hAnsi="宋体" w:eastAsia="宋体" w:cs="宋体"/>
          <w:spacing w:val="3"/>
          <w:sz w:val="21"/>
          <w:szCs w:val="21"/>
          <w:highlight w:val="none"/>
        </w:rPr>
        <w:t>承包人因执行暂停工作通知而造成费用的增加和(或)工期延误由发包人承担，并有权</w:t>
      </w:r>
    </w:p>
    <w:p w14:paraId="09760DFB">
      <w:pPr>
        <w:spacing w:before="241" w:line="219" w:lineRule="auto"/>
        <w:rPr>
          <w:rFonts w:ascii="宋体" w:hAnsi="宋体" w:eastAsia="宋体" w:cs="宋体"/>
          <w:sz w:val="21"/>
          <w:szCs w:val="21"/>
          <w:highlight w:val="none"/>
        </w:rPr>
      </w:pPr>
      <w:r>
        <w:rPr>
          <w:rFonts w:ascii="宋体" w:hAnsi="宋体" w:eastAsia="宋体" w:cs="宋体"/>
          <w:spacing w:val="-1"/>
          <w:sz w:val="21"/>
          <w:szCs w:val="21"/>
          <w:highlight w:val="none"/>
        </w:rPr>
        <w:t>要求发包人支付合理利润，但由于承包人原因造成发包人暂停工作的除外。</w:t>
      </w:r>
    </w:p>
    <w:p w14:paraId="5DCED38F">
      <w:pPr>
        <w:spacing w:before="81" w:line="219" w:lineRule="auto"/>
        <w:ind w:left="410"/>
        <w:rPr>
          <w:rFonts w:ascii="宋体" w:hAnsi="宋体" w:eastAsia="宋体" w:cs="宋体"/>
          <w:sz w:val="22"/>
          <w:szCs w:val="22"/>
          <w:highlight w:val="none"/>
        </w:rPr>
      </w:pPr>
      <w:r>
        <w:rPr>
          <w:rFonts w:ascii="宋体" w:hAnsi="宋体" w:eastAsia="宋体" w:cs="宋体"/>
          <w:spacing w:val="1"/>
          <w:sz w:val="22"/>
          <w:szCs w:val="22"/>
          <w:highlight w:val="none"/>
        </w:rPr>
        <w:t>8.9.2由承包人暂停工作</w:t>
      </w:r>
    </w:p>
    <w:p w14:paraId="1D62C73E">
      <w:pPr>
        <w:pStyle w:val="2"/>
        <w:spacing w:line="382" w:lineRule="auto"/>
        <w:rPr>
          <w:highlight w:val="none"/>
        </w:rPr>
      </w:pPr>
    </w:p>
    <w:p w14:paraId="722E3C3C">
      <w:pPr>
        <w:spacing w:before="72" w:line="388" w:lineRule="auto"/>
        <w:ind w:right="25" w:firstLine="410"/>
        <w:jc w:val="both"/>
        <w:rPr>
          <w:rFonts w:ascii="宋体" w:hAnsi="宋体" w:eastAsia="宋体" w:cs="宋体"/>
          <w:sz w:val="22"/>
          <w:szCs w:val="22"/>
          <w:highlight w:val="none"/>
        </w:rPr>
      </w:pPr>
      <w:r>
        <w:rPr>
          <w:rFonts w:ascii="宋体" w:hAnsi="宋体" w:eastAsia="宋体" w:cs="宋体"/>
          <w:spacing w:val="-11"/>
          <w:sz w:val="22"/>
          <w:szCs w:val="22"/>
          <w:highlight w:val="none"/>
        </w:rPr>
        <w:t>因承包人原因所造成部分或全部工程的暂停，承包人应采取措施尽快复工并赶上进度，</w:t>
      </w:r>
      <w:r>
        <w:rPr>
          <w:rFonts w:ascii="宋体" w:hAnsi="宋体" w:eastAsia="宋体" w:cs="宋体"/>
          <w:spacing w:val="16"/>
          <w:sz w:val="22"/>
          <w:szCs w:val="22"/>
          <w:highlight w:val="none"/>
        </w:rPr>
        <w:t xml:space="preserve"> </w:t>
      </w:r>
      <w:r>
        <w:rPr>
          <w:rFonts w:ascii="宋体" w:hAnsi="宋体" w:eastAsia="宋体" w:cs="宋体"/>
          <w:spacing w:val="-10"/>
          <w:sz w:val="22"/>
          <w:szCs w:val="22"/>
          <w:highlight w:val="none"/>
        </w:rPr>
        <w:t>由此造成费用的增加或工期延误由承包人承担。因此造成逾期竣工的，承包人应按第8.7.2</w:t>
      </w:r>
      <w:r>
        <w:rPr>
          <w:rFonts w:ascii="宋体" w:hAnsi="宋体" w:eastAsia="宋体" w:cs="宋体"/>
          <w:spacing w:val="1"/>
          <w:sz w:val="22"/>
          <w:szCs w:val="22"/>
          <w:highlight w:val="none"/>
        </w:rPr>
        <w:t xml:space="preserve">  </w:t>
      </w:r>
      <w:r>
        <w:rPr>
          <w:rFonts w:ascii="宋体" w:hAnsi="宋体" w:eastAsia="宋体" w:cs="宋体"/>
          <w:spacing w:val="-11"/>
          <w:sz w:val="22"/>
          <w:szCs w:val="22"/>
          <w:highlight w:val="none"/>
        </w:rPr>
        <w:t>项[因承包人原因导致工期延误]承担逾期竣工违约责任。</w:t>
      </w:r>
    </w:p>
    <w:p w14:paraId="1B296CD2">
      <w:pPr>
        <w:spacing w:before="33" w:line="425" w:lineRule="auto"/>
        <w:ind w:firstLine="410"/>
        <w:rPr>
          <w:rFonts w:ascii="宋体" w:hAnsi="宋体" w:eastAsia="宋体" w:cs="宋体"/>
          <w:sz w:val="21"/>
          <w:szCs w:val="21"/>
          <w:highlight w:val="none"/>
        </w:rPr>
      </w:pPr>
      <w:r>
        <w:rPr>
          <w:rFonts w:ascii="宋体" w:hAnsi="宋体" w:eastAsia="宋体" w:cs="宋体"/>
          <w:spacing w:val="-2"/>
          <w:sz w:val="21"/>
          <w:szCs w:val="21"/>
          <w:highlight w:val="none"/>
        </w:rPr>
        <w:t>合同履行过程中发生下列情形之一的，承包人可向发</w:t>
      </w:r>
      <w:r>
        <w:rPr>
          <w:rFonts w:ascii="宋体" w:hAnsi="宋体" w:eastAsia="宋体" w:cs="宋体"/>
          <w:spacing w:val="-3"/>
          <w:sz w:val="21"/>
          <w:szCs w:val="21"/>
          <w:highlight w:val="none"/>
        </w:rPr>
        <w:t>包人发出通知，要求发包人采取有</w:t>
      </w:r>
      <w:r>
        <w:rPr>
          <w:rFonts w:ascii="宋体" w:hAnsi="宋体" w:eastAsia="宋体" w:cs="宋体"/>
          <w:sz w:val="21"/>
          <w:szCs w:val="21"/>
          <w:highlight w:val="none"/>
        </w:rPr>
        <w:t xml:space="preserve">  效措施予以纠正。发包人收到承包人通知后的28天内仍不予以纠正，承包人有</w:t>
      </w:r>
      <w:r>
        <w:rPr>
          <w:rFonts w:ascii="宋体" w:hAnsi="宋体" w:eastAsia="宋体" w:cs="宋体"/>
          <w:spacing w:val="-1"/>
          <w:sz w:val="21"/>
          <w:szCs w:val="21"/>
          <w:highlight w:val="none"/>
        </w:rPr>
        <w:t>权暂停施工，</w:t>
      </w:r>
    </w:p>
    <w:p w14:paraId="3E859000">
      <w:pPr>
        <w:spacing w:line="425" w:lineRule="auto"/>
        <w:rPr>
          <w:rFonts w:ascii="宋体" w:hAnsi="宋体" w:eastAsia="宋体" w:cs="宋体"/>
          <w:sz w:val="21"/>
          <w:szCs w:val="21"/>
          <w:highlight w:val="none"/>
        </w:rPr>
        <w:sectPr>
          <w:footerReference r:id="rId111" w:type="default"/>
          <w:pgSz w:w="11910" w:h="16840"/>
          <w:pgMar w:top="400" w:right="1734" w:bottom="1228" w:left="1779" w:header="0" w:footer="1009" w:gutter="0"/>
          <w:cols w:space="720" w:num="1"/>
        </w:sectPr>
      </w:pPr>
    </w:p>
    <w:p w14:paraId="4F65BBF4">
      <w:pPr>
        <w:pStyle w:val="2"/>
        <w:spacing w:line="270" w:lineRule="auto"/>
        <w:rPr>
          <w:highlight w:val="none"/>
        </w:rPr>
      </w:pPr>
    </w:p>
    <w:p w14:paraId="40CE151D">
      <w:pPr>
        <w:pStyle w:val="2"/>
        <w:spacing w:line="270" w:lineRule="auto"/>
        <w:rPr>
          <w:highlight w:val="none"/>
        </w:rPr>
      </w:pPr>
    </w:p>
    <w:p w14:paraId="2C79A280">
      <w:pPr>
        <w:pStyle w:val="2"/>
        <w:spacing w:line="270" w:lineRule="auto"/>
        <w:rPr>
          <w:highlight w:val="none"/>
        </w:rPr>
      </w:pPr>
    </w:p>
    <w:p w14:paraId="3F94CBD1">
      <w:pPr>
        <w:pStyle w:val="2"/>
        <w:spacing w:line="271" w:lineRule="auto"/>
        <w:rPr>
          <w:highlight w:val="none"/>
        </w:rPr>
      </w:pPr>
    </w:p>
    <w:p w14:paraId="0C5B84E6">
      <w:pPr>
        <w:spacing w:before="71" w:line="219" w:lineRule="auto"/>
        <w:rPr>
          <w:rFonts w:ascii="宋体" w:hAnsi="宋体" w:eastAsia="宋体" w:cs="宋体"/>
          <w:sz w:val="22"/>
          <w:szCs w:val="22"/>
          <w:highlight w:val="none"/>
        </w:rPr>
      </w:pPr>
      <w:r>
        <w:rPr>
          <w:rFonts w:ascii="宋体" w:hAnsi="宋体" w:eastAsia="宋体" w:cs="宋体"/>
          <w:spacing w:val="-5"/>
          <w:sz w:val="22"/>
          <w:szCs w:val="22"/>
          <w:highlight w:val="none"/>
        </w:rPr>
        <w:t>并通知工程师。承包人有权要求发包人延长工期和(或)增加费用，并支付合理利润：</w:t>
      </w:r>
    </w:p>
    <w:p w14:paraId="7EB5190E">
      <w:pPr>
        <w:spacing w:before="226" w:line="332" w:lineRule="auto"/>
        <w:ind w:right="77" w:firstLine="529"/>
        <w:rPr>
          <w:rFonts w:ascii="宋体" w:hAnsi="宋体" w:eastAsia="宋体" w:cs="宋体"/>
          <w:sz w:val="20"/>
          <w:szCs w:val="20"/>
          <w:highlight w:val="none"/>
        </w:rPr>
      </w:pPr>
      <w:r>
        <w:rPr>
          <w:rFonts w:ascii="宋体" w:hAnsi="宋体" w:eastAsia="宋体" w:cs="宋体"/>
          <w:spacing w:val="13"/>
          <w:sz w:val="20"/>
          <w:szCs w:val="20"/>
          <w:highlight w:val="none"/>
        </w:rPr>
        <w:t>(1)发包人拖延、拒绝批准付款申请和支付证书，或未能按合同约</w:t>
      </w:r>
      <w:r>
        <w:rPr>
          <w:rFonts w:ascii="宋体" w:hAnsi="宋体" w:eastAsia="宋体" w:cs="宋体"/>
          <w:spacing w:val="12"/>
          <w:sz w:val="20"/>
          <w:szCs w:val="20"/>
          <w:highlight w:val="none"/>
        </w:rPr>
        <w:t>定支付价款，导致</w:t>
      </w:r>
      <w:r>
        <w:rPr>
          <w:rFonts w:ascii="宋体" w:hAnsi="宋体" w:eastAsia="宋体" w:cs="宋体"/>
          <w:sz w:val="20"/>
          <w:szCs w:val="20"/>
          <w:highlight w:val="none"/>
        </w:rPr>
        <w:t xml:space="preserve"> 付款延误的；</w:t>
      </w:r>
    </w:p>
    <w:p w14:paraId="3EAD542F">
      <w:pPr>
        <w:spacing w:before="252" w:line="219" w:lineRule="auto"/>
        <w:ind w:left="529"/>
        <w:rPr>
          <w:rFonts w:ascii="宋体" w:hAnsi="宋体" w:eastAsia="宋体" w:cs="宋体"/>
          <w:sz w:val="20"/>
          <w:szCs w:val="20"/>
          <w:highlight w:val="none"/>
        </w:rPr>
      </w:pPr>
      <w:r>
        <w:rPr>
          <w:rFonts w:ascii="宋体" w:hAnsi="宋体" w:eastAsia="宋体" w:cs="宋体"/>
          <w:spacing w:val="13"/>
          <w:sz w:val="20"/>
          <w:szCs w:val="20"/>
          <w:highlight w:val="none"/>
        </w:rPr>
        <w:t>(2)发包人未按约定履行合同其他义务导致承包人无法继续履行合同</w:t>
      </w:r>
      <w:r>
        <w:rPr>
          <w:rFonts w:ascii="宋体" w:hAnsi="宋体" w:eastAsia="宋体" w:cs="宋体"/>
          <w:spacing w:val="12"/>
          <w:sz w:val="20"/>
          <w:szCs w:val="20"/>
          <w:highlight w:val="none"/>
        </w:rPr>
        <w:t>的，或者发包人</w:t>
      </w:r>
    </w:p>
    <w:p w14:paraId="1D6D90EA">
      <w:pPr>
        <w:spacing w:before="242" w:line="219" w:lineRule="auto"/>
        <w:rPr>
          <w:rFonts w:ascii="宋体" w:hAnsi="宋体" w:eastAsia="宋体" w:cs="宋体"/>
          <w:sz w:val="20"/>
          <w:szCs w:val="20"/>
          <w:highlight w:val="none"/>
        </w:rPr>
      </w:pPr>
      <w:r>
        <w:rPr>
          <w:rFonts w:ascii="宋体" w:hAnsi="宋体" w:eastAsia="宋体" w:cs="宋体"/>
          <w:spacing w:val="8"/>
          <w:sz w:val="20"/>
          <w:szCs w:val="20"/>
          <w:highlight w:val="none"/>
        </w:rPr>
        <w:t>明确表示暂停或实质上已暂停履行合同的。</w:t>
      </w:r>
    </w:p>
    <w:p w14:paraId="6E6E8334">
      <w:pPr>
        <w:spacing w:before="83" w:line="219" w:lineRule="auto"/>
        <w:ind w:left="41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8.9.3</w:t>
      </w:r>
      <w:r>
        <w:rPr>
          <w:rFonts w:ascii="Times New Roman" w:hAnsi="Times New Roman" w:eastAsia="Times New Roman" w:cs="Times New Roman"/>
          <w:spacing w:val="18"/>
          <w:sz w:val="22"/>
          <w:szCs w:val="22"/>
          <w:highlight w:val="none"/>
        </w:rPr>
        <w:t xml:space="preserve">   </w:t>
      </w:r>
      <w:r>
        <w:rPr>
          <w:rFonts w:ascii="宋体" w:hAnsi="宋体" w:eastAsia="宋体" w:cs="宋体"/>
          <w:spacing w:val="-6"/>
          <w:sz w:val="22"/>
          <w:szCs w:val="22"/>
          <w:highlight w:val="none"/>
        </w:rPr>
        <w:t>除上述原因以外的暂停工作，双方应遵守第17条[不可抗力]的相关约定。</w:t>
      </w:r>
    </w:p>
    <w:p w14:paraId="45F57483">
      <w:pPr>
        <w:pStyle w:val="2"/>
        <w:spacing w:line="261" w:lineRule="auto"/>
        <w:rPr>
          <w:highlight w:val="none"/>
        </w:rPr>
      </w:pPr>
    </w:p>
    <w:p w14:paraId="14E52A02">
      <w:pPr>
        <w:spacing w:before="66" w:line="219" w:lineRule="auto"/>
        <w:ind w:left="41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8.9.4</w:t>
      </w:r>
      <w:r>
        <w:rPr>
          <w:rFonts w:ascii="Times New Roman" w:hAnsi="Times New Roman" w:eastAsia="Times New Roman" w:cs="Times New Roman"/>
          <w:spacing w:val="2"/>
          <w:sz w:val="20"/>
          <w:szCs w:val="20"/>
          <w:highlight w:val="none"/>
        </w:rPr>
        <w:t xml:space="preserve">     </w:t>
      </w:r>
      <w:r>
        <w:rPr>
          <w:rFonts w:ascii="宋体" w:hAnsi="宋体" w:eastAsia="宋体" w:cs="宋体"/>
          <w:spacing w:val="6"/>
          <w:sz w:val="20"/>
          <w:szCs w:val="20"/>
          <w:highlight w:val="none"/>
        </w:rPr>
        <w:t>暂停工作期间的工程照管</w:t>
      </w:r>
    </w:p>
    <w:p w14:paraId="5CF3D68B">
      <w:pPr>
        <w:pStyle w:val="2"/>
        <w:spacing w:line="352" w:lineRule="auto"/>
        <w:rPr>
          <w:highlight w:val="none"/>
        </w:rPr>
      </w:pPr>
    </w:p>
    <w:p w14:paraId="6901E5DA">
      <w:pPr>
        <w:spacing w:before="69" w:line="419" w:lineRule="auto"/>
        <w:ind w:right="73"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不论由于何种原因引起暂停工作的，暂停工作期间，承包人应负责对工程、工程物资及</w:t>
      </w:r>
      <w:r>
        <w:rPr>
          <w:rFonts w:ascii="宋体" w:hAnsi="宋体" w:eastAsia="宋体" w:cs="宋体"/>
          <w:spacing w:val="6"/>
          <w:sz w:val="21"/>
          <w:szCs w:val="21"/>
          <w:highlight w:val="none"/>
        </w:rPr>
        <w:t xml:space="preserve"> </w:t>
      </w:r>
      <w:r>
        <w:rPr>
          <w:rFonts w:ascii="宋体" w:hAnsi="宋体" w:eastAsia="宋体" w:cs="宋体"/>
          <w:spacing w:val="3"/>
          <w:sz w:val="21"/>
          <w:szCs w:val="21"/>
          <w:highlight w:val="none"/>
        </w:rPr>
        <w:t>文件等进行照管和保护，并提供安全保障，由此增加的费用按第8.9.1项[由发包人暂停工</w:t>
      </w:r>
      <w:r>
        <w:rPr>
          <w:rFonts w:ascii="宋体" w:hAnsi="宋体" w:eastAsia="宋体" w:cs="宋体"/>
          <w:spacing w:val="4"/>
          <w:sz w:val="21"/>
          <w:szCs w:val="21"/>
          <w:highlight w:val="none"/>
        </w:rPr>
        <w:t xml:space="preserve"> </w:t>
      </w:r>
      <w:r>
        <w:rPr>
          <w:rFonts w:ascii="宋体" w:hAnsi="宋体" w:eastAsia="宋体" w:cs="宋体"/>
          <w:spacing w:val="3"/>
          <w:sz w:val="21"/>
          <w:szCs w:val="21"/>
          <w:highlight w:val="none"/>
        </w:rPr>
        <w:t>作]和第8.9.2项[由承包人暂停工作]的约定承担。</w:t>
      </w:r>
    </w:p>
    <w:p w14:paraId="28815DB2">
      <w:pPr>
        <w:spacing w:line="219" w:lineRule="auto"/>
        <w:ind w:left="410"/>
        <w:rPr>
          <w:rFonts w:ascii="宋体" w:hAnsi="宋体" w:eastAsia="宋体" w:cs="宋体"/>
          <w:sz w:val="22"/>
          <w:szCs w:val="22"/>
          <w:highlight w:val="none"/>
        </w:rPr>
      </w:pPr>
      <w:r>
        <w:rPr>
          <w:rFonts w:ascii="宋体" w:hAnsi="宋体" w:eastAsia="宋体" w:cs="宋体"/>
          <w:spacing w:val="-6"/>
          <w:sz w:val="22"/>
          <w:szCs w:val="22"/>
          <w:highlight w:val="none"/>
        </w:rPr>
        <w:t>因承包人未能尽到照管、保护的责任造成损失</w:t>
      </w:r>
      <w:r>
        <w:rPr>
          <w:rFonts w:ascii="宋体" w:hAnsi="宋体" w:eastAsia="宋体" w:cs="宋体"/>
          <w:spacing w:val="-7"/>
          <w:sz w:val="22"/>
          <w:szCs w:val="22"/>
          <w:highlight w:val="none"/>
        </w:rPr>
        <w:t>的，使发包人的费用增加，(或)竣工日</w:t>
      </w:r>
    </w:p>
    <w:p w14:paraId="728F9AC4">
      <w:pPr>
        <w:spacing w:before="238" w:line="219" w:lineRule="auto"/>
        <w:rPr>
          <w:rFonts w:ascii="宋体" w:hAnsi="宋体" w:eastAsia="宋体" w:cs="宋体"/>
          <w:sz w:val="22"/>
          <w:szCs w:val="22"/>
          <w:highlight w:val="none"/>
        </w:rPr>
      </w:pPr>
      <w:r>
        <w:rPr>
          <w:rFonts w:ascii="宋体" w:hAnsi="宋体" w:eastAsia="宋体" w:cs="宋体"/>
          <w:spacing w:val="-10"/>
          <w:sz w:val="22"/>
          <w:szCs w:val="22"/>
          <w:highlight w:val="none"/>
        </w:rPr>
        <w:t>期延误的，由承包人按本合同约定承担责任。</w:t>
      </w:r>
    </w:p>
    <w:p w14:paraId="10B64792">
      <w:pPr>
        <w:spacing w:before="101" w:line="220" w:lineRule="auto"/>
        <w:ind w:left="41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8.9.5</w:t>
      </w:r>
      <w:r>
        <w:rPr>
          <w:rFonts w:ascii="Times New Roman" w:hAnsi="Times New Roman" w:eastAsia="Times New Roman" w:cs="Times New Roman"/>
          <w:spacing w:val="15"/>
          <w:sz w:val="22"/>
          <w:szCs w:val="22"/>
          <w:highlight w:val="none"/>
        </w:rPr>
        <w:t xml:space="preserve">   </w:t>
      </w:r>
      <w:r>
        <w:rPr>
          <w:rFonts w:ascii="宋体" w:hAnsi="宋体" w:eastAsia="宋体" w:cs="宋体"/>
          <w:spacing w:val="-6"/>
          <w:sz w:val="22"/>
          <w:szCs w:val="22"/>
          <w:highlight w:val="none"/>
        </w:rPr>
        <w:t>拖长的暂停</w:t>
      </w:r>
    </w:p>
    <w:p w14:paraId="2942A592">
      <w:pPr>
        <w:pStyle w:val="2"/>
        <w:spacing w:line="346" w:lineRule="auto"/>
        <w:rPr>
          <w:highlight w:val="none"/>
        </w:rPr>
      </w:pPr>
    </w:p>
    <w:p w14:paraId="5350850B">
      <w:pPr>
        <w:spacing w:before="68" w:line="425" w:lineRule="auto"/>
        <w:ind w:right="72" w:firstLine="410"/>
        <w:jc w:val="both"/>
        <w:rPr>
          <w:rFonts w:ascii="宋体" w:hAnsi="宋体" w:eastAsia="宋体" w:cs="宋体"/>
          <w:sz w:val="21"/>
          <w:szCs w:val="21"/>
          <w:highlight w:val="none"/>
        </w:rPr>
      </w:pPr>
      <w:r>
        <w:rPr>
          <w:rFonts w:ascii="宋体" w:hAnsi="宋体" w:eastAsia="宋体" w:cs="宋体"/>
          <w:spacing w:val="6"/>
          <w:sz w:val="21"/>
          <w:szCs w:val="21"/>
          <w:highlight w:val="none"/>
        </w:rPr>
        <w:t>根据第8.9.1项[由发包人暂停工作]暂停工作持续超过56天的，承包人可向</w:t>
      </w:r>
      <w:r>
        <w:rPr>
          <w:rFonts w:ascii="宋体" w:hAnsi="宋体" w:eastAsia="宋体" w:cs="宋体"/>
          <w:spacing w:val="5"/>
          <w:sz w:val="21"/>
          <w:szCs w:val="21"/>
          <w:highlight w:val="none"/>
        </w:rPr>
        <w:t>发包人发</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出要求复工的通知。如果发包人没有在收到书面通知后28天内准许已暂停工作的全部或部</w:t>
      </w:r>
      <w:r>
        <w:rPr>
          <w:rFonts w:ascii="宋体" w:hAnsi="宋体" w:eastAsia="宋体" w:cs="宋体"/>
          <w:spacing w:val="10"/>
          <w:sz w:val="21"/>
          <w:szCs w:val="21"/>
          <w:highlight w:val="none"/>
        </w:rPr>
        <w:t xml:space="preserve"> </w:t>
      </w:r>
      <w:r>
        <w:rPr>
          <w:rFonts w:ascii="宋体" w:hAnsi="宋体" w:eastAsia="宋体" w:cs="宋体"/>
          <w:spacing w:val="3"/>
          <w:sz w:val="21"/>
          <w:szCs w:val="21"/>
          <w:highlight w:val="none"/>
        </w:rPr>
        <w:t>分继续工作，承包人有权根据第13条[变更与调整]的约定，要求以变更方式调减受暂停影</w:t>
      </w:r>
      <w:r>
        <w:rPr>
          <w:rFonts w:ascii="宋体" w:hAnsi="宋体" w:eastAsia="宋体" w:cs="宋体"/>
          <w:spacing w:val="5"/>
          <w:sz w:val="21"/>
          <w:szCs w:val="21"/>
          <w:highlight w:val="none"/>
        </w:rPr>
        <w:t xml:space="preserve"> </w:t>
      </w:r>
      <w:r>
        <w:rPr>
          <w:rFonts w:ascii="宋体" w:hAnsi="宋体" w:eastAsia="宋体" w:cs="宋体"/>
          <w:spacing w:val="3"/>
          <w:sz w:val="21"/>
          <w:szCs w:val="21"/>
          <w:highlight w:val="none"/>
        </w:rPr>
        <w:t>响的部分工程。发包人的暂停超过56天且暂停影响到整个工程的，承包人有权根据第16.2</w:t>
      </w:r>
      <w:r>
        <w:rPr>
          <w:rFonts w:ascii="宋体" w:hAnsi="宋体" w:eastAsia="宋体" w:cs="宋体"/>
          <w:spacing w:val="5"/>
          <w:sz w:val="21"/>
          <w:szCs w:val="21"/>
          <w:highlight w:val="none"/>
        </w:rPr>
        <w:t xml:space="preserve"> </w:t>
      </w:r>
      <w:r>
        <w:rPr>
          <w:rFonts w:ascii="宋体" w:hAnsi="宋体" w:eastAsia="宋体" w:cs="宋体"/>
          <w:spacing w:val="-2"/>
          <w:sz w:val="21"/>
          <w:szCs w:val="21"/>
          <w:highlight w:val="none"/>
        </w:rPr>
        <w:t>款[由承包人解除合同]的约定，发出解除合同的通知。</w:t>
      </w:r>
    </w:p>
    <w:p w14:paraId="4E24655B">
      <w:pPr>
        <w:pStyle w:val="2"/>
        <w:spacing w:before="148" w:line="259" w:lineRule="exact"/>
        <w:rPr>
          <w:rFonts w:ascii="黑体" w:hAnsi="黑体" w:eastAsia="黑体" w:cs="黑体"/>
          <w:sz w:val="19"/>
          <w:szCs w:val="19"/>
          <w:highlight w:val="none"/>
        </w:rPr>
      </w:pPr>
      <w:r>
        <w:rPr>
          <w:spacing w:val="-2"/>
          <w:position w:val="1"/>
          <w:sz w:val="19"/>
          <w:szCs w:val="19"/>
          <w:highlight w:val="none"/>
        </w:rPr>
        <w:t xml:space="preserve">8.10   </w:t>
      </w:r>
      <w:r>
        <w:rPr>
          <w:rFonts w:ascii="黑体" w:hAnsi="黑体" w:eastAsia="黑体" w:cs="黑体"/>
          <w:spacing w:val="-2"/>
          <w:position w:val="1"/>
          <w:sz w:val="19"/>
          <w:szCs w:val="19"/>
          <w:highlight w:val="none"/>
        </w:rPr>
        <w:t>复</w:t>
      </w:r>
      <w:r>
        <w:rPr>
          <w:rFonts w:ascii="黑体" w:hAnsi="黑体" w:eastAsia="黑体" w:cs="黑体"/>
          <w:spacing w:val="-40"/>
          <w:position w:val="1"/>
          <w:sz w:val="19"/>
          <w:szCs w:val="19"/>
          <w:highlight w:val="none"/>
        </w:rPr>
        <w:t xml:space="preserve"> </w:t>
      </w:r>
      <w:r>
        <w:rPr>
          <w:rFonts w:ascii="黑体" w:hAnsi="黑体" w:eastAsia="黑体" w:cs="黑体"/>
          <w:spacing w:val="-2"/>
          <w:position w:val="1"/>
          <w:sz w:val="19"/>
          <w:szCs w:val="19"/>
          <w:highlight w:val="none"/>
        </w:rPr>
        <w:t>工</w:t>
      </w:r>
    </w:p>
    <w:p w14:paraId="064F36FA">
      <w:pPr>
        <w:spacing w:before="116" w:line="281" w:lineRule="auto"/>
        <w:ind w:right="84" w:firstLine="41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8.10.1    </w:t>
      </w:r>
      <w:r>
        <w:rPr>
          <w:rFonts w:ascii="宋体" w:hAnsi="宋体" w:eastAsia="宋体" w:cs="宋体"/>
          <w:spacing w:val="1"/>
          <w:sz w:val="21"/>
          <w:szCs w:val="21"/>
          <w:highlight w:val="none"/>
        </w:rPr>
        <w:t>收到发包人的复工通知后，承包</w:t>
      </w:r>
      <w:r>
        <w:rPr>
          <w:rFonts w:ascii="宋体" w:hAnsi="宋体" w:eastAsia="宋体" w:cs="宋体"/>
          <w:sz w:val="21"/>
          <w:szCs w:val="21"/>
          <w:highlight w:val="none"/>
        </w:rPr>
        <w:t xml:space="preserve">人应按通知时间复工；发包人通知的复工时间 </w:t>
      </w:r>
      <w:r>
        <w:rPr>
          <w:rFonts w:ascii="宋体" w:hAnsi="宋体" w:eastAsia="宋体" w:cs="宋体"/>
          <w:spacing w:val="-1"/>
          <w:sz w:val="21"/>
          <w:szCs w:val="21"/>
          <w:highlight w:val="none"/>
        </w:rPr>
        <w:t>应当给予承包人必要的准备复工时间。</w:t>
      </w:r>
    </w:p>
    <w:p w14:paraId="03AC6D3A">
      <w:pPr>
        <w:pStyle w:val="2"/>
        <w:spacing w:line="282" w:lineRule="auto"/>
        <w:rPr>
          <w:highlight w:val="none"/>
        </w:rPr>
      </w:pPr>
    </w:p>
    <w:p w14:paraId="7AB40C99">
      <w:pPr>
        <w:spacing w:before="70" w:line="300" w:lineRule="auto"/>
        <w:ind w:firstLine="41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8.10.2    </w:t>
      </w:r>
      <w:r>
        <w:rPr>
          <w:rFonts w:ascii="宋体" w:hAnsi="宋体" w:eastAsia="宋体" w:cs="宋体"/>
          <w:spacing w:val="-2"/>
          <w:sz w:val="21"/>
          <w:szCs w:val="21"/>
          <w:highlight w:val="none"/>
        </w:rPr>
        <w:t>不论由于何种原因引起暂停工作，双方均可要求对方一</w:t>
      </w:r>
      <w:r>
        <w:rPr>
          <w:rFonts w:ascii="宋体" w:hAnsi="宋体" w:eastAsia="宋体" w:cs="宋体"/>
          <w:spacing w:val="-3"/>
          <w:sz w:val="21"/>
          <w:szCs w:val="21"/>
          <w:highlight w:val="none"/>
        </w:rPr>
        <w:t>同对受暂停影响的工程、</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工程设备和工程物资进行检查，承包人应将检查结果及需要恢复、修复的内容和估算通</w:t>
      </w:r>
      <w:r>
        <w:rPr>
          <w:rFonts w:ascii="宋体" w:hAnsi="宋体" w:eastAsia="宋体" w:cs="宋体"/>
          <w:spacing w:val="-3"/>
          <w:sz w:val="21"/>
          <w:szCs w:val="21"/>
          <w:highlight w:val="none"/>
        </w:rPr>
        <w:t>知发</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包人。</w:t>
      </w:r>
    </w:p>
    <w:p w14:paraId="747D977C">
      <w:pPr>
        <w:pStyle w:val="2"/>
        <w:spacing w:line="281" w:lineRule="auto"/>
        <w:rPr>
          <w:highlight w:val="none"/>
        </w:rPr>
      </w:pPr>
    </w:p>
    <w:p w14:paraId="09B92B3A">
      <w:pPr>
        <w:spacing w:before="69" w:line="282" w:lineRule="auto"/>
        <w:ind w:right="60" w:firstLine="41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8.10.3    </w:t>
      </w:r>
      <w:r>
        <w:rPr>
          <w:rFonts w:ascii="宋体" w:hAnsi="宋体" w:eastAsia="宋体" w:cs="宋体"/>
          <w:spacing w:val="1"/>
          <w:sz w:val="21"/>
          <w:szCs w:val="21"/>
          <w:highlight w:val="none"/>
        </w:rPr>
        <w:t>除第17条[不可抗力]另有约定外，发生的恢复、修复价款及工期延误的后果由</w:t>
      </w:r>
      <w:r>
        <w:rPr>
          <w:rFonts w:ascii="宋体" w:hAnsi="宋体" w:eastAsia="宋体" w:cs="宋体"/>
          <w:spacing w:val="2"/>
          <w:sz w:val="21"/>
          <w:szCs w:val="21"/>
          <w:highlight w:val="none"/>
        </w:rPr>
        <w:t xml:space="preserve"> </w:t>
      </w:r>
      <w:r>
        <w:rPr>
          <w:rFonts w:ascii="宋体" w:hAnsi="宋体" w:eastAsia="宋体" w:cs="宋体"/>
          <w:spacing w:val="-7"/>
          <w:sz w:val="21"/>
          <w:szCs w:val="21"/>
          <w:highlight w:val="none"/>
        </w:rPr>
        <w:t>责任方承担。</w:t>
      </w:r>
    </w:p>
    <w:p w14:paraId="7BF45E18">
      <w:pPr>
        <w:spacing w:line="282" w:lineRule="auto"/>
        <w:rPr>
          <w:rFonts w:ascii="宋体" w:hAnsi="宋体" w:eastAsia="宋体" w:cs="宋体"/>
          <w:sz w:val="21"/>
          <w:szCs w:val="21"/>
          <w:highlight w:val="none"/>
        </w:rPr>
        <w:sectPr>
          <w:footerReference r:id="rId112" w:type="default"/>
          <w:pgSz w:w="11910" w:h="16840"/>
          <w:pgMar w:top="400" w:right="1734" w:bottom="1228" w:left="1779" w:header="0" w:footer="1009" w:gutter="0"/>
          <w:cols w:space="720" w:num="1"/>
        </w:sectPr>
      </w:pPr>
    </w:p>
    <w:p w14:paraId="727C667A">
      <w:pPr>
        <w:pStyle w:val="2"/>
        <w:spacing w:line="275" w:lineRule="auto"/>
        <w:rPr>
          <w:highlight w:val="none"/>
        </w:rPr>
      </w:pPr>
    </w:p>
    <w:p w14:paraId="15AD9D14">
      <w:pPr>
        <w:pStyle w:val="2"/>
        <w:spacing w:line="275" w:lineRule="auto"/>
        <w:rPr>
          <w:highlight w:val="none"/>
        </w:rPr>
      </w:pPr>
    </w:p>
    <w:p w14:paraId="76898110">
      <w:pPr>
        <w:pStyle w:val="2"/>
        <w:spacing w:line="275" w:lineRule="auto"/>
        <w:rPr>
          <w:highlight w:val="none"/>
        </w:rPr>
      </w:pPr>
    </w:p>
    <w:p w14:paraId="31FB8268">
      <w:pPr>
        <w:pStyle w:val="2"/>
        <w:spacing w:line="276" w:lineRule="auto"/>
        <w:rPr>
          <w:highlight w:val="none"/>
        </w:rPr>
      </w:pPr>
    </w:p>
    <w:p w14:paraId="0036795C">
      <w:pPr>
        <w:spacing w:before="91" w:line="221" w:lineRule="auto"/>
        <w:outlineLvl w:val="1"/>
        <w:rPr>
          <w:rFonts w:ascii="黑体" w:hAnsi="黑体" w:eastAsia="黑体" w:cs="黑体"/>
          <w:sz w:val="28"/>
          <w:szCs w:val="28"/>
          <w:highlight w:val="none"/>
        </w:rPr>
      </w:pPr>
      <w:bookmarkStart w:id="94" w:name="bookmark55"/>
      <w:bookmarkEnd w:id="94"/>
      <w:r>
        <w:rPr>
          <w:rFonts w:ascii="黑体" w:hAnsi="黑体" w:eastAsia="黑体" w:cs="黑体"/>
          <w:spacing w:val="42"/>
          <w:sz w:val="28"/>
          <w:szCs w:val="28"/>
          <w:highlight w:val="none"/>
        </w:rPr>
        <w:t>第9条竣工试验</w:t>
      </w:r>
    </w:p>
    <w:p w14:paraId="2DB29150">
      <w:pPr>
        <w:pStyle w:val="2"/>
        <w:spacing w:line="309" w:lineRule="auto"/>
        <w:rPr>
          <w:highlight w:val="none"/>
        </w:rPr>
      </w:pPr>
    </w:p>
    <w:p w14:paraId="3898D015">
      <w:pPr>
        <w:pStyle w:val="2"/>
        <w:spacing w:before="72" w:line="300" w:lineRule="exact"/>
        <w:rPr>
          <w:rFonts w:ascii="黑体" w:hAnsi="黑体" w:eastAsia="黑体" w:cs="黑体"/>
          <w:sz w:val="22"/>
          <w:szCs w:val="22"/>
          <w:highlight w:val="none"/>
        </w:rPr>
      </w:pPr>
      <w:r>
        <w:rPr>
          <w:spacing w:val="-7"/>
          <w:position w:val="1"/>
          <w:sz w:val="22"/>
          <w:szCs w:val="22"/>
          <w:highlight w:val="none"/>
        </w:rPr>
        <w:t>9.1</w:t>
      </w:r>
      <w:r>
        <w:rPr>
          <w:spacing w:val="59"/>
          <w:position w:val="1"/>
          <w:sz w:val="22"/>
          <w:szCs w:val="22"/>
          <w:highlight w:val="none"/>
        </w:rPr>
        <w:t xml:space="preserve"> </w:t>
      </w:r>
      <w:r>
        <w:rPr>
          <w:rFonts w:ascii="黑体" w:hAnsi="黑体" w:eastAsia="黑体" w:cs="黑体"/>
          <w:spacing w:val="-7"/>
          <w:position w:val="1"/>
          <w:sz w:val="22"/>
          <w:szCs w:val="22"/>
          <w:highlight w:val="none"/>
        </w:rPr>
        <w:t>竣工试验的义务</w:t>
      </w:r>
    </w:p>
    <w:p w14:paraId="5E82B72C">
      <w:pPr>
        <w:spacing w:before="111" w:line="281" w:lineRule="auto"/>
        <w:ind w:right="31" w:firstLine="42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9.1.1</w:t>
      </w:r>
      <w:r>
        <w:rPr>
          <w:rFonts w:ascii="Times New Roman" w:hAnsi="Times New Roman" w:eastAsia="Times New Roman" w:cs="Times New Roman"/>
          <w:spacing w:val="20"/>
          <w:sz w:val="21"/>
          <w:szCs w:val="21"/>
          <w:highlight w:val="none"/>
        </w:rPr>
        <w:t xml:space="preserve">   </w:t>
      </w:r>
      <w:r>
        <w:rPr>
          <w:rFonts w:ascii="宋体" w:hAnsi="宋体" w:eastAsia="宋体" w:cs="宋体"/>
          <w:spacing w:val="3"/>
          <w:sz w:val="21"/>
          <w:szCs w:val="21"/>
          <w:highlight w:val="none"/>
        </w:rPr>
        <w:t>承包人完成工程或区段工程进行竣工试验所需的作业，并根据第5.4款[竣工文</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件]和第5.5款[操作和维修手册]提交文件后，进行竣工试验。</w:t>
      </w:r>
    </w:p>
    <w:p w14:paraId="6E1EE2BF">
      <w:pPr>
        <w:pStyle w:val="2"/>
        <w:spacing w:line="270" w:lineRule="auto"/>
        <w:rPr>
          <w:highlight w:val="none"/>
        </w:rPr>
      </w:pPr>
    </w:p>
    <w:p w14:paraId="3057011B">
      <w:pPr>
        <w:spacing w:before="69" w:line="331" w:lineRule="auto"/>
        <w:ind w:right="34" w:firstLine="420"/>
        <w:rPr>
          <w:rFonts w:ascii="宋体" w:hAnsi="宋体" w:eastAsia="宋体" w:cs="宋体"/>
          <w:sz w:val="21"/>
          <w:szCs w:val="21"/>
          <w:highlight w:val="none"/>
        </w:rPr>
      </w:pPr>
      <w:r>
        <w:rPr>
          <w:rFonts w:ascii="宋体" w:hAnsi="宋体" w:eastAsia="宋体" w:cs="宋体"/>
          <w:spacing w:val="6"/>
          <w:sz w:val="21"/>
          <w:szCs w:val="21"/>
          <w:highlight w:val="none"/>
        </w:rPr>
        <w:t>9.1.2承包人应在进行竣工试验之前，至少提前42天向工程师提交详</w:t>
      </w:r>
      <w:r>
        <w:rPr>
          <w:rFonts w:ascii="宋体" w:hAnsi="宋体" w:eastAsia="宋体" w:cs="宋体"/>
          <w:spacing w:val="5"/>
          <w:sz w:val="21"/>
          <w:szCs w:val="21"/>
          <w:highlight w:val="none"/>
        </w:rPr>
        <w:t>细的竣工试验计</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划，该计划应载明竣工试验的内容、地点、拟开展时间和需要发包人提供的资源条</w:t>
      </w:r>
      <w:r>
        <w:rPr>
          <w:rFonts w:ascii="宋体" w:hAnsi="宋体" w:eastAsia="宋体" w:cs="宋体"/>
          <w:spacing w:val="-3"/>
          <w:sz w:val="21"/>
          <w:szCs w:val="21"/>
          <w:highlight w:val="none"/>
        </w:rPr>
        <w:t>件。工程</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师应在收到计划后的14天内进行审查，并就该计划不符合合同的部分提出意见，承包人应</w:t>
      </w:r>
      <w:r>
        <w:rPr>
          <w:rFonts w:ascii="宋体" w:hAnsi="宋体" w:eastAsia="宋体" w:cs="宋体"/>
          <w:spacing w:val="7"/>
          <w:sz w:val="21"/>
          <w:szCs w:val="21"/>
          <w:highlight w:val="none"/>
        </w:rPr>
        <w:t xml:space="preserve"> </w:t>
      </w:r>
      <w:r>
        <w:rPr>
          <w:rFonts w:ascii="宋体" w:hAnsi="宋体" w:eastAsia="宋体" w:cs="宋体"/>
          <w:spacing w:val="3"/>
          <w:sz w:val="21"/>
          <w:szCs w:val="21"/>
          <w:highlight w:val="none"/>
        </w:rPr>
        <w:t>在收到意见后的14天内自费对计划进行修正。工程师逾期未提出意见的，视为竣工试验计</w:t>
      </w:r>
      <w:r>
        <w:rPr>
          <w:rFonts w:ascii="宋体" w:hAnsi="宋体" w:eastAsia="宋体" w:cs="宋体"/>
          <w:spacing w:val="8"/>
          <w:sz w:val="21"/>
          <w:szCs w:val="21"/>
          <w:highlight w:val="none"/>
        </w:rPr>
        <w:t xml:space="preserve"> </w:t>
      </w:r>
      <w:r>
        <w:rPr>
          <w:rFonts w:ascii="宋体" w:hAnsi="宋体" w:eastAsia="宋体" w:cs="宋体"/>
          <w:spacing w:val="3"/>
          <w:sz w:val="21"/>
          <w:szCs w:val="21"/>
          <w:highlight w:val="none"/>
        </w:rPr>
        <w:t>划已得到确认。除提交竣工试验计划外，承包人还应提前21天将可以开始进行各项竣工试</w:t>
      </w:r>
      <w:r>
        <w:rPr>
          <w:rFonts w:ascii="宋体" w:hAnsi="宋体" w:eastAsia="宋体" w:cs="宋体"/>
          <w:spacing w:val="7"/>
          <w:sz w:val="21"/>
          <w:szCs w:val="21"/>
          <w:highlight w:val="none"/>
        </w:rPr>
        <w:t xml:space="preserve"> </w:t>
      </w:r>
      <w:r>
        <w:rPr>
          <w:rFonts w:ascii="宋体" w:hAnsi="宋体" w:eastAsia="宋体" w:cs="宋体"/>
          <w:spacing w:val="3"/>
          <w:sz w:val="21"/>
          <w:szCs w:val="21"/>
          <w:highlight w:val="none"/>
        </w:rPr>
        <w:t>验的日期通知工程师，并在该日期后的14天内或工程师指示的日</w:t>
      </w:r>
      <w:r>
        <w:rPr>
          <w:rFonts w:ascii="宋体" w:hAnsi="宋体" w:eastAsia="宋体" w:cs="宋体"/>
          <w:spacing w:val="2"/>
          <w:sz w:val="21"/>
          <w:szCs w:val="21"/>
          <w:highlight w:val="none"/>
        </w:rPr>
        <w:t>期进行竣工试验。</w:t>
      </w:r>
    </w:p>
    <w:p w14:paraId="3CFF18A8">
      <w:pPr>
        <w:pStyle w:val="2"/>
        <w:spacing w:line="260" w:lineRule="auto"/>
        <w:rPr>
          <w:highlight w:val="none"/>
        </w:rPr>
      </w:pPr>
    </w:p>
    <w:p w14:paraId="0C54D017">
      <w:pPr>
        <w:spacing w:before="68" w:line="319" w:lineRule="auto"/>
        <w:ind w:right="31" w:firstLine="420"/>
        <w:rPr>
          <w:rFonts w:ascii="宋体" w:hAnsi="宋体" w:eastAsia="宋体" w:cs="宋体"/>
          <w:sz w:val="21"/>
          <w:szCs w:val="21"/>
          <w:highlight w:val="none"/>
        </w:rPr>
      </w:pPr>
      <w:r>
        <w:rPr>
          <w:rFonts w:ascii="Times New Roman" w:hAnsi="Times New Roman" w:eastAsia="Times New Roman" w:cs="Times New Roman"/>
          <w:spacing w:val="7"/>
          <w:sz w:val="21"/>
          <w:szCs w:val="21"/>
          <w:highlight w:val="none"/>
        </w:rPr>
        <w:t xml:space="preserve">9.1.3   </w:t>
      </w:r>
      <w:r>
        <w:rPr>
          <w:rFonts w:ascii="宋体" w:hAnsi="宋体" w:eastAsia="宋体" w:cs="宋体"/>
          <w:spacing w:val="7"/>
          <w:sz w:val="21"/>
          <w:szCs w:val="21"/>
          <w:highlight w:val="none"/>
        </w:rPr>
        <w:t>承包人应根据经确认的竣工试验计</w:t>
      </w:r>
      <w:r>
        <w:rPr>
          <w:rFonts w:ascii="宋体" w:hAnsi="宋体" w:eastAsia="宋体" w:cs="宋体"/>
          <w:spacing w:val="6"/>
          <w:sz w:val="21"/>
          <w:szCs w:val="21"/>
          <w:highlight w:val="none"/>
        </w:rPr>
        <w:t>划以及第6.5款[由承包人试验和检验]进行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竣工试验。除《发包人要求》中另有说明外，竣工试验应按以下顺序分阶段进行，即只有在</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工程或区段工程已通过上一阶段试验的情况下，才可进行下一阶段试验：</w:t>
      </w:r>
    </w:p>
    <w:p w14:paraId="01319AD0">
      <w:pPr>
        <w:pStyle w:val="2"/>
        <w:spacing w:line="354" w:lineRule="auto"/>
        <w:rPr>
          <w:highlight w:val="none"/>
        </w:rPr>
      </w:pPr>
    </w:p>
    <w:p w14:paraId="1AE40DA5">
      <w:pPr>
        <w:spacing w:before="65" w:line="331" w:lineRule="auto"/>
        <w:ind w:right="36" w:firstLine="539"/>
        <w:rPr>
          <w:rFonts w:ascii="宋体" w:hAnsi="宋体" w:eastAsia="宋体" w:cs="宋体"/>
          <w:sz w:val="20"/>
          <w:szCs w:val="20"/>
          <w:highlight w:val="none"/>
        </w:rPr>
      </w:pPr>
      <w:r>
        <w:rPr>
          <w:rFonts w:ascii="宋体" w:hAnsi="宋体" w:eastAsia="宋体" w:cs="宋体"/>
          <w:spacing w:val="13"/>
          <w:sz w:val="20"/>
          <w:szCs w:val="20"/>
          <w:highlight w:val="none"/>
        </w:rPr>
        <w:t>(1)承包人进行启动前试验，包括适当的检</w:t>
      </w:r>
      <w:r>
        <w:rPr>
          <w:rFonts w:ascii="宋体" w:hAnsi="宋体" w:eastAsia="宋体" w:cs="宋体"/>
          <w:spacing w:val="12"/>
          <w:sz w:val="20"/>
          <w:szCs w:val="20"/>
          <w:highlight w:val="none"/>
        </w:rPr>
        <w:t>查和功能性试验，以证明工程或区段工程</w:t>
      </w:r>
      <w:r>
        <w:rPr>
          <w:rFonts w:ascii="宋体" w:hAnsi="宋体" w:eastAsia="宋体" w:cs="宋体"/>
          <w:sz w:val="20"/>
          <w:szCs w:val="20"/>
          <w:highlight w:val="none"/>
        </w:rPr>
        <w:t xml:space="preserve"> </w:t>
      </w:r>
      <w:r>
        <w:rPr>
          <w:rFonts w:ascii="宋体" w:hAnsi="宋体" w:eastAsia="宋体" w:cs="宋体"/>
          <w:spacing w:val="7"/>
          <w:sz w:val="20"/>
          <w:szCs w:val="20"/>
          <w:highlight w:val="none"/>
        </w:rPr>
        <w:t>的每一部分均能够安全地承受下一阶段试验；</w:t>
      </w:r>
    </w:p>
    <w:p w14:paraId="68BEF22D">
      <w:pPr>
        <w:spacing w:before="233" w:line="307" w:lineRule="auto"/>
        <w:ind w:right="30" w:firstLine="539"/>
        <w:rPr>
          <w:rFonts w:ascii="宋体" w:hAnsi="宋体" w:eastAsia="宋体" w:cs="宋体"/>
          <w:sz w:val="22"/>
          <w:szCs w:val="22"/>
          <w:highlight w:val="none"/>
        </w:rPr>
      </w:pPr>
      <w:r>
        <w:rPr>
          <w:rFonts w:ascii="宋体" w:hAnsi="宋体" w:eastAsia="宋体" w:cs="宋体"/>
          <w:spacing w:val="-7"/>
          <w:sz w:val="22"/>
          <w:szCs w:val="22"/>
          <w:highlight w:val="none"/>
        </w:rPr>
        <w:t>(2)承包人进行启动试验，以证明工程或区段工程能够在所有可利用的操作条件下安</w:t>
      </w:r>
      <w:r>
        <w:rPr>
          <w:rFonts w:ascii="宋体" w:hAnsi="宋体" w:eastAsia="宋体" w:cs="宋体"/>
          <w:spacing w:val="17"/>
          <w:sz w:val="22"/>
          <w:szCs w:val="22"/>
          <w:highlight w:val="none"/>
        </w:rPr>
        <w:t xml:space="preserve"> </w:t>
      </w:r>
      <w:r>
        <w:rPr>
          <w:rFonts w:ascii="宋体" w:hAnsi="宋体" w:eastAsia="宋体" w:cs="宋体"/>
          <w:spacing w:val="-12"/>
          <w:sz w:val="22"/>
          <w:szCs w:val="22"/>
          <w:highlight w:val="none"/>
        </w:rPr>
        <w:t>全运行，并按照专用合同条件和《发包人要求》中的规定操作；</w:t>
      </w:r>
    </w:p>
    <w:p w14:paraId="7A3885E0">
      <w:pPr>
        <w:spacing w:before="239" w:line="354" w:lineRule="auto"/>
        <w:ind w:right="31" w:firstLine="539"/>
        <w:rPr>
          <w:rFonts w:ascii="宋体" w:hAnsi="宋体" w:eastAsia="宋体" w:cs="宋体"/>
          <w:sz w:val="21"/>
          <w:szCs w:val="21"/>
          <w:highlight w:val="none"/>
        </w:rPr>
      </w:pPr>
      <w:r>
        <w:rPr>
          <w:rFonts w:ascii="宋体" w:hAnsi="宋体" w:eastAsia="宋体" w:cs="宋体"/>
          <w:spacing w:val="3"/>
          <w:sz w:val="21"/>
          <w:szCs w:val="21"/>
          <w:highlight w:val="none"/>
        </w:rPr>
        <w:t>(3)承包人进行试运行试验。当工程或区段工程能稳定安全运行时，承包人应通知工</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程师，可以进行其他竣工试验，包括各种性</w:t>
      </w:r>
      <w:r>
        <w:rPr>
          <w:rFonts w:ascii="宋体" w:hAnsi="宋体" w:eastAsia="宋体" w:cs="宋体"/>
          <w:spacing w:val="-3"/>
          <w:sz w:val="21"/>
          <w:szCs w:val="21"/>
          <w:highlight w:val="none"/>
        </w:rPr>
        <w:t>能测试，以证明工程或区段工程符合《发包人要</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求》中列明的性能保证指标。</w:t>
      </w:r>
    </w:p>
    <w:p w14:paraId="6EBBF9EF">
      <w:pPr>
        <w:spacing w:before="202" w:line="368" w:lineRule="auto"/>
        <w:ind w:right="30" w:firstLine="420"/>
        <w:rPr>
          <w:rFonts w:ascii="宋体" w:hAnsi="宋体" w:eastAsia="宋体" w:cs="宋体"/>
          <w:sz w:val="22"/>
          <w:szCs w:val="22"/>
          <w:highlight w:val="none"/>
        </w:rPr>
      </w:pPr>
      <w:r>
        <w:rPr>
          <w:rFonts w:ascii="宋体" w:hAnsi="宋体" w:eastAsia="宋体" w:cs="宋体"/>
          <w:spacing w:val="-6"/>
          <w:sz w:val="22"/>
          <w:szCs w:val="22"/>
          <w:highlight w:val="none"/>
        </w:rPr>
        <w:t>进行上述试验不应构成第10条[验收和工程接收]规定的接收，但试验所产生</w:t>
      </w:r>
      <w:r>
        <w:rPr>
          <w:rFonts w:ascii="宋体" w:hAnsi="宋体" w:eastAsia="宋体" w:cs="宋体"/>
          <w:spacing w:val="-7"/>
          <w:sz w:val="22"/>
          <w:szCs w:val="22"/>
          <w:highlight w:val="none"/>
        </w:rPr>
        <w:t>的任何产</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品或其他收益均应归属于发包人。</w:t>
      </w:r>
    </w:p>
    <w:p w14:paraId="3237726A">
      <w:pPr>
        <w:spacing w:before="1" w:line="347" w:lineRule="auto"/>
        <w:ind w:right="32"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9.1.4完成上述各阶段竣工试验后，承包人应向工程</w:t>
      </w:r>
      <w:r>
        <w:rPr>
          <w:rFonts w:ascii="宋体" w:hAnsi="宋体" w:eastAsia="宋体" w:cs="宋体"/>
          <w:sz w:val="21"/>
          <w:szCs w:val="21"/>
          <w:highlight w:val="none"/>
        </w:rPr>
        <w:t xml:space="preserve">师提交试验结果报告，试验结果须 </w:t>
      </w:r>
      <w:r>
        <w:rPr>
          <w:rFonts w:ascii="宋体" w:hAnsi="宋体" w:eastAsia="宋体" w:cs="宋体"/>
          <w:spacing w:val="2"/>
          <w:sz w:val="21"/>
          <w:szCs w:val="21"/>
          <w:highlight w:val="none"/>
        </w:rPr>
        <w:t>符合约定的标准、规范和数据。工程师应在收到报告后14天内予以回复，逾期未回复的，</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视为认可竣工试验结果。但在考虑工程或区段工程是否通过竣工试验时，应适当考虑发</w:t>
      </w:r>
      <w:r>
        <w:rPr>
          <w:rFonts w:ascii="宋体" w:hAnsi="宋体" w:eastAsia="宋体" w:cs="宋体"/>
          <w:spacing w:val="-3"/>
          <w:sz w:val="21"/>
          <w:szCs w:val="21"/>
          <w:highlight w:val="none"/>
        </w:rPr>
        <w:t>包人</w:t>
      </w:r>
      <w:r>
        <w:rPr>
          <w:rFonts w:ascii="宋体" w:hAnsi="宋体" w:eastAsia="宋体" w:cs="宋体"/>
          <w:sz w:val="21"/>
          <w:szCs w:val="21"/>
          <w:highlight w:val="none"/>
        </w:rPr>
        <w:t xml:space="preserve"> 对工程或其任何部分的使用，对工程或区段工程的性能、特性和试验结</w:t>
      </w:r>
      <w:r>
        <w:rPr>
          <w:rFonts w:ascii="宋体" w:hAnsi="宋体" w:eastAsia="宋体" w:cs="宋体"/>
          <w:spacing w:val="-1"/>
          <w:sz w:val="21"/>
          <w:szCs w:val="21"/>
          <w:highlight w:val="none"/>
        </w:rPr>
        <w:t>果产生的影响。</w:t>
      </w:r>
    </w:p>
    <w:p w14:paraId="0C1B1A66">
      <w:pPr>
        <w:pStyle w:val="2"/>
        <w:spacing w:before="271" w:line="300" w:lineRule="exact"/>
        <w:rPr>
          <w:rFonts w:ascii="黑体" w:hAnsi="黑体" w:eastAsia="黑体" w:cs="黑体"/>
          <w:sz w:val="22"/>
          <w:szCs w:val="22"/>
          <w:highlight w:val="none"/>
        </w:rPr>
      </w:pPr>
      <w:r>
        <w:rPr>
          <w:spacing w:val="-5"/>
          <w:position w:val="1"/>
          <w:sz w:val="22"/>
          <w:szCs w:val="22"/>
          <w:highlight w:val="none"/>
        </w:rPr>
        <w:t xml:space="preserve">9.2  </w:t>
      </w:r>
      <w:r>
        <w:rPr>
          <w:rFonts w:ascii="黑体" w:hAnsi="黑体" w:eastAsia="黑体" w:cs="黑体"/>
          <w:spacing w:val="-5"/>
          <w:position w:val="1"/>
          <w:sz w:val="22"/>
          <w:szCs w:val="22"/>
          <w:highlight w:val="none"/>
        </w:rPr>
        <w:t>延误的试验</w:t>
      </w:r>
    </w:p>
    <w:p w14:paraId="2D5722E0">
      <w:pPr>
        <w:spacing w:before="120" w:line="363" w:lineRule="auto"/>
        <w:ind w:right="26" w:firstLine="420"/>
        <w:rPr>
          <w:rFonts w:ascii="宋体" w:hAnsi="宋体" w:eastAsia="宋体" w:cs="宋体"/>
          <w:sz w:val="21"/>
          <w:szCs w:val="21"/>
          <w:highlight w:val="none"/>
        </w:rPr>
      </w:pPr>
      <w:r>
        <w:rPr>
          <w:rFonts w:ascii="Times New Roman" w:hAnsi="Times New Roman" w:eastAsia="Times New Roman" w:cs="Times New Roman"/>
          <w:spacing w:val="6"/>
          <w:sz w:val="21"/>
          <w:szCs w:val="21"/>
          <w:highlight w:val="none"/>
        </w:rPr>
        <w:t>9.2.1</w:t>
      </w:r>
      <w:r>
        <w:rPr>
          <w:rFonts w:ascii="Times New Roman" w:hAnsi="Times New Roman" w:eastAsia="Times New Roman" w:cs="Times New Roman"/>
          <w:spacing w:val="17"/>
          <w:sz w:val="21"/>
          <w:szCs w:val="21"/>
          <w:highlight w:val="none"/>
        </w:rPr>
        <w:t xml:space="preserve">   </w:t>
      </w:r>
      <w:r>
        <w:rPr>
          <w:rFonts w:ascii="宋体" w:hAnsi="宋体" w:eastAsia="宋体" w:cs="宋体"/>
          <w:spacing w:val="6"/>
          <w:sz w:val="21"/>
          <w:szCs w:val="21"/>
          <w:highlight w:val="none"/>
        </w:rPr>
        <w:t>如果承包人已根据第9.1款[竣工试验的义务]就可以开始进行各项竣</w:t>
      </w:r>
      <w:r>
        <w:rPr>
          <w:rFonts w:ascii="宋体" w:hAnsi="宋体" w:eastAsia="宋体" w:cs="宋体"/>
          <w:spacing w:val="5"/>
          <w:sz w:val="21"/>
          <w:szCs w:val="21"/>
          <w:highlight w:val="none"/>
        </w:rPr>
        <w:t>工试验的</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日期通知工程师，但该等试验因发包人原因被延误14天以上的，发包人应承担</w:t>
      </w:r>
      <w:r>
        <w:rPr>
          <w:rFonts w:ascii="宋体" w:hAnsi="宋体" w:eastAsia="宋体" w:cs="宋体"/>
          <w:spacing w:val="2"/>
          <w:sz w:val="21"/>
          <w:szCs w:val="21"/>
          <w:highlight w:val="none"/>
        </w:rPr>
        <w:t>由此增加的</w:t>
      </w:r>
    </w:p>
    <w:p w14:paraId="2BC3CFEB">
      <w:pPr>
        <w:spacing w:line="363" w:lineRule="auto"/>
        <w:rPr>
          <w:rFonts w:ascii="宋体" w:hAnsi="宋体" w:eastAsia="宋体" w:cs="宋体"/>
          <w:sz w:val="21"/>
          <w:szCs w:val="21"/>
          <w:highlight w:val="none"/>
        </w:rPr>
        <w:sectPr>
          <w:footerReference r:id="rId113" w:type="default"/>
          <w:pgSz w:w="11910" w:h="16840"/>
          <w:pgMar w:top="400" w:right="1786" w:bottom="1228" w:left="1769" w:header="0" w:footer="1009" w:gutter="0"/>
          <w:cols w:space="720" w:num="1"/>
        </w:sectPr>
      </w:pPr>
    </w:p>
    <w:p w14:paraId="6A727E4C">
      <w:pPr>
        <w:pStyle w:val="2"/>
        <w:spacing w:line="246" w:lineRule="auto"/>
        <w:rPr>
          <w:highlight w:val="none"/>
        </w:rPr>
      </w:pPr>
    </w:p>
    <w:p w14:paraId="2F666EF5">
      <w:pPr>
        <w:pStyle w:val="2"/>
        <w:spacing w:line="247" w:lineRule="auto"/>
        <w:rPr>
          <w:highlight w:val="none"/>
        </w:rPr>
      </w:pPr>
    </w:p>
    <w:p w14:paraId="7102E53D">
      <w:pPr>
        <w:pStyle w:val="2"/>
        <w:spacing w:line="247" w:lineRule="auto"/>
        <w:rPr>
          <w:highlight w:val="none"/>
        </w:rPr>
      </w:pPr>
    </w:p>
    <w:p w14:paraId="5F2797BF">
      <w:pPr>
        <w:pStyle w:val="2"/>
        <w:spacing w:line="247" w:lineRule="auto"/>
        <w:rPr>
          <w:highlight w:val="none"/>
        </w:rPr>
      </w:pPr>
    </w:p>
    <w:p w14:paraId="06E8FC68">
      <w:pPr>
        <w:spacing w:before="65" w:line="364" w:lineRule="auto"/>
        <w:ind w:right="98"/>
        <w:rPr>
          <w:rFonts w:ascii="宋体" w:hAnsi="宋体" w:eastAsia="宋体" w:cs="宋体"/>
          <w:sz w:val="20"/>
          <w:szCs w:val="20"/>
          <w:highlight w:val="none"/>
        </w:rPr>
      </w:pPr>
      <w:r>
        <w:rPr>
          <w:rFonts w:ascii="宋体" w:hAnsi="宋体" w:eastAsia="宋体" w:cs="宋体"/>
          <w:spacing w:val="8"/>
          <w:sz w:val="20"/>
          <w:szCs w:val="20"/>
          <w:highlight w:val="none"/>
        </w:rPr>
        <w:t>费用和工期延误，并支付承包人合理利润。同时，承包人应在合理可行的情况下尽快进行竣</w:t>
      </w:r>
      <w:r>
        <w:rPr>
          <w:rFonts w:ascii="宋体" w:hAnsi="宋体" w:eastAsia="宋体" w:cs="宋体"/>
          <w:sz w:val="20"/>
          <w:szCs w:val="20"/>
          <w:highlight w:val="none"/>
        </w:rPr>
        <w:t xml:space="preserve"> 工试验。</w:t>
      </w:r>
    </w:p>
    <w:p w14:paraId="3B7A0EA2">
      <w:pPr>
        <w:spacing w:before="172" w:line="313" w:lineRule="auto"/>
        <w:ind w:right="80"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9.2.2    </w:t>
      </w:r>
      <w:r>
        <w:rPr>
          <w:rFonts w:ascii="宋体" w:hAnsi="宋体" w:eastAsia="宋体" w:cs="宋体"/>
          <w:spacing w:val="-2"/>
          <w:sz w:val="21"/>
          <w:szCs w:val="21"/>
          <w:highlight w:val="none"/>
        </w:rPr>
        <w:t>承包人无正当理由延误进行竣工试验的，工程师可向其发出通知，要求其在收到</w:t>
      </w:r>
      <w:r>
        <w:rPr>
          <w:rFonts w:ascii="宋体" w:hAnsi="宋体" w:eastAsia="宋体" w:cs="宋体"/>
          <w:spacing w:val="11"/>
          <w:sz w:val="21"/>
          <w:szCs w:val="21"/>
          <w:highlight w:val="none"/>
        </w:rPr>
        <w:t xml:space="preserve"> </w:t>
      </w:r>
      <w:r>
        <w:rPr>
          <w:rFonts w:ascii="宋体" w:hAnsi="宋体" w:eastAsia="宋体" w:cs="宋体"/>
          <w:spacing w:val="4"/>
          <w:sz w:val="21"/>
          <w:szCs w:val="21"/>
          <w:highlight w:val="none"/>
        </w:rPr>
        <w:t>通知后的21天内进行该项竣工试验。承包人应在该21</w:t>
      </w:r>
      <w:r>
        <w:rPr>
          <w:rFonts w:ascii="宋体" w:hAnsi="宋体" w:eastAsia="宋体" w:cs="宋体"/>
          <w:spacing w:val="3"/>
          <w:sz w:val="21"/>
          <w:szCs w:val="21"/>
          <w:highlight w:val="none"/>
        </w:rPr>
        <w:t>天的期限内确定进行试验的日期，并</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至少提前7天通知工程师。</w:t>
      </w:r>
    </w:p>
    <w:p w14:paraId="12162FC6">
      <w:pPr>
        <w:pStyle w:val="2"/>
        <w:spacing w:line="248" w:lineRule="auto"/>
        <w:rPr>
          <w:highlight w:val="none"/>
        </w:rPr>
      </w:pPr>
    </w:p>
    <w:p w14:paraId="502725E2">
      <w:pPr>
        <w:spacing w:before="72" w:line="277" w:lineRule="auto"/>
        <w:ind w:firstLine="42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9.2.3</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8"/>
          <w:sz w:val="22"/>
          <w:szCs w:val="22"/>
          <w:highlight w:val="none"/>
        </w:rPr>
        <w:t>如果承包人未在该期限内进行竣工</w:t>
      </w:r>
      <w:r>
        <w:rPr>
          <w:rFonts w:ascii="宋体" w:hAnsi="宋体" w:eastAsia="宋体" w:cs="宋体"/>
          <w:spacing w:val="-9"/>
          <w:sz w:val="22"/>
          <w:szCs w:val="22"/>
          <w:highlight w:val="none"/>
        </w:rPr>
        <w:t>试验，则发包人有权自行组织该项竣工试验，</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由此产生的合理费用由承包人承担。发包人应在试验完成后28天</w:t>
      </w:r>
      <w:r>
        <w:rPr>
          <w:rFonts w:ascii="宋体" w:hAnsi="宋体" w:eastAsia="宋体" w:cs="宋体"/>
          <w:spacing w:val="-10"/>
          <w:sz w:val="22"/>
          <w:szCs w:val="22"/>
          <w:highlight w:val="none"/>
        </w:rPr>
        <w:t>内向承包人发送试验结果。</w:t>
      </w:r>
    </w:p>
    <w:p w14:paraId="18CEB0D3">
      <w:pPr>
        <w:pStyle w:val="2"/>
        <w:spacing w:line="304" w:lineRule="auto"/>
        <w:rPr>
          <w:highlight w:val="none"/>
        </w:rPr>
      </w:pPr>
    </w:p>
    <w:p w14:paraId="7BA30E95">
      <w:pPr>
        <w:pStyle w:val="2"/>
        <w:spacing w:before="71" w:line="300" w:lineRule="exact"/>
        <w:rPr>
          <w:rFonts w:ascii="黑体" w:hAnsi="黑体" w:eastAsia="黑体" w:cs="黑体"/>
          <w:sz w:val="22"/>
          <w:szCs w:val="22"/>
          <w:highlight w:val="none"/>
        </w:rPr>
      </w:pPr>
      <w:r>
        <w:rPr>
          <w:spacing w:val="-5"/>
          <w:position w:val="1"/>
          <w:sz w:val="22"/>
          <w:szCs w:val="22"/>
          <w:highlight w:val="none"/>
        </w:rPr>
        <w:t xml:space="preserve">9.3  </w:t>
      </w:r>
      <w:r>
        <w:rPr>
          <w:rFonts w:ascii="黑体" w:hAnsi="黑体" w:eastAsia="黑体" w:cs="黑体"/>
          <w:spacing w:val="-5"/>
          <w:position w:val="1"/>
          <w:sz w:val="22"/>
          <w:szCs w:val="22"/>
          <w:highlight w:val="none"/>
        </w:rPr>
        <w:t>重新试验</w:t>
      </w:r>
    </w:p>
    <w:p w14:paraId="23EC5489">
      <w:pPr>
        <w:spacing w:before="221" w:line="453" w:lineRule="auto"/>
        <w:ind w:right="102" w:firstLine="420"/>
        <w:jc w:val="both"/>
        <w:rPr>
          <w:rFonts w:ascii="宋体" w:hAnsi="宋体" w:eastAsia="宋体" w:cs="宋体"/>
          <w:sz w:val="20"/>
          <w:szCs w:val="20"/>
          <w:highlight w:val="none"/>
        </w:rPr>
      </w:pPr>
      <w:r>
        <w:rPr>
          <w:rFonts w:ascii="宋体" w:hAnsi="宋体" w:eastAsia="宋体" w:cs="宋体"/>
          <w:spacing w:val="10"/>
          <w:sz w:val="20"/>
          <w:szCs w:val="20"/>
          <w:highlight w:val="none"/>
        </w:rPr>
        <w:t>如果工程或区段工程未能通过竣工试验，则承包人应根据第6.6款[缺陷和修补</w:t>
      </w:r>
      <w:r>
        <w:rPr>
          <w:rFonts w:ascii="宋体" w:hAnsi="宋体" w:eastAsia="宋体" w:cs="宋体"/>
          <w:spacing w:val="9"/>
          <w:sz w:val="20"/>
          <w:szCs w:val="20"/>
          <w:highlight w:val="none"/>
        </w:rPr>
        <w:t>]修补缺</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陷。发包人或承包人可要求按相同的条件，重新进行未通过的试验以及相关工程或</w:t>
      </w:r>
      <w:r>
        <w:rPr>
          <w:rFonts w:ascii="宋体" w:hAnsi="宋体" w:eastAsia="宋体" w:cs="宋体"/>
          <w:spacing w:val="7"/>
          <w:sz w:val="20"/>
          <w:szCs w:val="20"/>
          <w:highlight w:val="none"/>
        </w:rPr>
        <w:t>区段工程</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的竣工试验。该等重新进行的试验仍应适用本条对于竣工试验的规定。</w:t>
      </w:r>
    </w:p>
    <w:p w14:paraId="33EC2C9C">
      <w:pPr>
        <w:spacing w:before="116" w:line="221" w:lineRule="auto"/>
        <w:rPr>
          <w:rFonts w:ascii="黑体" w:hAnsi="黑体" w:eastAsia="黑体" w:cs="黑体"/>
          <w:sz w:val="22"/>
          <w:szCs w:val="22"/>
          <w:highlight w:val="none"/>
        </w:rPr>
      </w:pPr>
      <w:r>
        <w:rPr>
          <w:rFonts w:ascii="黑体" w:hAnsi="黑体" w:eastAsia="黑体" w:cs="黑体"/>
          <w:spacing w:val="-1"/>
          <w:sz w:val="22"/>
          <w:szCs w:val="22"/>
          <w:highlight w:val="none"/>
        </w:rPr>
        <w:t>9.4未能通过竣工试验</w:t>
      </w:r>
    </w:p>
    <w:p w14:paraId="0A7B0A47">
      <w:pPr>
        <w:spacing w:before="147" w:line="290" w:lineRule="auto"/>
        <w:ind w:right="100" w:firstLine="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9.4.1    </w:t>
      </w:r>
      <w:r>
        <w:rPr>
          <w:rFonts w:ascii="宋体" w:hAnsi="宋体" w:eastAsia="宋体" w:cs="宋体"/>
          <w:spacing w:val="7"/>
          <w:sz w:val="20"/>
          <w:szCs w:val="20"/>
          <w:highlight w:val="none"/>
        </w:rPr>
        <w:t>因发包人原因导致竣工试验未能通过的，承包人进行竣工</w:t>
      </w:r>
      <w:r>
        <w:rPr>
          <w:rFonts w:ascii="宋体" w:hAnsi="宋体" w:eastAsia="宋体" w:cs="宋体"/>
          <w:spacing w:val="6"/>
          <w:sz w:val="20"/>
          <w:szCs w:val="20"/>
          <w:highlight w:val="none"/>
        </w:rPr>
        <w:t>试验的费用由发包人承</w:t>
      </w:r>
      <w:r>
        <w:rPr>
          <w:rFonts w:ascii="宋体" w:hAnsi="宋体" w:eastAsia="宋体" w:cs="宋体"/>
          <w:sz w:val="20"/>
          <w:szCs w:val="20"/>
          <w:highlight w:val="none"/>
        </w:rPr>
        <w:t xml:space="preserve"> </w:t>
      </w:r>
      <w:r>
        <w:rPr>
          <w:rFonts w:ascii="宋体" w:hAnsi="宋体" w:eastAsia="宋体" w:cs="宋体"/>
          <w:spacing w:val="7"/>
          <w:sz w:val="20"/>
          <w:szCs w:val="20"/>
          <w:highlight w:val="none"/>
        </w:rPr>
        <w:t>担，竣工日期相应顺延。</w:t>
      </w:r>
    </w:p>
    <w:p w14:paraId="1CF81F90">
      <w:pPr>
        <w:pStyle w:val="2"/>
        <w:spacing w:line="282" w:lineRule="auto"/>
        <w:rPr>
          <w:highlight w:val="none"/>
        </w:rPr>
      </w:pPr>
    </w:p>
    <w:p w14:paraId="2811020B">
      <w:pPr>
        <w:spacing w:before="69" w:line="273" w:lineRule="auto"/>
        <w:ind w:right="4" w:firstLine="42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 xml:space="preserve">9.4.2    </w:t>
      </w:r>
      <w:r>
        <w:rPr>
          <w:rFonts w:ascii="宋体" w:hAnsi="宋体" w:eastAsia="宋体" w:cs="宋体"/>
          <w:spacing w:val="3"/>
          <w:sz w:val="21"/>
          <w:szCs w:val="21"/>
          <w:highlight w:val="none"/>
        </w:rPr>
        <w:t>如果工程或区段工程未能通过根据第9.</w:t>
      </w:r>
      <w:r>
        <w:rPr>
          <w:rFonts w:ascii="宋体" w:hAnsi="宋体" w:eastAsia="宋体" w:cs="宋体"/>
          <w:spacing w:val="2"/>
          <w:sz w:val="21"/>
          <w:szCs w:val="21"/>
          <w:highlight w:val="none"/>
        </w:rPr>
        <w:t>3款[重新试验]重新进行的竣工试验的，</w:t>
      </w:r>
      <w:r>
        <w:rPr>
          <w:rFonts w:ascii="宋体" w:hAnsi="宋体" w:eastAsia="宋体" w:cs="宋体"/>
          <w:sz w:val="21"/>
          <w:szCs w:val="21"/>
          <w:highlight w:val="none"/>
        </w:rPr>
        <w:t xml:space="preserve"> </w:t>
      </w:r>
      <w:r>
        <w:rPr>
          <w:rFonts w:ascii="宋体" w:hAnsi="宋体" w:eastAsia="宋体" w:cs="宋体"/>
          <w:spacing w:val="-16"/>
          <w:sz w:val="21"/>
          <w:szCs w:val="21"/>
          <w:highlight w:val="none"/>
        </w:rPr>
        <w:t>则：</w:t>
      </w:r>
    </w:p>
    <w:p w14:paraId="16C05D87">
      <w:pPr>
        <w:pStyle w:val="2"/>
        <w:spacing w:line="358" w:lineRule="auto"/>
        <w:rPr>
          <w:highlight w:val="none"/>
        </w:rPr>
      </w:pPr>
    </w:p>
    <w:p w14:paraId="1A27F008">
      <w:pPr>
        <w:spacing w:before="68" w:line="332" w:lineRule="auto"/>
        <w:ind w:right="97" w:firstLine="530"/>
        <w:rPr>
          <w:rFonts w:ascii="宋体" w:hAnsi="宋体" w:eastAsia="宋体" w:cs="宋体"/>
          <w:sz w:val="20"/>
          <w:szCs w:val="20"/>
          <w:highlight w:val="none"/>
        </w:rPr>
      </w:pPr>
      <w:r>
        <w:rPr>
          <w:rFonts w:ascii="宋体" w:hAnsi="宋体" w:eastAsia="宋体" w:cs="宋体"/>
          <w:spacing w:val="6"/>
          <w:sz w:val="21"/>
          <w:szCs w:val="21"/>
          <w:highlight w:val="none"/>
        </w:rPr>
        <w:t>(1)发包人有权要求承包人根据第6.6款[缺陷和修补]继续进行</w:t>
      </w:r>
      <w:r>
        <w:rPr>
          <w:rFonts w:ascii="宋体" w:hAnsi="宋体" w:eastAsia="宋体" w:cs="宋体"/>
          <w:spacing w:val="5"/>
          <w:sz w:val="21"/>
          <w:szCs w:val="21"/>
          <w:highlight w:val="none"/>
        </w:rPr>
        <w:t>修补和改正，并根据</w:t>
      </w:r>
      <w:r>
        <w:rPr>
          <w:rFonts w:ascii="宋体" w:hAnsi="宋体" w:eastAsia="宋体" w:cs="宋体"/>
          <w:sz w:val="21"/>
          <w:szCs w:val="21"/>
          <w:highlight w:val="none"/>
        </w:rPr>
        <w:t xml:space="preserve"> </w:t>
      </w:r>
      <w:r>
        <w:rPr>
          <w:rFonts w:ascii="宋体" w:hAnsi="宋体" w:eastAsia="宋体" w:cs="宋体"/>
          <w:spacing w:val="13"/>
          <w:sz w:val="20"/>
          <w:szCs w:val="20"/>
          <w:highlight w:val="none"/>
        </w:rPr>
        <w:t>第9.3款[重新试验]再次进行竣工试验；</w:t>
      </w:r>
    </w:p>
    <w:p w14:paraId="705C9493">
      <w:pPr>
        <w:spacing w:before="212" w:line="375" w:lineRule="auto"/>
        <w:ind w:right="93" w:firstLine="530"/>
        <w:rPr>
          <w:rFonts w:ascii="宋体" w:hAnsi="宋体" w:eastAsia="宋体" w:cs="宋体"/>
          <w:sz w:val="20"/>
          <w:szCs w:val="20"/>
          <w:highlight w:val="none"/>
        </w:rPr>
      </w:pPr>
      <w:r>
        <w:rPr>
          <w:rFonts w:ascii="宋体" w:hAnsi="宋体" w:eastAsia="宋体" w:cs="宋体"/>
          <w:spacing w:val="13"/>
          <w:sz w:val="20"/>
          <w:szCs w:val="20"/>
          <w:highlight w:val="none"/>
        </w:rPr>
        <w:t>(2)未能通过竣工试验，对工程或区段工程的操作或使用未产生实质性</w:t>
      </w:r>
      <w:r>
        <w:rPr>
          <w:rFonts w:ascii="宋体" w:hAnsi="宋体" w:eastAsia="宋体" w:cs="宋体"/>
          <w:spacing w:val="12"/>
          <w:sz w:val="20"/>
          <w:szCs w:val="20"/>
          <w:highlight w:val="none"/>
        </w:rPr>
        <w:t>影响的，发包</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人有权要求承包人自费修复，承担因此增加的费用和误期损害赔偿责任，并赔偿发包人的相</w:t>
      </w:r>
      <w:r>
        <w:rPr>
          <w:rFonts w:ascii="宋体" w:hAnsi="宋体" w:eastAsia="宋体" w:cs="宋体"/>
          <w:spacing w:val="5"/>
          <w:sz w:val="20"/>
          <w:szCs w:val="20"/>
          <w:highlight w:val="none"/>
        </w:rPr>
        <w:t xml:space="preserve"> </w:t>
      </w:r>
      <w:r>
        <w:rPr>
          <w:rFonts w:ascii="宋体" w:hAnsi="宋体" w:eastAsia="宋体" w:cs="宋体"/>
          <w:spacing w:val="9"/>
          <w:sz w:val="20"/>
          <w:szCs w:val="20"/>
          <w:highlight w:val="none"/>
        </w:rPr>
        <w:t>应损失；无法修复时，发包人有权扣减该部分的相应付款，同时视为通过竣工验收；</w:t>
      </w:r>
    </w:p>
    <w:p w14:paraId="0998C94A">
      <w:pPr>
        <w:spacing w:before="214" w:line="357" w:lineRule="auto"/>
        <w:ind w:right="24" w:firstLine="530"/>
        <w:rPr>
          <w:rFonts w:ascii="宋体" w:hAnsi="宋体" w:eastAsia="宋体" w:cs="宋体"/>
          <w:sz w:val="21"/>
          <w:szCs w:val="21"/>
          <w:highlight w:val="none"/>
        </w:rPr>
      </w:pPr>
      <w:r>
        <w:rPr>
          <w:rFonts w:ascii="宋体" w:hAnsi="宋体" w:eastAsia="宋体" w:cs="宋体"/>
          <w:sz w:val="21"/>
          <w:szCs w:val="21"/>
          <w:highlight w:val="none"/>
        </w:rPr>
        <w:t>(3)未能通过竣工试验，使工程或区段工程的任何主要部分丧</w:t>
      </w:r>
      <w:r>
        <w:rPr>
          <w:rFonts w:ascii="宋体" w:hAnsi="宋体" w:eastAsia="宋体" w:cs="宋体"/>
          <w:spacing w:val="-1"/>
          <w:sz w:val="21"/>
          <w:szCs w:val="21"/>
          <w:highlight w:val="none"/>
        </w:rPr>
        <w:t>失了生产、使用功能时，</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发包人有权指令承包人更换相关部分，承包人应承担因此增加的费用和误期损害赔偿责任，</w:t>
      </w:r>
      <w:r>
        <w:rPr>
          <w:rFonts w:ascii="宋体" w:hAnsi="宋体" w:eastAsia="宋体" w:cs="宋体"/>
          <w:spacing w:val="14"/>
          <w:sz w:val="21"/>
          <w:szCs w:val="21"/>
          <w:highlight w:val="none"/>
        </w:rPr>
        <w:t xml:space="preserve"> </w:t>
      </w:r>
      <w:r>
        <w:rPr>
          <w:rFonts w:ascii="宋体" w:hAnsi="宋体" w:eastAsia="宋体" w:cs="宋体"/>
          <w:spacing w:val="-5"/>
          <w:sz w:val="21"/>
          <w:szCs w:val="21"/>
          <w:highlight w:val="none"/>
        </w:rPr>
        <w:t>并赔偿发包人的相应损失；</w:t>
      </w:r>
    </w:p>
    <w:p w14:paraId="766B4528">
      <w:pPr>
        <w:spacing w:before="222" w:line="371" w:lineRule="auto"/>
        <w:ind w:right="97" w:firstLine="530"/>
        <w:rPr>
          <w:rFonts w:ascii="宋体" w:hAnsi="宋体" w:eastAsia="宋体" w:cs="宋体"/>
          <w:sz w:val="21"/>
          <w:szCs w:val="21"/>
          <w:highlight w:val="none"/>
        </w:rPr>
      </w:pPr>
      <w:r>
        <w:rPr>
          <w:rFonts w:ascii="宋体" w:hAnsi="宋体" w:eastAsia="宋体" w:cs="宋体"/>
          <w:spacing w:val="3"/>
          <w:sz w:val="21"/>
          <w:szCs w:val="21"/>
          <w:highlight w:val="none"/>
        </w:rPr>
        <w:t>(4)未能通过竣工试验，使整个工程或区段工程丧失了生产、使用功能时，发包人可</w:t>
      </w:r>
      <w:r>
        <w:rPr>
          <w:rFonts w:ascii="宋体" w:hAnsi="宋体" w:eastAsia="宋体" w:cs="宋体"/>
          <w:spacing w:val="9"/>
          <w:sz w:val="21"/>
          <w:szCs w:val="21"/>
          <w:highlight w:val="none"/>
        </w:rPr>
        <w:t xml:space="preserve"> </w:t>
      </w:r>
      <w:r>
        <w:rPr>
          <w:rFonts w:ascii="宋体" w:hAnsi="宋体" w:eastAsia="宋体" w:cs="宋体"/>
          <w:spacing w:val="-2"/>
          <w:sz w:val="21"/>
          <w:szCs w:val="21"/>
          <w:highlight w:val="none"/>
        </w:rPr>
        <w:t>拒收工程或区段工程，或指令承包人重新设计、重置相关部分，承包人应承担因此增加的费</w:t>
      </w:r>
      <w:r>
        <w:rPr>
          <w:rFonts w:ascii="宋体" w:hAnsi="宋体" w:eastAsia="宋体" w:cs="宋体"/>
          <w:spacing w:val="1"/>
          <w:sz w:val="21"/>
          <w:szCs w:val="21"/>
          <w:highlight w:val="none"/>
        </w:rPr>
        <w:t xml:space="preserve"> 用和误期损害赔偿责任，并赔偿发包人的相应损失。</w:t>
      </w:r>
      <w:r>
        <w:rPr>
          <w:rFonts w:ascii="宋体" w:hAnsi="宋体" w:eastAsia="宋体" w:cs="宋体"/>
          <w:sz w:val="21"/>
          <w:szCs w:val="21"/>
          <w:highlight w:val="none"/>
        </w:rPr>
        <w:t xml:space="preserve">同时发包人有权根据第16.1款[由发包 </w:t>
      </w:r>
      <w:r>
        <w:rPr>
          <w:rFonts w:ascii="宋体" w:hAnsi="宋体" w:eastAsia="宋体" w:cs="宋体"/>
          <w:spacing w:val="-3"/>
          <w:sz w:val="21"/>
          <w:szCs w:val="21"/>
          <w:highlight w:val="none"/>
        </w:rPr>
        <w:t>人解除合同]的约定解除合同。</w:t>
      </w:r>
    </w:p>
    <w:p w14:paraId="5453E409">
      <w:pPr>
        <w:spacing w:line="371" w:lineRule="auto"/>
        <w:rPr>
          <w:rFonts w:ascii="宋体" w:hAnsi="宋体" w:eastAsia="宋体" w:cs="宋体"/>
          <w:sz w:val="21"/>
          <w:szCs w:val="21"/>
          <w:highlight w:val="none"/>
        </w:rPr>
        <w:sectPr>
          <w:footerReference r:id="rId114" w:type="default"/>
          <w:pgSz w:w="11910" w:h="16840"/>
          <w:pgMar w:top="400" w:right="1719" w:bottom="1228" w:left="1769" w:header="0" w:footer="1009" w:gutter="0"/>
          <w:cols w:space="720" w:num="1"/>
        </w:sectPr>
      </w:pPr>
    </w:p>
    <w:p w14:paraId="667E984E">
      <w:pPr>
        <w:pStyle w:val="2"/>
        <w:spacing w:line="269" w:lineRule="auto"/>
        <w:rPr>
          <w:highlight w:val="none"/>
        </w:rPr>
      </w:pPr>
    </w:p>
    <w:p w14:paraId="3D8C4940">
      <w:pPr>
        <w:pStyle w:val="2"/>
        <w:spacing w:line="269" w:lineRule="auto"/>
        <w:rPr>
          <w:highlight w:val="none"/>
        </w:rPr>
      </w:pPr>
    </w:p>
    <w:p w14:paraId="05C05151">
      <w:pPr>
        <w:pStyle w:val="2"/>
        <w:spacing w:line="269" w:lineRule="auto"/>
        <w:rPr>
          <w:highlight w:val="none"/>
        </w:rPr>
      </w:pPr>
    </w:p>
    <w:p w14:paraId="0D2405AF">
      <w:pPr>
        <w:pStyle w:val="2"/>
        <w:spacing w:line="269" w:lineRule="auto"/>
        <w:rPr>
          <w:highlight w:val="none"/>
        </w:rPr>
      </w:pPr>
    </w:p>
    <w:p w14:paraId="4B7F9CE1">
      <w:pPr>
        <w:spacing w:before="97" w:line="222" w:lineRule="auto"/>
        <w:rPr>
          <w:rFonts w:ascii="黑体" w:hAnsi="黑体" w:eastAsia="黑体" w:cs="黑体"/>
          <w:sz w:val="30"/>
          <w:szCs w:val="30"/>
          <w:highlight w:val="none"/>
        </w:rPr>
      </w:pPr>
      <w:r>
        <w:rPr>
          <w:rFonts w:ascii="黑体" w:hAnsi="黑体" w:eastAsia="黑体" w:cs="黑体"/>
          <w:spacing w:val="12"/>
          <w:sz w:val="30"/>
          <w:szCs w:val="30"/>
          <w:highlight w:val="none"/>
        </w:rPr>
        <w:t>第10条验收和工程接收</w:t>
      </w:r>
    </w:p>
    <w:p w14:paraId="107512BA">
      <w:pPr>
        <w:pStyle w:val="2"/>
        <w:spacing w:line="303" w:lineRule="auto"/>
        <w:rPr>
          <w:highlight w:val="none"/>
        </w:rPr>
      </w:pPr>
    </w:p>
    <w:p w14:paraId="56AAE28E">
      <w:pPr>
        <w:pStyle w:val="2"/>
        <w:spacing w:before="71" w:line="300" w:lineRule="exact"/>
        <w:rPr>
          <w:rFonts w:ascii="黑体" w:hAnsi="黑体" w:eastAsia="黑体" w:cs="黑体"/>
          <w:sz w:val="22"/>
          <w:szCs w:val="22"/>
          <w:highlight w:val="none"/>
        </w:rPr>
      </w:pPr>
      <w:r>
        <w:rPr>
          <w:spacing w:val="-4"/>
          <w:position w:val="1"/>
          <w:sz w:val="22"/>
          <w:szCs w:val="22"/>
          <w:highlight w:val="none"/>
        </w:rPr>
        <w:t>10.1</w:t>
      </w:r>
      <w:r>
        <w:rPr>
          <w:spacing w:val="36"/>
          <w:w w:val="101"/>
          <w:position w:val="1"/>
          <w:sz w:val="22"/>
          <w:szCs w:val="22"/>
          <w:highlight w:val="none"/>
        </w:rPr>
        <w:t xml:space="preserve"> </w:t>
      </w:r>
      <w:r>
        <w:rPr>
          <w:rFonts w:ascii="黑体" w:hAnsi="黑体" w:eastAsia="黑体" w:cs="黑体"/>
          <w:spacing w:val="-4"/>
          <w:position w:val="1"/>
          <w:sz w:val="22"/>
          <w:szCs w:val="22"/>
          <w:highlight w:val="none"/>
        </w:rPr>
        <w:t>竣工验收</w:t>
      </w:r>
    </w:p>
    <w:p w14:paraId="4425335F">
      <w:pPr>
        <w:spacing w:before="91" w:line="219" w:lineRule="auto"/>
        <w:ind w:left="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10.1.1</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6"/>
          <w:sz w:val="22"/>
          <w:szCs w:val="22"/>
          <w:highlight w:val="none"/>
        </w:rPr>
        <w:t>竣工验收条件</w:t>
      </w:r>
    </w:p>
    <w:p w14:paraId="7D2D49EB">
      <w:pPr>
        <w:pStyle w:val="2"/>
        <w:spacing w:line="345" w:lineRule="auto"/>
        <w:rPr>
          <w:highlight w:val="none"/>
        </w:rPr>
      </w:pPr>
    </w:p>
    <w:p w14:paraId="1E5850BD">
      <w:pPr>
        <w:spacing w:before="71" w:line="219" w:lineRule="auto"/>
        <w:ind w:left="430"/>
        <w:rPr>
          <w:rFonts w:ascii="宋体" w:hAnsi="宋体" w:eastAsia="宋体" w:cs="宋体"/>
          <w:sz w:val="22"/>
          <w:szCs w:val="22"/>
          <w:highlight w:val="none"/>
        </w:rPr>
      </w:pPr>
      <w:r>
        <w:rPr>
          <w:rFonts w:ascii="宋体" w:hAnsi="宋体" w:eastAsia="宋体" w:cs="宋体"/>
          <w:spacing w:val="-12"/>
          <w:sz w:val="22"/>
          <w:szCs w:val="22"/>
          <w:highlight w:val="none"/>
        </w:rPr>
        <w:t>工程具备以下条件的，承包人可以申请竣工验收：</w:t>
      </w:r>
    </w:p>
    <w:p w14:paraId="43BB3858">
      <w:pPr>
        <w:spacing w:before="211" w:line="344" w:lineRule="auto"/>
        <w:ind w:right="45" w:firstLine="520"/>
        <w:rPr>
          <w:rFonts w:ascii="宋体" w:hAnsi="宋体" w:eastAsia="宋体" w:cs="宋体"/>
          <w:sz w:val="22"/>
          <w:szCs w:val="22"/>
          <w:highlight w:val="none"/>
        </w:rPr>
      </w:pPr>
      <w:r>
        <w:rPr>
          <w:rFonts w:ascii="宋体" w:hAnsi="宋体" w:eastAsia="宋体" w:cs="宋体"/>
          <w:sz w:val="22"/>
          <w:szCs w:val="22"/>
          <w:highlight w:val="none"/>
        </w:rPr>
        <w:t>(1)除因第13条[变更与调整]导致的工程量删减和第14.5.3项[扫尾工作清单]</w:t>
      </w:r>
      <w:r>
        <w:rPr>
          <w:rFonts w:ascii="宋体" w:hAnsi="宋体" w:eastAsia="宋体" w:cs="宋体"/>
          <w:spacing w:val="-1"/>
          <w:sz w:val="22"/>
          <w:szCs w:val="22"/>
          <w:highlight w:val="none"/>
        </w:rPr>
        <w:t>列入</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缺陷责任期内完成的扫尾工程和缺陷修补工作外，合同范围内的全部单位/区段工程以及有</w:t>
      </w:r>
      <w:r>
        <w:rPr>
          <w:rFonts w:ascii="宋体" w:hAnsi="宋体" w:eastAsia="宋体" w:cs="宋体"/>
          <w:spacing w:val="9"/>
          <w:sz w:val="22"/>
          <w:szCs w:val="22"/>
          <w:highlight w:val="none"/>
        </w:rPr>
        <w:t xml:space="preserve"> </w:t>
      </w:r>
      <w:r>
        <w:rPr>
          <w:rFonts w:ascii="宋体" w:hAnsi="宋体" w:eastAsia="宋体" w:cs="宋体"/>
          <w:spacing w:val="-11"/>
          <w:sz w:val="22"/>
          <w:szCs w:val="22"/>
          <w:highlight w:val="none"/>
        </w:rPr>
        <w:t>关工作，包括合同要求的试验和竣工试验均已完成，并符合合同要求；</w:t>
      </w:r>
    </w:p>
    <w:p w14:paraId="1429E731">
      <w:pPr>
        <w:spacing w:before="218" w:line="219" w:lineRule="auto"/>
        <w:ind w:left="520"/>
        <w:rPr>
          <w:rFonts w:ascii="宋体" w:hAnsi="宋体" w:eastAsia="宋体" w:cs="宋体"/>
          <w:sz w:val="21"/>
          <w:szCs w:val="21"/>
          <w:highlight w:val="none"/>
        </w:rPr>
      </w:pPr>
      <w:r>
        <w:rPr>
          <w:rFonts w:ascii="宋体" w:hAnsi="宋体" w:eastAsia="宋体" w:cs="宋体"/>
          <w:spacing w:val="2"/>
          <w:sz w:val="21"/>
          <w:szCs w:val="21"/>
          <w:highlight w:val="none"/>
        </w:rPr>
        <w:t>(2)已按合同约定编制了扫尾工作和缺陷修补工作清单以及相应实施计划；</w:t>
      </w:r>
    </w:p>
    <w:p w14:paraId="40C39B7A">
      <w:pPr>
        <w:spacing w:before="231" w:line="219" w:lineRule="auto"/>
        <w:ind w:left="520"/>
        <w:rPr>
          <w:rFonts w:ascii="宋体" w:hAnsi="宋体" w:eastAsia="宋体" w:cs="宋体"/>
          <w:sz w:val="22"/>
          <w:szCs w:val="22"/>
          <w:highlight w:val="none"/>
        </w:rPr>
      </w:pPr>
      <w:r>
        <w:rPr>
          <w:rFonts w:ascii="宋体" w:hAnsi="宋体" w:eastAsia="宋体" w:cs="宋体"/>
          <w:spacing w:val="-6"/>
          <w:sz w:val="22"/>
          <w:szCs w:val="22"/>
          <w:highlight w:val="none"/>
        </w:rPr>
        <w:t>(3)已按合同约定的内容和份数备齐竣工</w:t>
      </w:r>
      <w:r>
        <w:rPr>
          <w:rFonts w:ascii="宋体" w:hAnsi="宋体" w:eastAsia="宋体" w:cs="宋体"/>
          <w:spacing w:val="-7"/>
          <w:sz w:val="22"/>
          <w:szCs w:val="22"/>
          <w:highlight w:val="none"/>
        </w:rPr>
        <w:t>资料；</w:t>
      </w:r>
    </w:p>
    <w:p w14:paraId="55829AF0">
      <w:pPr>
        <w:spacing w:before="220" w:line="219" w:lineRule="auto"/>
        <w:ind w:left="520"/>
        <w:rPr>
          <w:rFonts w:ascii="宋体" w:hAnsi="宋体" w:eastAsia="宋体" w:cs="宋体"/>
          <w:sz w:val="22"/>
          <w:szCs w:val="22"/>
          <w:highlight w:val="none"/>
        </w:rPr>
      </w:pPr>
      <w:r>
        <w:rPr>
          <w:rFonts w:ascii="宋体" w:hAnsi="宋体" w:eastAsia="宋体" w:cs="宋体"/>
          <w:spacing w:val="-6"/>
          <w:sz w:val="22"/>
          <w:szCs w:val="22"/>
          <w:highlight w:val="none"/>
        </w:rPr>
        <w:t>(4)合同约定要求在竣工验收前应完成的其他工作。</w:t>
      </w:r>
    </w:p>
    <w:p w14:paraId="70288A41">
      <w:pPr>
        <w:spacing w:before="99"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10.1.2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7"/>
          <w:sz w:val="22"/>
          <w:szCs w:val="22"/>
          <w:highlight w:val="none"/>
        </w:rPr>
        <w:t>竣工验收程序</w:t>
      </w:r>
    </w:p>
    <w:p w14:paraId="5EEF80F7">
      <w:pPr>
        <w:pStyle w:val="2"/>
        <w:spacing w:line="355" w:lineRule="auto"/>
        <w:rPr>
          <w:highlight w:val="none"/>
        </w:rPr>
      </w:pPr>
    </w:p>
    <w:p w14:paraId="25105758">
      <w:pPr>
        <w:spacing w:before="71" w:line="219"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除专用合同条件另有约定外，承包人申请竣工验收的，应当按照以下程序进行：</w:t>
      </w:r>
    </w:p>
    <w:p w14:paraId="77710D50">
      <w:pPr>
        <w:spacing w:before="207" w:line="377" w:lineRule="auto"/>
        <w:ind w:right="70" w:firstLine="520"/>
        <w:rPr>
          <w:rFonts w:ascii="宋体" w:hAnsi="宋体" w:eastAsia="宋体" w:cs="宋体"/>
          <w:sz w:val="21"/>
          <w:szCs w:val="21"/>
          <w:highlight w:val="none"/>
        </w:rPr>
      </w:pPr>
      <w:r>
        <w:rPr>
          <w:rFonts w:ascii="宋体" w:hAnsi="宋体" w:eastAsia="宋体" w:cs="宋体"/>
          <w:spacing w:val="3"/>
          <w:sz w:val="21"/>
          <w:szCs w:val="21"/>
          <w:highlight w:val="none"/>
        </w:rPr>
        <w:t>(1)承包人向工程师报送竣工验收申请报告，工程师应在收到竣工验收申</w:t>
      </w:r>
      <w:r>
        <w:rPr>
          <w:rFonts w:ascii="宋体" w:hAnsi="宋体" w:eastAsia="宋体" w:cs="宋体"/>
          <w:spacing w:val="2"/>
          <w:sz w:val="21"/>
          <w:szCs w:val="21"/>
          <w:highlight w:val="none"/>
        </w:rPr>
        <w:t>请报告后14</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天内完成审查并报送发包人。工程师审查后认为尚不具备竣工验收条件的，应在收到竣工验</w:t>
      </w:r>
      <w:r>
        <w:rPr>
          <w:rFonts w:ascii="宋体" w:hAnsi="宋体" w:eastAsia="宋体" w:cs="宋体"/>
          <w:spacing w:val="18"/>
          <w:sz w:val="21"/>
          <w:szCs w:val="21"/>
          <w:highlight w:val="none"/>
        </w:rPr>
        <w:t xml:space="preserve"> </w:t>
      </w:r>
      <w:r>
        <w:rPr>
          <w:rFonts w:ascii="宋体" w:hAnsi="宋体" w:eastAsia="宋体" w:cs="宋体"/>
          <w:spacing w:val="3"/>
          <w:sz w:val="21"/>
          <w:szCs w:val="21"/>
          <w:highlight w:val="none"/>
        </w:rPr>
        <w:t>收申请报告后的14天内通知承包人，指出在颁发接收证书前承包人还需进</w:t>
      </w:r>
      <w:r>
        <w:rPr>
          <w:rFonts w:ascii="宋体" w:hAnsi="宋体" w:eastAsia="宋体" w:cs="宋体"/>
          <w:spacing w:val="2"/>
          <w:sz w:val="21"/>
          <w:szCs w:val="21"/>
          <w:highlight w:val="none"/>
        </w:rPr>
        <w:t>行的工作内容。</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承包人完成工程师通知的全部工作内容后，应再次</w:t>
      </w:r>
      <w:r>
        <w:rPr>
          <w:rFonts w:ascii="宋体" w:hAnsi="宋体" w:eastAsia="宋体" w:cs="宋体"/>
          <w:spacing w:val="-3"/>
          <w:sz w:val="21"/>
          <w:szCs w:val="21"/>
          <w:highlight w:val="none"/>
        </w:rPr>
        <w:t>提交竣工验收申请报告，直至工程师同意</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为止。</w:t>
      </w:r>
    </w:p>
    <w:p w14:paraId="4716062D">
      <w:pPr>
        <w:spacing w:before="268" w:line="381" w:lineRule="auto"/>
        <w:ind w:right="44" w:firstLine="520"/>
        <w:rPr>
          <w:rFonts w:ascii="宋体" w:hAnsi="宋体" w:eastAsia="宋体" w:cs="宋体"/>
          <w:sz w:val="21"/>
          <w:szCs w:val="21"/>
          <w:highlight w:val="none"/>
        </w:rPr>
      </w:pPr>
      <w:r>
        <w:rPr>
          <w:rFonts w:ascii="宋体" w:hAnsi="宋体" w:eastAsia="宋体" w:cs="宋体"/>
          <w:spacing w:val="3"/>
          <w:sz w:val="21"/>
          <w:szCs w:val="21"/>
          <w:highlight w:val="none"/>
        </w:rPr>
        <w:t>(2)工程师同意承包人提交的竣工验收申请报告的，或工程师收到竣工验收申请报告</w:t>
      </w:r>
      <w:r>
        <w:rPr>
          <w:rFonts w:ascii="宋体" w:hAnsi="宋体" w:eastAsia="宋体" w:cs="宋体"/>
          <w:spacing w:val="4"/>
          <w:sz w:val="21"/>
          <w:szCs w:val="21"/>
          <w:highlight w:val="none"/>
        </w:rPr>
        <w:t xml:space="preserve"> 后14天内不予答复的，视为发包人收到并</w:t>
      </w:r>
      <w:r>
        <w:rPr>
          <w:rFonts w:ascii="宋体" w:hAnsi="宋体" w:eastAsia="宋体" w:cs="宋体"/>
          <w:spacing w:val="3"/>
          <w:sz w:val="21"/>
          <w:szCs w:val="21"/>
          <w:highlight w:val="none"/>
        </w:rPr>
        <w:t>同意承包人的竣工验收申请，发包人应在收到该</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竣工验收申请报告后的28天内进行竣工验收。工程经竣工</w:t>
      </w:r>
      <w:r>
        <w:rPr>
          <w:rFonts w:ascii="宋体" w:hAnsi="宋体" w:eastAsia="宋体" w:cs="宋体"/>
          <w:spacing w:val="2"/>
          <w:sz w:val="21"/>
          <w:szCs w:val="21"/>
          <w:highlight w:val="none"/>
        </w:rPr>
        <w:t>验收合格的，以竣工验收合格之</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日为实际竣工日期，并在工程接收证书中载明；完成竣工验收但发包人不予签发工程接收证</w:t>
      </w:r>
      <w:r>
        <w:rPr>
          <w:rFonts w:ascii="宋体" w:hAnsi="宋体" w:eastAsia="宋体" w:cs="宋体"/>
          <w:spacing w:val="18"/>
          <w:sz w:val="21"/>
          <w:szCs w:val="21"/>
          <w:highlight w:val="none"/>
        </w:rPr>
        <w:t xml:space="preserve"> </w:t>
      </w:r>
      <w:r>
        <w:rPr>
          <w:rFonts w:ascii="宋体" w:hAnsi="宋体" w:eastAsia="宋体" w:cs="宋体"/>
          <w:spacing w:val="-2"/>
          <w:sz w:val="21"/>
          <w:szCs w:val="21"/>
          <w:highlight w:val="none"/>
        </w:rPr>
        <w:t>书的，视为竣工验收合格，以完成竣工验收之日为实际竣工日期。</w:t>
      </w:r>
    </w:p>
    <w:p w14:paraId="79A154D5">
      <w:pPr>
        <w:spacing w:before="234" w:line="364" w:lineRule="auto"/>
        <w:ind w:firstLine="520"/>
        <w:rPr>
          <w:rFonts w:ascii="宋体" w:hAnsi="宋体" w:eastAsia="宋体" w:cs="宋体"/>
          <w:sz w:val="21"/>
          <w:szCs w:val="21"/>
          <w:highlight w:val="none"/>
        </w:rPr>
      </w:pPr>
      <w:r>
        <w:rPr>
          <w:rFonts w:ascii="宋体" w:hAnsi="宋体" w:eastAsia="宋体" w:cs="宋体"/>
          <w:spacing w:val="3"/>
          <w:sz w:val="21"/>
          <w:szCs w:val="21"/>
          <w:highlight w:val="none"/>
        </w:rPr>
        <w:t>(3)竣工验收不合格的，工程师应按照验收意见发出指示，要求承包人对不合</w:t>
      </w:r>
      <w:r>
        <w:rPr>
          <w:rFonts w:ascii="宋体" w:hAnsi="宋体" w:eastAsia="宋体" w:cs="宋体"/>
          <w:spacing w:val="2"/>
          <w:sz w:val="21"/>
          <w:szCs w:val="21"/>
          <w:highlight w:val="none"/>
        </w:rPr>
        <w:t>格工程</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返工、修复或采取其他补救措施，由此增加的费用和(或)延误的工期由承包人承担。承包</w:t>
      </w:r>
      <w:r>
        <w:rPr>
          <w:rFonts w:ascii="宋体" w:hAnsi="宋体" w:eastAsia="宋体" w:cs="宋体"/>
          <w:spacing w:val="18"/>
          <w:sz w:val="21"/>
          <w:szCs w:val="21"/>
          <w:highlight w:val="none"/>
        </w:rPr>
        <w:t xml:space="preserve"> </w:t>
      </w:r>
      <w:r>
        <w:rPr>
          <w:rFonts w:ascii="宋体" w:hAnsi="宋体" w:eastAsia="宋体" w:cs="宋体"/>
          <w:spacing w:val="-1"/>
          <w:sz w:val="21"/>
          <w:szCs w:val="21"/>
          <w:highlight w:val="none"/>
        </w:rPr>
        <w:t>人在完成不合格工程的返工、修复或采取其他补救措施后，应重新提交竣工验收申请报告，</w:t>
      </w:r>
      <w:r>
        <w:rPr>
          <w:rFonts w:ascii="宋体" w:hAnsi="宋体" w:eastAsia="宋体" w:cs="宋体"/>
          <w:spacing w:val="14"/>
          <w:sz w:val="21"/>
          <w:szCs w:val="21"/>
          <w:highlight w:val="none"/>
        </w:rPr>
        <w:t xml:space="preserve"> </w:t>
      </w:r>
      <w:r>
        <w:rPr>
          <w:rFonts w:ascii="宋体" w:hAnsi="宋体" w:eastAsia="宋体" w:cs="宋体"/>
          <w:spacing w:val="-3"/>
          <w:sz w:val="21"/>
          <w:szCs w:val="21"/>
          <w:highlight w:val="none"/>
        </w:rPr>
        <w:t>并按本项约定的程序重新进行验收。</w:t>
      </w:r>
    </w:p>
    <w:p w14:paraId="22737DBC">
      <w:pPr>
        <w:spacing w:before="232" w:line="310" w:lineRule="auto"/>
        <w:ind w:right="43" w:firstLine="520"/>
        <w:rPr>
          <w:rFonts w:ascii="宋体" w:hAnsi="宋体" w:eastAsia="宋体" w:cs="宋体"/>
          <w:sz w:val="22"/>
          <w:szCs w:val="22"/>
          <w:highlight w:val="none"/>
        </w:rPr>
      </w:pPr>
      <w:r>
        <w:rPr>
          <w:rFonts w:ascii="宋体" w:hAnsi="宋体" w:eastAsia="宋体" w:cs="宋体"/>
          <w:spacing w:val="-6"/>
          <w:sz w:val="22"/>
          <w:szCs w:val="22"/>
          <w:highlight w:val="none"/>
        </w:rPr>
        <w:t>(4)因发包人原因，未在工程师收到承包人竣工验收申请报告之日起42天内完成竣工</w:t>
      </w:r>
      <w:r>
        <w:rPr>
          <w:rFonts w:ascii="宋体" w:hAnsi="宋体" w:eastAsia="宋体" w:cs="宋体"/>
          <w:spacing w:val="14"/>
          <w:sz w:val="22"/>
          <w:szCs w:val="22"/>
          <w:highlight w:val="none"/>
        </w:rPr>
        <w:t xml:space="preserve"> </w:t>
      </w:r>
      <w:r>
        <w:rPr>
          <w:rFonts w:ascii="宋体" w:hAnsi="宋体" w:eastAsia="宋体" w:cs="宋体"/>
          <w:spacing w:val="-11"/>
          <w:sz w:val="22"/>
          <w:szCs w:val="22"/>
          <w:highlight w:val="none"/>
        </w:rPr>
        <w:t>验收的，以承包人提交竣工验收申请报告之日作为工程实际竣工日期。</w:t>
      </w:r>
    </w:p>
    <w:p w14:paraId="7C3067F8">
      <w:pPr>
        <w:spacing w:line="310" w:lineRule="auto"/>
        <w:rPr>
          <w:rFonts w:ascii="宋体" w:hAnsi="宋体" w:eastAsia="宋体" w:cs="宋体"/>
          <w:sz w:val="22"/>
          <w:szCs w:val="22"/>
          <w:highlight w:val="none"/>
        </w:rPr>
        <w:sectPr>
          <w:footerReference r:id="rId115" w:type="default"/>
          <w:pgSz w:w="11910" w:h="16840"/>
          <w:pgMar w:top="400" w:right="1754" w:bottom="1217" w:left="1779" w:header="0" w:footer="1013" w:gutter="0"/>
          <w:cols w:space="720" w:num="1"/>
        </w:sectPr>
      </w:pPr>
    </w:p>
    <w:p w14:paraId="76B951FD">
      <w:pPr>
        <w:pStyle w:val="2"/>
        <w:spacing w:line="273" w:lineRule="auto"/>
        <w:rPr>
          <w:highlight w:val="none"/>
        </w:rPr>
      </w:pPr>
    </w:p>
    <w:p w14:paraId="31B25F54">
      <w:pPr>
        <w:pStyle w:val="2"/>
        <w:spacing w:line="273" w:lineRule="auto"/>
        <w:rPr>
          <w:highlight w:val="none"/>
        </w:rPr>
      </w:pPr>
    </w:p>
    <w:p w14:paraId="32CB8742">
      <w:pPr>
        <w:pStyle w:val="2"/>
        <w:spacing w:line="273" w:lineRule="auto"/>
        <w:rPr>
          <w:highlight w:val="none"/>
        </w:rPr>
      </w:pPr>
    </w:p>
    <w:p w14:paraId="6FB3636A">
      <w:pPr>
        <w:pStyle w:val="2"/>
        <w:spacing w:line="274" w:lineRule="auto"/>
        <w:rPr>
          <w:highlight w:val="none"/>
        </w:rPr>
      </w:pPr>
    </w:p>
    <w:p w14:paraId="0D875015">
      <w:pPr>
        <w:spacing w:before="69" w:line="219" w:lineRule="auto"/>
        <w:ind w:left="539"/>
        <w:rPr>
          <w:rFonts w:ascii="宋体" w:hAnsi="宋体" w:eastAsia="宋体" w:cs="宋体"/>
          <w:sz w:val="21"/>
          <w:szCs w:val="21"/>
          <w:highlight w:val="none"/>
        </w:rPr>
      </w:pPr>
      <w:r>
        <w:rPr>
          <w:rFonts w:ascii="宋体" w:hAnsi="宋体" w:eastAsia="宋体" w:cs="宋体"/>
          <w:spacing w:val="3"/>
          <w:sz w:val="21"/>
          <w:szCs w:val="21"/>
          <w:highlight w:val="none"/>
        </w:rPr>
        <w:t>(5)工程未经竣工验收，发包人擅自使用的，以</w:t>
      </w:r>
      <w:r>
        <w:rPr>
          <w:rFonts w:ascii="宋体" w:hAnsi="宋体" w:eastAsia="宋体" w:cs="宋体"/>
          <w:spacing w:val="2"/>
          <w:sz w:val="21"/>
          <w:szCs w:val="21"/>
          <w:highlight w:val="none"/>
        </w:rPr>
        <w:t>转移占有工程之日为实际竣工日期。</w:t>
      </w:r>
    </w:p>
    <w:p w14:paraId="27291E60">
      <w:pPr>
        <w:spacing w:before="221" w:line="414" w:lineRule="auto"/>
        <w:ind w:right="11" w:firstLine="600"/>
        <w:rPr>
          <w:rFonts w:ascii="宋体" w:hAnsi="宋体" w:eastAsia="宋体" w:cs="宋体"/>
          <w:sz w:val="21"/>
          <w:szCs w:val="21"/>
          <w:highlight w:val="none"/>
        </w:rPr>
      </w:pPr>
      <w:r>
        <w:rPr>
          <w:rFonts w:ascii="宋体" w:hAnsi="宋体" w:eastAsia="宋体" w:cs="宋体"/>
          <w:spacing w:val="4"/>
          <w:sz w:val="21"/>
          <w:szCs w:val="21"/>
          <w:highlight w:val="none"/>
        </w:rPr>
        <w:t>除专用合同条件另有约定外，发包人不按照本项和第10.4款[接收证书]约定组织竣</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工验收、颁发工程接收证书的，每逾期一天，应以签约合同价为基数，按照贷</w:t>
      </w:r>
      <w:r>
        <w:rPr>
          <w:rFonts w:ascii="宋体" w:hAnsi="宋体" w:eastAsia="宋体" w:cs="宋体"/>
          <w:spacing w:val="-3"/>
          <w:sz w:val="21"/>
          <w:szCs w:val="21"/>
          <w:highlight w:val="none"/>
        </w:rPr>
        <w:t>款市场报价利</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率</w:t>
      </w:r>
      <w:r>
        <w:rPr>
          <w:rFonts w:ascii="宋体" w:hAnsi="宋体" w:eastAsia="宋体" w:cs="宋体"/>
          <w:spacing w:val="-28"/>
          <w:sz w:val="21"/>
          <w:szCs w:val="21"/>
          <w:highlight w:val="none"/>
        </w:rPr>
        <w:t xml:space="preserve"> </w:t>
      </w:r>
      <w:r>
        <w:rPr>
          <w:rFonts w:ascii="宋体" w:hAnsi="宋体" w:eastAsia="宋体" w:cs="宋体"/>
          <w:spacing w:val="-6"/>
          <w:sz w:val="21"/>
          <w:szCs w:val="21"/>
          <w:highlight w:val="none"/>
        </w:rPr>
        <w:t>(</w:t>
      </w:r>
      <w:r>
        <w:rPr>
          <w:rFonts w:ascii="宋体" w:hAnsi="宋体" w:eastAsia="宋体" w:cs="宋体"/>
          <w:spacing w:val="-55"/>
          <w:sz w:val="21"/>
          <w:szCs w:val="21"/>
          <w:highlight w:val="none"/>
        </w:rPr>
        <w:t xml:space="preserve"> </w:t>
      </w:r>
      <w:r>
        <w:rPr>
          <w:rFonts w:ascii="Times New Roman" w:hAnsi="Times New Roman" w:eastAsia="Times New Roman" w:cs="Times New Roman"/>
          <w:spacing w:val="-6"/>
          <w:sz w:val="21"/>
          <w:szCs w:val="21"/>
          <w:highlight w:val="none"/>
        </w:rPr>
        <w:t>LPR)</w:t>
      </w:r>
      <w:r>
        <w:rPr>
          <w:rFonts w:ascii="Times New Roman" w:hAnsi="Times New Roman" w:eastAsia="Times New Roman" w:cs="Times New Roman"/>
          <w:spacing w:val="27"/>
          <w:sz w:val="21"/>
          <w:szCs w:val="21"/>
          <w:highlight w:val="none"/>
        </w:rPr>
        <w:t xml:space="preserve"> </w:t>
      </w:r>
      <w:r>
        <w:rPr>
          <w:rFonts w:ascii="宋体" w:hAnsi="宋体" w:eastAsia="宋体" w:cs="宋体"/>
          <w:spacing w:val="-6"/>
          <w:sz w:val="21"/>
          <w:szCs w:val="21"/>
          <w:highlight w:val="none"/>
        </w:rPr>
        <w:t>支付违约金。</w:t>
      </w:r>
    </w:p>
    <w:p w14:paraId="29047E58">
      <w:pPr>
        <w:pStyle w:val="2"/>
        <w:spacing w:before="169" w:line="272" w:lineRule="exact"/>
        <w:rPr>
          <w:rFonts w:ascii="黑体" w:hAnsi="黑体" w:eastAsia="黑体" w:cs="黑体"/>
          <w:sz w:val="20"/>
          <w:szCs w:val="20"/>
          <w:highlight w:val="none"/>
        </w:rPr>
      </w:pPr>
      <w:r>
        <w:rPr>
          <w:spacing w:val="6"/>
          <w:position w:val="1"/>
          <w:sz w:val="20"/>
          <w:szCs w:val="20"/>
          <w:highlight w:val="none"/>
        </w:rPr>
        <w:t>10.2</w:t>
      </w:r>
      <w:r>
        <w:rPr>
          <w:spacing w:val="15"/>
          <w:w w:val="101"/>
          <w:position w:val="1"/>
          <w:sz w:val="20"/>
          <w:szCs w:val="20"/>
          <w:highlight w:val="none"/>
        </w:rPr>
        <w:t xml:space="preserve">  </w:t>
      </w:r>
      <w:r>
        <w:rPr>
          <w:rFonts w:ascii="黑体" w:hAnsi="黑体" w:eastAsia="黑体" w:cs="黑体"/>
          <w:spacing w:val="6"/>
          <w:position w:val="1"/>
          <w:sz w:val="20"/>
          <w:szCs w:val="20"/>
          <w:highlight w:val="none"/>
        </w:rPr>
        <w:t>单位/区段工程的验收</w:t>
      </w:r>
    </w:p>
    <w:p w14:paraId="27C769ED">
      <w:pPr>
        <w:spacing w:before="105" w:line="312" w:lineRule="auto"/>
        <w:ind w:right="26" w:firstLine="43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10.2.1   </w:t>
      </w:r>
      <w:r>
        <w:rPr>
          <w:rFonts w:ascii="宋体" w:hAnsi="宋体" w:eastAsia="宋体" w:cs="宋体"/>
          <w:spacing w:val="-5"/>
          <w:sz w:val="22"/>
          <w:szCs w:val="22"/>
          <w:highlight w:val="none"/>
        </w:rPr>
        <w:t>发包人根据项目进度计划安排，在全部工程竣工前需要使用已经竣工的单位/</w:t>
      </w:r>
      <w:r>
        <w:rPr>
          <w:rFonts w:ascii="宋体" w:hAnsi="宋体" w:eastAsia="宋体" w:cs="宋体"/>
          <w:spacing w:val="7"/>
          <w:sz w:val="22"/>
          <w:szCs w:val="22"/>
          <w:highlight w:val="none"/>
        </w:rPr>
        <w:t xml:space="preserve"> </w:t>
      </w:r>
      <w:r>
        <w:rPr>
          <w:rFonts w:ascii="宋体" w:hAnsi="宋体" w:eastAsia="宋体" w:cs="宋体"/>
          <w:spacing w:val="-10"/>
          <w:sz w:val="22"/>
          <w:szCs w:val="22"/>
          <w:highlight w:val="none"/>
        </w:rPr>
        <w:t>区段工程时，或承包人提出经发包人同意时，可进行单位/区段工程验收。验收的程序</w:t>
      </w:r>
      <w:r>
        <w:rPr>
          <w:rFonts w:ascii="宋体" w:hAnsi="宋体" w:eastAsia="宋体" w:cs="宋体"/>
          <w:spacing w:val="-11"/>
          <w:sz w:val="22"/>
          <w:szCs w:val="22"/>
          <w:highlight w:val="none"/>
        </w:rPr>
        <w:t>可参</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照第10.1款[竣工验收]的约定进行。验收合格后，由工程师</w:t>
      </w:r>
      <w:r>
        <w:rPr>
          <w:rFonts w:ascii="宋体" w:hAnsi="宋体" w:eastAsia="宋体" w:cs="宋体"/>
          <w:spacing w:val="-7"/>
          <w:sz w:val="22"/>
          <w:szCs w:val="22"/>
          <w:highlight w:val="none"/>
        </w:rPr>
        <w:t>向承包人出具经发包人签认的</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单位/区段工程验收证书。单位/区段工程的验收成果和结</w:t>
      </w:r>
      <w:r>
        <w:rPr>
          <w:rFonts w:ascii="宋体" w:hAnsi="宋体" w:eastAsia="宋体" w:cs="宋体"/>
          <w:spacing w:val="-13"/>
          <w:sz w:val="22"/>
          <w:szCs w:val="22"/>
          <w:highlight w:val="none"/>
        </w:rPr>
        <w:t>论作为全部工程竣工验收申请报告</w:t>
      </w:r>
      <w:r>
        <w:rPr>
          <w:rFonts w:ascii="宋体" w:hAnsi="宋体" w:eastAsia="宋体" w:cs="宋体"/>
          <w:sz w:val="22"/>
          <w:szCs w:val="22"/>
          <w:highlight w:val="none"/>
        </w:rPr>
        <w:t xml:space="preserve"> </w:t>
      </w:r>
      <w:r>
        <w:rPr>
          <w:rFonts w:ascii="宋体" w:hAnsi="宋体" w:eastAsia="宋体" w:cs="宋体"/>
          <w:spacing w:val="-15"/>
          <w:sz w:val="22"/>
          <w:szCs w:val="22"/>
          <w:highlight w:val="none"/>
        </w:rPr>
        <w:t>的附件。</w:t>
      </w:r>
    </w:p>
    <w:p w14:paraId="66A22894">
      <w:pPr>
        <w:pStyle w:val="2"/>
        <w:spacing w:line="277" w:lineRule="auto"/>
        <w:rPr>
          <w:highlight w:val="none"/>
        </w:rPr>
      </w:pPr>
    </w:p>
    <w:p w14:paraId="480CD5CC">
      <w:pPr>
        <w:spacing w:before="72" w:line="273" w:lineRule="auto"/>
        <w:ind w:right="26" w:firstLine="43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10.2.2   </w:t>
      </w:r>
      <w:r>
        <w:rPr>
          <w:rFonts w:ascii="宋体" w:hAnsi="宋体" w:eastAsia="宋体" w:cs="宋体"/>
          <w:spacing w:val="-5"/>
          <w:sz w:val="22"/>
          <w:szCs w:val="22"/>
          <w:highlight w:val="none"/>
        </w:rPr>
        <w:t>发包人在全部工程竣工前，使用已接收的单位/区段工程导致承包人费用增加</w:t>
      </w:r>
      <w:r>
        <w:rPr>
          <w:rFonts w:ascii="宋体" w:hAnsi="宋体" w:eastAsia="宋体" w:cs="宋体"/>
          <w:spacing w:val="15"/>
          <w:sz w:val="22"/>
          <w:szCs w:val="22"/>
          <w:highlight w:val="none"/>
        </w:rPr>
        <w:t xml:space="preserve"> </w:t>
      </w:r>
      <w:r>
        <w:rPr>
          <w:rFonts w:ascii="宋体" w:hAnsi="宋体" w:eastAsia="宋体" w:cs="宋体"/>
          <w:spacing w:val="-4"/>
          <w:sz w:val="22"/>
          <w:szCs w:val="22"/>
          <w:highlight w:val="none"/>
        </w:rPr>
        <w:t>的，发包人应承担由此增加的费用和(或)工期延误，并支付承包人合理利润。</w:t>
      </w:r>
    </w:p>
    <w:p w14:paraId="5C03254C">
      <w:pPr>
        <w:pStyle w:val="2"/>
        <w:spacing w:line="315" w:lineRule="auto"/>
        <w:rPr>
          <w:highlight w:val="none"/>
        </w:rPr>
      </w:pPr>
    </w:p>
    <w:p w14:paraId="2FC16484">
      <w:pPr>
        <w:pStyle w:val="2"/>
        <w:spacing w:before="71" w:line="300" w:lineRule="exact"/>
        <w:rPr>
          <w:rFonts w:ascii="黑体" w:hAnsi="黑体" w:eastAsia="黑体" w:cs="黑体"/>
          <w:sz w:val="22"/>
          <w:szCs w:val="22"/>
          <w:highlight w:val="none"/>
        </w:rPr>
      </w:pPr>
      <w:r>
        <w:rPr>
          <w:spacing w:val="-8"/>
          <w:position w:val="1"/>
          <w:sz w:val="22"/>
          <w:szCs w:val="22"/>
          <w:highlight w:val="none"/>
        </w:rPr>
        <w:t>10.3</w:t>
      </w:r>
      <w:r>
        <w:rPr>
          <w:spacing w:val="49"/>
          <w:position w:val="1"/>
          <w:sz w:val="22"/>
          <w:szCs w:val="22"/>
          <w:highlight w:val="none"/>
        </w:rPr>
        <w:t xml:space="preserve"> </w:t>
      </w:r>
      <w:r>
        <w:rPr>
          <w:rFonts w:ascii="黑体" w:hAnsi="黑体" w:eastAsia="黑体" w:cs="黑体"/>
          <w:spacing w:val="-8"/>
          <w:position w:val="1"/>
          <w:sz w:val="22"/>
          <w:szCs w:val="22"/>
          <w:highlight w:val="none"/>
        </w:rPr>
        <w:t>工程的接收</w:t>
      </w:r>
    </w:p>
    <w:p w14:paraId="532FD33D">
      <w:pPr>
        <w:spacing w:before="111" w:line="269" w:lineRule="auto"/>
        <w:ind w:right="32" w:firstLine="43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 xml:space="preserve">10.3.1   </w:t>
      </w:r>
      <w:r>
        <w:rPr>
          <w:rFonts w:ascii="宋体" w:hAnsi="宋体" w:eastAsia="宋体" w:cs="宋体"/>
          <w:spacing w:val="-10"/>
          <w:sz w:val="22"/>
          <w:szCs w:val="22"/>
          <w:highlight w:val="none"/>
        </w:rPr>
        <w:t>根据工程项目的具体情况和特点，可按工程或单位/区段工程进行接收，并在专</w:t>
      </w:r>
      <w:r>
        <w:rPr>
          <w:rFonts w:ascii="宋体" w:hAnsi="宋体" w:eastAsia="宋体" w:cs="宋体"/>
          <w:spacing w:val="15"/>
          <w:sz w:val="22"/>
          <w:szCs w:val="22"/>
          <w:highlight w:val="none"/>
        </w:rPr>
        <w:t xml:space="preserve"> </w:t>
      </w:r>
      <w:r>
        <w:rPr>
          <w:rFonts w:ascii="宋体" w:hAnsi="宋体" w:eastAsia="宋体" w:cs="宋体"/>
          <w:spacing w:val="-11"/>
          <w:sz w:val="22"/>
          <w:szCs w:val="22"/>
          <w:highlight w:val="none"/>
        </w:rPr>
        <w:t>用合同条件约定接收的先后顺序、时间安排和其他要求。</w:t>
      </w:r>
    </w:p>
    <w:p w14:paraId="6C54E69D">
      <w:pPr>
        <w:pStyle w:val="2"/>
        <w:spacing w:line="263" w:lineRule="auto"/>
        <w:rPr>
          <w:highlight w:val="none"/>
        </w:rPr>
      </w:pPr>
    </w:p>
    <w:p w14:paraId="6F23E88D">
      <w:pPr>
        <w:spacing w:before="72" w:line="274" w:lineRule="auto"/>
        <w:ind w:right="34" w:firstLine="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10.3.2   </w:t>
      </w:r>
      <w:r>
        <w:rPr>
          <w:rFonts w:ascii="宋体" w:hAnsi="宋体" w:eastAsia="宋体" w:cs="宋体"/>
          <w:spacing w:val="-7"/>
          <w:sz w:val="22"/>
          <w:szCs w:val="22"/>
          <w:highlight w:val="none"/>
        </w:rPr>
        <w:t>除按本条约定已经提交的资料外，接收工</w:t>
      </w:r>
      <w:r>
        <w:rPr>
          <w:rFonts w:ascii="宋体" w:hAnsi="宋体" w:eastAsia="宋体" w:cs="宋体"/>
          <w:spacing w:val="-8"/>
          <w:sz w:val="22"/>
          <w:szCs w:val="22"/>
          <w:highlight w:val="none"/>
        </w:rPr>
        <w:t>程时承包人需提交竣工验收资料的类</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别、内容、份数和提交时间，在专用合同条件中约定。</w:t>
      </w:r>
    </w:p>
    <w:p w14:paraId="170029FC">
      <w:pPr>
        <w:pStyle w:val="2"/>
        <w:spacing w:line="256" w:lineRule="auto"/>
        <w:rPr>
          <w:highlight w:val="none"/>
        </w:rPr>
      </w:pPr>
    </w:p>
    <w:p w14:paraId="1CE5185F">
      <w:pPr>
        <w:spacing w:before="69" w:line="308" w:lineRule="auto"/>
        <w:ind w:right="26" w:firstLine="430"/>
        <w:rPr>
          <w:rFonts w:ascii="宋体" w:hAnsi="宋体" w:eastAsia="宋体" w:cs="宋体"/>
          <w:sz w:val="21"/>
          <w:szCs w:val="21"/>
          <w:highlight w:val="none"/>
        </w:rPr>
      </w:pPr>
      <w:r>
        <w:rPr>
          <w:rFonts w:ascii="宋体" w:hAnsi="宋体" w:eastAsia="宋体" w:cs="宋体"/>
          <w:spacing w:val="3"/>
          <w:sz w:val="21"/>
          <w:szCs w:val="21"/>
          <w:highlight w:val="none"/>
        </w:rPr>
        <w:t>10.3.3发包人无正当理由不接收工程的，发包人自应当接收工程之日起，承</w:t>
      </w:r>
      <w:r>
        <w:rPr>
          <w:rFonts w:ascii="宋体" w:hAnsi="宋体" w:eastAsia="宋体" w:cs="宋体"/>
          <w:spacing w:val="2"/>
          <w:sz w:val="21"/>
          <w:szCs w:val="21"/>
          <w:highlight w:val="none"/>
        </w:rPr>
        <w:t>担工程照</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管、成品保护、保管等与工程有关的各项费用，合同当事人可以在专用合</w:t>
      </w:r>
      <w:r>
        <w:rPr>
          <w:rFonts w:ascii="宋体" w:hAnsi="宋体" w:eastAsia="宋体" w:cs="宋体"/>
          <w:spacing w:val="-3"/>
          <w:sz w:val="21"/>
          <w:szCs w:val="21"/>
          <w:highlight w:val="none"/>
        </w:rPr>
        <w:t>同条件中另行约定</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发包人逾期接收工程的违约责任。</w:t>
      </w:r>
    </w:p>
    <w:p w14:paraId="6A7BB3CD">
      <w:pPr>
        <w:pStyle w:val="2"/>
        <w:spacing w:line="247" w:lineRule="auto"/>
        <w:rPr>
          <w:highlight w:val="none"/>
        </w:rPr>
      </w:pPr>
    </w:p>
    <w:p w14:paraId="4C1ED4D5">
      <w:pPr>
        <w:spacing w:before="72" w:line="297" w:lineRule="auto"/>
        <w:ind w:right="31" w:firstLine="430"/>
        <w:rPr>
          <w:rFonts w:ascii="宋体" w:hAnsi="宋体" w:eastAsia="宋体" w:cs="宋体"/>
          <w:sz w:val="22"/>
          <w:szCs w:val="22"/>
          <w:highlight w:val="none"/>
        </w:rPr>
      </w:pPr>
      <w:r>
        <w:rPr>
          <w:rFonts w:ascii="宋体" w:hAnsi="宋体" w:eastAsia="宋体" w:cs="宋体"/>
          <w:spacing w:val="-6"/>
          <w:sz w:val="22"/>
          <w:szCs w:val="22"/>
          <w:highlight w:val="none"/>
        </w:rPr>
        <w:t>10.3.4承包人无正当理由不移交工程</w:t>
      </w:r>
      <w:r>
        <w:rPr>
          <w:rFonts w:ascii="宋体" w:hAnsi="宋体" w:eastAsia="宋体" w:cs="宋体"/>
          <w:spacing w:val="-7"/>
          <w:sz w:val="22"/>
          <w:szCs w:val="22"/>
          <w:highlight w:val="none"/>
        </w:rPr>
        <w:t>的，承包人应承担工程照管、成品保护、保管等</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与工程有关的各项费用，合同当事人可以在专用合同条件中另行约定</w:t>
      </w:r>
      <w:r>
        <w:rPr>
          <w:rFonts w:ascii="宋体" w:hAnsi="宋体" w:eastAsia="宋体" w:cs="宋体"/>
          <w:spacing w:val="-13"/>
          <w:sz w:val="22"/>
          <w:szCs w:val="22"/>
          <w:highlight w:val="none"/>
        </w:rPr>
        <w:t>承包人无正当理由不移</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交工程的违约责任。</w:t>
      </w:r>
    </w:p>
    <w:p w14:paraId="26AAE725">
      <w:pPr>
        <w:pStyle w:val="2"/>
        <w:spacing w:line="365" w:lineRule="auto"/>
        <w:rPr>
          <w:highlight w:val="none"/>
        </w:rPr>
      </w:pPr>
    </w:p>
    <w:p w14:paraId="6B702BF7">
      <w:pPr>
        <w:spacing w:before="72" w:line="222" w:lineRule="auto"/>
        <w:rPr>
          <w:rFonts w:ascii="黑体" w:hAnsi="黑体" w:eastAsia="黑体" w:cs="黑体"/>
          <w:sz w:val="22"/>
          <w:szCs w:val="22"/>
          <w:highlight w:val="none"/>
        </w:rPr>
      </w:pPr>
      <w:r>
        <w:rPr>
          <w:rFonts w:ascii="黑体" w:hAnsi="黑体" w:eastAsia="黑体" w:cs="黑体"/>
          <w:spacing w:val="3"/>
          <w:sz w:val="22"/>
          <w:szCs w:val="22"/>
          <w:highlight w:val="none"/>
        </w:rPr>
        <w:t>10.4接收证书</w:t>
      </w:r>
    </w:p>
    <w:p w14:paraId="46D6C9FF">
      <w:pPr>
        <w:spacing w:before="116" w:line="352" w:lineRule="auto"/>
        <w:ind w:right="12" w:firstLine="430"/>
        <w:jc w:val="both"/>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10.4.1</w:t>
      </w:r>
      <w:r>
        <w:rPr>
          <w:rFonts w:ascii="Times New Roman" w:hAnsi="Times New Roman" w:eastAsia="Times New Roman" w:cs="Times New Roman"/>
          <w:spacing w:val="17"/>
          <w:sz w:val="21"/>
          <w:szCs w:val="21"/>
          <w:highlight w:val="none"/>
        </w:rPr>
        <w:t xml:space="preserve">   </w:t>
      </w:r>
      <w:r>
        <w:rPr>
          <w:rFonts w:ascii="宋体" w:hAnsi="宋体" w:eastAsia="宋体" w:cs="宋体"/>
          <w:spacing w:val="1"/>
          <w:sz w:val="21"/>
          <w:szCs w:val="21"/>
          <w:highlight w:val="none"/>
        </w:rPr>
        <w:t>除专用合同条件另有约定外，承包人应在竣</w:t>
      </w:r>
      <w:r>
        <w:rPr>
          <w:rFonts w:ascii="宋体" w:hAnsi="宋体" w:eastAsia="宋体" w:cs="宋体"/>
          <w:sz w:val="21"/>
          <w:szCs w:val="21"/>
          <w:highlight w:val="none"/>
        </w:rPr>
        <w:t>工验收合格后向发包人提交第14.6</w:t>
      </w:r>
      <w:r>
        <w:rPr>
          <w:rFonts w:ascii="宋体" w:hAnsi="宋体" w:eastAsia="宋体" w:cs="宋体"/>
          <w:spacing w:val="1"/>
          <w:sz w:val="21"/>
          <w:szCs w:val="21"/>
          <w:highlight w:val="none"/>
        </w:rPr>
        <w:t xml:space="preserve"> </w:t>
      </w:r>
      <w:r>
        <w:rPr>
          <w:rFonts w:ascii="宋体" w:hAnsi="宋体" w:eastAsia="宋体" w:cs="宋体"/>
          <w:spacing w:val="3"/>
          <w:sz w:val="21"/>
          <w:szCs w:val="21"/>
          <w:highlight w:val="none"/>
        </w:rPr>
        <w:t>款[质量保证金]约定的质量保证金，发包人应在竣工验收合格且工程具备接</w:t>
      </w:r>
      <w:r>
        <w:rPr>
          <w:rFonts w:ascii="宋体" w:hAnsi="宋体" w:eastAsia="宋体" w:cs="宋体"/>
          <w:spacing w:val="2"/>
          <w:sz w:val="21"/>
          <w:szCs w:val="21"/>
          <w:highlight w:val="none"/>
        </w:rPr>
        <w:t>收条件后的14</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天内向承包人颁发工程接收证书，但承包人未提交质量保证金的</w:t>
      </w:r>
      <w:r>
        <w:rPr>
          <w:rFonts w:ascii="宋体" w:hAnsi="宋体" w:eastAsia="宋体" w:cs="宋体"/>
          <w:spacing w:val="-3"/>
          <w:sz w:val="21"/>
          <w:szCs w:val="21"/>
          <w:highlight w:val="none"/>
        </w:rPr>
        <w:t>，发包人有权拒绝颁发。发</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包人拒绝颁发工程接收证书的，应向承包人发出通知，说明理由</w:t>
      </w:r>
      <w:r>
        <w:rPr>
          <w:rFonts w:ascii="宋体" w:hAnsi="宋体" w:eastAsia="宋体" w:cs="宋体"/>
          <w:spacing w:val="-3"/>
          <w:sz w:val="21"/>
          <w:szCs w:val="21"/>
          <w:highlight w:val="none"/>
        </w:rPr>
        <w:t>并指出在颁发接收证书前承</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包人需要做的工作，需要修补的缺陷和承包人需要提供的文件。</w:t>
      </w:r>
    </w:p>
    <w:p w14:paraId="7609DA73">
      <w:pPr>
        <w:spacing w:line="352" w:lineRule="auto"/>
        <w:rPr>
          <w:rFonts w:ascii="宋体" w:hAnsi="宋体" w:eastAsia="宋体" w:cs="宋体"/>
          <w:sz w:val="21"/>
          <w:szCs w:val="21"/>
          <w:highlight w:val="none"/>
        </w:rPr>
        <w:sectPr>
          <w:footerReference r:id="rId116" w:type="default"/>
          <w:pgSz w:w="11910" w:h="16840"/>
          <w:pgMar w:top="400" w:right="1786" w:bottom="1169" w:left="1779" w:header="0" w:footer="1028" w:gutter="0"/>
          <w:cols w:space="720" w:num="1"/>
        </w:sectPr>
      </w:pPr>
    </w:p>
    <w:p w14:paraId="3DC7C5FE">
      <w:pPr>
        <w:pStyle w:val="2"/>
        <w:spacing w:line="249" w:lineRule="auto"/>
        <w:rPr>
          <w:highlight w:val="none"/>
        </w:rPr>
      </w:pPr>
    </w:p>
    <w:p w14:paraId="16FC72FE">
      <w:pPr>
        <w:pStyle w:val="2"/>
        <w:spacing w:line="249" w:lineRule="auto"/>
        <w:rPr>
          <w:highlight w:val="none"/>
        </w:rPr>
      </w:pPr>
    </w:p>
    <w:p w14:paraId="69E52830">
      <w:pPr>
        <w:pStyle w:val="2"/>
        <w:spacing w:line="249" w:lineRule="auto"/>
        <w:rPr>
          <w:highlight w:val="none"/>
        </w:rPr>
      </w:pPr>
    </w:p>
    <w:p w14:paraId="1F40D652">
      <w:pPr>
        <w:pStyle w:val="2"/>
        <w:spacing w:line="250" w:lineRule="auto"/>
        <w:rPr>
          <w:highlight w:val="none"/>
        </w:rPr>
      </w:pPr>
    </w:p>
    <w:p w14:paraId="75D50B62">
      <w:pPr>
        <w:spacing w:before="65" w:line="319" w:lineRule="auto"/>
        <w:ind w:right="74" w:firstLine="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10.4.2    </w:t>
      </w:r>
      <w:r>
        <w:rPr>
          <w:rFonts w:ascii="宋体" w:hAnsi="宋体" w:eastAsia="宋体" w:cs="宋体"/>
          <w:spacing w:val="6"/>
          <w:sz w:val="20"/>
          <w:szCs w:val="20"/>
          <w:highlight w:val="none"/>
        </w:rPr>
        <w:t>发包人向承包人颁发的接收证书，应注明工程或单位/区段工程经验收合格的实</w:t>
      </w:r>
      <w:r>
        <w:rPr>
          <w:rFonts w:ascii="宋体" w:hAnsi="宋体" w:eastAsia="宋体" w:cs="宋体"/>
          <w:spacing w:val="9"/>
          <w:sz w:val="20"/>
          <w:szCs w:val="20"/>
          <w:highlight w:val="none"/>
        </w:rPr>
        <w:t xml:space="preserve"> </w:t>
      </w:r>
      <w:r>
        <w:rPr>
          <w:rFonts w:ascii="宋体" w:hAnsi="宋体" w:eastAsia="宋体" w:cs="宋体"/>
          <w:spacing w:val="10"/>
          <w:sz w:val="20"/>
          <w:szCs w:val="20"/>
          <w:highlight w:val="none"/>
        </w:rPr>
        <w:t>际竣工日期，并列明不在接收范围内的，在收尾工作和缺</w:t>
      </w:r>
      <w:r>
        <w:rPr>
          <w:rFonts w:ascii="宋体" w:hAnsi="宋体" w:eastAsia="宋体" w:cs="宋体"/>
          <w:spacing w:val="9"/>
          <w:sz w:val="20"/>
          <w:szCs w:val="20"/>
          <w:highlight w:val="none"/>
        </w:rPr>
        <w:t>陷修补完成之前对工程或单位/区</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段工程预期使用目的没有实质影响的少量收尾</w:t>
      </w:r>
      <w:r>
        <w:rPr>
          <w:rFonts w:ascii="宋体" w:hAnsi="宋体" w:eastAsia="宋体" w:cs="宋体"/>
          <w:spacing w:val="8"/>
          <w:sz w:val="20"/>
          <w:szCs w:val="20"/>
          <w:highlight w:val="none"/>
        </w:rPr>
        <w:t>工作和缺陷。</w:t>
      </w:r>
    </w:p>
    <w:p w14:paraId="2F79DD5F">
      <w:pPr>
        <w:pStyle w:val="2"/>
        <w:spacing w:line="250" w:lineRule="auto"/>
        <w:rPr>
          <w:highlight w:val="none"/>
        </w:rPr>
      </w:pPr>
    </w:p>
    <w:p w14:paraId="60AF035D">
      <w:pPr>
        <w:spacing w:before="71" w:line="281" w:lineRule="auto"/>
        <w:ind w:right="69" w:firstLine="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10.4.3   </w:t>
      </w:r>
      <w:r>
        <w:rPr>
          <w:rFonts w:ascii="宋体" w:hAnsi="宋体" w:eastAsia="宋体" w:cs="宋体"/>
          <w:spacing w:val="-7"/>
          <w:sz w:val="22"/>
          <w:szCs w:val="22"/>
          <w:highlight w:val="none"/>
        </w:rPr>
        <w:t>竣工验收合格而发包人无正当理由逾期不颁发工程接收</w:t>
      </w:r>
      <w:r>
        <w:rPr>
          <w:rFonts w:ascii="宋体" w:hAnsi="宋体" w:eastAsia="宋体" w:cs="宋体"/>
          <w:spacing w:val="-8"/>
          <w:sz w:val="22"/>
          <w:szCs w:val="22"/>
          <w:highlight w:val="none"/>
        </w:rPr>
        <w:t>证书的，自验收合格后</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第15天起视为已颁发工程接收证书。</w:t>
      </w:r>
    </w:p>
    <w:p w14:paraId="3441951C">
      <w:pPr>
        <w:spacing w:before="311" w:line="304" w:lineRule="auto"/>
        <w:ind w:right="69" w:firstLine="420"/>
        <w:rPr>
          <w:rFonts w:ascii="宋体" w:hAnsi="宋体" w:eastAsia="宋体" w:cs="宋体"/>
          <w:sz w:val="20"/>
          <w:szCs w:val="20"/>
          <w:highlight w:val="none"/>
        </w:rPr>
      </w:pPr>
      <w:r>
        <w:rPr>
          <w:rFonts w:ascii="宋体" w:hAnsi="宋体" w:eastAsia="宋体" w:cs="宋体"/>
          <w:spacing w:val="-4"/>
          <w:sz w:val="22"/>
          <w:szCs w:val="22"/>
          <w:highlight w:val="none"/>
        </w:rPr>
        <w:t>10.4.4工程未经验收或验收不合格，发包人擅自使用的，应在转移占有工程后7天内</w:t>
      </w:r>
      <w:r>
        <w:rPr>
          <w:rFonts w:ascii="宋体" w:hAnsi="宋体" w:eastAsia="宋体" w:cs="宋体"/>
          <w:spacing w:val="8"/>
          <w:sz w:val="22"/>
          <w:szCs w:val="22"/>
          <w:highlight w:val="none"/>
        </w:rPr>
        <w:t xml:space="preserve"> </w:t>
      </w:r>
      <w:r>
        <w:rPr>
          <w:rFonts w:ascii="宋体" w:hAnsi="宋体" w:eastAsia="宋体" w:cs="宋体"/>
          <w:spacing w:val="-12"/>
          <w:sz w:val="22"/>
          <w:szCs w:val="22"/>
          <w:highlight w:val="none"/>
        </w:rPr>
        <w:t>向承包人颁发工程接收证书；发包人无正当理由逾期不</w:t>
      </w:r>
      <w:r>
        <w:rPr>
          <w:rFonts w:ascii="宋体" w:hAnsi="宋体" w:eastAsia="宋体" w:cs="宋体"/>
          <w:spacing w:val="-13"/>
          <w:sz w:val="22"/>
          <w:szCs w:val="22"/>
          <w:highlight w:val="none"/>
        </w:rPr>
        <w:t>颁发工程接收证书的，自转移占有后</w:t>
      </w:r>
      <w:r>
        <w:rPr>
          <w:rFonts w:ascii="宋体" w:hAnsi="宋体" w:eastAsia="宋体" w:cs="宋体"/>
          <w:sz w:val="22"/>
          <w:szCs w:val="22"/>
          <w:highlight w:val="none"/>
        </w:rPr>
        <w:t xml:space="preserve"> </w:t>
      </w:r>
      <w:r>
        <w:rPr>
          <w:rFonts w:ascii="宋体" w:hAnsi="宋体" w:eastAsia="宋体" w:cs="宋体"/>
          <w:spacing w:val="14"/>
          <w:sz w:val="20"/>
          <w:szCs w:val="20"/>
          <w:highlight w:val="none"/>
        </w:rPr>
        <w:t>第15天起视为已颁发工程接收证书。</w:t>
      </w:r>
    </w:p>
    <w:p w14:paraId="1B0F1604">
      <w:pPr>
        <w:pStyle w:val="2"/>
        <w:spacing w:line="260" w:lineRule="auto"/>
        <w:rPr>
          <w:highlight w:val="none"/>
        </w:rPr>
      </w:pPr>
    </w:p>
    <w:p w14:paraId="2AD4F711">
      <w:pPr>
        <w:spacing w:before="72" w:line="273" w:lineRule="auto"/>
        <w:ind w:right="68" w:firstLine="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10.4.5   </w:t>
      </w:r>
      <w:r>
        <w:rPr>
          <w:rFonts w:ascii="宋体" w:hAnsi="宋体" w:eastAsia="宋体" w:cs="宋体"/>
          <w:spacing w:val="-6"/>
          <w:sz w:val="22"/>
          <w:szCs w:val="22"/>
          <w:highlight w:val="none"/>
        </w:rPr>
        <w:t>存在扫尾工作的，工程</w:t>
      </w:r>
      <w:r>
        <w:rPr>
          <w:rFonts w:ascii="宋体" w:hAnsi="宋体" w:eastAsia="宋体" w:cs="宋体"/>
          <w:spacing w:val="-7"/>
          <w:sz w:val="22"/>
          <w:szCs w:val="22"/>
          <w:highlight w:val="none"/>
        </w:rPr>
        <w:t>接收证书中应当将第14.5.3项[扫尾工作清单]中约定的</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扫尾工作清单作为工程接收证书附件。</w:t>
      </w:r>
    </w:p>
    <w:p w14:paraId="51685BB9">
      <w:pPr>
        <w:pStyle w:val="2"/>
        <w:spacing w:line="315" w:lineRule="auto"/>
        <w:rPr>
          <w:highlight w:val="none"/>
        </w:rPr>
      </w:pPr>
    </w:p>
    <w:p w14:paraId="2D272090">
      <w:pPr>
        <w:pStyle w:val="2"/>
        <w:spacing w:before="72" w:line="300" w:lineRule="exact"/>
        <w:rPr>
          <w:rFonts w:ascii="黑体" w:hAnsi="黑体" w:eastAsia="黑体" w:cs="黑体"/>
          <w:sz w:val="22"/>
          <w:szCs w:val="22"/>
          <w:highlight w:val="none"/>
        </w:rPr>
      </w:pPr>
      <w:r>
        <w:rPr>
          <w:spacing w:val="-4"/>
          <w:position w:val="1"/>
          <w:sz w:val="22"/>
          <w:szCs w:val="22"/>
          <w:highlight w:val="none"/>
        </w:rPr>
        <w:t>10.5</w:t>
      </w:r>
      <w:r>
        <w:rPr>
          <w:spacing w:val="36"/>
          <w:w w:val="101"/>
          <w:position w:val="1"/>
          <w:sz w:val="22"/>
          <w:szCs w:val="22"/>
          <w:highlight w:val="none"/>
        </w:rPr>
        <w:t xml:space="preserve"> </w:t>
      </w:r>
      <w:r>
        <w:rPr>
          <w:rFonts w:ascii="黑体" w:hAnsi="黑体" w:eastAsia="黑体" w:cs="黑体"/>
          <w:spacing w:val="-4"/>
          <w:position w:val="1"/>
          <w:sz w:val="22"/>
          <w:szCs w:val="22"/>
          <w:highlight w:val="none"/>
        </w:rPr>
        <w:t>竣工退场</w:t>
      </w:r>
    </w:p>
    <w:p w14:paraId="1C198EA2">
      <w:pPr>
        <w:spacing w:before="121" w:line="219" w:lineRule="auto"/>
        <w:ind w:left="420"/>
        <w:rPr>
          <w:rFonts w:ascii="宋体" w:hAnsi="宋体" w:eastAsia="宋体" w:cs="宋体"/>
          <w:sz w:val="20"/>
          <w:szCs w:val="20"/>
          <w:highlight w:val="none"/>
        </w:rPr>
      </w:pPr>
      <w:r>
        <w:rPr>
          <w:rFonts w:ascii="Times New Roman" w:hAnsi="Times New Roman" w:eastAsia="Times New Roman" w:cs="Times New Roman"/>
          <w:spacing w:val="1"/>
          <w:sz w:val="20"/>
          <w:szCs w:val="20"/>
          <w:highlight w:val="none"/>
        </w:rPr>
        <w:t>10.5.1</w:t>
      </w:r>
      <w:r>
        <w:rPr>
          <w:rFonts w:ascii="Times New Roman" w:hAnsi="Times New Roman" w:eastAsia="Times New Roman" w:cs="Times New Roman"/>
          <w:spacing w:val="7"/>
          <w:sz w:val="20"/>
          <w:szCs w:val="20"/>
          <w:highlight w:val="none"/>
        </w:rPr>
        <w:t xml:space="preserve">    </w:t>
      </w:r>
      <w:r>
        <w:rPr>
          <w:rFonts w:ascii="宋体" w:hAnsi="宋体" w:eastAsia="宋体" w:cs="宋体"/>
          <w:spacing w:val="1"/>
          <w:sz w:val="20"/>
          <w:szCs w:val="20"/>
          <w:highlight w:val="none"/>
        </w:rPr>
        <w:t>竣工退场</w:t>
      </w:r>
    </w:p>
    <w:p w14:paraId="371A7EF2">
      <w:pPr>
        <w:pStyle w:val="2"/>
        <w:spacing w:line="360" w:lineRule="auto"/>
        <w:rPr>
          <w:highlight w:val="none"/>
        </w:rPr>
      </w:pPr>
    </w:p>
    <w:p w14:paraId="1D7C10EE">
      <w:pPr>
        <w:spacing w:before="69" w:line="414" w:lineRule="auto"/>
        <w:ind w:right="51" w:firstLine="420"/>
        <w:rPr>
          <w:rFonts w:ascii="宋体" w:hAnsi="宋体" w:eastAsia="宋体" w:cs="宋体"/>
          <w:sz w:val="21"/>
          <w:szCs w:val="21"/>
          <w:highlight w:val="none"/>
        </w:rPr>
      </w:pPr>
      <w:r>
        <w:rPr>
          <w:rFonts w:ascii="宋体" w:hAnsi="宋体" w:eastAsia="宋体" w:cs="宋体"/>
          <w:spacing w:val="-2"/>
          <w:sz w:val="21"/>
          <w:szCs w:val="21"/>
          <w:highlight w:val="none"/>
        </w:rPr>
        <w:t>颁发工程接收证书后，承包人应对施工现场进行清理，并撤离相关人员，使得施</w:t>
      </w:r>
      <w:r>
        <w:rPr>
          <w:rFonts w:ascii="宋体" w:hAnsi="宋体" w:eastAsia="宋体" w:cs="宋体"/>
          <w:spacing w:val="-3"/>
          <w:sz w:val="21"/>
          <w:szCs w:val="21"/>
          <w:highlight w:val="none"/>
        </w:rPr>
        <w:t>工现场</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处于以下状态，直至工程师检验合格为止：</w:t>
      </w:r>
    </w:p>
    <w:p w14:paraId="07CB3450">
      <w:pPr>
        <w:spacing w:line="219" w:lineRule="auto"/>
        <w:ind w:left="529"/>
        <w:rPr>
          <w:rFonts w:ascii="宋体" w:hAnsi="宋体" w:eastAsia="宋体" w:cs="宋体"/>
          <w:sz w:val="22"/>
          <w:szCs w:val="22"/>
          <w:highlight w:val="none"/>
        </w:rPr>
      </w:pPr>
      <w:r>
        <w:rPr>
          <w:rFonts w:ascii="宋体" w:hAnsi="宋体" w:eastAsia="宋体" w:cs="宋体"/>
          <w:spacing w:val="-6"/>
          <w:sz w:val="22"/>
          <w:szCs w:val="22"/>
          <w:highlight w:val="none"/>
        </w:rPr>
        <w:t>(1)施工现场内残留的垃圾已全部清除出场；</w:t>
      </w:r>
    </w:p>
    <w:p w14:paraId="40B38943">
      <w:pPr>
        <w:spacing w:before="229" w:line="219" w:lineRule="auto"/>
        <w:ind w:left="529"/>
        <w:rPr>
          <w:rFonts w:ascii="宋体" w:hAnsi="宋体" w:eastAsia="宋体" w:cs="宋体"/>
          <w:sz w:val="22"/>
          <w:szCs w:val="22"/>
          <w:highlight w:val="none"/>
        </w:rPr>
      </w:pPr>
      <w:r>
        <w:rPr>
          <w:rFonts w:ascii="宋体" w:hAnsi="宋体" w:eastAsia="宋体" w:cs="宋体"/>
          <w:spacing w:val="-8"/>
          <w:sz w:val="22"/>
          <w:szCs w:val="22"/>
          <w:highlight w:val="none"/>
        </w:rPr>
        <w:t>(2)临时工程已拆除，场地已按合同约定进行清理、平整或复原；</w:t>
      </w:r>
    </w:p>
    <w:p w14:paraId="65239123">
      <w:pPr>
        <w:spacing w:before="229" w:line="320" w:lineRule="auto"/>
        <w:ind w:right="74" w:firstLine="529"/>
        <w:rPr>
          <w:rFonts w:ascii="宋体" w:hAnsi="宋体" w:eastAsia="宋体" w:cs="宋体"/>
          <w:sz w:val="21"/>
          <w:szCs w:val="21"/>
          <w:highlight w:val="none"/>
        </w:rPr>
      </w:pPr>
      <w:r>
        <w:rPr>
          <w:rFonts w:ascii="宋体" w:hAnsi="宋体" w:eastAsia="宋体" w:cs="宋体"/>
          <w:spacing w:val="3"/>
          <w:sz w:val="21"/>
          <w:szCs w:val="21"/>
          <w:highlight w:val="none"/>
        </w:rPr>
        <w:t>(3)按合同约定应撤离的人员、承包人提供的施工设备和剩余</w:t>
      </w:r>
      <w:r>
        <w:rPr>
          <w:rFonts w:ascii="宋体" w:hAnsi="宋体" w:eastAsia="宋体" w:cs="宋体"/>
          <w:spacing w:val="2"/>
          <w:sz w:val="21"/>
          <w:szCs w:val="21"/>
          <w:highlight w:val="none"/>
        </w:rPr>
        <w:t>的材料，包括废弃的施</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工设备和材料，已按计划撤离施工现场；</w:t>
      </w:r>
    </w:p>
    <w:p w14:paraId="37D284DC">
      <w:pPr>
        <w:spacing w:before="230" w:line="219"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(4)施工现场周边及其附近道路、河道的施工堆积物，已全</w:t>
      </w:r>
      <w:r>
        <w:rPr>
          <w:rFonts w:ascii="宋体" w:hAnsi="宋体" w:eastAsia="宋体" w:cs="宋体"/>
          <w:spacing w:val="11"/>
          <w:sz w:val="20"/>
          <w:szCs w:val="20"/>
          <w:highlight w:val="none"/>
        </w:rPr>
        <w:t>部清理；</w:t>
      </w:r>
    </w:p>
    <w:p w14:paraId="33203F38">
      <w:pPr>
        <w:spacing w:before="254" w:line="219"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(5)施工现场其他竣工退场工作已全部完成。</w:t>
      </w:r>
    </w:p>
    <w:p w14:paraId="6F553742">
      <w:pPr>
        <w:spacing w:before="233" w:line="413" w:lineRule="auto"/>
        <w:ind w:right="60" w:firstLine="420"/>
        <w:rPr>
          <w:rFonts w:ascii="宋体" w:hAnsi="宋体" w:eastAsia="宋体" w:cs="宋体"/>
          <w:sz w:val="21"/>
          <w:szCs w:val="21"/>
          <w:highlight w:val="none"/>
        </w:rPr>
      </w:pPr>
      <w:r>
        <w:rPr>
          <w:rFonts w:ascii="宋体" w:hAnsi="宋体" w:eastAsia="宋体" w:cs="宋体"/>
          <w:spacing w:val="-3"/>
          <w:sz w:val="21"/>
          <w:szCs w:val="21"/>
          <w:highlight w:val="none"/>
        </w:rPr>
        <w:t>施工现场的竣工退场费用由承包人承担。承包人应在专用合同条件约定的期限内完成竣</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工退场，逾期未完成的，发包人有权出售或另行处理承包人遗留的物品，由</w:t>
      </w:r>
      <w:r>
        <w:rPr>
          <w:rFonts w:ascii="宋体" w:hAnsi="宋体" w:eastAsia="宋体" w:cs="宋体"/>
          <w:spacing w:val="-3"/>
          <w:sz w:val="21"/>
          <w:szCs w:val="21"/>
          <w:highlight w:val="none"/>
        </w:rPr>
        <w:t>此支出的费用由</w:t>
      </w:r>
    </w:p>
    <w:p w14:paraId="098BB5E1">
      <w:pPr>
        <w:spacing w:before="1" w:line="219" w:lineRule="auto"/>
        <w:rPr>
          <w:rFonts w:ascii="宋体" w:hAnsi="宋体" w:eastAsia="宋体" w:cs="宋体"/>
          <w:sz w:val="21"/>
          <w:szCs w:val="21"/>
          <w:highlight w:val="none"/>
        </w:rPr>
      </w:pPr>
      <w:r>
        <w:rPr>
          <w:rFonts w:ascii="宋体" w:hAnsi="宋体" w:eastAsia="宋体" w:cs="宋体"/>
          <w:spacing w:val="-1"/>
          <w:sz w:val="21"/>
          <w:szCs w:val="21"/>
          <w:highlight w:val="none"/>
        </w:rPr>
        <w:t>承包人承担，发包人出售承包人遗留物品所得款项在扣除必要费用后应返还承包</w:t>
      </w:r>
      <w:r>
        <w:rPr>
          <w:rFonts w:ascii="宋体" w:hAnsi="宋体" w:eastAsia="宋体" w:cs="宋体"/>
          <w:spacing w:val="-2"/>
          <w:sz w:val="21"/>
          <w:szCs w:val="21"/>
          <w:highlight w:val="none"/>
        </w:rPr>
        <w:t>人。</w:t>
      </w:r>
    </w:p>
    <w:p w14:paraId="79FEC5D4">
      <w:pPr>
        <w:spacing w:before="92" w:line="221"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10.5.2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6"/>
          <w:sz w:val="22"/>
          <w:szCs w:val="22"/>
          <w:highlight w:val="none"/>
        </w:rPr>
        <w:t>地表还原</w:t>
      </w:r>
    </w:p>
    <w:p w14:paraId="59693699">
      <w:pPr>
        <w:pStyle w:val="2"/>
        <w:spacing w:line="383" w:lineRule="auto"/>
        <w:rPr>
          <w:highlight w:val="none"/>
        </w:rPr>
      </w:pPr>
    </w:p>
    <w:p w14:paraId="39DC9884">
      <w:pPr>
        <w:spacing w:before="69" w:line="374" w:lineRule="auto"/>
        <w:ind w:right="55" w:firstLine="420"/>
        <w:rPr>
          <w:rFonts w:ascii="宋体" w:hAnsi="宋体" w:eastAsia="宋体" w:cs="宋体"/>
          <w:sz w:val="21"/>
          <w:szCs w:val="21"/>
          <w:highlight w:val="none"/>
        </w:rPr>
      </w:pPr>
      <w:r>
        <w:rPr>
          <w:rFonts w:ascii="宋体" w:hAnsi="宋体" w:eastAsia="宋体" w:cs="宋体"/>
          <w:spacing w:val="-2"/>
          <w:sz w:val="21"/>
          <w:szCs w:val="21"/>
          <w:highlight w:val="none"/>
        </w:rPr>
        <w:t>承包人应按合同约定和工程师的要求恢复临时占地及清理场地，否则发</w:t>
      </w:r>
      <w:r>
        <w:rPr>
          <w:rFonts w:ascii="宋体" w:hAnsi="宋体" w:eastAsia="宋体" w:cs="宋体"/>
          <w:spacing w:val="-3"/>
          <w:sz w:val="21"/>
          <w:szCs w:val="21"/>
          <w:highlight w:val="none"/>
        </w:rPr>
        <w:t>包人有权委托其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他人恢复或清理，所发生的费用由承包人承担。</w:t>
      </w:r>
    </w:p>
    <w:p w14:paraId="11B90626">
      <w:pPr>
        <w:spacing w:line="220" w:lineRule="auto"/>
        <w:ind w:left="420"/>
        <w:rPr>
          <w:rFonts w:ascii="宋体" w:hAnsi="宋体" w:eastAsia="宋体" w:cs="宋体"/>
          <w:sz w:val="20"/>
          <w:szCs w:val="20"/>
          <w:highlight w:val="none"/>
        </w:rPr>
      </w:pPr>
      <w:r>
        <w:rPr>
          <w:rFonts w:ascii="Times New Roman" w:hAnsi="Times New Roman" w:eastAsia="Times New Roman" w:cs="Times New Roman"/>
          <w:spacing w:val="-1"/>
          <w:sz w:val="20"/>
          <w:szCs w:val="20"/>
          <w:highlight w:val="none"/>
        </w:rPr>
        <w:t>10.5.3</w:t>
      </w:r>
      <w:r>
        <w:rPr>
          <w:rFonts w:ascii="Times New Roman" w:hAnsi="Times New Roman" w:eastAsia="Times New Roman" w:cs="Times New Roman"/>
          <w:spacing w:val="12"/>
          <w:w w:val="101"/>
          <w:sz w:val="20"/>
          <w:szCs w:val="20"/>
          <w:highlight w:val="none"/>
        </w:rPr>
        <w:t xml:space="preserve">    </w:t>
      </w:r>
      <w:r>
        <w:rPr>
          <w:rFonts w:ascii="宋体" w:hAnsi="宋体" w:eastAsia="宋体" w:cs="宋体"/>
          <w:spacing w:val="-1"/>
          <w:sz w:val="20"/>
          <w:szCs w:val="20"/>
          <w:highlight w:val="none"/>
        </w:rPr>
        <w:t>人员撤离</w:t>
      </w:r>
    </w:p>
    <w:p w14:paraId="28F898E9">
      <w:pPr>
        <w:pStyle w:val="2"/>
        <w:spacing w:line="371" w:lineRule="auto"/>
        <w:rPr>
          <w:highlight w:val="none"/>
        </w:rPr>
      </w:pPr>
    </w:p>
    <w:p w14:paraId="7561641A">
      <w:pPr>
        <w:spacing w:before="68" w:line="219" w:lineRule="auto"/>
        <w:jc w:val="right"/>
        <w:rPr>
          <w:rFonts w:ascii="宋体" w:hAnsi="宋体" w:eastAsia="宋体" w:cs="宋体"/>
          <w:sz w:val="21"/>
          <w:szCs w:val="21"/>
          <w:highlight w:val="none"/>
        </w:rPr>
      </w:pPr>
      <w:r>
        <w:rPr>
          <w:rFonts w:ascii="宋体" w:hAnsi="宋体" w:eastAsia="宋体" w:cs="宋体"/>
          <w:spacing w:val="-1"/>
          <w:sz w:val="21"/>
          <w:szCs w:val="21"/>
          <w:highlight w:val="none"/>
        </w:rPr>
        <w:t>除了经工程师同意需在缺陷责任期内继续工作和使用的人员、施工设备和临时工程外，</w:t>
      </w:r>
    </w:p>
    <w:p w14:paraId="11E2C01D">
      <w:pPr>
        <w:spacing w:line="219" w:lineRule="auto"/>
        <w:rPr>
          <w:rFonts w:ascii="宋体" w:hAnsi="宋体" w:eastAsia="宋体" w:cs="宋体"/>
          <w:sz w:val="21"/>
          <w:szCs w:val="21"/>
          <w:highlight w:val="none"/>
        </w:rPr>
        <w:sectPr>
          <w:footerReference r:id="rId117" w:type="default"/>
          <w:pgSz w:w="11910" w:h="16840"/>
          <w:pgMar w:top="400" w:right="1755" w:bottom="1169" w:left="1779" w:header="0" w:footer="1028" w:gutter="0"/>
          <w:cols w:space="720" w:num="1"/>
        </w:sectPr>
      </w:pPr>
    </w:p>
    <w:p w14:paraId="68FAD8BC">
      <w:pPr>
        <w:pStyle w:val="2"/>
        <w:spacing w:line="275" w:lineRule="auto"/>
        <w:rPr>
          <w:highlight w:val="none"/>
        </w:rPr>
      </w:pPr>
    </w:p>
    <w:p w14:paraId="7BB10B44">
      <w:pPr>
        <w:pStyle w:val="2"/>
        <w:spacing w:line="275" w:lineRule="auto"/>
        <w:rPr>
          <w:highlight w:val="none"/>
        </w:rPr>
      </w:pPr>
    </w:p>
    <w:p w14:paraId="2DE176AE">
      <w:pPr>
        <w:pStyle w:val="2"/>
        <w:spacing w:line="275" w:lineRule="auto"/>
        <w:rPr>
          <w:highlight w:val="none"/>
        </w:rPr>
      </w:pPr>
    </w:p>
    <w:p w14:paraId="784C643C">
      <w:pPr>
        <w:pStyle w:val="2"/>
        <w:spacing w:line="276" w:lineRule="auto"/>
        <w:rPr>
          <w:highlight w:val="none"/>
        </w:rPr>
      </w:pPr>
    </w:p>
    <w:p w14:paraId="5AB62D83">
      <w:pPr>
        <w:spacing w:before="69" w:line="415" w:lineRule="auto"/>
        <w:ind w:right="55"/>
        <w:jc w:val="both"/>
        <w:rPr>
          <w:rFonts w:ascii="宋体" w:hAnsi="宋体" w:eastAsia="宋体" w:cs="宋体"/>
          <w:sz w:val="21"/>
          <w:szCs w:val="21"/>
          <w:highlight w:val="none"/>
        </w:rPr>
      </w:pPr>
      <w:r>
        <w:rPr>
          <w:rFonts w:ascii="宋体" w:hAnsi="宋体" w:eastAsia="宋体" w:cs="宋体"/>
          <w:spacing w:val="-2"/>
          <w:sz w:val="21"/>
          <w:szCs w:val="21"/>
          <w:highlight w:val="none"/>
        </w:rPr>
        <w:t>承包人应按专用合同条件约定和工程师的要求将其余的人员、施工设</w:t>
      </w:r>
      <w:r>
        <w:rPr>
          <w:rFonts w:ascii="宋体" w:hAnsi="宋体" w:eastAsia="宋体" w:cs="宋体"/>
          <w:spacing w:val="-3"/>
          <w:sz w:val="21"/>
          <w:szCs w:val="21"/>
          <w:highlight w:val="none"/>
        </w:rPr>
        <w:t>备和临时工程撤离施工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现场或拆除。除专用合同条件另有约定外，缺陷责任期满时，承包人的人员和施工设备应全</w:t>
      </w:r>
      <w:r>
        <w:rPr>
          <w:rFonts w:ascii="宋体" w:hAnsi="宋体" w:eastAsia="宋体" w:cs="宋体"/>
          <w:spacing w:val="8"/>
          <w:sz w:val="21"/>
          <w:szCs w:val="21"/>
          <w:highlight w:val="none"/>
        </w:rPr>
        <w:t xml:space="preserve"> </w:t>
      </w:r>
      <w:r>
        <w:rPr>
          <w:rFonts w:ascii="宋体" w:hAnsi="宋体" w:eastAsia="宋体" w:cs="宋体"/>
          <w:spacing w:val="-5"/>
          <w:sz w:val="21"/>
          <w:szCs w:val="21"/>
          <w:highlight w:val="none"/>
        </w:rPr>
        <w:t>部撤离施工现场。</w:t>
      </w:r>
    </w:p>
    <w:p w14:paraId="04E8AABA">
      <w:pPr>
        <w:spacing w:before="105" w:line="221" w:lineRule="auto"/>
        <w:rPr>
          <w:rFonts w:ascii="黑体" w:hAnsi="黑体" w:eastAsia="黑体" w:cs="黑体"/>
          <w:sz w:val="28"/>
          <w:szCs w:val="28"/>
          <w:highlight w:val="none"/>
        </w:rPr>
      </w:pPr>
      <w:r>
        <w:rPr>
          <w:rFonts w:ascii="黑体" w:hAnsi="黑体" w:eastAsia="黑体" w:cs="黑体"/>
          <w:spacing w:val="30"/>
          <w:sz w:val="28"/>
          <w:szCs w:val="28"/>
          <w:highlight w:val="none"/>
        </w:rPr>
        <w:t>第11条缺陷责任与保修</w:t>
      </w:r>
    </w:p>
    <w:p w14:paraId="6393190B">
      <w:pPr>
        <w:pStyle w:val="2"/>
        <w:spacing w:line="329" w:lineRule="auto"/>
        <w:rPr>
          <w:highlight w:val="none"/>
        </w:rPr>
      </w:pPr>
    </w:p>
    <w:p w14:paraId="193A5B4B">
      <w:pPr>
        <w:pStyle w:val="2"/>
        <w:spacing w:before="72" w:line="222" w:lineRule="auto"/>
        <w:rPr>
          <w:rFonts w:ascii="黑体" w:hAnsi="黑体" w:eastAsia="黑体" w:cs="黑体"/>
          <w:sz w:val="22"/>
          <w:szCs w:val="22"/>
          <w:highlight w:val="none"/>
        </w:rPr>
      </w:pPr>
      <w:r>
        <w:rPr>
          <w:spacing w:val="-7"/>
          <w:sz w:val="22"/>
          <w:szCs w:val="22"/>
          <w:highlight w:val="none"/>
        </w:rPr>
        <w:t>11.1</w:t>
      </w:r>
      <w:r>
        <w:rPr>
          <w:spacing w:val="36"/>
          <w:sz w:val="22"/>
          <w:szCs w:val="22"/>
          <w:highlight w:val="none"/>
        </w:rPr>
        <w:t xml:space="preserve"> </w:t>
      </w:r>
      <w:r>
        <w:rPr>
          <w:rFonts w:ascii="黑体" w:hAnsi="黑体" w:eastAsia="黑体" w:cs="黑体"/>
          <w:spacing w:val="-7"/>
          <w:sz w:val="22"/>
          <w:szCs w:val="22"/>
          <w:highlight w:val="none"/>
        </w:rPr>
        <w:t>工程保修的原则</w:t>
      </w:r>
    </w:p>
    <w:p w14:paraId="53E300CE">
      <w:pPr>
        <w:spacing w:before="215" w:line="442" w:lineRule="auto"/>
        <w:ind w:right="57" w:firstLine="420"/>
        <w:rPr>
          <w:rFonts w:ascii="宋体" w:hAnsi="宋体" w:eastAsia="宋体" w:cs="宋体"/>
          <w:sz w:val="21"/>
          <w:szCs w:val="21"/>
          <w:highlight w:val="none"/>
        </w:rPr>
      </w:pPr>
      <w:r>
        <w:rPr>
          <w:rFonts w:ascii="宋体" w:hAnsi="宋体" w:eastAsia="宋体" w:cs="宋体"/>
          <w:spacing w:val="-2"/>
          <w:sz w:val="21"/>
          <w:szCs w:val="21"/>
          <w:highlight w:val="none"/>
        </w:rPr>
        <w:t>在工程移交发包人后，因承包人原因产生的质量缺陷，承包人应承担质量缺陷责任和保</w:t>
      </w:r>
      <w:r>
        <w:rPr>
          <w:rFonts w:ascii="宋体" w:hAnsi="宋体" w:eastAsia="宋体" w:cs="宋体"/>
          <w:spacing w:val="2"/>
          <w:sz w:val="21"/>
          <w:szCs w:val="21"/>
          <w:highlight w:val="none"/>
        </w:rPr>
        <w:t xml:space="preserve"> </w:t>
      </w:r>
      <w:r>
        <w:rPr>
          <w:rFonts w:ascii="宋体" w:hAnsi="宋体" w:eastAsia="宋体" w:cs="宋体"/>
          <w:sz w:val="21"/>
          <w:szCs w:val="21"/>
          <w:highlight w:val="none"/>
        </w:rPr>
        <w:t>修义务。缺陷责任期届满，承包人仍应按合同约定的工程各部位保修年限</w:t>
      </w:r>
      <w:r>
        <w:rPr>
          <w:rFonts w:ascii="宋体" w:hAnsi="宋体" w:eastAsia="宋体" w:cs="宋体"/>
          <w:spacing w:val="-1"/>
          <w:sz w:val="21"/>
          <w:szCs w:val="21"/>
          <w:highlight w:val="none"/>
        </w:rPr>
        <w:t>承担保修义务。</w:t>
      </w:r>
    </w:p>
    <w:p w14:paraId="602A811A">
      <w:pPr>
        <w:pStyle w:val="2"/>
        <w:spacing w:before="133" w:line="221" w:lineRule="auto"/>
        <w:rPr>
          <w:rFonts w:ascii="黑体" w:hAnsi="黑体" w:eastAsia="黑体" w:cs="黑体"/>
          <w:sz w:val="22"/>
          <w:szCs w:val="22"/>
          <w:highlight w:val="none"/>
        </w:rPr>
      </w:pPr>
      <w:r>
        <w:rPr>
          <w:spacing w:val="-9"/>
          <w:sz w:val="22"/>
          <w:szCs w:val="22"/>
          <w:highlight w:val="none"/>
        </w:rPr>
        <w:t>11.2</w:t>
      </w:r>
      <w:r>
        <w:rPr>
          <w:spacing w:val="48"/>
          <w:sz w:val="22"/>
          <w:szCs w:val="22"/>
          <w:highlight w:val="none"/>
        </w:rPr>
        <w:t xml:space="preserve"> </w:t>
      </w:r>
      <w:r>
        <w:rPr>
          <w:rFonts w:ascii="黑体" w:hAnsi="黑体" w:eastAsia="黑体" w:cs="黑体"/>
          <w:spacing w:val="-9"/>
          <w:sz w:val="22"/>
          <w:szCs w:val="22"/>
          <w:highlight w:val="none"/>
        </w:rPr>
        <w:t>缺陷责任期</w:t>
      </w:r>
    </w:p>
    <w:p w14:paraId="52936331">
      <w:pPr>
        <w:spacing w:before="189" w:line="426" w:lineRule="auto"/>
        <w:ind w:right="71" w:firstLine="420"/>
        <w:rPr>
          <w:rFonts w:ascii="宋体" w:hAnsi="宋体" w:eastAsia="宋体" w:cs="宋体"/>
          <w:sz w:val="21"/>
          <w:szCs w:val="21"/>
          <w:highlight w:val="none"/>
        </w:rPr>
      </w:pPr>
      <w:r>
        <w:rPr>
          <w:rFonts w:ascii="宋体" w:hAnsi="宋体" w:eastAsia="宋体" w:cs="宋体"/>
          <w:spacing w:val="-2"/>
          <w:sz w:val="21"/>
          <w:szCs w:val="21"/>
          <w:highlight w:val="none"/>
        </w:rPr>
        <w:t>缺陷责任期原则上从工程竣工验收合格之日起计算，合同当</w:t>
      </w:r>
      <w:r>
        <w:rPr>
          <w:rFonts w:ascii="宋体" w:hAnsi="宋体" w:eastAsia="宋体" w:cs="宋体"/>
          <w:spacing w:val="-3"/>
          <w:sz w:val="21"/>
          <w:szCs w:val="21"/>
          <w:highlight w:val="none"/>
        </w:rPr>
        <w:t>事人应在专用合同条件约定</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缺陷责任期的具体期限，但该期限最长不超过24个月。</w:t>
      </w:r>
    </w:p>
    <w:p w14:paraId="1CC11B2B">
      <w:pPr>
        <w:spacing w:before="4" w:line="423" w:lineRule="auto"/>
        <w:ind w:right="73" w:firstLine="420"/>
        <w:rPr>
          <w:rFonts w:ascii="宋体" w:hAnsi="宋体" w:eastAsia="宋体" w:cs="宋体"/>
          <w:sz w:val="21"/>
          <w:szCs w:val="21"/>
          <w:highlight w:val="none"/>
        </w:rPr>
      </w:pPr>
      <w:r>
        <w:rPr>
          <w:rFonts w:ascii="宋体" w:hAnsi="宋体" w:eastAsia="宋体" w:cs="宋体"/>
          <w:spacing w:val="-2"/>
          <w:sz w:val="21"/>
          <w:szCs w:val="21"/>
          <w:highlight w:val="none"/>
        </w:rPr>
        <w:t>单位/区段工程先于全部工程进行验收，经验收合格并</w:t>
      </w:r>
      <w:r>
        <w:rPr>
          <w:rFonts w:ascii="宋体" w:hAnsi="宋体" w:eastAsia="宋体" w:cs="宋体"/>
          <w:spacing w:val="-3"/>
          <w:sz w:val="21"/>
          <w:szCs w:val="21"/>
          <w:highlight w:val="none"/>
        </w:rPr>
        <w:t>交付使用的，该单位/区段工程缺</w:t>
      </w:r>
      <w:r>
        <w:rPr>
          <w:rFonts w:ascii="宋体" w:hAnsi="宋体" w:eastAsia="宋体" w:cs="宋体"/>
          <w:sz w:val="21"/>
          <w:szCs w:val="21"/>
          <w:highlight w:val="none"/>
        </w:rPr>
        <w:t xml:space="preserve"> 陷责任期自单位/区段工程验收合格之日起算。因发包人原因导致工程未在合同约定期限进</w:t>
      </w:r>
      <w:r>
        <w:rPr>
          <w:rFonts w:ascii="宋体" w:hAnsi="宋体" w:eastAsia="宋体" w:cs="宋体"/>
          <w:spacing w:val="11"/>
          <w:sz w:val="21"/>
          <w:szCs w:val="21"/>
          <w:highlight w:val="none"/>
        </w:rPr>
        <w:t xml:space="preserve"> </w:t>
      </w:r>
      <w:r>
        <w:rPr>
          <w:rFonts w:ascii="宋体" w:hAnsi="宋体" w:eastAsia="宋体" w:cs="宋体"/>
          <w:spacing w:val="-2"/>
          <w:sz w:val="21"/>
          <w:szCs w:val="21"/>
          <w:highlight w:val="none"/>
        </w:rPr>
        <w:t>行验收，但工程经验收合格的，以承包人提交竣工验收报告之日起算</w:t>
      </w:r>
      <w:r>
        <w:rPr>
          <w:rFonts w:ascii="宋体" w:hAnsi="宋体" w:eastAsia="宋体" w:cs="宋体"/>
          <w:spacing w:val="-3"/>
          <w:sz w:val="21"/>
          <w:szCs w:val="21"/>
          <w:highlight w:val="none"/>
        </w:rPr>
        <w:t>；因发包人原因导致工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程未能进行竣工验收的，在承包人提交竣工验收报告90天后，工程自动进入缺陷责任期；</w:t>
      </w:r>
      <w:r>
        <w:rPr>
          <w:rFonts w:ascii="宋体" w:hAnsi="宋体" w:eastAsia="宋体" w:cs="宋体"/>
          <w:spacing w:val="3"/>
          <w:sz w:val="21"/>
          <w:szCs w:val="21"/>
          <w:highlight w:val="none"/>
        </w:rPr>
        <w:t xml:space="preserve"> </w:t>
      </w:r>
      <w:r>
        <w:rPr>
          <w:rFonts w:ascii="宋体" w:hAnsi="宋体" w:eastAsia="宋体" w:cs="宋体"/>
          <w:sz w:val="21"/>
          <w:szCs w:val="21"/>
          <w:highlight w:val="none"/>
        </w:rPr>
        <w:t>发包人未经竣工验收擅自使用工程的，缺陷责任</w:t>
      </w:r>
      <w:r>
        <w:rPr>
          <w:rFonts w:ascii="宋体" w:hAnsi="宋体" w:eastAsia="宋体" w:cs="宋体"/>
          <w:spacing w:val="-1"/>
          <w:sz w:val="21"/>
          <w:szCs w:val="21"/>
          <w:highlight w:val="none"/>
        </w:rPr>
        <w:t>期自工程转移占有之日起开始计算。</w:t>
      </w:r>
    </w:p>
    <w:p w14:paraId="01FBB457">
      <w:pPr>
        <w:spacing w:before="2" w:line="414" w:lineRule="auto"/>
        <w:ind w:firstLine="420"/>
        <w:jc w:val="both"/>
        <w:rPr>
          <w:rFonts w:ascii="宋体" w:hAnsi="宋体" w:eastAsia="宋体" w:cs="宋体"/>
          <w:sz w:val="21"/>
          <w:szCs w:val="21"/>
          <w:highlight w:val="none"/>
        </w:rPr>
      </w:pPr>
      <w:r>
        <w:rPr>
          <w:rFonts w:ascii="宋体" w:hAnsi="宋体" w:eastAsia="宋体" w:cs="宋体"/>
          <w:spacing w:val="3"/>
          <w:sz w:val="21"/>
          <w:szCs w:val="21"/>
          <w:highlight w:val="none"/>
        </w:rPr>
        <w:t>由于承包人原因造成某项缺陷或损坏使某项工程或工程设备不能</w:t>
      </w:r>
      <w:r>
        <w:rPr>
          <w:rFonts w:ascii="宋体" w:hAnsi="宋体" w:eastAsia="宋体" w:cs="宋体"/>
          <w:spacing w:val="2"/>
          <w:sz w:val="21"/>
          <w:szCs w:val="21"/>
          <w:highlight w:val="none"/>
        </w:rPr>
        <w:t>按原定目标使用而需</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要再次检查、检验和修复的，发包人有权要求</w:t>
      </w:r>
      <w:r>
        <w:rPr>
          <w:rFonts w:ascii="宋体" w:hAnsi="宋体" w:eastAsia="宋体" w:cs="宋体"/>
          <w:spacing w:val="-6"/>
          <w:sz w:val="21"/>
          <w:szCs w:val="21"/>
          <w:highlight w:val="none"/>
        </w:rPr>
        <w:t>承包人延长该项工程或工程设备的缺陷责任期，</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并应在原缺陷责任期届满前发出延长通知。但缺陷责任</w:t>
      </w:r>
      <w:r>
        <w:rPr>
          <w:rFonts w:ascii="宋体" w:hAnsi="宋体" w:eastAsia="宋体" w:cs="宋体"/>
          <w:spacing w:val="2"/>
          <w:sz w:val="21"/>
          <w:szCs w:val="21"/>
          <w:highlight w:val="none"/>
        </w:rPr>
        <w:t>期最长不超过24个月。</w:t>
      </w:r>
    </w:p>
    <w:p w14:paraId="6471C809">
      <w:pPr>
        <w:pStyle w:val="2"/>
        <w:spacing w:before="170" w:line="259" w:lineRule="exact"/>
        <w:rPr>
          <w:rFonts w:ascii="黑体" w:hAnsi="黑体" w:eastAsia="黑体" w:cs="黑体"/>
          <w:sz w:val="19"/>
          <w:szCs w:val="19"/>
          <w:highlight w:val="none"/>
        </w:rPr>
      </w:pPr>
      <w:r>
        <w:rPr>
          <w:spacing w:val="8"/>
          <w:position w:val="1"/>
          <w:sz w:val="19"/>
          <w:szCs w:val="19"/>
          <w:highlight w:val="none"/>
        </w:rPr>
        <w:t>11.3</w:t>
      </w:r>
      <w:r>
        <w:rPr>
          <w:spacing w:val="1"/>
          <w:position w:val="1"/>
          <w:sz w:val="19"/>
          <w:szCs w:val="19"/>
          <w:highlight w:val="none"/>
        </w:rPr>
        <w:t xml:space="preserve">   </w:t>
      </w:r>
      <w:r>
        <w:rPr>
          <w:rFonts w:ascii="黑体" w:hAnsi="黑体" w:eastAsia="黑体" w:cs="黑体"/>
          <w:spacing w:val="8"/>
          <w:position w:val="1"/>
          <w:sz w:val="19"/>
          <w:szCs w:val="19"/>
          <w:highlight w:val="none"/>
        </w:rPr>
        <w:t>缺陷调查</w:t>
      </w:r>
    </w:p>
    <w:p w14:paraId="0D6BBFAD">
      <w:pPr>
        <w:spacing w:before="116" w:line="219" w:lineRule="auto"/>
        <w:ind w:left="42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 xml:space="preserve">11.3.1    </w:t>
      </w:r>
      <w:r>
        <w:rPr>
          <w:rFonts w:ascii="宋体" w:hAnsi="宋体" w:eastAsia="宋体" w:cs="宋体"/>
          <w:spacing w:val="5"/>
          <w:sz w:val="20"/>
          <w:szCs w:val="20"/>
          <w:highlight w:val="none"/>
        </w:rPr>
        <w:t>承包人缺陷调查</w:t>
      </w:r>
    </w:p>
    <w:p w14:paraId="65DDB0EC">
      <w:pPr>
        <w:pStyle w:val="2"/>
        <w:spacing w:line="371" w:lineRule="auto"/>
        <w:rPr>
          <w:highlight w:val="none"/>
        </w:rPr>
      </w:pPr>
    </w:p>
    <w:p w14:paraId="352DEDAA">
      <w:pPr>
        <w:spacing w:before="69" w:line="410" w:lineRule="auto"/>
        <w:ind w:right="75"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如果发包人指示承包人调查任何缺陷的原因，承包</w:t>
      </w:r>
      <w:r>
        <w:rPr>
          <w:rFonts w:ascii="宋体" w:hAnsi="宋体" w:eastAsia="宋体" w:cs="宋体"/>
          <w:spacing w:val="-3"/>
          <w:sz w:val="21"/>
          <w:szCs w:val="21"/>
          <w:highlight w:val="none"/>
        </w:rPr>
        <w:t>人应在发包人的指导下进行调查。承</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包人应在发包人指示中说明的日期或与发包人达成一致的其他</w:t>
      </w:r>
      <w:r>
        <w:rPr>
          <w:rFonts w:ascii="宋体" w:hAnsi="宋体" w:eastAsia="宋体" w:cs="宋体"/>
          <w:spacing w:val="-3"/>
          <w:sz w:val="21"/>
          <w:szCs w:val="21"/>
          <w:highlight w:val="none"/>
        </w:rPr>
        <w:t>日期开展调查。除非该缺陷应</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由承包人负责自费进行修补，承包人有权就调查的成本和利润获得支付。</w:t>
      </w:r>
    </w:p>
    <w:p w14:paraId="71695362">
      <w:pPr>
        <w:spacing w:before="32" w:line="384" w:lineRule="auto"/>
        <w:ind w:right="47"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如果承包人未能根据本款开展调查，该调查可由发包人开展。但应将上述调查开展的日</w:t>
      </w:r>
      <w:r>
        <w:rPr>
          <w:rFonts w:ascii="宋体" w:hAnsi="宋体" w:eastAsia="宋体" w:cs="宋体"/>
          <w:spacing w:val="12"/>
          <w:sz w:val="21"/>
          <w:szCs w:val="21"/>
          <w:highlight w:val="none"/>
        </w:rPr>
        <w:t xml:space="preserve"> </w:t>
      </w:r>
      <w:r>
        <w:rPr>
          <w:rFonts w:ascii="宋体" w:hAnsi="宋体" w:eastAsia="宋体" w:cs="宋体"/>
          <w:spacing w:val="-2"/>
          <w:sz w:val="21"/>
          <w:szCs w:val="21"/>
          <w:highlight w:val="none"/>
        </w:rPr>
        <w:t>期通知承包人，承包人可自费参加调查。如果该缺陷应由承包人自</w:t>
      </w:r>
      <w:r>
        <w:rPr>
          <w:rFonts w:ascii="宋体" w:hAnsi="宋体" w:eastAsia="宋体" w:cs="宋体"/>
          <w:spacing w:val="-3"/>
          <w:sz w:val="21"/>
          <w:szCs w:val="21"/>
          <w:highlight w:val="none"/>
        </w:rPr>
        <w:t>费进行修补，则发包人有</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权要求承包人支付发包人因调查产生的合理费用。</w:t>
      </w:r>
    </w:p>
    <w:p w14:paraId="22B666BC">
      <w:pPr>
        <w:spacing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11.3.2</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7"/>
          <w:sz w:val="22"/>
          <w:szCs w:val="22"/>
          <w:highlight w:val="none"/>
        </w:rPr>
        <w:t>缺陷责任</w:t>
      </w:r>
    </w:p>
    <w:p w14:paraId="797B6C80">
      <w:pPr>
        <w:spacing w:line="219" w:lineRule="auto"/>
        <w:rPr>
          <w:rFonts w:ascii="宋体" w:hAnsi="宋体" w:eastAsia="宋体" w:cs="宋体"/>
          <w:sz w:val="22"/>
          <w:szCs w:val="22"/>
          <w:highlight w:val="none"/>
        </w:rPr>
        <w:sectPr>
          <w:footerReference r:id="rId118" w:type="default"/>
          <w:pgSz w:w="11910" w:h="16840"/>
          <w:pgMar w:top="400" w:right="1744" w:bottom="1238" w:left="1779" w:header="0" w:footer="1007" w:gutter="0"/>
          <w:cols w:space="720" w:num="1"/>
        </w:sectPr>
      </w:pPr>
    </w:p>
    <w:p w14:paraId="0D746C12">
      <w:pPr>
        <w:pStyle w:val="2"/>
        <w:spacing w:line="275" w:lineRule="auto"/>
        <w:rPr>
          <w:highlight w:val="none"/>
        </w:rPr>
      </w:pPr>
    </w:p>
    <w:p w14:paraId="6FA7F678">
      <w:pPr>
        <w:pStyle w:val="2"/>
        <w:spacing w:line="275" w:lineRule="auto"/>
        <w:rPr>
          <w:highlight w:val="none"/>
        </w:rPr>
      </w:pPr>
    </w:p>
    <w:p w14:paraId="78FE06AD">
      <w:pPr>
        <w:pStyle w:val="2"/>
        <w:spacing w:line="276" w:lineRule="auto"/>
        <w:rPr>
          <w:highlight w:val="none"/>
        </w:rPr>
      </w:pPr>
    </w:p>
    <w:p w14:paraId="520C650A">
      <w:pPr>
        <w:pStyle w:val="2"/>
        <w:spacing w:line="276" w:lineRule="auto"/>
        <w:rPr>
          <w:highlight w:val="none"/>
        </w:rPr>
      </w:pPr>
    </w:p>
    <w:p w14:paraId="6C95D8CD">
      <w:pPr>
        <w:spacing w:before="69" w:line="394" w:lineRule="auto"/>
        <w:ind w:firstLine="440"/>
        <w:jc w:val="both"/>
        <w:rPr>
          <w:rFonts w:ascii="宋体" w:hAnsi="宋体" w:eastAsia="宋体" w:cs="宋体"/>
          <w:sz w:val="21"/>
          <w:szCs w:val="21"/>
          <w:highlight w:val="none"/>
        </w:rPr>
      </w:pPr>
      <w:r>
        <w:rPr>
          <w:rFonts w:ascii="宋体" w:hAnsi="宋体" w:eastAsia="宋体" w:cs="宋体"/>
          <w:spacing w:val="-5"/>
          <w:sz w:val="21"/>
          <w:szCs w:val="21"/>
          <w:highlight w:val="none"/>
        </w:rPr>
        <w:t>缺陷责任期内，由承包人原因造成的缺陷，承包人应负责维修，</w:t>
      </w:r>
      <w:r>
        <w:rPr>
          <w:rFonts w:ascii="宋体" w:hAnsi="宋体" w:eastAsia="宋体" w:cs="宋体"/>
          <w:spacing w:val="-6"/>
          <w:sz w:val="21"/>
          <w:szCs w:val="21"/>
          <w:highlight w:val="none"/>
        </w:rPr>
        <w:t>并承担鉴定及维修费用。</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如承包人不维修也不承担费用，发包人可按合同约定从质量保证金中扣除，费用超出质量保</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证金金额的，发包人可按合同约定向承包人进行索赔。承包人维修并承担相应费用后，不免</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除对工程的损失赔偿责任。发包人在使用过程中，发现已修补的缺陷部位或部件还存在质量</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缺陷的，承包人应负责修复，直至检验合格为止。</w:t>
      </w:r>
    </w:p>
    <w:p w14:paraId="36A3B8E3">
      <w:pPr>
        <w:spacing w:line="219" w:lineRule="auto"/>
        <w:ind w:left="440"/>
        <w:rPr>
          <w:rFonts w:ascii="宋体" w:hAnsi="宋体" w:eastAsia="宋体" w:cs="宋体"/>
          <w:sz w:val="22"/>
          <w:szCs w:val="22"/>
          <w:highlight w:val="none"/>
        </w:rPr>
      </w:pPr>
      <w:r>
        <w:rPr>
          <w:rFonts w:ascii="宋体" w:hAnsi="宋体" w:eastAsia="宋体" w:cs="宋体"/>
          <w:spacing w:val="2"/>
          <w:sz w:val="22"/>
          <w:szCs w:val="22"/>
          <w:highlight w:val="none"/>
        </w:rPr>
        <w:t>11.3.3修复费用</w:t>
      </w:r>
    </w:p>
    <w:p w14:paraId="72D30243">
      <w:pPr>
        <w:pStyle w:val="2"/>
        <w:spacing w:line="357" w:lineRule="auto"/>
        <w:rPr>
          <w:highlight w:val="none"/>
        </w:rPr>
      </w:pPr>
    </w:p>
    <w:p w14:paraId="52D2C014">
      <w:pPr>
        <w:spacing w:before="68" w:line="387" w:lineRule="auto"/>
        <w:ind w:right="95" w:firstLine="440"/>
        <w:jc w:val="both"/>
        <w:rPr>
          <w:rFonts w:ascii="宋体" w:hAnsi="宋体" w:eastAsia="宋体" w:cs="宋体"/>
          <w:sz w:val="21"/>
          <w:szCs w:val="21"/>
          <w:highlight w:val="none"/>
        </w:rPr>
      </w:pPr>
      <w:r>
        <w:rPr>
          <w:rFonts w:ascii="宋体" w:hAnsi="宋体" w:eastAsia="宋体" w:cs="宋体"/>
          <w:spacing w:val="-2"/>
          <w:sz w:val="21"/>
          <w:szCs w:val="21"/>
          <w:highlight w:val="none"/>
        </w:rPr>
        <w:t>发包人和承包人应共同查清缺陷或损坏的原因。经</w:t>
      </w:r>
      <w:r>
        <w:rPr>
          <w:rFonts w:ascii="宋体" w:hAnsi="宋体" w:eastAsia="宋体" w:cs="宋体"/>
          <w:spacing w:val="-3"/>
          <w:sz w:val="21"/>
          <w:szCs w:val="21"/>
          <w:highlight w:val="none"/>
        </w:rPr>
        <w:t>查明属承包人原因造成的，应由承包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人承担修复的费用。经查验非承包人原因造成的，发包人应承担修复的费用，并支付承包人</w:t>
      </w:r>
      <w:r>
        <w:rPr>
          <w:rFonts w:ascii="宋体" w:hAnsi="宋体" w:eastAsia="宋体" w:cs="宋体"/>
          <w:spacing w:val="8"/>
          <w:sz w:val="21"/>
          <w:szCs w:val="21"/>
          <w:highlight w:val="none"/>
        </w:rPr>
        <w:t xml:space="preserve"> </w:t>
      </w:r>
      <w:r>
        <w:rPr>
          <w:rFonts w:ascii="宋体" w:hAnsi="宋体" w:eastAsia="宋体" w:cs="宋体"/>
          <w:spacing w:val="-7"/>
          <w:sz w:val="21"/>
          <w:szCs w:val="21"/>
          <w:highlight w:val="none"/>
        </w:rPr>
        <w:t>合理利润。</w:t>
      </w:r>
    </w:p>
    <w:p w14:paraId="3E14F444">
      <w:pPr>
        <w:spacing w:line="219" w:lineRule="auto"/>
        <w:ind w:left="440"/>
        <w:rPr>
          <w:rFonts w:ascii="宋体" w:hAnsi="宋体" w:eastAsia="宋体" w:cs="宋体"/>
          <w:sz w:val="22"/>
          <w:szCs w:val="22"/>
          <w:highlight w:val="none"/>
        </w:rPr>
      </w:pPr>
      <w:r>
        <w:rPr>
          <w:rFonts w:ascii="宋体" w:hAnsi="宋体" w:eastAsia="宋体" w:cs="宋体"/>
          <w:spacing w:val="1"/>
          <w:sz w:val="22"/>
          <w:szCs w:val="22"/>
          <w:highlight w:val="none"/>
        </w:rPr>
        <w:t>11.3.4修复通知</w:t>
      </w:r>
    </w:p>
    <w:p w14:paraId="473ECE07">
      <w:pPr>
        <w:pStyle w:val="2"/>
        <w:spacing w:line="355" w:lineRule="auto"/>
        <w:rPr>
          <w:highlight w:val="none"/>
        </w:rPr>
      </w:pPr>
    </w:p>
    <w:p w14:paraId="1AF810CB">
      <w:pPr>
        <w:spacing w:before="68" w:line="396" w:lineRule="auto"/>
        <w:ind w:right="96" w:firstLine="440"/>
        <w:jc w:val="both"/>
        <w:rPr>
          <w:rFonts w:ascii="宋体" w:hAnsi="宋体" w:eastAsia="宋体" w:cs="宋体"/>
          <w:sz w:val="21"/>
          <w:szCs w:val="21"/>
          <w:highlight w:val="none"/>
        </w:rPr>
      </w:pPr>
      <w:r>
        <w:rPr>
          <w:rFonts w:ascii="宋体" w:hAnsi="宋体" w:eastAsia="宋体" w:cs="宋体"/>
          <w:spacing w:val="-2"/>
          <w:sz w:val="21"/>
          <w:szCs w:val="21"/>
          <w:highlight w:val="none"/>
        </w:rPr>
        <w:t>在缺陷责任期内，发包人在使用过程中，发现已</w:t>
      </w:r>
      <w:r>
        <w:rPr>
          <w:rFonts w:ascii="宋体" w:hAnsi="宋体" w:eastAsia="宋体" w:cs="宋体"/>
          <w:spacing w:val="-3"/>
          <w:sz w:val="21"/>
          <w:szCs w:val="21"/>
          <w:highlight w:val="none"/>
        </w:rPr>
        <w:t>接收的工程存在缺陷或损坏的，应书面</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通知承包人予以修复，但情况紧急必须立即修复缺陷或损坏的，发包人可以口头通知承包人</w:t>
      </w:r>
      <w:r>
        <w:rPr>
          <w:rFonts w:ascii="宋体" w:hAnsi="宋体" w:eastAsia="宋体" w:cs="宋体"/>
          <w:spacing w:val="8"/>
          <w:sz w:val="21"/>
          <w:szCs w:val="21"/>
          <w:highlight w:val="none"/>
        </w:rPr>
        <w:t xml:space="preserve"> </w:t>
      </w:r>
      <w:r>
        <w:rPr>
          <w:rFonts w:ascii="宋体" w:hAnsi="宋体" w:eastAsia="宋体" w:cs="宋体"/>
          <w:spacing w:val="3"/>
          <w:sz w:val="21"/>
          <w:szCs w:val="21"/>
          <w:highlight w:val="none"/>
        </w:rPr>
        <w:t>并在口头通知后48小时内书面确认，承包人应在专用合同条件约定的合理期限内到达工程</w:t>
      </w:r>
      <w:r>
        <w:rPr>
          <w:rFonts w:ascii="宋体" w:hAnsi="宋体" w:eastAsia="宋体" w:cs="宋体"/>
          <w:spacing w:val="16"/>
          <w:sz w:val="21"/>
          <w:szCs w:val="21"/>
          <w:highlight w:val="none"/>
        </w:rPr>
        <w:t xml:space="preserve"> </w:t>
      </w:r>
      <w:r>
        <w:rPr>
          <w:rFonts w:ascii="宋体" w:hAnsi="宋体" w:eastAsia="宋体" w:cs="宋体"/>
          <w:spacing w:val="-4"/>
          <w:sz w:val="21"/>
          <w:szCs w:val="21"/>
          <w:highlight w:val="none"/>
        </w:rPr>
        <w:t>现场并修复缺陷或损坏。</w:t>
      </w:r>
    </w:p>
    <w:p w14:paraId="2FCD0D9B">
      <w:pPr>
        <w:spacing w:line="219" w:lineRule="auto"/>
        <w:ind w:left="440"/>
        <w:rPr>
          <w:rFonts w:ascii="宋体" w:hAnsi="宋体" w:eastAsia="宋体" w:cs="宋体"/>
          <w:sz w:val="20"/>
          <w:szCs w:val="20"/>
          <w:highlight w:val="none"/>
        </w:rPr>
      </w:pPr>
      <w:r>
        <w:rPr>
          <w:rFonts w:ascii="Times New Roman" w:hAnsi="Times New Roman" w:eastAsia="Times New Roman" w:cs="Times New Roman"/>
          <w:spacing w:val="3"/>
          <w:sz w:val="20"/>
          <w:szCs w:val="20"/>
          <w:highlight w:val="none"/>
        </w:rPr>
        <w:t>11.3.5</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3"/>
          <w:sz w:val="20"/>
          <w:szCs w:val="20"/>
          <w:highlight w:val="none"/>
        </w:rPr>
        <w:t>在现场外修复</w:t>
      </w:r>
    </w:p>
    <w:p w14:paraId="5D63FB10">
      <w:pPr>
        <w:pStyle w:val="2"/>
        <w:spacing w:line="393" w:lineRule="auto"/>
        <w:rPr>
          <w:highlight w:val="none"/>
        </w:rPr>
      </w:pPr>
    </w:p>
    <w:p w14:paraId="0BF59C12">
      <w:pPr>
        <w:spacing w:before="69" w:line="393" w:lineRule="auto"/>
        <w:ind w:right="96" w:firstLine="440"/>
        <w:jc w:val="both"/>
        <w:rPr>
          <w:rFonts w:ascii="宋体" w:hAnsi="宋体" w:eastAsia="宋体" w:cs="宋体"/>
          <w:sz w:val="21"/>
          <w:szCs w:val="21"/>
          <w:highlight w:val="none"/>
        </w:rPr>
      </w:pPr>
      <w:r>
        <w:rPr>
          <w:rFonts w:ascii="宋体" w:hAnsi="宋体" w:eastAsia="宋体" w:cs="宋体"/>
          <w:spacing w:val="-2"/>
          <w:sz w:val="21"/>
          <w:szCs w:val="21"/>
          <w:highlight w:val="none"/>
        </w:rPr>
        <w:t>在缺陷责任期内，承包人认为设备中的缺陷或损</w:t>
      </w:r>
      <w:r>
        <w:rPr>
          <w:rFonts w:ascii="宋体" w:hAnsi="宋体" w:eastAsia="宋体" w:cs="宋体"/>
          <w:spacing w:val="-3"/>
          <w:sz w:val="21"/>
          <w:szCs w:val="21"/>
          <w:highlight w:val="none"/>
        </w:rPr>
        <w:t>害不能在现场得到迅速修复，承包人应</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当向发包人发出通知，请求发包人同意把这些有缺陷或者损害的设备移出现场进行修复，通</w:t>
      </w:r>
      <w:r>
        <w:rPr>
          <w:rFonts w:ascii="宋体" w:hAnsi="宋体" w:eastAsia="宋体" w:cs="宋体"/>
          <w:spacing w:val="17"/>
          <w:sz w:val="21"/>
          <w:szCs w:val="21"/>
          <w:highlight w:val="none"/>
        </w:rPr>
        <w:t xml:space="preserve"> </w:t>
      </w:r>
      <w:r>
        <w:rPr>
          <w:rFonts w:ascii="宋体" w:hAnsi="宋体" w:eastAsia="宋体" w:cs="宋体"/>
          <w:spacing w:val="-3"/>
          <w:sz w:val="21"/>
          <w:szCs w:val="21"/>
          <w:highlight w:val="none"/>
        </w:rPr>
        <w:t>知应当注明有缺陷或者损害的设备及维修的相关内容，发包人可要求承包人按移出设备的全</w:t>
      </w:r>
      <w:r>
        <w:rPr>
          <w:rFonts w:ascii="宋体" w:hAnsi="宋体" w:eastAsia="宋体" w:cs="宋体"/>
          <w:spacing w:val="18"/>
          <w:sz w:val="21"/>
          <w:szCs w:val="21"/>
          <w:highlight w:val="none"/>
        </w:rPr>
        <w:t xml:space="preserve"> </w:t>
      </w:r>
      <w:r>
        <w:rPr>
          <w:rFonts w:ascii="宋体" w:hAnsi="宋体" w:eastAsia="宋体" w:cs="宋体"/>
          <w:spacing w:val="-3"/>
          <w:sz w:val="21"/>
          <w:szCs w:val="21"/>
          <w:highlight w:val="none"/>
        </w:rPr>
        <w:t>部重置成本增加质量保证金的数额。</w:t>
      </w:r>
    </w:p>
    <w:p w14:paraId="3038E8DE">
      <w:pPr>
        <w:spacing w:before="1" w:line="219" w:lineRule="auto"/>
        <w:ind w:left="440"/>
        <w:rPr>
          <w:rFonts w:ascii="宋体" w:hAnsi="宋体" w:eastAsia="宋体" w:cs="宋体"/>
          <w:sz w:val="20"/>
          <w:szCs w:val="20"/>
          <w:highlight w:val="none"/>
        </w:rPr>
      </w:pPr>
      <w:r>
        <w:rPr>
          <w:rFonts w:ascii="宋体" w:hAnsi="宋体" w:eastAsia="宋体" w:cs="宋体"/>
          <w:spacing w:val="14"/>
          <w:sz w:val="20"/>
          <w:szCs w:val="20"/>
          <w:highlight w:val="none"/>
        </w:rPr>
        <w:t>11.3.6未能修复</w:t>
      </w:r>
    </w:p>
    <w:p w14:paraId="3036CEB9">
      <w:pPr>
        <w:pStyle w:val="2"/>
        <w:spacing w:line="395" w:lineRule="auto"/>
        <w:rPr>
          <w:highlight w:val="none"/>
        </w:rPr>
      </w:pPr>
    </w:p>
    <w:p w14:paraId="20B52FBC">
      <w:pPr>
        <w:spacing w:before="65" w:line="434" w:lineRule="auto"/>
        <w:ind w:right="92" w:firstLine="440"/>
        <w:jc w:val="both"/>
        <w:rPr>
          <w:rFonts w:ascii="宋体" w:hAnsi="宋体" w:eastAsia="宋体" w:cs="宋体"/>
          <w:sz w:val="20"/>
          <w:szCs w:val="20"/>
          <w:highlight w:val="none"/>
        </w:rPr>
      </w:pPr>
      <w:r>
        <w:rPr>
          <w:rFonts w:ascii="宋体" w:hAnsi="宋体" w:eastAsia="宋体" w:cs="宋体"/>
          <w:spacing w:val="8"/>
          <w:sz w:val="20"/>
          <w:szCs w:val="20"/>
          <w:highlight w:val="none"/>
        </w:rPr>
        <w:t>因承包人原因造成工程的缺陷或损坏，承包人拒绝</w:t>
      </w:r>
      <w:r>
        <w:rPr>
          <w:rFonts w:ascii="宋体" w:hAnsi="宋体" w:eastAsia="宋体" w:cs="宋体"/>
          <w:spacing w:val="7"/>
          <w:sz w:val="20"/>
          <w:szCs w:val="20"/>
          <w:highlight w:val="none"/>
        </w:rPr>
        <w:t>维修或未能在合理期限内修复缺陷或</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损坏，且经发包人书面催告后仍未修复的，发包人有权自行修复或委托第三方修复，所需费</w:t>
      </w:r>
      <w:r>
        <w:rPr>
          <w:rFonts w:ascii="宋体" w:hAnsi="宋体" w:eastAsia="宋体" w:cs="宋体"/>
          <w:spacing w:val="11"/>
          <w:sz w:val="20"/>
          <w:szCs w:val="20"/>
          <w:highlight w:val="none"/>
        </w:rPr>
        <w:t xml:space="preserve"> </w:t>
      </w:r>
      <w:r>
        <w:rPr>
          <w:rFonts w:ascii="宋体" w:hAnsi="宋体" w:eastAsia="宋体" w:cs="宋体"/>
          <w:spacing w:val="8"/>
          <w:sz w:val="20"/>
          <w:szCs w:val="20"/>
          <w:highlight w:val="none"/>
        </w:rPr>
        <w:t xml:space="preserve">用由承包人承担。但修复范围超出缺陷或损坏范围的，超出范围部分的修复费用由发包人承 </w:t>
      </w:r>
      <w:r>
        <w:rPr>
          <w:rFonts w:ascii="宋体" w:hAnsi="宋体" w:eastAsia="宋体" w:cs="宋体"/>
          <w:spacing w:val="-3"/>
          <w:sz w:val="20"/>
          <w:szCs w:val="20"/>
          <w:highlight w:val="none"/>
        </w:rPr>
        <w:t>担。</w:t>
      </w:r>
    </w:p>
    <w:p w14:paraId="74203033">
      <w:pPr>
        <w:spacing w:line="413" w:lineRule="auto"/>
        <w:ind w:right="96" w:firstLine="440"/>
        <w:rPr>
          <w:rFonts w:ascii="宋体" w:hAnsi="宋体" w:eastAsia="宋体" w:cs="宋体"/>
          <w:sz w:val="22"/>
          <w:szCs w:val="22"/>
          <w:highlight w:val="none"/>
        </w:rPr>
      </w:pPr>
      <w:r>
        <w:rPr>
          <w:rFonts w:ascii="宋体" w:hAnsi="宋体" w:eastAsia="宋体" w:cs="宋体"/>
          <w:spacing w:val="-12"/>
          <w:sz w:val="22"/>
          <w:szCs w:val="22"/>
          <w:highlight w:val="none"/>
        </w:rPr>
        <w:t>如果工程或工程设备的缺陷或损害使发包人实质</w:t>
      </w:r>
      <w:r>
        <w:rPr>
          <w:rFonts w:ascii="宋体" w:hAnsi="宋体" w:eastAsia="宋体" w:cs="宋体"/>
          <w:spacing w:val="-13"/>
          <w:sz w:val="22"/>
          <w:szCs w:val="22"/>
          <w:highlight w:val="none"/>
        </w:rPr>
        <w:t>上失去了工程的整体功能，发包人有权</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向承包人追回已支付的工程款项，并要求其赔偿发包人相应损失。</w:t>
      </w:r>
    </w:p>
    <w:p w14:paraId="14C54B85">
      <w:pPr>
        <w:spacing w:before="144" w:line="221" w:lineRule="auto"/>
        <w:rPr>
          <w:rFonts w:ascii="黑体" w:hAnsi="黑体" w:eastAsia="黑体" w:cs="黑体"/>
          <w:sz w:val="22"/>
          <w:szCs w:val="22"/>
          <w:highlight w:val="none"/>
        </w:rPr>
      </w:pPr>
      <w:r>
        <w:rPr>
          <w:rFonts w:ascii="黑体" w:hAnsi="黑体" w:eastAsia="黑体" w:cs="黑体"/>
          <w:spacing w:val="-3"/>
          <w:sz w:val="22"/>
          <w:szCs w:val="22"/>
          <w:highlight w:val="none"/>
        </w:rPr>
        <w:t>11.4缺陷修复后的进一步试验</w:t>
      </w:r>
    </w:p>
    <w:p w14:paraId="16EB54DD">
      <w:pPr>
        <w:spacing w:before="216" w:line="218" w:lineRule="auto"/>
        <w:ind w:left="440"/>
        <w:rPr>
          <w:rFonts w:ascii="宋体" w:hAnsi="宋体" w:eastAsia="宋体" w:cs="宋体"/>
          <w:sz w:val="21"/>
          <w:szCs w:val="21"/>
          <w:highlight w:val="none"/>
        </w:rPr>
      </w:pPr>
      <w:r>
        <w:rPr>
          <w:rFonts w:ascii="宋体" w:hAnsi="宋体" w:eastAsia="宋体" w:cs="宋体"/>
          <w:spacing w:val="1"/>
          <w:sz w:val="21"/>
          <w:szCs w:val="21"/>
          <w:highlight w:val="none"/>
        </w:rPr>
        <w:t>任何一项缺陷修补后的7天内，承包人应向发包人发出通知，告知已修补的情况。如根</w:t>
      </w:r>
    </w:p>
    <w:p w14:paraId="458FE120">
      <w:pPr>
        <w:spacing w:line="218" w:lineRule="auto"/>
        <w:rPr>
          <w:rFonts w:ascii="宋体" w:hAnsi="宋体" w:eastAsia="宋体" w:cs="宋体"/>
          <w:sz w:val="21"/>
          <w:szCs w:val="21"/>
          <w:highlight w:val="none"/>
        </w:rPr>
        <w:sectPr>
          <w:footerReference r:id="rId119" w:type="default"/>
          <w:pgSz w:w="11910" w:h="16840"/>
          <w:pgMar w:top="400" w:right="1714" w:bottom="1169" w:left="1769" w:header="0" w:footer="1028" w:gutter="0"/>
          <w:cols w:space="720" w:num="1"/>
        </w:sectPr>
      </w:pPr>
    </w:p>
    <w:p w14:paraId="4369FB68">
      <w:pPr>
        <w:pStyle w:val="2"/>
        <w:spacing w:line="273" w:lineRule="auto"/>
        <w:rPr>
          <w:highlight w:val="none"/>
        </w:rPr>
      </w:pPr>
    </w:p>
    <w:p w14:paraId="49CDC151">
      <w:pPr>
        <w:pStyle w:val="2"/>
        <w:spacing w:line="273" w:lineRule="auto"/>
        <w:rPr>
          <w:highlight w:val="none"/>
        </w:rPr>
      </w:pPr>
    </w:p>
    <w:p w14:paraId="2D32923F">
      <w:pPr>
        <w:pStyle w:val="2"/>
        <w:spacing w:line="274" w:lineRule="auto"/>
        <w:rPr>
          <w:highlight w:val="none"/>
        </w:rPr>
      </w:pPr>
    </w:p>
    <w:p w14:paraId="75EF8E26">
      <w:pPr>
        <w:pStyle w:val="2"/>
        <w:spacing w:line="274" w:lineRule="auto"/>
        <w:rPr>
          <w:highlight w:val="none"/>
        </w:rPr>
      </w:pPr>
    </w:p>
    <w:p w14:paraId="4CAB6A57">
      <w:pPr>
        <w:spacing w:before="69" w:line="415" w:lineRule="auto"/>
        <w:ind w:right="50"/>
        <w:rPr>
          <w:rFonts w:ascii="宋体" w:hAnsi="宋体" w:eastAsia="宋体" w:cs="宋体"/>
          <w:sz w:val="21"/>
          <w:szCs w:val="21"/>
          <w:highlight w:val="none"/>
        </w:rPr>
      </w:pPr>
      <w:bookmarkStart w:id="95" w:name="bookmark225"/>
      <w:bookmarkEnd w:id="95"/>
      <w:r>
        <w:rPr>
          <w:rFonts w:ascii="宋体" w:hAnsi="宋体" w:eastAsia="宋体" w:cs="宋体"/>
          <w:spacing w:val="5"/>
          <w:sz w:val="21"/>
          <w:szCs w:val="21"/>
          <w:highlight w:val="none"/>
        </w:rPr>
        <w:t>据第9条[竣工试验]或第12条[竣工后试验]的规定适用重新试验的，还应建议重新试</w:t>
      </w:r>
      <w:r>
        <w:rPr>
          <w:rFonts w:ascii="宋体" w:hAnsi="宋体" w:eastAsia="宋体" w:cs="宋体"/>
          <w:spacing w:val="4"/>
          <w:sz w:val="21"/>
          <w:szCs w:val="21"/>
          <w:highlight w:val="none"/>
        </w:rPr>
        <w:t>验。</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发包人应在收到重新试验的通知后14天内答复，逾期未进行答复的视为同意重新试验。承</w:t>
      </w:r>
      <w:r>
        <w:rPr>
          <w:rFonts w:ascii="宋体" w:hAnsi="宋体" w:eastAsia="宋体" w:cs="宋体"/>
          <w:spacing w:val="8"/>
          <w:sz w:val="21"/>
          <w:szCs w:val="21"/>
          <w:highlight w:val="none"/>
        </w:rPr>
        <w:t xml:space="preserve"> </w:t>
      </w:r>
      <w:r>
        <w:rPr>
          <w:rFonts w:ascii="宋体" w:hAnsi="宋体" w:eastAsia="宋体" w:cs="宋体"/>
          <w:spacing w:val="3"/>
          <w:sz w:val="21"/>
          <w:szCs w:val="21"/>
          <w:highlight w:val="none"/>
        </w:rPr>
        <w:t>包人未建议重新试验的，发包人也可在缺陷修补后的14天内指示进行必要的重新试验，以</w:t>
      </w:r>
      <w:r>
        <w:rPr>
          <w:rFonts w:ascii="宋体" w:hAnsi="宋体" w:eastAsia="宋体" w:cs="宋体"/>
          <w:spacing w:val="18"/>
          <w:sz w:val="21"/>
          <w:szCs w:val="21"/>
          <w:highlight w:val="none"/>
        </w:rPr>
        <w:t xml:space="preserve"> </w:t>
      </w:r>
      <w:r>
        <w:rPr>
          <w:rFonts w:ascii="宋体" w:hAnsi="宋体" w:eastAsia="宋体" w:cs="宋体"/>
          <w:spacing w:val="-3"/>
          <w:sz w:val="21"/>
          <w:szCs w:val="21"/>
          <w:highlight w:val="none"/>
        </w:rPr>
        <w:t>证明已修复的部分符合合同要求。</w:t>
      </w:r>
    </w:p>
    <w:p w14:paraId="46DB9DE5">
      <w:pPr>
        <w:spacing w:before="1" w:line="406" w:lineRule="auto"/>
        <w:ind w:right="60" w:firstLine="420"/>
        <w:rPr>
          <w:rFonts w:ascii="宋体" w:hAnsi="宋体" w:eastAsia="宋体" w:cs="宋体"/>
          <w:sz w:val="22"/>
          <w:szCs w:val="22"/>
          <w:highlight w:val="none"/>
        </w:rPr>
      </w:pPr>
      <w:r>
        <w:rPr>
          <w:rFonts w:ascii="宋体" w:hAnsi="宋体" w:eastAsia="宋体" w:cs="宋体"/>
          <w:spacing w:val="-12"/>
          <w:sz w:val="22"/>
          <w:szCs w:val="22"/>
          <w:highlight w:val="none"/>
        </w:rPr>
        <w:t>所有的重复试验应按照适用于先前试验的条款进行，但应由责任方承担修</w:t>
      </w:r>
      <w:r>
        <w:rPr>
          <w:rFonts w:ascii="宋体" w:hAnsi="宋体" w:eastAsia="宋体" w:cs="宋体"/>
          <w:spacing w:val="-13"/>
          <w:sz w:val="22"/>
          <w:szCs w:val="22"/>
          <w:highlight w:val="none"/>
        </w:rPr>
        <w:t>补工作的成本</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和重新试验的风险和费用。</w:t>
      </w:r>
    </w:p>
    <w:p w14:paraId="52EEE1B7">
      <w:pPr>
        <w:pStyle w:val="2"/>
        <w:spacing w:before="122" w:line="299" w:lineRule="exact"/>
        <w:rPr>
          <w:rFonts w:ascii="黑体" w:hAnsi="黑体" w:eastAsia="黑体" w:cs="黑体"/>
          <w:sz w:val="22"/>
          <w:szCs w:val="22"/>
          <w:highlight w:val="none"/>
        </w:rPr>
      </w:pPr>
      <w:r>
        <w:rPr>
          <w:spacing w:val="-6"/>
          <w:position w:val="1"/>
          <w:sz w:val="22"/>
          <w:szCs w:val="22"/>
          <w:highlight w:val="none"/>
        </w:rPr>
        <w:t>11.5</w:t>
      </w:r>
      <w:r>
        <w:rPr>
          <w:spacing w:val="35"/>
          <w:position w:val="1"/>
          <w:sz w:val="22"/>
          <w:szCs w:val="22"/>
          <w:highlight w:val="none"/>
        </w:rPr>
        <w:t xml:space="preserve"> </w:t>
      </w:r>
      <w:r>
        <w:rPr>
          <w:rFonts w:ascii="黑体" w:hAnsi="黑体" w:eastAsia="黑体" w:cs="黑体"/>
          <w:spacing w:val="-6"/>
          <w:position w:val="1"/>
          <w:sz w:val="22"/>
          <w:szCs w:val="22"/>
          <w:highlight w:val="none"/>
        </w:rPr>
        <w:t>承包人出入权</w:t>
      </w:r>
    </w:p>
    <w:p w14:paraId="69AC5D6D">
      <w:pPr>
        <w:spacing w:before="219" w:line="444" w:lineRule="auto"/>
        <w:ind w:right="53" w:firstLine="420"/>
        <w:jc w:val="both"/>
        <w:rPr>
          <w:rFonts w:ascii="宋体" w:hAnsi="宋体" w:eastAsia="宋体" w:cs="宋体"/>
          <w:sz w:val="20"/>
          <w:szCs w:val="20"/>
          <w:highlight w:val="none"/>
        </w:rPr>
      </w:pPr>
      <w:r>
        <w:rPr>
          <w:rFonts w:ascii="宋体" w:hAnsi="宋体" w:eastAsia="宋体" w:cs="宋体"/>
          <w:spacing w:val="8"/>
          <w:sz w:val="20"/>
          <w:szCs w:val="20"/>
          <w:highlight w:val="none"/>
        </w:rPr>
        <w:t>在缺陷责任期内，为了修复缺陷或损坏，承包人有权出入工程现场，</w:t>
      </w:r>
      <w:r>
        <w:rPr>
          <w:rFonts w:ascii="宋体" w:hAnsi="宋体" w:eastAsia="宋体" w:cs="宋体"/>
          <w:spacing w:val="7"/>
          <w:sz w:val="20"/>
          <w:szCs w:val="20"/>
          <w:highlight w:val="none"/>
        </w:rPr>
        <w:t>除情况紧急必须立</w:t>
      </w:r>
      <w:r>
        <w:rPr>
          <w:rFonts w:ascii="宋体" w:hAnsi="宋体" w:eastAsia="宋体" w:cs="宋体"/>
          <w:sz w:val="20"/>
          <w:szCs w:val="20"/>
          <w:highlight w:val="none"/>
        </w:rPr>
        <w:t xml:space="preserve"> </w:t>
      </w:r>
      <w:r>
        <w:rPr>
          <w:rFonts w:ascii="宋体" w:hAnsi="宋体" w:eastAsia="宋体" w:cs="宋体"/>
          <w:spacing w:val="13"/>
          <w:sz w:val="20"/>
          <w:szCs w:val="20"/>
          <w:highlight w:val="none"/>
        </w:rPr>
        <w:t>即修复缺陷或损坏外，承包人应提前24小时通知发包人进场修复的时间。承包人</w:t>
      </w:r>
      <w:r>
        <w:rPr>
          <w:rFonts w:ascii="宋体" w:hAnsi="宋体" w:eastAsia="宋体" w:cs="宋体"/>
          <w:spacing w:val="12"/>
          <w:sz w:val="20"/>
          <w:szCs w:val="20"/>
          <w:highlight w:val="none"/>
        </w:rPr>
        <w:t>进入工程</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现场前应获得发包人同意，且不应影响发包人正常的生产经营，并应遵守发包人有关安保和</w:t>
      </w:r>
      <w:r>
        <w:rPr>
          <w:rFonts w:ascii="宋体" w:hAnsi="宋体" w:eastAsia="宋体" w:cs="宋体"/>
          <w:spacing w:val="5"/>
          <w:sz w:val="20"/>
          <w:szCs w:val="20"/>
          <w:highlight w:val="none"/>
        </w:rPr>
        <w:t xml:space="preserve"> </w:t>
      </w:r>
      <w:r>
        <w:rPr>
          <w:rFonts w:ascii="宋体" w:hAnsi="宋体" w:eastAsia="宋体" w:cs="宋体"/>
          <w:spacing w:val="3"/>
          <w:sz w:val="20"/>
          <w:szCs w:val="20"/>
          <w:highlight w:val="none"/>
        </w:rPr>
        <w:t>保密等规定。</w:t>
      </w:r>
    </w:p>
    <w:p w14:paraId="1382B4B2">
      <w:pPr>
        <w:spacing w:before="144" w:line="221" w:lineRule="auto"/>
        <w:rPr>
          <w:rFonts w:ascii="黑体" w:hAnsi="黑体" w:eastAsia="黑体" w:cs="黑体"/>
          <w:sz w:val="22"/>
          <w:szCs w:val="22"/>
          <w:highlight w:val="none"/>
        </w:rPr>
      </w:pPr>
      <w:r>
        <w:rPr>
          <w:rFonts w:ascii="黑体" w:hAnsi="黑体" w:eastAsia="黑体" w:cs="黑体"/>
          <w:spacing w:val="-2"/>
          <w:sz w:val="22"/>
          <w:szCs w:val="22"/>
          <w:highlight w:val="none"/>
        </w:rPr>
        <w:t>11.6缺陷责任期终止证书</w:t>
      </w:r>
    </w:p>
    <w:p w14:paraId="4A64A76E">
      <w:pPr>
        <w:spacing w:before="225" w:line="417" w:lineRule="auto"/>
        <w:ind w:right="41"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除专用合同条件另有约定外，承包人应于缺陷责任期届满前7</w:t>
      </w:r>
      <w:r>
        <w:rPr>
          <w:rFonts w:ascii="宋体" w:hAnsi="宋体" w:eastAsia="宋体" w:cs="宋体"/>
          <w:sz w:val="21"/>
          <w:szCs w:val="21"/>
          <w:highlight w:val="none"/>
        </w:rPr>
        <w:t xml:space="preserve">天内向发包人发出缺陷责 </w:t>
      </w:r>
      <w:r>
        <w:rPr>
          <w:rFonts w:ascii="宋体" w:hAnsi="宋体" w:eastAsia="宋体" w:cs="宋体"/>
          <w:spacing w:val="1"/>
          <w:sz w:val="21"/>
          <w:szCs w:val="21"/>
          <w:highlight w:val="none"/>
        </w:rPr>
        <w:t>任期即将届满通知，发包人应在收到通知后7天内核</w:t>
      </w:r>
      <w:r>
        <w:rPr>
          <w:rFonts w:ascii="宋体" w:hAnsi="宋体" w:eastAsia="宋体" w:cs="宋体"/>
          <w:sz w:val="21"/>
          <w:szCs w:val="21"/>
          <w:highlight w:val="none"/>
        </w:rPr>
        <w:t xml:space="preserve">实承包人是否履行缺陷修复义务，承包 </w:t>
      </w:r>
      <w:r>
        <w:rPr>
          <w:rFonts w:ascii="宋体" w:hAnsi="宋体" w:eastAsia="宋体" w:cs="宋体"/>
          <w:spacing w:val="-2"/>
          <w:sz w:val="21"/>
          <w:szCs w:val="21"/>
          <w:highlight w:val="none"/>
        </w:rPr>
        <w:t>人未能履行缺陷修复义务的，发包人有权扣除相应金额的维修费用。发包人应在缺陷责任期</w:t>
      </w:r>
      <w:r>
        <w:rPr>
          <w:rFonts w:ascii="宋体" w:hAnsi="宋体" w:eastAsia="宋体" w:cs="宋体"/>
          <w:spacing w:val="2"/>
          <w:sz w:val="21"/>
          <w:szCs w:val="21"/>
          <w:highlight w:val="none"/>
        </w:rPr>
        <w:t xml:space="preserve"> </w:t>
      </w:r>
      <w:r>
        <w:rPr>
          <w:rFonts w:ascii="宋体" w:hAnsi="宋体" w:eastAsia="宋体" w:cs="宋体"/>
          <w:spacing w:val="3"/>
          <w:sz w:val="21"/>
          <w:szCs w:val="21"/>
          <w:highlight w:val="none"/>
        </w:rPr>
        <w:t>届满之日，向承包人颁发缺陷责任期终止证书，并按第14.6.3项[质量保证金的返还]返还</w:t>
      </w:r>
      <w:r>
        <w:rPr>
          <w:rFonts w:ascii="宋体" w:hAnsi="宋体" w:eastAsia="宋体" w:cs="宋体"/>
          <w:spacing w:val="18"/>
          <w:sz w:val="21"/>
          <w:szCs w:val="21"/>
          <w:highlight w:val="none"/>
        </w:rPr>
        <w:t xml:space="preserve"> </w:t>
      </w:r>
      <w:r>
        <w:rPr>
          <w:rFonts w:ascii="宋体" w:hAnsi="宋体" w:eastAsia="宋体" w:cs="宋体"/>
          <w:spacing w:val="-6"/>
          <w:sz w:val="21"/>
          <w:szCs w:val="21"/>
          <w:highlight w:val="none"/>
        </w:rPr>
        <w:t>质量保证金。</w:t>
      </w:r>
    </w:p>
    <w:p w14:paraId="42E3D837">
      <w:pPr>
        <w:spacing w:before="13" w:line="396" w:lineRule="auto"/>
        <w:ind w:firstLine="420"/>
        <w:jc w:val="both"/>
        <w:rPr>
          <w:rFonts w:ascii="宋体" w:hAnsi="宋体" w:eastAsia="宋体" w:cs="宋体"/>
          <w:sz w:val="22"/>
          <w:szCs w:val="22"/>
          <w:highlight w:val="none"/>
        </w:rPr>
      </w:pPr>
      <w:r>
        <w:rPr>
          <w:rFonts w:ascii="宋体" w:hAnsi="宋体" w:eastAsia="宋体" w:cs="宋体"/>
          <w:spacing w:val="-10"/>
          <w:sz w:val="22"/>
          <w:szCs w:val="22"/>
          <w:highlight w:val="none"/>
        </w:rPr>
        <w:t>如根据第10.5.3项[人员撤离]承包人在施工现场还留有人员、施工设备和临时工程的，</w:t>
      </w:r>
      <w:r>
        <w:rPr>
          <w:rFonts w:ascii="宋体" w:hAnsi="宋体" w:eastAsia="宋体" w:cs="宋体"/>
          <w:spacing w:val="18"/>
          <w:sz w:val="22"/>
          <w:szCs w:val="22"/>
          <w:highlight w:val="none"/>
        </w:rPr>
        <w:t xml:space="preserve"> </w:t>
      </w:r>
      <w:r>
        <w:rPr>
          <w:rFonts w:ascii="宋体" w:hAnsi="宋体" w:eastAsia="宋体" w:cs="宋体"/>
          <w:spacing w:val="-6"/>
          <w:sz w:val="22"/>
          <w:szCs w:val="22"/>
          <w:highlight w:val="none"/>
        </w:rPr>
        <w:t>承包人应当在收到缺陷责任期终止证书后28天</w:t>
      </w:r>
      <w:r>
        <w:rPr>
          <w:rFonts w:ascii="宋体" w:hAnsi="宋体" w:eastAsia="宋体" w:cs="宋体"/>
          <w:spacing w:val="-7"/>
          <w:sz w:val="22"/>
          <w:szCs w:val="22"/>
          <w:highlight w:val="none"/>
        </w:rPr>
        <w:t>内，将上述人员、施工设备和临时工程撤离</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施工现场。</w:t>
      </w:r>
    </w:p>
    <w:p w14:paraId="73E541A5">
      <w:pPr>
        <w:pStyle w:val="2"/>
        <w:spacing w:before="171" w:line="221" w:lineRule="auto"/>
        <w:rPr>
          <w:rFonts w:ascii="黑体" w:hAnsi="黑体" w:eastAsia="黑体" w:cs="黑体"/>
          <w:sz w:val="22"/>
          <w:szCs w:val="22"/>
          <w:highlight w:val="none"/>
        </w:rPr>
      </w:pPr>
      <w:r>
        <w:rPr>
          <w:spacing w:val="-6"/>
          <w:sz w:val="22"/>
          <w:szCs w:val="22"/>
          <w:highlight w:val="none"/>
        </w:rPr>
        <w:t>11.7</w:t>
      </w:r>
      <w:r>
        <w:rPr>
          <w:spacing w:val="36"/>
          <w:w w:val="101"/>
          <w:sz w:val="22"/>
          <w:szCs w:val="22"/>
          <w:highlight w:val="none"/>
        </w:rPr>
        <w:t xml:space="preserve"> </w:t>
      </w:r>
      <w:r>
        <w:rPr>
          <w:rFonts w:ascii="黑体" w:hAnsi="黑体" w:eastAsia="黑体" w:cs="黑体"/>
          <w:spacing w:val="-6"/>
          <w:sz w:val="22"/>
          <w:szCs w:val="22"/>
          <w:highlight w:val="none"/>
        </w:rPr>
        <w:t>保修责任</w:t>
      </w:r>
    </w:p>
    <w:p w14:paraId="25707257">
      <w:pPr>
        <w:spacing w:before="228" w:line="423" w:lineRule="auto"/>
        <w:ind w:right="61" w:firstLine="420"/>
        <w:rPr>
          <w:rFonts w:ascii="宋体" w:hAnsi="宋体" w:eastAsia="宋体" w:cs="宋体"/>
          <w:sz w:val="21"/>
          <w:szCs w:val="21"/>
          <w:highlight w:val="none"/>
        </w:rPr>
      </w:pPr>
      <w:r>
        <w:rPr>
          <w:rFonts w:ascii="宋体" w:hAnsi="宋体" w:eastAsia="宋体" w:cs="宋体"/>
          <w:spacing w:val="-2"/>
          <w:sz w:val="21"/>
          <w:szCs w:val="21"/>
          <w:highlight w:val="none"/>
        </w:rPr>
        <w:t>因承包人原因导致的质量缺陷责任，由合同当事人根据有关法律规定，</w:t>
      </w:r>
      <w:r>
        <w:rPr>
          <w:rFonts w:ascii="宋体" w:hAnsi="宋体" w:eastAsia="宋体" w:cs="宋体"/>
          <w:spacing w:val="-3"/>
          <w:sz w:val="21"/>
          <w:szCs w:val="21"/>
          <w:highlight w:val="none"/>
        </w:rPr>
        <w:t>在专用合同条件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和工程质量保修书中约定工程质量保修范围、期限和责任。</w:t>
      </w:r>
    </w:p>
    <w:p w14:paraId="31868A0F">
      <w:pPr>
        <w:spacing w:before="88" w:line="221" w:lineRule="auto"/>
        <w:rPr>
          <w:rFonts w:ascii="黑体" w:hAnsi="黑体" w:eastAsia="黑体" w:cs="黑体"/>
          <w:sz w:val="28"/>
          <w:szCs w:val="28"/>
          <w:highlight w:val="none"/>
        </w:rPr>
      </w:pPr>
      <w:r>
        <w:rPr>
          <w:rFonts w:ascii="黑体" w:hAnsi="黑体" w:eastAsia="黑体" w:cs="黑体"/>
          <w:spacing w:val="35"/>
          <w:sz w:val="28"/>
          <w:szCs w:val="28"/>
          <w:highlight w:val="none"/>
        </w:rPr>
        <w:t>第12条竣工后试验</w:t>
      </w:r>
    </w:p>
    <w:p w14:paraId="2D405A50">
      <w:pPr>
        <w:spacing w:before="283" w:line="219" w:lineRule="auto"/>
        <w:ind w:left="420"/>
        <w:rPr>
          <w:rFonts w:ascii="宋体" w:hAnsi="宋体" w:eastAsia="宋体" w:cs="宋体"/>
          <w:sz w:val="20"/>
          <w:szCs w:val="20"/>
          <w:highlight w:val="none"/>
        </w:rPr>
      </w:pPr>
      <w:r>
        <w:rPr>
          <w:rFonts w:ascii="宋体" w:hAnsi="宋体" w:eastAsia="宋体" w:cs="宋体"/>
          <w:spacing w:val="8"/>
          <w:sz w:val="20"/>
          <w:szCs w:val="20"/>
          <w:highlight w:val="none"/>
        </w:rPr>
        <w:t>本合同工程包含竣工后试验的，遵守本条约定。</w:t>
      </w:r>
    </w:p>
    <w:p w14:paraId="763B9F7D">
      <w:pPr>
        <w:spacing w:line="219" w:lineRule="auto"/>
        <w:rPr>
          <w:rFonts w:ascii="宋体" w:hAnsi="宋体" w:eastAsia="宋体" w:cs="宋体"/>
          <w:sz w:val="20"/>
          <w:szCs w:val="20"/>
          <w:highlight w:val="none"/>
        </w:rPr>
        <w:sectPr>
          <w:footerReference r:id="rId120" w:type="default"/>
          <w:pgSz w:w="11910" w:h="16840"/>
          <w:pgMar w:top="400" w:right="1760" w:bottom="1197" w:left="1769" w:header="0" w:footer="993" w:gutter="0"/>
          <w:cols w:space="720" w:num="1"/>
        </w:sectPr>
      </w:pPr>
    </w:p>
    <w:p w14:paraId="31907E80">
      <w:pPr>
        <w:pStyle w:val="2"/>
        <w:spacing w:line="269" w:lineRule="auto"/>
        <w:rPr>
          <w:highlight w:val="none"/>
        </w:rPr>
      </w:pPr>
    </w:p>
    <w:p w14:paraId="5EA4DA9B">
      <w:pPr>
        <w:pStyle w:val="2"/>
        <w:spacing w:line="269" w:lineRule="auto"/>
        <w:rPr>
          <w:highlight w:val="none"/>
        </w:rPr>
      </w:pPr>
    </w:p>
    <w:p w14:paraId="545C581B">
      <w:pPr>
        <w:pStyle w:val="2"/>
        <w:spacing w:line="270" w:lineRule="auto"/>
        <w:rPr>
          <w:highlight w:val="none"/>
        </w:rPr>
      </w:pPr>
    </w:p>
    <w:p w14:paraId="413F71F3">
      <w:pPr>
        <w:pStyle w:val="2"/>
        <w:spacing w:line="270" w:lineRule="auto"/>
        <w:rPr>
          <w:highlight w:val="none"/>
        </w:rPr>
      </w:pPr>
    </w:p>
    <w:p w14:paraId="17B5633C">
      <w:pPr>
        <w:pStyle w:val="2"/>
        <w:spacing w:before="72" w:line="221" w:lineRule="auto"/>
        <w:rPr>
          <w:rFonts w:ascii="黑体" w:hAnsi="黑体" w:eastAsia="黑体" w:cs="黑体"/>
          <w:sz w:val="22"/>
          <w:szCs w:val="22"/>
          <w:highlight w:val="none"/>
        </w:rPr>
      </w:pPr>
      <w:r>
        <w:rPr>
          <w:spacing w:val="-9"/>
          <w:sz w:val="22"/>
          <w:szCs w:val="22"/>
          <w:highlight w:val="none"/>
        </w:rPr>
        <w:t>12.1</w:t>
      </w:r>
      <w:r>
        <w:rPr>
          <w:spacing w:val="51"/>
          <w:sz w:val="22"/>
          <w:szCs w:val="22"/>
          <w:highlight w:val="none"/>
        </w:rPr>
        <w:t xml:space="preserve"> </w:t>
      </w:r>
      <w:r>
        <w:rPr>
          <w:rFonts w:ascii="黑体" w:hAnsi="黑体" w:eastAsia="黑体" w:cs="黑体"/>
          <w:spacing w:val="-9"/>
          <w:sz w:val="22"/>
          <w:szCs w:val="22"/>
          <w:highlight w:val="none"/>
        </w:rPr>
        <w:t>竣工后试验的程序</w:t>
      </w:r>
    </w:p>
    <w:p w14:paraId="27C01A33">
      <w:pPr>
        <w:spacing w:before="117" w:line="277" w:lineRule="auto"/>
        <w:ind w:right="35"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12.1.1</w:t>
      </w:r>
      <w:r>
        <w:rPr>
          <w:rFonts w:ascii="Times New Roman" w:hAnsi="Times New Roman" w:eastAsia="Times New Roman" w:cs="Times New Roman"/>
          <w:spacing w:val="18"/>
          <w:sz w:val="21"/>
          <w:szCs w:val="21"/>
          <w:highlight w:val="none"/>
        </w:rPr>
        <w:t xml:space="preserve">   </w:t>
      </w:r>
      <w:r>
        <w:rPr>
          <w:rFonts w:ascii="宋体" w:hAnsi="宋体" w:eastAsia="宋体" w:cs="宋体"/>
          <w:sz w:val="21"/>
          <w:szCs w:val="21"/>
          <w:highlight w:val="none"/>
        </w:rPr>
        <w:t xml:space="preserve">工程或区段工程被发包人接收后，在合理可行的情况下应根据合同约定尽早进 </w:t>
      </w:r>
      <w:r>
        <w:rPr>
          <w:rFonts w:ascii="宋体" w:hAnsi="宋体" w:eastAsia="宋体" w:cs="宋体"/>
          <w:spacing w:val="-6"/>
          <w:sz w:val="21"/>
          <w:szCs w:val="21"/>
          <w:highlight w:val="none"/>
        </w:rPr>
        <w:t>行竣工后试验。</w:t>
      </w:r>
    </w:p>
    <w:p w14:paraId="4F4EB782">
      <w:pPr>
        <w:pStyle w:val="2"/>
        <w:spacing w:line="279" w:lineRule="auto"/>
        <w:rPr>
          <w:highlight w:val="none"/>
        </w:rPr>
      </w:pPr>
    </w:p>
    <w:p w14:paraId="21EEF07F">
      <w:pPr>
        <w:spacing w:before="68" w:line="302" w:lineRule="auto"/>
        <w:ind w:right="36"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12.1.2    </w:t>
      </w:r>
      <w:r>
        <w:rPr>
          <w:rFonts w:ascii="宋体" w:hAnsi="宋体" w:eastAsia="宋体" w:cs="宋体"/>
          <w:sz w:val="21"/>
          <w:szCs w:val="21"/>
          <w:highlight w:val="none"/>
        </w:rPr>
        <w:t>除专用合同条件另有约定外，发包人应提供全部电力</w:t>
      </w:r>
      <w:r>
        <w:rPr>
          <w:rFonts w:ascii="宋体" w:hAnsi="宋体" w:eastAsia="宋体" w:cs="宋体"/>
          <w:spacing w:val="-1"/>
          <w:sz w:val="21"/>
          <w:szCs w:val="21"/>
          <w:highlight w:val="none"/>
        </w:rPr>
        <w:t>、水、污水处理、燃料、</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消耗品和材料，以及全部其他仪器、协助、文件或其他信息</w:t>
      </w:r>
      <w:r>
        <w:rPr>
          <w:rFonts w:ascii="宋体" w:hAnsi="宋体" w:eastAsia="宋体" w:cs="宋体"/>
          <w:spacing w:val="-3"/>
          <w:sz w:val="21"/>
          <w:szCs w:val="21"/>
          <w:highlight w:val="none"/>
        </w:rPr>
        <w:t>、设备、工具、劳力，启动工程</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设备，并组织安排有适当资质、经验和能力的工作</w:t>
      </w:r>
      <w:r>
        <w:rPr>
          <w:rFonts w:ascii="宋体" w:hAnsi="宋体" w:eastAsia="宋体" w:cs="宋体"/>
          <w:spacing w:val="-2"/>
          <w:sz w:val="21"/>
          <w:szCs w:val="21"/>
          <w:highlight w:val="none"/>
        </w:rPr>
        <w:t>人员实施竣工后试验。</w:t>
      </w:r>
    </w:p>
    <w:p w14:paraId="5B93398F">
      <w:pPr>
        <w:pStyle w:val="2"/>
        <w:spacing w:line="281" w:lineRule="auto"/>
        <w:rPr>
          <w:highlight w:val="none"/>
        </w:rPr>
      </w:pPr>
    </w:p>
    <w:p w14:paraId="2B5070C2">
      <w:pPr>
        <w:spacing w:before="68" w:line="307" w:lineRule="auto"/>
        <w:ind w:right="27"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12.1.3</w:t>
      </w:r>
      <w:r>
        <w:rPr>
          <w:rFonts w:ascii="Times New Roman" w:hAnsi="Times New Roman" w:eastAsia="Times New Roman" w:cs="Times New Roman"/>
          <w:spacing w:val="19"/>
          <w:sz w:val="21"/>
          <w:szCs w:val="21"/>
          <w:highlight w:val="none"/>
        </w:rPr>
        <w:t xml:space="preserve">   </w:t>
      </w:r>
      <w:r>
        <w:rPr>
          <w:rFonts w:ascii="宋体" w:hAnsi="宋体" w:eastAsia="宋体" w:cs="宋体"/>
          <w:sz w:val="21"/>
          <w:szCs w:val="21"/>
          <w:highlight w:val="none"/>
        </w:rPr>
        <w:t>除《发包人要求》另有约定外，发包人应在合理可行的情况下尽快进行每项竣</w:t>
      </w:r>
      <w:r>
        <w:rPr>
          <w:rFonts w:ascii="宋体" w:hAnsi="宋体" w:eastAsia="宋体" w:cs="宋体"/>
          <w:spacing w:val="1"/>
          <w:sz w:val="21"/>
          <w:szCs w:val="21"/>
          <w:highlight w:val="none"/>
        </w:rPr>
        <w:t xml:space="preserve"> </w:t>
      </w:r>
      <w:r>
        <w:rPr>
          <w:rFonts w:ascii="宋体" w:hAnsi="宋体" w:eastAsia="宋体" w:cs="宋体"/>
          <w:spacing w:val="3"/>
          <w:sz w:val="21"/>
          <w:szCs w:val="21"/>
          <w:highlight w:val="none"/>
        </w:rPr>
        <w:t>工后试验，并至少提前21天将该项竣工后试验的内容、地点和时间，以及显示其他竣工后</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试验拟开展时间的竣工后试验计划通知承包人。</w:t>
      </w:r>
    </w:p>
    <w:p w14:paraId="5002E8C0">
      <w:pPr>
        <w:pStyle w:val="2"/>
        <w:spacing w:line="270" w:lineRule="auto"/>
        <w:rPr>
          <w:highlight w:val="none"/>
        </w:rPr>
      </w:pPr>
    </w:p>
    <w:p w14:paraId="6ACD23CC">
      <w:pPr>
        <w:spacing w:before="68" w:line="319" w:lineRule="auto"/>
        <w:ind w:right="1"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12.1.4    </w:t>
      </w:r>
      <w:r>
        <w:rPr>
          <w:rFonts w:ascii="宋体" w:hAnsi="宋体" w:eastAsia="宋体" w:cs="宋体"/>
          <w:spacing w:val="-1"/>
          <w:sz w:val="21"/>
          <w:szCs w:val="21"/>
          <w:highlight w:val="none"/>
        </w:rPr>
        <w:t>发包人应根据《发包人要求》、</w:t>
      </w:r>
      <w:r>
        <w:rPr>
          <w:rFonts w:ascii="宋体" w:hAnsi="宋体" w:eastAsia="宋体" w:cs="宋体"/>
          <w:spacing w:val="-2"/>
          <w:sz w:val="21"/>
          <w:szCs w:val="21"/>
          <w:highlight w:val="none"/>
        </w:rPr>
        <w:t>承包人按照第5.5款[操作和维修手册]提交的文</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件，以及承包人被要求提供的指导进行竣工后试验。如承包人未在发包人通知的时间</w:t>
      </w:r>
      <w:r>
        <w:rPr>
          <w:rFonts w:ascii="宋体" w:hAnsi="宋体" w:eastAsia="宋体" w:cs="宋体"/>
          <w:spacing w:val="-3"/>
          <w:sz w:val="21"/>
          <w:szCs w:val="21"/>
          <w:highlight w:val="none"/>
        </w:rPr>
        <w:t>和地点</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参加竣工后试验，发包人可自行进行，该试验应被视为是承包人</w:t>
      </w:r>
      <w:r>
        <w:rPr>
          <w:rFonts w:ascii="宋体" w:hAnsi="宋体" w:eastAsia="宋体" w:cs="宋体"/>
          <w:spacing w:val="-3"/>
          <w:sz w:val="21"/>
          <w:szCs w:val="21"/>
          <w:highlight w:val="none"/>
        </w:rPr>
        <w:t>在场的情况下进行的，且承</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包人应视为认可试验数据。</w:t>
      </w:r>
    </w:p>
    <w:p w14:paraId="3CD060C1">
      <w:pPr>
        <w:pStyle w:val="2"/>
        <w:spacing w:line="282" w:lineRule="auto"/>
        <w:rPr>
          <w:highlight w:val="none"/>
        </w:rPr>
      </w:pPr>
    </w:p>
    <w:p w14:paraId="76E4B805">
      <w:pPr>
        <w:spacing w:before="65" w:line="290" w:lineRule="auto"/>
        <w:ind w:right="35" w:firstLine="43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12.1.5    </w:t>
      </w:r>
      <w:r>
        <w:rPr>
          <w:rFonts w:ascii="宋体" w:hAnsi="宋体" w:eastAsia="宋体" w:cs="宋体"/>
          <w:spacing w:val="9"/>
          <w:sz w:val="20"/>
          <w:szCs w:val="20"/>
          <w:highlight w:val="none"/>
        </w:rPr>
        <w:t>竣工后试验的结果应由双方进行整</w:t>
      </w:r>
      <w:r>
        <w:rPr>
          <w:rFonts w:ascii="宋体" w:hAnsi="宋体" w:eastAsia="宋体" w:cs="宋体"/>
          <w:spacing w:val="8"/>
          <w:sz w:val="20"/>
          <w:szCs w:val="20"/>
          <w:highlight w:val="none"/>
        </w:rPr>
        <w:t>理和评价，并应适当考虑发包人对工程或其</w:t>
      </w:r>
      <w:r>
        <w:rPr>
          <w:rFonts w:ascii="宋体" w:hAnsi="宋体" w:eastAsia="宋体" w:cs="宋体"/>
          <w:sz w:val="20"/>
          <w:szCs w:val="20"/>
          <w:highlight w:val="none"/>
        </w:rPr>
        <w:t xml:space="preserve"> </w:t>
      </w:r>
      <w:r>
        <w:rPr>
          <w:rFonts w:ascii="宋体" w:hAnsi="宋体" w:eastAsia="宋体" w:cs="宋体"/>
          <w:spacing w:val="10"/>
          <w:sz w:val="20"/>
          <w:szCs w:val="20"/>
          <w:highlight w:val="none"/>
        </w:rPr>
        <w:t>任何部分的使用，对工程或区段工程的性能、特</w:t>
      </w:r>
      <w:r>
        <w:rPr>
          <w:rFonts w:ascii="宋体" w:hAnsi="宋体" w:eastAsia="宋体" w:cs="宋体"/>
          <w:spacing w:val="9"/>
          <w:sz w:val="20"/>
          <w:szCs w:val="20"/>
          <w:highlight w:val="none"/>
        </w:rPr>
        <w:t>性和试验结果产生的影响。</w:t>
      </w:r>
    </w:p>
    <w:p w14:paraId="1DA93FB2">
      <w:pPr>
        <w:pStyle w:val="2"/>
        <w:spacing w:line="347" w:lineRule="auto"/>
        <w:rPr>
          <w:highlight w:val="none"/>
        </w:rPr>
      </w:pPr>
    </w:p>
    <w:p w14:paraId="4EFC41C6">
      <w:pPr>
        <w:spacing w:before="72" w:line="221" w:lineRule="auto"/>
        <w:rPr>
          <w:rFonts w:ascii="黑体" w:hAnsi="黑体" w:eastAsia="黑体" w:cs="黑体"/>
          <w:sz w:val="22"/>
          <w:szCs w:val="22"/>
          <w:highlight w:val="none"/>
        </w:rPr>
      </w:pPr>
      <w:r>
        <w:rPr>
          <w:rFonts w:ascii="黑体" w:hAnsi="黑体" w:eastAsia="黑体" w:cs="黑体"/>
          <w:spacing w:val="2"/>
          <w:sz w:val="22"/>
          <w:szCs w:val="22"/>
          <w:highlight w:val="none"/>
        </w:rPr>
        <w:t>12.2延误的试验</w:t>
      </w:r>
    </w:p>
    <w:p w14:paraId="0AD4F6F0">
      <w:pPr>
        <w:spacing w:before="129" w:line="269" w:lineRule="auto"/>
        <w:ind w:right="17" w:firstLine="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12.2.1   </w:t>
      </w:r>
      <w:r>
        <w:rPr>
          <w:rFonts w:ascii="宋体" w:hAnsi="宋体" w:eastAsia="宋体" w:cs="宋体"/>
          <w:spacing w:val="-7"/>
          <w:sz w:val="22"/>
          <w:szCs w:val="22"/>
          <w:highlight w:val="none"/>
        </w:rPr>
        <w:t>如果竣工后试验因发包人原因被延误的，发包人应承担承包人由此增加的费用</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并支付承包人合理利润。</w:t>
      </w:r>
    </w:p>
    <w:p w14:paraId="6CFC42E4">
      <w:pPr>
        <w:pStyle w:val="2"/>
        <w:spacing w:line="281" w:lineRule="auto"/>
        <w:rPr>
          <w:highlight w:val="none"/>
        </w:rPr>
      </w:pPr>
    </w:p>
    <w:p w14:paraId="6044AD73">
      <w:pPr>
        <w:spacing w:before="65" w:line="285" w:lineRule="auto"/>
        <w:ind w:right="30" w:firstLine="43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12.2.2    </w:t>
      </w:r>
      <w:r>
        <w:rPr>
          <w:rFonts w:ascii="宋体" w:hAnsi="宋体" w:eastAsia="宋体" w:cs="宋体"/>
          <w:spacing w:val="9"/>
          <w:sz w:val="20"/>
          <w:szCs w:val="20"/>
          <w:highlight w:val="none"/>
        </w:rPr>
        <w:t>如果因承包人以外的原因，导致竣工后试验未</w:t>
      </w:r>
      <w:r>
        <w:rPr>
          <w:rFonts w:ascii="宋体" w:hAnsi="宋体" w:eastAsia="宋体" w:cs="宋体"/>
          <w:spacing w:val="8"/>
          <w:sz w:val="20"/>
          <w:szCs w:val="20"/>
          <w:highlight w:val="none"/>
        </w:rPr>
        <w:t>能在缺陷责任期或双方另行同意</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的其他期限内完成，则相关工程或区段工程应视为已通过该竣工后试验。</w:t>
      </w:r>
    </w:p>
    <w:p w14:paraId="33A4FE49">
      <w:pPr>
        <w:pStyle w:val="2"/>
        <w:spacing w:line="328" w:lineRule="auto"/>
        <w:rPr>
          <w:highlight w:val="none"/>
        </w:rPr>
      </w:pPr>
    </w:p>
    <w:p w14:paraId="6915F7FC">
      <w:pPr>
        <w:pStyle w:val="2"/>
        <w:spacing w:before="72" w:line="300" w:lineRule="exact"/>
        <w:rPr>
          <w:rFonts w:ascii="黑体" w:hAnsi="黑体" w:eastAsia="黑体" w:cs="黑体"/>
          <w:sz w:val="22"/>
          <w:szCs w:val="22"/>
          <w:highlight w:val="none"/>
        </w:rPr>
      </w:pPr>
      <w:r>
        <w:rPr>
          <w:spacing w:val="-8"/>
          <w:position w:val="1"/>
          <w:sz w:val="22"/>
          <w:szCs w:val="22"/>
          <w:highlight w:val="none"/>
        </w:rPr>
        <w:t>12.3</w:t>
      </w:r>
      <w:r>
        <w:rPr>
          <w:spacing w:val="45"/>
          <w:position w:val="1"/>
          <w:sz w:val="22"/>
          <w:szCs w:val="22"/>
          <w:highlight w:val="none"/>
        </w:rPr>
        <w:t xml:space="preserve"> </w:t>
      </w:r>
      <w:r>
        <w:rPr>
          <w:rFonts w:ascii="黑体" w:hAnsi="黑体" w:eastAsia="黑体" w:cs="黑体"/>
          <w:spacing w:val="-8"/>
          <w:position w:val="1"/>
          <w:sz w:val="22"/>
          <w:szCs w:val="22"/>
          <w:highlight w:val="none"/>
        </w:rPr>
        <w:t>重新试验</w:t>
      </w:r>
    </w:p>
    <w:p w14:paraId="461B81BF">
      <w:pPr>
        <w:spacing w:before="232" w:line="417" w:lineRule="auto"/>
        <w:ind w:right="29"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如工程或区段工程未能通过竣工后试验，则承包人应根据第11.3款[缺</w:t>
      </w:r>
      <w:r>
        <w:rPr>
          <w:rFonts w:ascii="宋体" w:hAnsi="宋体" w:eastAsia="宋体" w:cs="宋体"/>
          <w:spacing w:val="2"/>
          <w:sz w:val="21"/>
          <w:szCs w:val="21"/>
          <w:highlight w:val="none"/>
        </w:rPr>
        <w:t>陷调查]的规定</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修补缺陷，以达到合同约定的要求；并按照第11.4款[缺陷修复后的进一步</w:t>
      </w:r>
      <w:r>
        <w:rPr>
          <w:rFonts w:ascii="宋体" w:hAnsi="宋体" w:eastAsia="宋体" w:cs="宋体"/>
          <w:spacing w:val="2"/>
          <w:sz w:val="21"/>
          <w:szCs w:val="21"/>
          <w:highlight w:val="none"/>
        </w:rPr>
        <w:t>试验]重新进行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竣工后试验以及承担风险和费用。如未通过试验和重新试验是</w:t>
      </w:r>
      <w:r>
        <w:rPr>
          <w:rFonts w:ascii="宋体" w:hAnsi="宋体" w:eastAsia="宋体" w:cs="宋体"/>
          <w:spacing w:val="-3"/>
          <w:sz w:val="21"/>
          <w:szCs w:val="21"/>
          <w:highlight w:val="none"/>
        </w:rPr>
        <w:t>承包人原因造成的，则承包人</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还应承担发包人因此增加的费用。</w:t>
      </w:r>
    </w:p>
    <w:p w14:paraId="08AD8217">
      <w:pPr>
        <w:pStyle w:val="2"/>
        <w:spacing w:before="180" w:line="221" w:lineRule="auto"/>
        <w:rPr>
          <w:rFonts w:ascii="黑体" w:hAnsi="黑体" w:eastAsia="黑体" w:cs="黑体"/>
          <w:sz w:val="22"/>
          <w:szCs w:val="22"/>
          <w:highlight w:val="none"/>
        </w:rPr>
      </w:pPr>
      <w:r>
        <w:rPr>
          <w:spacing w:val="-9"/>
          <w:sz w:val="22"/>
          <w:szCs w:val="22"/>
          <w:highlight w:val="none"/>
        </w:rPr>
        <w:t>12.4</w:t>
      </w:r>
      <w:r>
        <w:rPr>
          <w:spacing w:val="46"/>
          <w:sz w:val="22"/>
          <w:szCs w:val="22"/>
          <w:highlight w:val="none"/>
        </w:rPr>
        <w:t xml:space="preserve"> </w:t>
      </w:r>
      <w:r>
        <w:rPr>
          <w:rFonts w:ascii="黑体" w:hAnsi="黑体" w:eastAsia="黑体" w:cs="黑体"/>
          <w:spacing w:val="-9"/>
          <w:sz w:val="22"/>
          <w:szCs w:val="22"/>
          <w:highlight w:val="none"/>
        </w:rPr>
        <w:t>未能通过竣工后试验</w:t>
      </w:r>
    </w:p>
    <w:p w14:paraId="13E8E52B">
      <w:pPr>
        <w:spacing w:before="98" w:line="353" w:lineRule="auto"/>
        <w:ind w:right="34" w:firstLine="430"/>
        <w:jc w:val="both"/>
        <w:rPr>
          <w:rFonts w:ascii="宋体" w:hAnsi="宋体" w:eastAsia="宋体" w:cs="宋体"/>
          <w:sz w:val="21"/>
          <w:szCs w:val="21"/>
          <w:highlight w:val="none"/>
        </w:rPr>
      </w:pPr>
      <w:r>
        <w:rPr>
          <w:rFonts w:ascii="Times New Roman" w:hAnsi="Times New Roman" w:eastAsia="Times New Roman" w:cs="Times New Roman"/>
          <w:sz w:val="21"/>
          <w:szCs w:val="21"/>
          <w:highlight w:val="none"/>
        </w:rPr>
        <w:t>12.4.1</w:t>
      </w:r>
      <w:r>
        <w:rPr>
          <w:rFonts w:ascii="Times New Roman" w:hAnsi="Times New Roman" w:eastAsia="Times New Roman" w:cs="Times New Roman"/>
          <w:spacing w:val="18"/>
          <w:sz w:val="21"/>
          <w:szCs w:val="21"/>
          <w:highlight w:val="none"/>
        </w:rPr>
        <w:t xml:space="preserve">   </w:t>
      </w:r>
      <w:r>
        <w:rPr>
          <w:rFonts w:ascii="宋体" w:hAnsi="宋体" w:eastAsia="宋体" w:cs="宋体"/>
          <w:sz w:val="21"/>
          <w:szCs w:val="21"/>
          <w:highlight w:val="none"/>
        </w:rPr>
        <w:t xml:space="preserve">工程或区段工程未能通过竣工后试验，且合同中就该项未通过的试验约定了性 </w:t>
      </w:r>
      <w:r>
        <w:rPr>
          <w:rFonts w:ascii="宋体" w:hAnsi="宋体" w:eastAsia="宋体" w:cs="宋体"/>
          <w:spacing w:val="-2"/>
          <w:sz w:val="21"/>
          <w:szCs w:val="21"/>
          <w:highlight w:val="none"/>
        </w:rPr>
        <w:t>能损害赔偿违约金及其计算方法的，或者就该项未通过的试验另</w:t>
      </w:r>
      <w:r>
        <w:rPr>
          <w:rFonts w:ascii="宋体" w:hAnsi="宋体" w:eastAsia="宋体" w:cs="宋体"/>
          <w:spacing w:val="-3"/>
          <w:sz w:val="21"/>
          <w:szCs w:val="21"/>
          <w:highlight w:val="none"/>
        </w:rPr>
        <w:t>行达成补充协议的，承包人</w:t>
      </w:r>
      <w:r>
        <w:rPr>
          <w:rFonts w:ascii="宋体" w:hAnsi="宋体" w:eastAsia="宋体" w:cs="宋体"/>
          <w:sz w:val="21"/>
          <w:szCs w:val="21"/>
          <w:highlight w:val="none"/>
        </w:rPr>
        <w:t xml:space="preserve"> 在缺陷责任期内向发包人支付相应违约金或按补充</w:t>
      </w:r>
      <w:r>
        <w:rPr>
          <w:rFonts w:ascii="宋体" w:hAnsi="宋体" w:eastAsia="宋体" w:cs="宋体"/>
          <w:spacing w:val="-1"/>
          <w:sz w:val="21"/>
          <w:szCs w:val="21"/>
          <w:highlight w:val="none"/>
        </w:rPr>
        <w:t>协议履行后，视为通过竣工后试验。</w:t>
      </w:r>
    </w:p>
    <w:p w14:paraId="4FB28AE2">
      <w:pPr>
        <w:spacing w:line="353" w:lineRule="auto"/>
        <w:rPr>
          <w:rFonts w:ascii="宋体" w:hAnsi="宋体" w:eastAsia="宋体" w:cs="宋体"/>
          <w:sz w:val="21"/>
          <w:szCs w:val="21"/>
          <w:highlight w:val="none"/>
        </w:rPr>
        <w:sectPr>
          <w:footerReference r:id="rId121" w:type="default"/>
          <w:pgSz w:w="11910" w:h="16840"/>
          <w:pgMar w:top="400" w:right="1786" w:bottom="1217" w:left="1779" w:header="0" w:footer="1013" w:gutter="0"/>
          <w:cols w:space="720" w:num="1"/>
        </w:sectPr>
      </w:pPr>
    </w:p>
    <w:p w14:paraId="0D0F9949">
      <w:pPr>
        <w:pStyle w:val="2"/>
        <w:spacing w:line="249" w:lineRule="auto"/>
        <w:rPr>
          <w:highlight w:val="none"/>
        </w:rPr>
      </w:pPr>
    </w:p>
    <w:p w14:paraId="3A980644">
      <w:pPr>
        <w:pStyle w:val="2"/>
        <w:spacing w:line="249" w:lineRule="auto"/>
        <w:rPr>
          <w:highlight w:val="none"/>
        </w:rPr>
      </w:pPr>
    </w:p>
    <w:p w14:paraId="5142874C">
      <w:pPr>
        <w:pStyle w:val="2"/>
        <w:spacing w:line="250" w:lineRule="auto"/>
        <w:rPr>
          <w:highlight w:val="none"/>
        </w:rPr>
      </w:pPr>
    </w:p>
    <w:p w14:paraId="0ACABC2E">
      <w:pPr>
        <w:pStyle w:val="2"/>
        <w:spacing w:line="250" w:lineRule="auto"/>
        <w:rPr>
          <w:highlight w:val="none"/>
        </w:rPr>
      </w:pPr>
    </w:p>
    <w:p w14:paraId="6C7CF5DC">
      <w:pPr>
        <w:spacing w:before="65" w:line="339" w:lineRule="auto"/>
        <w:ind w:right="93" w:firstLine="440"/>
        <w:rPr>
          <w:rFonts w:ascii="宋体" w:hAnsi="宋体" w:eastAsia="宋体" w:cs="宋体"/>
          <w:sz w:val="20"/>
          <w:szCs w:val="20"/>
          <w:highlight w:val="none"/>
        </w:rPr>
      </w:pPr>
      <w:r>
        <w:rPr>
          <w:rFonts w:ascii="Times New Roman" w:hAnsi="Times New Roman" w:eastAsia="Times New Roman" w:cs="Times New Roman"/>
          <w:spacing w:val="8"/>
          <w:sz w:val="20"/>
          <w:szCs w:val="20"/>
          <w:highlight w:val="none"/>
        </w:rPr>
        <w:t xml:space="preserve">12.4.2    </w:t>
      </w:r>
      <w:r>
        <w:rPr>
          <w:rFonts w:ascii="宋体" w:hAnsi="宋体" w:eastAsia="宋体" w:cs="宋体"/>
          <w:spacing w:val="8"/>
          <w:sz w:val="20"/>
          <w:szCs w:val="20"/>
          <w:highlight w:val="none"/>
        </w:rPr>
        <w:t>对未能通过竣工后试验的工程或区段工程，承包人可向发包人建议，由承包人</w:t>
      </w:r>
      <w:r>
        <w:rPr>
          <w:rFonts w:ascii="宋体" w:hAnsi="宋体" w:eastAsia="宋体" w:cs="宋体"/>
          <w:spacing w:val="15"/>
          <w:sz w:val="20"/>
          <w:szCs w:val="20"/>
          <w:highlight w:val="none"/>
        </w:rPr>
        <w:t xml:space="preserve"> </w:t>
      </w:r>
      <w:r>
        <w:rPr>
          <w:rFonts w:ascii="宋体" w:hAnsi="宋体" w:eastAsia="宋体" w:cs="宋体"/>
          <w:spacing w:val="8"/>
          <w:sz w:val="20"/>
          <w:szCs w:val="20"/>
          <w:highlight w:val="none"/>
        </w:rPr>
        <w:t>对该工程或区段工程进行调整或修补。发包人收到建议后，可向承包</w:t>
      </w:r>
      <w:r>
        <w:rPr>
          <w:rFonts w:ascii="宋体" w:hAnsi="宋体" w:eastAsia="宋体" w:cs="宋体"/>
          <w:spacing w:val="7"/>
          <w:sz w:val="20"/>
          <w:szCs w:val="20"/>
          <w:highlight w:val="none"/>
        </w:rPr>
        <w:t>人发出通知，指示其在</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发包人方便的合理时间进入工程或区段工程进行调查、调整</w:t>
      </w:r>
      <w:r>
        <w:rPr>
          <w:rFonts w:ascii="宋体" w:hAnsi="宋体" w:eastAsia="宋体" w:cs="宋体"/>
          <w:spacing w:val="7"/>
          <w:sz w:val="20"/>
          <w:szCs w:val="20"/>
          <w:highlight w:val="none"/>
        </w:rPr>
        <w:t>或修补，并为承包人的进入提供</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方便。承包人提出建议，但未在缺陷责任期内收到上述发包</w:t>
      </w:r>
      <w:r>
        <w:rPr>
          <w:rFonts w:ascii="宋体" w:hAnsi="宋体" w:eastAsia="宋体" w:cs="宋体"/>
          <w:spacing w:val="7"/>
          <w:sz w:val="20"/>
          <w:szCs w:val="20"/>
          <w:highlight w:val="none"/>
        </w:rPr>
        <w:t>人通知的，相关工程或区段工程</w:t>
      </w:r>
      <w:r>
        <w:rPr>
          <w:rFonts w:ascii="宋体" w:hAnsi="宋体" w:eastAsia="宋体" w:cs="宋体"/>
          <w:sz w:val="20"/>
          <w:szCs w:val="20"/>
          <w:highlight w:val="none"/>
        </w:rPr>
        <w:t xml:space="preserve"> </w:t>
      </w:r>
      <w:r>
        <w:rPr>
          <w:rFonts w:ascii="宋体" w:hAnsi="宋体" w:eastAsia="宋体" w:cs="宋体"/>
          <w:spacing w:val="7"/>
          <w:sz w:val="20"/>
          <w:szCs w:val="20"/>
          <w:highlight w:val="none"/>
        </w:rPr>
        <w:t>应视为已通过该竣工后试验。</w:t>
      </w:r>
    </w:p>
    <w:p w14:paraId="22E4D79F">
      <w:pPr>
        <w:pStyle w:val="2"/>
        <w:spacing w:line="292" w:lineRule="auto"/>
        <w:rPr>
          <w:highlight w:val="none"/>
        </w:rPr>
      </w:pPr>
    </w:p>
    <w:p w14:paraId="11546E8B">
      <w:pPr>
        <w:spacing w:before="68" w:line="277" w:lineRule="auto"/>
        <w:ind w:right="97" w:firstLine="440"/>
        <w:rPr>
          <w:rFonts w:ascii="宋体" w:hAnsi="宋体" w:eastAsia="宋体" w:cs="宋体"/>
          <w:sz w:val="21"/>
          <w:szCs w:val="21"/>
          <w:highlight w:val="none"/>
        </w:rPr>
      </w:pPr>
      <w:r>
        <w:rPr>
          <w:rFonts w:ascii="Times New Roman" w:hAnsi="Times New Roman" w:eastAsia="Times New Roman" w:cs="Times New Roman"/>
          <w:sz w:val="21"/>
          <w:szCs w:val="21"/>
          <w:highlight w:val="none"/>
        </w:rPr>
        <w:t>12.4.3</w:t>
      </w:r>
      <w:r>
        <w:rPr>
          <w:rFonts w:ascii="Times New Roman" w:hAnsi="Times New Roman" w:eastAsia="Times New Roman" w:cs="Times New Roman"/>
          <w:spacing w:val="17"/>
          <w:w w:val="101"/>
          <w:sz w:val="21"/>
          <w:szCs w:val="21"/>
          <w:highlight w:val="none"/>
        </w:rPr>
        <w:t xml:space="preserve">   </w:t>
      </w:r>
      <w:r>
        <w:rPr>
          <w:rFonts w:ascii="宋体" w:hAnsi="宋体" w:eastAsia="宋体" w:cs="宋体"/>
          <w:sz w:val="21"/>
          <w:szCs w:val="21"/>
          <w:highlight w:val="none"/>
        </w:rPr>
        <w:t>发包人无故拖延给予承包人进行调查、调整或修补所需的</w:t>
      </w:r>
      <w:r>
        <w:rPr>
          <w:rFonts w:ascii="宋体" w:hAnsi="宋体" w:eastAsia="宋体" w:cs="宋体"/>
          <w:spacing w:val="-1"/>
          <w:sz w:val="21"/>
          <w:szCs w:val="21"/>
          <w:highlight w:val="none"/>
        </w:rPr>
        <w:t>进入工程或区段工程</w:t>
      </w:r>
      <w:r>
        <w:rPr>
          <w:rFonts w:ascii="宋体" w:hAnsi="宋体" w:eastAsia="宋体" w:cs="宋体"/>
          <w:sz w:val="21"/>
          <w:szCs w:val="21"/>
          <w:highlight w:val="none"/>
        </w:rPr>
        <w:t xml:space="preserve"> 的许可，并造成承包人费用增加的，应承担由此增加的费用并支付承包</w:t>
      </w:r>
      <w:r>
        <w:rPr>
          <w:rFonts w:ascii="宋体" w:hAnsi="宋体" w:eastAsia="宋体" w:cs="宋体"/>
          <w:spacing w:val="-1"/>
          <w:sz w:val="21"/>
          <w:szCs w:val="21"/>
          <w:highlight w:val="none"/>
        </w:rPr>
        <w:t>人合理利润。</w:t>
      </w:r>
    </w:p>
    <w:p w14:paraId="73029FB1">
      <w:pPr>
        <w:pStyle w:val="2"/>
        <w:spacing w:line="398" w:lineRule="auto"/>
        <w:rPr>
          <w:highlight w:val="none"/>
        </w:rPr>
      </w:pPr>
    </w:p>
    <w:p w14:paraId="2D8DE5A3">
      <w:pPr>
        <w:spacing w:before="91" w:line="222" w:lineRule="auto"/>
        <w:rPr>
          <w:rFonts w:ascii="黑体" w:hAnsi="黑体" w:eastAsia="黑体" w:cs="黑体"/>
          <w:sz w:val="28"/>
          <w:szCs w:val="28"/>
          <w:highlight w:val="none"/>
        </w:rPr>
      </w:pPr>
      <w:r>
        <w:rPr>
          <w:rFonts w:ascii="黑体" w:hAnsi="黑体" w:eastAsia="黑体" w:cs="黑体"/>
          <w:spacing w:val="35"/>
          <w:sz w:val="28"/>
          <w:szCs w:val="28"/>
          <w:highlight w:val="none"/>
        </w:rPr>
        <w:t>第13条变更与调整</w:t>
      </w:r>
    </w:p>
    <w:p w14:paraId="755F6CC9">
      <w:pPr>
        <w:pStyle w:val="2"/>
        <w:spacing w:line="277" w:lineRule="auto"/>
        <w:rPr>
          <w:highlight w:val="none"/>
        </w:rPr>
      </w:pPr>
    </w:p>
    <w:p w14:paraId="2D62F6A9">
      <w:pPr>
        <w:pStyle w:val="2"/>
        <w:spacing w:before="72" w:line="300" w:lineRule="exact"/>
        <w:rPr>
          <w:rFonts w:ascii="黑体" w:hAnsi="黑体" w:eastAsia="黑体" w:cs="黑体"/>
          <w:sz w:val="22"/>
          <w:szCs w:val="22"/>
          <w:highlight w:val="none"/>
        </w:rPr>
      </w:pPr>
      <w:r>
        <w:rPr>
          <w:spacing w:val="-7"/>
          <w:position w:val="1"/>
          <w:sz w:val="22"/>
          <w:szCs w:val="22"/>
          <w:highlight w:val="none"/>
        </w:rPr>
        <w:t>13.1</w:t>
      </w:r>
      <w:r>
        <w:rPr>
          <w:spacing w:val="35"/>
          <w:w w:val="101"/>
          <w:position w:val="1"/>
          <w:sz w:val="22"/>
          <w:szCs w:val="22"/>
          <w:highlight w:val="none"/>
        </w:rPr>
        <w:t xml:space="preserve"> </w:t>
      </w:r>
      <w:r>
        <w:rPr>
          <w:rFonts w:ascii="黑体" w:hAnsi="黑体" w:eastAsia="黑体" w:cs="黑体"/>
          <w:spacing w:val="-7"/>
          <w:position w:val="1"/>
          <w:sz w:val="22"/>
          <w:szCs w:val="22"/>
          <w:highlight w:val="none"/>
        </w:rPr>
        <w:t>发包人变更权</w:t>
      </w:r>
    </w:p>
    <w:p w14:paraId="41B06099">
      <w:pPr>
        <w:spacing w:before="129" w:line="353" w:lineRule="auto"/>
        <w:ind w:right="90" w:firstLine="440"/>
        <w:jc w:val="both"/>
        <w:rPr>
          <w:rFonts w:ascii="宋体" w:hAnsi="宋体" w:eastAsia="宋体" w:cs="宋体"/>
          <w:sz w:val="22"/>
          <w:szCs w:val="22"/>
          <w:highlight w:val="none"/>
        </w:rPr>
      </w:pPr>
      <w:r>
        <w:rPr>
          <w:rFonts w:ascii="Times New Roman" w:hAnsi="Times New Roman" w:eastAsia="Times New Roman" w:cs="Times New Roman"/>
          <w:spacing w:val="-2"/>
          <w:sz w:val="22"/>
          <w:szCs w:val="22"/>
          <w:highlight w:val="none"/>
        </w:rPr>
        <w:t xml:space="preserve">13.1.1   </w:t>
      </w:r>
      <w:r>
        <w:rPr>
          <w:rFonts w:ascii="宋体" w:hAnsi="宋体" w:eastAsia="宋体" w:cs="宋体"/>
          <w:spacing w:val="-2"/>
          <w:sz w:val="22"/>
          <w:szCs w:val="22"/>
          <w:highlight w:val="none"/>
        </w:rPr>
        <w:t>变更指示应经发包人同意，并由工</w:t>
      </w:r>
      <w:r>
        <w:rPr>
          <w:rFonts w:ascii="宋体" w:hAnsi="宋体" w:eastAsia="宋体" w:cs="宋体"/>
          <w:spacing w:val="-3"/>
          <w:sz w:val="22"/>
          <w:szCs w:val="22"/>
          <w:highlight w:val="none"/>
        </w:rPr>
        <w:t>程师发出经发包人签认的变更指示。除第</w:t>
      </w:r>
      <w:r>
        <w:rPr>
          <w:rFonts w:ascii="宋体" w:hAnsi="宋体" w:eastAsia="宋体" w:cs="宋体"/>
          <w:sz w:val="22"/>
          <w:szCs w:val="22"/>
          <w:highlight w:val="none"/>
        </w:rPr>
        <w:t xml:space="preserve"> </w:t>
      </w:r>
      <w:r>
        <w:rPr>
          <w:rFonts w:ascii="宋体" w:hAnsi="宋体" w:eastAsia="宋体" w:cs="宋体"/>
          <w:spacing w:val="3"/>
          <w:sz w:val="21"/>
          <w:szCs w:val="21"/>
          <w:highlight w:val="none"/>
        </w:rPr>
        <w:t>11.3.6项[未能修复]约定的情况外，变更不应包括准备将任何工</w:t>
      </w:r>
      <w:r>
        <w:rPr>
          <w:rFonts w:ascii="宋体" w:hAnsi="宋体" w:eastAsia="宋体" w:cs="宋体"/>
          <w:spacing w:val="2"/>
          <w:sz w:val="21"/>
          <w:szCs w:val="21"/>
          <w:highlight w:val="none"/>
        </w:rPr>
        <w:t>作删减并交由他人或发包</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人自行实施的情况。承包人收到变更指示后，方可实施变更。未经许可，承包人不得擅自对</w:t>
      </w:r>
      <w:r>
        <w:rPr>
          <w:rFonts w:ascii="宋体" w:hAnsi="宋体" w:eastAsia="宋体" w:cs="宋体"/>
          <w:spacing w:val="8"/>
          <w:sz w:val="21"/>
          <w:szCs w:val="21"/>
          <w:highlight w:val="none"/>
        </w:rPr>
        <w:t xml:space="preserve"> </w:t>
      </w:r>
      <w:r>
        <w:rPr>
          <w:rFonts w:ascii="宋体" w:hAnsi="宋体" w:eastAsia="宋体" w:cs="宋体"/>
          <w:spacing w:val="-2"/>
          <w:sz w:val="21"/>
          <w:szCs w:val="21"/>
          <w:highlight w:val="none"/>
        </w:rPr>
        <w:t>工程的任何部分进行变更。发包人与承包人对某项指示或批准是否构</w:t>
      </w:r>
      <w:r>
        <w:rPr>
          <w:rFonts w:ascii="宋体" w:hAnsi="宋体" w:eastAsia="宋体" w:cs="宋体"/>
          <w:spacing w:val="-3"/>
          <w:sz w:val="21"/>
          <w:szCs w:val="21"/>
          <w:highlight w:val="none"/>
        </w:rPr>
        <w:t>成变更产生争议的，按</w:t>
      </w:r>
      <w:r>
        <w:rPr>
          <w:rFonts w:ascii="宋体" w:hAnsi="宋体" w:eastAsia="宋体" w:cs="宋体"/>
          <w:sz w:val="21"/>
          <w:szCs w:val="21"/>
          <w:highlight w:val="none"/>
        </w:rPr>
        <w:t xml:space="preserve"> </w:t>
      </w:r>
      <w:r>
        <w:rPr>
          <w:rFonts w:ascii="宋体" w:hAnsi="宋体" w:eastAsia="宋体" w:cs="宋体"/>
          <w:spacing w:val="-2"/>
          <w:sz w:val="22"/>
          <w:szCs w:val="22"/>
          <w:highlight w:val="none"/>
        </w:rPr>
        <w:t>第20条[争议解决]处理。</w:t>
      </w:r>
    </w:p>
    <w:p w14:paraId="10A42BD6">
      <w:pPr>
        <w:spacing w:before="155" w:line="357" w:lineRule="auto"/>
        <w:ind w:right="91" w:firstLine="440"/>
        <w:jc w:val="both"/>
        <w:rPr>
          <w:rFonts w:ascii="宋体" w:hAnsi="宋体" w:eastAsia="宋体" w:cs="宋体"/>
          <w:sz w:val="21"/>
          <w:szCs w:val="21"/>
          <w:highlight w:val="none"/>
        </w:rPr>
      </w:pPr>
      <w:r>
        <w:rPr>
          <w:rFonts w:ascii="Times New Roman" w:hAnsi="Times New Roman" w:eastAsia="Times New Roman" w:cs="Times New Roman"/>
          <w:sz w:val="21"/>
          <w:szCs w:val="21"/>
          <w:highlight w:val="none"/>
        </w:rPr>
        <w:t>13.1.2</w:t>
      </w:r>
      <w:r>
        <w:rPr>
          <w:rFonts w:ascii="Times New Roman" w:hAnsi="Times New Roman" w:eastAsia="Times New Roman" w:cs="Times New Roman"/>
          <w:spacing w:val="15"/>
          <w:sz w:val="21"/>
          <w:szCs w:val="21"/>
          <w:highlight w:val="none"/>
        </w:rPr>
        <w:t xml:space="preserve">   </w:t>
      </w:r>
      <w:r>
        <w:rPr>
          <w:rFonts w:ascii="宋体" w:hAnsi="宋体" w:eastAsia="宋体" w:cs="宋体"/>
          <w:sz w:val="21"/>
          <w:szCs w:val="21"/>
          <w:highlight w:val="none"/>
        </w:rPr>
        <w:t xml:space="preserve">承包人应按照变更指示执行，除非承包人及时向工程师发出通知，说明该项变 </w:t>
      </w:r>
      <w:r>
        <w:rPr>
          <w:rFonts w:ascii="宋体" w:hAnsi="宋体" w:eastAsia="宋体" w:cs="宋体"/>
          <w:spacing w:val="-2"/>
          <w:sz w:val="21"/>
          <w:szCs w:val="21"/>
          <w:highlight w:val="none"/>
        </w:rPr>
        <w:t>更指示将降低工程的安全性、稳定性或适用性；涉及的工作内容</w:t>
      </w:r>
      <w:r>
        <w:rPr>
          <w:rFonts w:ascii="宋体" w:hAnsi="宋体" w:eastAsia="宋体" w:cs="宋体"/>
          <w:spacing w:val="-3"/>
          <w:sz w:val="21"/>
          <w:szCs w:val="21"/>
          <w:highlight w:val="none"/>
        </w:rPr>
        <w:t>和范围不可预见；所涉设备</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难以采购；导致承包人无法执行第7.5款[现场劳动用工]、第7.</w:t>
      </w:r>
      <w:r>
        <w:rPr>
          <w:rFonts w:ascii="宋体" w:hAnsi="宋体" w:eastAsia="宋体" w:cs="宋体"/>
          <w:spacing w:val="7"/>
          <w:sz w:val="21"/>
          <w:szCs w:val="21"/>
          <w:highlight w:val="none"/>
        </w:rPr>
        <w:t>6款[安全文明施工]、第</w:t>
      </w:r>
      <w:r>
        <w:rPr>
          <w:rFonts w:ascii="宋体" w:hAnsi="宋体" w:eastAsia="宋体" w:cs="宋体"/>
          <w:sz w:val="21"/>
          <w:szCs w:val="21"/>
          <w:highlight w:val="none"/>
        </w:rPr>
        <w:t xml:space="preserve"> </w:t>
      </w:r>
      <w:r>
        <w:rPr>
          <w:rFonts w:ascii="仿宋" w:hAnsi="仿宋" w:eastAsia="仿宋" w:cs="仿宋"/>
          <w:spacing w:val="7"/>
          <w:sz w:val="21"/>
          <w:szCs w:val="21"/>
          <w:highlight w:val="none"/>
        </w:rPr>
        <w:t>7.7款[</w:t>
      </w:r>
      <w:r>
        <w:rPr>
          <w:rFonts w:ascii="宋体" w:hAnsi="宋体" w:eastAsia="宋体" w:cs="宋体"/>
          <w:spacing w:val="7"/>
          <w:sz w:val="21"/>
          <w:szCs w:val="21"/>
          <w:highlight w:val="none"/>
        </w:rPr>
        <w:t>职业健康]或第7.8款[环境保护]内容；将造成工期延误；与第4.1款[承包人的一</w:t>
      </w:r>
      <w:r>
        <w:rPr>
          <w:rFonts w:ascii="宋体" w:hAnsi="宋体" w:eastAsia="宋体" w:cs="宋体"/>
          <w:spacing w:val="15"/>
          <w:sz w:val="21"/>
          <w:szCs w:val="21"/>
          <w:highlight w:val="none"/>
        </w:rPr>
        <w:t xml:space="preserve"> </w:t>
      </w:r>
      <w:r>
        <w:rPr>
          <w:rFonts w:ascii="宋体" w:hAnsi="宋体" w:eastAsia="宋体" w:cs="宋体"/>
          <w:sz w:val="21"/>
          <w:szCs w:val="21"/>
          <w:highlight w:val="none"/>
        </w:rPr>
        <w:t>般义务]相冲突等无法执行的理由。工程师接到承包人的通知后，应作出经发包人签认的取</w:t>
      </w:r>
      <w:r>
        <w:rPr>
          <w:rFonts w:ascii="宋体" w:hAnsi="宋体" w:eastAsia="宋体" w:cs="宋体"/>
          <w:spacing w:val="14"/>
          <w:sz w:val="21"/>
          <w:szCs w:val="21"/>
          <w:highlight w:val="none"/>
        </w:rPr>
        <w:t xml:space="preserve"> </w:t>
      </w:r>
      <w:r>
        <w:rPr>
          <w:rFonts w:ascii="宋体" w:hAnsi="宋体" w:eastAsia="宋体" w:cs="宋体"/>
          <w:spacing w:val="-3"/>
          <w:sz w:val="21"/>
          <w:szCs w:val="21"/>
          <w:highlight w:val="none"/>
        </w:rPr>
        <w:t>消、确认或改变原指示的书面回复。</w:t>
      </w:r>
    </w:p>
    <w:p w14:paraId="564F8287">
      <w:pPr>
        <w:pStyle w:val="2"/>
        <w:spacing w:before="243" w:line="300" w:lineRule="exact"/>
        <w:rPr>
          <w:rFonts w:ascii="黑体" w:hAnsi="黑体" w:eastAsia="黑体" w:cs="黑体"/>
          <w:sz w:val="22"/>
          <w:szCs w:val="22"/>
          <w:highlight w:val="none"/>
        </w:rPr>
      </w:pPr>
      <w:r>
        <w:rPr>
          <w:spacing w:val="-9"/>
          <w:position w:val="1"/>
          <w:sz w:val="22"/>
          <w:szCs w:val="22"/>
          <w:highlight w:val="none"/>
        </w:rPr>
        <w:t>13.2</w:t>
      </w:r>
      <w:r>
        <w:rPr>
          <w:spacing w:val="55"/>
          <w:w w:val="101"/>
          <w:position w:val="1"/>
          <w:sz w:val="22"/>
          <w:szCs w:val="22"/>
          <w:highlight w:val="none"/>
        </w:rPr>
        <w:t xml:space="preserve"> </w:t>
      </w:r>
      <w:r>
        <w:rPr>
          <w:rFonts w:ascii="黑体" w:hAnsi="黑体" w:eastAsia="黑体" w:cs="黑体"/>
          <w:spacing w:val="-9"/>
          <w:position w:val="1"/>
          <w:sz w:val="22"/>
          <w:szCs w:val="22"/>
          <w:highlight w:val="none"/>
        </w:rPr>
        <w:t>承包人的合理化建议</w:t>
      </w:r>
    </w:p>
    <w:p w14:paraId="73F6F282">
      <w:pPr>
        <w:spacing w:before="130" w:line="280" w:lineRule="auto"/>
        <w:ind w:firstLine="44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13.2.1</w:t>
      </w:r>
      <w:r>
        <w:rPr>
          <w:rFonts w:ascii="Times New Roman" w:hAnsi="Times New Roman" w:eastAsia="Times New Roman" w:cs="Times New Roman"/>
          <w:spacing w:val="18"/>
          <w:sz w:val="21"/>
          <w:szCs w:val="21"/>
          <w:highlight w:val="none"/>
        </w:rPr>
        <w:t xml:space="preserve">   </w:t>
      </w:r>
      <w:r>
        <w:rPr>
          <w:rFonts w:ascii="宋体" w:hAnsi="宋体" w:eastAsia="宋体" w:cs="宋体"/>
          <w:spacing w:val="-3"/>
          <w:sz w:val="21"/>
          <w:szCs w:val="21"/>
          <w:highlight w:val="none"/>
        </w:rPr>
        <w:t>承包人提出合理化建议的，应向工程师提交合理化建议说明，说明建议的内容、</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理由以及实施该建议对合同价格和工期的影响。</w:t>
      </w:r>
    </w:p>
    <w:p w14:paraId="28650AAD">
      <w:pPr>
        <w:pStyle w:val="2"/>
        <w:spacing w:line="261" w:lineRule="auto"/>
        <w:rPr>
          <w:highlight w:val="none"/>
        </w:rPr>
      </w:pPr>
    </w:p>
    <w:p w14:paraId="3CEC35EC">
      <w:pPr>
        <w:spacing w:before="69" w:line="327" w:lineRule="auto"/>
        <w:ind w:right="75" w:firstLine="440"/>
        <w:rPr>
          <w:rFonts w:ascii="宋体" w:hAnsi="宋体" w:eastAsia="宋体" w:cs="宋体"/>
          <w:sz w:val="21"/>
          <w:szCs w:val="21"/>
          <w:highlight w:val="none"/>
        </w:rPr>
      </w:pPr>
      <w:r>
        <w:rPr>
          <w:rFonts w:ascii="Times New Roman" w:hAnsi="Times New Roman" w:eastAsia="Times New Roman" w:cs="Times New Roman"/>
          <w:spacing w:val="4"/>
          <w:sz w:val="21"/>
          <w:szCs w:val="21"/>
          <w:highlight w:val="none"/>
        </w:rPr>
        <w:t xml:space="preserve">13.2.2   </w:t>
      </w:r>
      <w:r>
        <w:rPr>
          <w:rFonts w:ascii="宋体" w:hAnsi="宋体" w:eastAsia="宋体" w:cs="宋体"/>
          <w:spacing w:val="4"/>
          <w:sz w:val="21"/>
          <w:szCs w:val="21"/>
          <w:highlight w:val="none"/>
        </w:rPr>
        <w:t>除专用合同条件另有约定外，工程师应在收到承包人提交的合理化建议后7天</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内审查完毕并报送发包人，发现其中存在技术上的缺陷，应通</w:t>
      </w:r>
      <w:r>
        <w:rPr>
          <w:rFonts w:ascii="宋体" w:hAnsi="宋体" w:eastAsia="宋体" w:cs="宋体"/>
          <w:spacing w:val="-3"/>
          <w:sz w:val="21"/>
          <w:szCs w:val="21"/>
          <w:highlight w:val="none"/>
        </w:rPr>
        <w:t>知承包人修改。发包人应在收</w:t>
      </w:r>
      <w:r>
        <w:rPr>
          <w:rFonts w:ascii="宋体" w:hAnsi="宋体" w:eastAsia="宋体" w:cs="宋体"/>
          <w:sz w:val="21"/>
          <w:szCs w:val="21"/>
          <w:highlight w:val="none"/>
        </w:rPr>
        <w:t xml:space="preserve"> 到工程师报送的合理化建议后7天内审批完毕。合理化建议经发包人批准的，工程师应及时</w:t>
      </w:r>
      <w:r>
        <w:rPr>
          <w:rFonts w:ascii="宋体" w:hAnsi="宋体" w:eastAsia="宋体" w:cs="宋体"/>
          <w:spacing w:val="16"/>
          <w:sz w:val="21"/>
          <w:szCs w:val="21"/>
          <w:highlight w:val="none"/>
        </w:rPr>
        <w:t xml:space="preserve"> </w:t>
      </w:r>
      <w:r>
        <w:rPr>
          <w:rFonts w:ascii="宋体" w:hAnsi="宋体" w:eastAsia="宋体" w:cs="宋体"/>
          <w:spacing w:val="3"/>
          <w:sz w:val="21"/>
          <w:szCs w:val="21"/>
          <w:highlight w:val="none"/>
        </w:rPr>
        <w:t>发出变更指示，由此引起的合同价格调整按照第13.3.3项[变更估价]约</w:t>
      </w:r>
      <w:r>
        <w:rPr>
          <w:rFonts w:ascii="宋体" w:hAnsi="宋体" w:eastAsia="宋体" w:cs="宋体"/>
          <w:spacing w:val="2"/>
          <w:sz w:val="21"/>
          <w:szCs w:val="21"/>
          <w:highlight w:val="none"/>
        </w:rPr>
        <w:t>定执行。发包人不</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同意变更的，工程师应书面通知承包人。</w:t>
      </w:r>
    </w:p>
    <w:p w14:paraId="3B02338F">
      <w:pPr>
        <w:pStyle w:val="2"/>
        <w:spacing w:line="241" w:lineRule="auto"/>
        <w:rPr>
          <w:highlight w:val="none"/>
        </w:rPr>
      </w:pPr>
    </w:p>
    <w:p w14:paraId="362A058B">
      <w:pPr>
        <w:spacing w:before="69" w:line="299" w:lineRule="auto"/>
        <w:ind w:right="95" w:firstLine="440"/>
        <w:rPr>
          <w:rFonts w:ascii="宋体" w:hAnsi="宋体" w:eastAsia="宋体" w:cs="宋体"/>
          <w:sz w:val="21"/>
          <w:szCs w:val="21"/>
          <w:highlight w:val="none"/>
        </w:rPr>
      </w:pPr>
      <w:r>
        <w:rPr>
          <w:rFonts w:ascii="Times New Roman" w:hAnsi="Times New Roman" w:eastAsia="Times New Roman" w:cs="Times New Roman"/>
          <w:sz w:val="21"/>
          <w:szCs w:val="21"/>
          <w:highlight w:val="none"/>
        </w:rPr>
        <w:t>13.2.3</w:t>
      </w:r>
      <w:r>
        <w:rPr>
          <w:rFonts w:ascii="Times New Roman" w:hAnsi="Times New Roman" w:eastAsia="Times New Roman" w:cs="Times New Roman"/>
          <w:spacing w:val="15"/>
          <w:sz w:val="21"/>
          <w:szCs w:val="21"/>
          <w:highlight w:val="none"/>
        </w:rPr>
        <w:t xml:space="preserve">   </w:t>
      </w:r>
      <w:r>
        <w:rPr>
          <w:rFonts w:ascii="宋体" w:hAnsi="宋体" w:eastAsia="宋体" w:cs="宋体"/>
          <w:sz w:val="21"/>
          <w:szCs w:val="21"/>
          <w:highlight w:val="none"/>
        </w:rPr>
        <w:t xml:space="preserve">合理化建议降低了合同价格、缩短了工期或者提高了工程经济效益的，双方可 </w:t>
      </w:r>
      <w:r>
        <w:rPr>
          <w:rFonts w:ascii="宋体" w:hAnsi="宋体" w:eastAsia="宋体" w:cs="宋体"/>
          <w:spacing w:val="-2"/>
          <w:sz w:val="21"/>
          <w:szCs w:val="21"/>
          <w:highlight w:val="none"/>
        </w:rPr>
        <w:t>以按照专用合同条件的约定进行利益分享。</w:t>
      </w:r>
    </w:p>
    <w:p w14:paraId="57553CDD">
      <w:pPr>
        <w:spacing w:line="299" w:lineRule="auto"/>
        <w:rPr>
          <w:rFonts w:ascii="宋体" w:hAnsi="宋体" w:eastAsia="宋体" w:cs="宋体"/>
          <w:sz w:val="21"/>
          <w:szCs w:val="21"/>
          <w:highlight w:val="none"/>
        </w:rPr>
        <w:sectPr>
          <w:footerReference r:id="rId122" w:type="default"/>
          <w:pgSz w:w="11910" w:h="16840"/>
          <w:pgMar w:top="400" w:right="1725" w:bottom="1169" w:left="1779" w:header="0" w:footer="1028" w:gutter="0"/>
          <w:cols w:space="720" w:num="1"/>
        </w:sectPr>
      </w:pPr>
    </w:p>
    <w:p w14:paraId="1D75AEF8">
      <w:pPr>
        <w:pStyle w:val="2"/>
        <w:spacing w:line="269" w:lineRule="auto"/>
        <w:rPr>
          <w:highlight w:val="none"/>
        </w:rPr>
      </w:pPr>
    </w:p>
    <w:p w14:paraId="074D9B07">
      <w:pPr>
        <w:pStyle w:val="2"/>
        <w:spacing w:line="270" w:lineRule="auto"/>
        <w:rPr>
          <w:highlight w:val="none"/>
        </w:rPr>
      </w:pPr>
    </w:p>
    <w:p w14:paraId="11885CF4">
      <w:pPr>
        <w:pStyle w:val="2"/>
        <w:spacing w:line="270" w:lineRule="auto"/>
        <w:rPr>
          <w:highlight w:val="none"/>
        </w:rPr>
      </w:pPr>
    </w:p>
    <w:p w14:paraId="53BE1737">
      <w:pPr>
        <w:pStyle w:val="2"/>
        <w:spacing w:line="270" w:lineRule="auto"/>
        <w:rPr>
          <w:highlight w:val="none"/>
        </w:rPr>
      </w:pPr>
    </w:p>
    <w:p w14:paraId="00C04592">
      <w:pPr>
        <w:spacing w:before="72" w:line="222" w:lineRule="auto"/>
        <w:rPr>
          <w:rFonts w:ascii="黑体" w:hAnsi="黑体" w:eastAsia="黑体" w:cs="黑体"/>
          <w:sz w:val="22"/>
          <w:szCs w:val="22"/>
          <w:highlight w:val="none"/>
        </w:rPr>
      </w:pPr>
      <w:r>
        <w:rPr>
          <w:rFonts w:ascii="黑体" w:hAnsi="黑体" w:eastAsia="黑体" w:cs="黑体"/>
          <w:spacing w:val="4"/>
          <w:sz w:val="22"/>
          <w:szCs w:val="22"/>
          <w:highlight w:val="none"/>
        </w:rPr>
        <w:t>13.3变更程序</w:t>
      </w:r>
    </w:p>
    <w:p w14:paraId="5EB8F21A">
      <w:pPr>
        <w:spacing w:before="96" w:line="220" w:lineRule="auto"/>
        <w:ind w:left="43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13.3.1</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5"/>
          <w:sz w:val="20"/>
          <w:szCs w:val="20"/>
          <w:highlight w:val="none"/>
        </w:rPr>
        <w:t>发包人提出变更</w:t>
      </w:r>
    </w:p>
    <w:p w14:paraId="4E01BFFF">
      <w:pPr>
        <w:pStyle w:val="2"/>
        <w:spacing w:line="369" w:lineRule="auto"/>
        <w:rPr>
          <w:highlight w:val="none"/>
        </w:rPr>
      </w:pPr>
    </w:p>
    <w:p w14:paraId="3768A6FC">
      <w:pPr>
        <w:spacing w:before="68" w:line="219" w:lineRule="auto"/>
        <w:ind w:left="430"/>
        <w:rPr>
          <w:rFonts w:ascii="宋体" w:hAnsi="宋体" w:eastAsia="宋体" w:cs="宋体"/>
          <w:sz w:val="21"/>
          <w:szCs w:val="21"/>
          <w:highlight w:val="none"/>
        </w:rPr>
      </w:pPr>
      <w:r>
        <w:rPr>
          <w:rFonts w:ascii="宋体" w:hAnsi="宋体" w:eastAsia="宋体" w:cs="宋体"/>
          <w:spacing w:val="-2"/>
          <w:sz w:val="21"/>
          <w:szCs w:val="21"/>
          <w:highlight w:val="none"/>
        </w:rPr>
        <w:t>发包人提出变更的，应通过工程师向承包人发出书面形式的变更指示，变更指示应说明</w:t>
      </w:r>
    </w:p>
    <w:p w14:paraId="4A65F42F">
      <w:pPr>
        <w:spacing w:before="252" w:line="219" w:lineRule="auto"/>
        <w:rPr>
          <w:rFonts w:ascii="宋体" w:hAnsi="宋体" w:eastAsia="宋体" w:cs="宋体"/>
          <w:sz w:val="21"/>
          <w:szCs w:val="21"/>
          <w:highlight w:val="none"/>
        </w:rPr>
      </w:pPr>
      <w:r>
        <w:rPr>
          <w:rFonts w:ascii="宋体" w:hAnsi="宋体" w:eastAsia="宋体" w:cs="宋体"/>
          <w:spacing w:val="-3"/>
          <w:sz w:val="21"/>
          <w:szCs w:val="21"/>
          <w:highlight w:val="none"/>
        </w:rPr>
        <w:t>计划变更的工程范围和变更的内容。</w:t>
      </w:r>
    </w:p>
    <w:p w14:paraId="1BA40F84">
      <w:pPr>
        <w:spacing w:before="101"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13.3.2</w:t>
      </w:r>
      <w:r>
        <w:rPr>
          <w:rFonts w:ascii="Times New Roman" w:hAnsi="Times New Roman" w:eastAsia="Times New Roman" w:cs="Times New Roman"/>
          <w:spacing w:val="12"/>
          <w:sz w:val="22"/>
          <w:szCs w:val="22"/>
          <w:highlight w:val="none"/>
        </w:rPr>
        <w:t xml:space="preserve">   </w:t>
      </w:r>
      <w:r>
        <w:rPr>
          <w:rFonts w:ascii="宋体" w:hAnsi="宋体" w:eastAsia="宋体" w:cs="宋体"/>
          <w:spacing w:val="-7"/>
          <w:sz w:val="22"/>
          <w:szCs w:val="22"/>
          <w:highlight w:val="none"/>
        </w:rPr>
        <w:t>变更执行</w:t>
      </w:r>
    </w:p>
    <w:p w14:paraId="7312D0CD">
      <w:pPr>
        <w:pStyle w:val="2"/>
        <w:spacing w:line="348" w:lineRule="auto"/>
        <w:rPr>
          <w:highlight w:val="none"/>
        </w:rPr>
      </w:pPr>
    </w:p>
    <w:p w14:paraId="39D8E9F4">
      <w:pPr>
        <w:spacing w:before="68" w:line="393" w:lineRule="auto"/>
        <w:ind w:right="88"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承包人收到工程师下达的变更指示后，认为不能执行</w:t>
      </w:r>
      <w:r>
        <w:rPr>
          <w:rFonts w:ascii="宋体" w:hAnsi="宋体" w:eastAsia="宋体" w:cs="宋体"/>
          <w:spacing w:val="-3"/>
          <w:sz w:val="21"/>
          <w:szCs w:val="21"/>
          <w:highlight w:val="none"/>
        </w:rPr>
        <w:t>，应在合理期限内提出不能执行该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变更指示的理由。承包人认为可以执行变更的，应当书面说明实施该变更指示需要采取的具</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体措施及对合同价格和工期的影响，且合同当事人应当按照第13.3.3项[变更估价]约定确</w:t>
      </w:r>
      <w:r>
        <w:rPr>
          <w:rFonts w:ascii="宋体" w:hAnsi="宋体" w:eastAsia="宋体" w:cs="宋体"/>
          <w:spacing w:val="6"/>
          <w:sz w:val="21"/>
          <w:szCs w:val="21"/>
          <w:highlight w:val="none"/>
        </w:rPr>
        <w:t xml:space="preserve"> </w:t>
      </w:r>
      <w:r>
        <w:rPr>
          <w:rFonts w:ascii="宋体" w:hAnsi="宋体" w:eastAsia="宋体" w:cs="宋体"/>
          <w:spacing w:val="-7"/>
          <w:sz w:val="21"/>
          <w:szCs w:val="21"/>
          <w:highlight w:val="none"/>
        </w:rPr>
        <w:t>定变更估价。</w:t>
      </w:r>
    </w:p>
    <w:p w14:paraId="1084CF70">
      <w:pPr>
        <w:spacing w:before="1" w:line="217" w:lineRule="auto"/>
        <w:ind w:left="430"/>
        <w:rPr>
          <w:rFonts w:ascii="宋体" w:hAnsi="宋体" w:eastAsia="宋体" w:cs="宋体"/>
          <w:sz w:val="22"/>
          <w:szCs w:val="22"/>
          <w:highlight w:val="none"/>
        </w:rPr>
      </w:pPr>
      <w:r>
        <w:rPr>
          <w:rFonts w:ascii="宋体" w:hAnsi="宋体" w:eastAsia="宋体" w:cs="宋体"/>
          <w:sz w:val="22"/>
          <w:szCs w:val="22"/>
          <w:highlight w:val="none"/>
        </w:rPr>
        <w:t>13.3.3变更估价</w:t>
      </w:r>
    </w:p>
    <w:p w14:paraId="23DF74E1">
      <w:pPr>
        <w:spacing w:before="311" w:line="218" w:lineRule="auto"/>
        <w:ind w:left="620"/>
        <w:rPr>
          <w:rFonts w:ascii="宋体" w:hAnsi="宋体" w:eastAsia="宋体" w:cs="宋体"/>
          <w:sz w:val="22"/>
          <w:szCs w:val="22"/>
          <w:highlight w:val="none"/>
        </w:rPr>
      </w:pPr>
      <w:r>
        <w:rPr>
          <w:rFonts w:ascii="宋体" w:hAnsi="宋体" w:eastAsia="宋体" w:cs="宋体"/>
          <w:sz w:val="22"/>
          <w:szCs w:val="22"/>
          <w:highlight w:val="none"/>
        </w:rPr>
        <w:t>13.3.3.1变更估价原则</w:t>
      </w:r>
    </w:p>
    <w:p w14:paraId="09952DAD">
      <w:pPr>
        <w:pStyle w:val="2"/>
        <w:spacing w:line="366" w:lineRule="auto"/>
        <w:rPr>
          <w:highlight w:val="none"/>
        </w:rPr>
      </w:pPr>
    </w:p>
    <w:p w14:paraId="6BA1036D">
      <w:pPr>
        <w:spacing w:before="72" w:line="218" w:lineRule="auto"/>
        <w:ind w:left="620"/>
        <w:rPr>
          <w:rFonts w:ascii="宋体" w:hAnsi="宋体" w:eastAsia="宋体" w:cs="宋体"/>
          <w:sz w:val="22"/>
          <w:szCs w:val="22"/>
          <w:highlight w:val="none"/>
        </w:rPr>
      </w:pPr>
      <w:r>
        <w:rPr>
          <w:rFonts w:ascii="宋体" w:hAnsi="宋体" w:eastAsia="宋体" w:cs="宋体"/>
          <w:spacing w:val="-11"/>
          <w:sz w:val="22"/>
          <w:szCs w:val="22"/>
          <w:highlight w:val="none"/>
        </w:rPr>
        <w:t>除专用合同条件另有约定外，变更估价按照本款约定处理：</w:t>
      </w:r>
    </w:p>
    <w:p w14:paraId="17DFB783">
      <w:pPr>
        <w:spacing w:before="220" w:line="218" w:lineRule="auto"/>
        <w:ind w:right="30"/>
        <w:jc w:val="right"/>
        <w:rPr>
          <w:rFonts w:ascii="宋体" w:hAnsi="宋体" w:eastAsia="宋体" w:cs="宋体"/>
          <w:sz w:val="21"/>
          <w:szCs w:val="21"/>
          <w:highlight w:val="none"/>
        </w:rPr>
      </w:pPr>
      <w:r>
        <w:rPr>
          <w:rFonts w:ascii="宋体" w:hAnsi="宋体" w:eastAsia="宋体" w:cs="宋体"/>
          <w:sz w:val="21"/>
          <w:szCs w:val="21"/>
          <w:highlight w:val="none"/>
        </w:rPr>
        <w:t>(1)合同中未包含价格清单，合同价格应按照所执行的变更工程的成本加利润调整；</w:t>
      </w:r>
    </w:p>
    <w:p w14:paraId="77B32FED">
      <w:pPr>
        <w:spacing w:before="212" w:line="218" w:lineRule="auto"/>
        <w:ind w:left="710"/>
        <w:rPr>
          <w:rFonts w:ascii="宋体" w:hAnsi="宋体" w:eastAsia="宋体" w:cs="宋体"/>
          <w:sz w:val="22"/>
          <w:szCs w:val="22"/>
          <w:highlight w:val="none"/>
        </w:rPr>
      </w:pPr>
      <w:r>
        <w:rPr>
          <w:rFonts w:ascii="宋体" w:hAnsi="宋体" w:eastAsia="宋体" w:cs="宋体"/>
          <w:spacing w:val="-7"/>
          <w:sz w:val="22"/>
          <w:szCs w:val="22"/>
          <w:highlight w:val="none"/>
        </w:rPr>
        <w:t>(2)合同中包含价格清单，合同价格按照如下规则调整：</w:t>
      </w:r>
    </w:p>
    <w:p w14:paraId="2BD1B92D">
      <w:pPr>
        <w:spacing w:before="220" w:line="218" w:lineRule="auto"/>
        <w:ind w:left="799"/>
        <w:rPr>
          <w:rFonts w:ascii="宋体" w:hAnsi="宋体" w:eastAsia="宋体" w:cs="宋体"/>
          <w:sz w:val="22"/>
          <w:szCs w:val="22"/>
          <w:highlight w:val="none"/>
        </w:rPr>
      </w:pPr>
      <w:r>
        <w:rPr>
          <w:rFonts w:ascii="宋体" w:hAnsi="宋体" w:eastAsia="宋体" w:cs="宋体"/>
          <w:spacing w:val="-7"/>
          <w:sz w:val="22"/>
          <w:szCs w:val="22"/>
          <w:highlight w:val="none"/>
        </w:rPr>
        <w:t>1)价格清单中有适用于变更工程项目的，应采用</w:t>
      </w:r>
      <w:r>
        <w:rPr>
          <w:rFonts w:ascii="宋体" w:hAnsi="宋体" w:eastAsia="宋体" w:cs="宋体"/>
          <w:spacing w:val="-8"/>
          <w:sz w:val="22"/>
          <w:szCs w:val="22"/>
          <w:highlight w:val="none"/>
        </w:rPr>
        <w:t>该项目的费率和价格；</w:t>
      </w:r>
    </w:p>
    <w:p w14:paraId="1DCA6030">
      <w:pPr>
        <w:spacing w:before="221" w:line="306" w:lineRule="auto"/>
        <w:ind w:right="91" w:firstLine="799"/>
        <w:rPr>
          <w:rFonts w:ascii="宋体" w:hAnsi="宋体" w:eastAsia="宋体" w:cs="宋体"/>
          <w:sz w:val="22"/>
          <w:szCs w:val="22"/>
          <w:highlight w:val="none"/>
        </w:rPr>
      </w:pPr>
      <w:r>
        <w:rPr>
          <w:rFonts w:ascii="宋体" w:hAnsi="宋体" w:eastAsia="宋体" w:cs="宋体"/>
          <w:spacing w:val="-5"/>
          <w:sz w:val="22"/>
          <w:szCs w:val="22"/>
          <w:highlight w:val="none"/>
        </w:rPr>
        <w:t>2)价格清单中没有适用但有类似于变更工程项目的，可在合理范围内参照类似项</w:t>
      </w:r>
      <w:r>
        <w:rPr>
          <w:rFonts w:ascii="宋体" w:hAnsi="宋体" w:eastAsia="宋体" w:cs="宋体"/>
          <w:spacing w:val="2"/>
          <w:sz w:val="22"/>
          <w:szCs w:val="22"/>
          <w:highlight w:val="none"/>
        </w:rPr>
        <w:t xml:space="preserve"> </w:t>
      </w:r>
      <w:r>
        <w:rPr>
          <w:rFonts w:ascii="宋体" w:hAnsi="宋体" w:eastAsia="宋体" w:cs="宋体"/>
          <w:spacing w:val="-17"/>
          <w:sz w:val="22"/>
          <w:szCs w:val="22"/>
          <w:highlight w:val="none"/>
        </w:rPr>
        <w:t>目的费率或价格；</w:t>
      </w:r>
    </w:p>
    <w:p w14:paraId="4DA0E13A">
      <w:pPr>
        <w:spacing w:before="240" w:line="218" w:lineRule="auto"/>
        <w:ind w:left="799"/>
        <w:rPr>
          <w:rFonts w:ascii="宋体" w:hAnsi="宋体" w:eastAsia="宋体" w:cs="宋体"/>
          <w:sz w:val="21"/>
          <w:szCs w:val="21"/>
          <w:highlight w:val="none"/>
        </w:rPr>
      </w:pPr>
      <w:r>
        <w:rPr>
          <w:rFonts w:ascii="宋体" w:hAnsi="宋体" w:eastAsia="宋体" w:cs="宋体"/>
          <w:spacing w:val="4"/>
          <w:sz w:val="21"/>
          <w:szCs w:val="21"/>
          <w:highlight w:val="none"/>
        </w:rPr>
        <w:t>3)价格清单中没有适用也没有类似于变更工程项目的，该工程项目应按成本加利</w:t>
      </w:r>
    </w:p>
    <w:p w14:paraId="507752F7">
      <w:pPr>
        <w:spacing w:before="232" w:line="218" w:lineRule="auto"/>
        <w:rPr>
          <w:rFonts w:ascii="宋体" w:hAnsi="宋体" w:eastAsia="宋体" w:cs="宋体"/>
          <w:sz w:val="21"/>
          <w:szCs w:val="21"/>
          <w:highlight w:val="none"/>
        </w:rPr>
      </w:pPr>
      <w:r>
        <w:rPr>
          <w:rFonts w:ascii="宋体" w:hAnsi="宋体" w:eastAsia="宋体" w:cs="宋体"/>
          <w:spacing w:val="-3"/>
          <w:sz w:val="21"/>
          <w:szCs w:val="21"/>
          <w:highlight w:val="none"/>
        </w:rPr>
        <w:t>润原则调整适用新的费率或价格。</w:t>
      </w:r>
    </w:p>
    <w:p w14:paraId="73EB5D76">
      <w:pPr>
        <w:spacing w:before="102" w:line="218" w:lineRule="auto"/>
        <w:ind w:left="620"/>
        <w:rPr>
          <w:rFonts w:ascii="宋体" w:hAnsi="宋体" w:eastAsia="宋体" w:cs="宋体"/>
          <w:sz w:val="22"/>
          <w:szCs w:val="22"/>
          <w:highlight w:val="none"/>
        </w:rPr>
      </w:pPr>
      <w:r>
        <w:rPr>
          <w:highlight w:val="none"/>
        </w:rPr>
        <w:fldChar w:fldCharType="begin"/>
      </w:r>
      <w:r>
        <w:rPr>
          <w:highlight w:val="none"/>
        </w:rPr>
        <w:instrText xml:space="preserve"> HYPERLINK "13.3.3.2" </w:instrText>
      </w:r>
      <w:r>
        <w:rPr>
          <w:highlight w:val="none"/>
        </w:rPr>
        <w:fldChar w:fldCharType="separate"/>
      </w:r>
      <w:r>
        <w:rPr>
          <w:rFonts w:ascii="Times New Roman" w:hAnsi="Times New Roman" w:eastAsia="Times New Roman" w:cs="Times New Roman"/>
          <w:spacing w:val="-4"/>
          <w:sz w:val="22"/>
          <w:szCs w:val="22"/>
          <w:highlight w:val="none"/>
        </w:rPr>
        <w:t>13.3.3.2</w:t>
      </w:r>
      <w:r>
        <w:rPr>
          <w:rFonts w:ascii="Times New Roman" w:hAnsi="Times New Roman" w:eastAsia="Times New Roman" w:cs="Times New Roman"/>
          <w:spacing w:val="-4"/>
          <w:sz w:val="22"/>
          <w:szCs w:val="22"/>
          <w:highlight w:val="none"/>
        </w:rPr>
        <w:fldChar w:fldCharType="end"/>
      </w:r>
      <w:r>
        <w:rPr>
          <w:rFonts w:ascii="Times New Roman" w:hAnsi="Times New Roman" w:eastAsia="Times New Roman" w:cs="Times New Roman"/>
          <w:spacing w:val="-4"/>
          <w:sz w:val="22"/>
          <w:szCs w:val="22"/>
          <w:highlight w:val="none"/>
        </w:rPr>
        <w:t xml:space="preserve">    </w:t>
      </w:r>
      <w:r>
        <w:rPr>
          <w:rFonts w:ascii="宋体" w:hAnsi="宋体" w:eastAsia="宋体" w:cs="宋体"/>
          <w:spacing w:val="-4"/>
          <w:sz w:val="22"/>
          <w:szCs w:val="22"/>
          <w:highlight w:val="none"/>
        </w:rPr>
        <w:t>变更估价程序</w:t>
      </w:r>
    </w:p>
    <w:p w14:paraId="0F547B6E">
      <w:pPr>
        <w:pStyle w:val="2"/>
        <w:spacing w:line="349" w:lineRule="auto"/>
        <w:rPr>
          <w:highlight w:val="none"/>
        </w:rPr>
      </w:pPr>
    </w:p>
    <w:p w14:paraId="6EB92F86">
      <w:pPr>
        <w:spacing w:before="69" w:line="422" w:lineRule="auto"/>
        <w:ind w:firstLine="620"/>
        <w:jc w:val="both"/>
        <w:rPr>
          <w:rFonts w:ascii="宋体" w:hAnsi="宋体" w:eastAsia="宋体" w:cs="宋体"/>
          <w:sz w:val="21"/>
          <w:szCs w:val="21"/>
          <w:highlight w:val="none"/>
        </w:rPr>
      </w:pPr>
      <w:r>
        <w:rPr>
          <w:rFonts w:ascii="宋体" w:hAnsi="宋体" w:eastAsia="宋体" w:cs="宋体"/>
          <w:spacing w:val="4"/>
          <w:sz w:val="21"/>
          <w:szCs w:val="21"/>
          <w:highlight w:val="none"/>
        </w:rPr>
        <w:t>承包人应在收到变更指示后14天内，向工程师提交变更估价申请。工程</w:t>
      </w:r>
      <w:r>
        <w:rPr>
          <w:rFonts w:ascii="宋体" w:hAnsi="宋体" w:eastAsia="宋体" w:cs="宋体"/>
          <w:spacing w:val="3"/>
          <w:sz w:val="21"/>
          <w:szCs w:val="21"/>
          <w:highlight w:val="none"/>
        </w:rPr>
        <w:t>师应在收到</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承包人提交的变更估价申请后7天内审查完毕并报送发包人，工程师对变更估价申请有异</w:t>
      </w:r>
      <w:r>
        <w:rPr>
          <w:rFonts w:ascii="宋体" w:hAnsi="宋体" w:eastAsia="宋体" w:cs="宋体"/>
          <w:spacing w:val="6"/>
          <w:sz w:val="21"/>
          <w:szCs w:val="21"/>
          <w:highlight w:val="none"/>
        </w:rPr>
        <w:t xml:space="preserve">  </w:t>
      </w:r>
      <w:r>
        <w:rPr>
          <w:rFonts w:ascii="宋体" w:hAnsi="宋体" w:eastAsia="宋体" w:cs="宋体"/>
          <w:sz w:val="21"/>
          <w:szCs w:val="21"/>
          <w:highlight w:val="none"/>
        </w:rPr>
        <w:t>议，通知承包人修改后重新提交。发包人应在承包人提交变更估价申请后14天内审批完毕。</w:t>
      </w:r>
      <w:r>
        <w:rPr>
          <w:rFonts w:ascii="宋体" w:hAnsi="宋体" w:eastAsia="宋体" w:cs="宋体"/>
          <w:spacing w:val="13"/>
          <w:sz w:val="21"/>
          <w:szCs w:val="21"/>
          <w:highlight w:val="none"/>
        </w:rPr>
        <w:t xml:space="preserve"> </w:t>
      </w:r>
      <w:r>
        <w:rPr>
          <w:rFonts w:ascii="宋体" w:hAnsi="宋体" w:eastAsia="宋体" w:cs="宋体"/>
          <w:sz w:val="21"/>
          <w:szCs w:val="21"/>
          <w:highlight w:val="none"/>
        </w:rPr>
        <w:t>发包人逾期未完成审批或未提出异议的，视</w:t>
      </w:r>
      <w:r>
        <w:rPr>
          <w:rFonts w:ascii="宋体" w:hAnsi="宋体" w:eastAsia="宋体" w:cs="宋体"/>
          <w:spacing w:val="-1"/>
          <w:sz w:val="21"/>
          <w:szCs w:val="21"/>
          <w:highlight w:val="none"/>
        </w:rPr>
        <w:t>为认可承包人提交的变更估价申请。</w:t>
      </w:r>
    </w:p>
    <w:p w14:paraId="6EE4AE50">
      <w:pPr>
        <w:spacing w:before="1" w:line="217" w:lineRule="auto"/>
        <w:ind w:left="620"/>
        <w:rPr>
          <w:rFonts w:ascii="宋体" w:hAnsi="宋体" w:eastAsia="宋体" w:cs="宋体"/>
          <w:sz w:val="22"/>
          <w:szCs w:val="22"/>
          <w:highlight w:val="none"/>
        </w:rPr>
      </w:pPr>
      <w:r>
        <w:rPr>
          <w:rFonts w:ascii="宋体" w:hAnsi="宋体" w:eastAsia="宋体" w:cs="宋体"/>
          <w:spacing w:val="-11"/>
          <w:sz w:val="22"/>
          <w:szCs w:val="22"/>
          <w:highlight w:val="none"/>
        </w:rPr>
        <w:t>因变更引起的价格调整应计入最近一期的进度款中支付。</w:t>
      </w:r>
    </w:p>
    <w:p w14:paraId="71C34F3A">
      <w:pPr>
        <w:spacing w:before="103" w:line="220" w:lineRule="auto"/>
        <w:ind w:left="430"/>
        <w:rPr>
          <w:rFonts w:ascii="宋体" w:hAnsi="宋体" w:eastAsia="宋体" w:cs="宋体"/>
          <w:sz w:val="22"/>
          <w:szCs w:val="22"/>
          <w:highlight w:val="none"/>
        </w:rPr>
      </w:pPr>
      <w:r>
        <w:rPr>
          <w:rFonts w:ascii="宋体" w:hAnsi="宋体" w:eastAsia="宋体" w:cs="宋体"/>
          <w:spacing w:val="-2"/>
          <w:sz w:val="22"/>
          <w:szCs w:val="22"/>
          <w:highlight w:val="none"/>
        </w:rPr>
        <w:t>13.3.4变更引起的工期调整</w:t>
      </w:r>
    </w:p>
    <w:p w14:paraId="71A354F0">
      <w:pPr>
        <w:pStyle w:val="2"/>
        <w:spacing w:line="354" w:lineRule="auto"/>
        <w:rPr>
          <w:highlight w:val="none"/>
        </w:rPr>
      </w:pPr>
    </w:p>
    <w:p w14:paraId="62C217C8">
      <w:pPr>
        <w:spacing w:before="72" w:line="396" w:lineRule="auto"/>
        <w:ind w:right="94" w:firstLine="430"/>
        <w:rPr>
          <w:rFonts w:ascii="宋体" w:hAnsi="宋体" w:eastAsia="宋体" w:cs="宋体"/>
          <w:sz w:val="22"/>
          <w:szCs w:val="22"/>
          <w:highlight w:val="none"/>
        </w:rPr>
      </w:pPr>
      <w:r>
        <w:rPr>
          <w:rFonts w:ascii="宋体" w:hAnsi="宋体" w:eastAsia="宋体" w:cs="宋体"/>
          <w:spacing w:val="-9"/>
          <w:sz w:val="22"/>
          <w:szCs w:val="22"/>
          <w:highlight w:val="none"/>
        </w:rPr>
        <w:t>因变更引起工期变化的，合同当事人均可要求调整合同工期，由合</w:t>
      </w:r>
      <w:r>
        <w:rPr>
          <w:rFonts w:ascii="宋体" w:hAnsi="宋体" w:eastAsia="宋体" w:cs="宋体"/>
          <w:spacing w:val="-10"/>
          <w:sz w:val="22"/>
          <w:szCs w:val="22"/>
          <w:highlight w:val="none"/>
        </w:rPr>
        <w:t>同当事人按照第3.6</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款[商定或确定]并参考工程所在地的工期定额标准确定增减工期天数。</w:t>
      </w:r>
    </w:p>
    <w:p w14:paraId="3971401F">
      <w:pPr>
        <w:spacing w:line="396" w:lineRule="auto"/>
        <w:rPr>
          <w:rFonts w:ascii="宋体" w:hAnsi="宋体" w:eastAsia="宋体" w:cs="宋体"/>
          <w:sz w:val="22"/>
          <w:szCs w:val="22"/>
          <w:highlight w:val="none"/>
        </w:rPr>
        <w:sectPr>
          <w:footerReference r:id="rId123" w:type="default"/>
          <w:pgSz w:w="11910" w:h="16840"/>
          <w:pgMar w:top="400" w:right="1715" w:bottom="1217" w:left="1779" w:header="0" w:footer="1013" w:gutter="0"/>
          <w:cols w:space="720" w:num="1"/>
        </w:sectPr>
      </w:pPr>
    </w:p>
    <w:p w14:paraId="43C4CD46">
      <w:pPr>
        <w:pStyle w:val="2"/>
        <w:spacing w:line="271" w:lineRule="auto"/>
        <w:rPr>
          <w:highlight w:val="none"/>
        </w:rPr>
      </w:pPr>
    </w:p>
    <w:p w14:paraId="3C42FD24">
      <w:pPr>
        <w:pStyle w:val="2"/>
        <w:spacing w:line="271" w:lineRule="auto"/>
        <w:rPr>
          <w:highlight w:val="none"/>
        </w:rPr>
      </w:pPr>
    </w:p>
    <w:p w14:paraId="17D3969C">
      <w:pPr>
        <w:pStyle w:val="2"/>
        <w:spacing w:line="271" w:lineRule="auto"/>
        <w:rPr>
          <w:highlight w:val="none"/>
        </w:rPr>
      </w:pPr>
    </w:p>
    <w:p w14:paraId="70423AE3">
      <w:pPr>
        <w:pStyle w:val="2"/>
        <w:spacing w:line="271" w:lineRule="auto"/>
        <w:rPr>
          <w:highlight w:val="none"/>
        </w:rPr>
      </w:pPr>
    </w:p>
    <w:p w14:paraId="0844B7B1">
      <w:pPr>
        <w:pStyle w:val="2"/>
        <w:spacing w:before="62" w:line="259" w:lineRule="exact"/>
        <w:rPr>
          <w:rFonts w:ascii="黑体" w:hAnsi="黑体" w:eastAsia="黑体" w:cs="黑体"/>
          <w:sz w:val="19"/>
          <w:szCs w:val="19"/>
          <w:highlight w:val="none"/>
        </w:rPr>
      </w:pPr>
      <w:r>
        <w:rPr>
          <w:spacing w:val="4"/>
          <w:position w:val="1"/>
          <w:sz w:val="19"/>
          <w:szCs w:val="19"/>
          <w:highlight w:val="none"/>
        </w:rPr>
        <w:t xml:space="preserve">13.4   </w:t>
      </w:r>
      <w:r>
        <w:rPr>
          <w:rFonts w:ascii="黑体" w:hAnsi="黑体" w:eastAsia="黑体" w:cs="黑体"/>
          <w:spacing w:val="4"/>
          <w:position w:val="1"/>
          <w:sz w:val="19"/>
          <w:szCs w:val="19"/>
          <w:highlight w:val="none"/>
        </w:rPr>
        <w:t>暂估价</w:t>
      </w:r>
    </w:p>
    <w:p w14:paraId="250BAAFB">
      <w:pPr>
        <w:spacing w:before="105" w:line="218"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13.4.1</w:t>
      </w:r>
      <w:r>
        <w:rPr>
          <w:rFonts w:ascii="Times New Roman" w:hAnsi="Times New Roman" w:eastAsia="Times New Roman" w:cs="Times New Roman"/>
          <w:spacing w:val="12"/>
          <w:sz w:val="22"/>
          <w:szCs w:val="22"/>
          <w:highlight w:val="none"/>
        </w:rPr>
        <w:t xml:space="preserve">   </w:t>
      </w:r>
      <w:r>
        <w:rPr>
          <w:rFonts w:ascii="宋体" w:hAnsi="宋体" w:eastAsia="宋体" w:cs="宋体"/>
          <w:spacing w:val="-7"/>
          <w:sz w:val="22"/>
          <w:szCs w:val="22"/>
          <w:highlight w:val="none"/>
        </w:rPr>
        <w:t>依法必须招标的暂估价项目</w:t>
      </w:r>
    </w:p>
    <w:p w14:paraId="0882992F">
      <w:pPr>
        <w:pStyle w:val="2"/>
        <w:spacing w:line="349" w:lineRule="auto"/>
        <w:rPr>
          <w:highlight w:val="none"/>
        </w:rPr>
      </w:pPr>
    </w:p>
    <w:p w14:paraId="18B37AB4">
      <w:pPr>
        <w:spacing w:before="69" w:line="393" w:lineRule="auto"/>
        <w:ind w:firstLine="420"/>
        <w:jc w:val="both"/>
        <w:rPr>
          <w:rFonts w:ascii="宋体" w:hAnsi="宋体" w:eastAsia="宋体" w:cs="宋体"/>
          <w:sz w:val="21"/>
          <w:szCs w:val="21"/>
          <w:highlight w:val="none"/>
        </w:rPr>
      </w:pPr>
      <w:r>
        <w:rPr>
          <w:rFonts w:ascii="宋体" w:hAnsi="宋体" w:eastAsia="宋体" w:cs="宋体"/>
          <w:spacing w:val="-5"/>
          <w:sz w:val="21"/>
          <w:szCs w:val="21"/>
          <w:highlight w:val="none"/>
        </w:rPr>
        <w:t>对于依法必须招标的暂估价项目，专用合同条件约定由承包人</w:t>
      </w:r>
      <w:r>
        <w:rPr>
          <w:rFonts w:ascii="宋体" w:hAnsi="宋体" w:eastAsia="宋体" w:cs="宋体"/>
          <w:spacing w:val="-6"/>
          <w:sz w:val="21"/>
          <w:szCs w:val="21"/>
          <w:highlight w:val="none"/>
        </w:rPr>
        <w:t>作为招标人的，招标文件、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评标方案、评标结果应报送发包人批准。与组织招标工作有关的费用</w:t>
      </w:r>
      <w:r>
        <w:rPr>
          <w:rFonts w:ascii="宋体" w:hAnsi="宋体" w:eastAsia="宋体" w:cs="宋体"/>
          <w:spacing w:val="-3"/>
          <w:sz w:val="21"/>
          <w:szCs w:val="21"/>
          <w:highlight w:val="none"/>
        </w:rPr>
        <w:t>应当被认为已经包括在</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承包人的签约合同价中。</w:t>
      </w:r>
    </w:p>
    <w:p w14:paraId="445F394E">
      <w:pPr>
        <w:spacing w:before="1" w:line="353" w:lineRule="auto"/>
        <w:ind w:right="93" w:firstLine="420"/>
        <w:rPr>
          <w:rFonts w:ascii="宋体" w:hAnsi="宋体" w:eastAsia="宋体" w:cs="宋体"/>
          <w:sz w:val="21"/>
          <w:szCs w:val="21"/>
          <w:highlight w:val="none"/>
        </w:rPr>
      </w:pPr>
      <w:r>
        <w:rPr>
          <w:rFonts w:ascii="宋体" w:hAnsi="宋体" w:eastAsia="宋体" w:cs="宋体"/>
          <w:spacing w:val="-2"/>
          <w:sz w:val="21"/>
          <w:szCs w:val="21"/>
          <w:highlight w:val="none"/>
        </w:rPr>
        <w:t>专用合同条件约定由发包人和承包人共同作为招标人的</w:t>
      </w:r>
      <w:r>
        <w:rPr>
          <w:rFonts w:ascii="宋体" w:hAnsi="宋体" w:eastAsia="宋体" w:cs="宋体"/>
          <w:spacing w:val="-3"/>
          <w:sz w:val="21"/>
          <w:szCs w:val="21"/>
          <w:highlight w:val="none"/>
        </w:rPr>
        <w:t>，与组织招标工作有关的费用在</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专用合同条件中约定。</w:t>
      </w:r>
    </w:p>
    <w:p w14:paraId="58AEF1D4">
      <w:pPr>
        <w:spacing w:before="282" w:line="364" w:lineRule="auto"/>
        <w:ind w:right="92" w:firstLine="420"/>
        <w:jc w:val="both"/>
        <w:rPr>
          <w:rFonts w:ascii="宋体" w:hAnsi="宋体" w:eastAsia="宋体" w:cs="宋体"/>
          <w:sz w:val="22"/>
          <w:szCs w:val="22"/>
          <w:highlight w:val="none"/>
        </w:rPr>
      </w:pPr>
      <w:r>
        <w:rPr>
          <w:rFonts w:ascii="宋体" w:hAnsi="宋体" w:eastAsia="宋体" w:cs="宋体"/>
          <w:spacing w:val="-12"/>
          <w:sz w:val="22"/>
          <w:szCs w:val="22"/>
          <w:highlight w:val="none"/>
        </w:rPr>
        <w:t>具体的招标程序以及发包人和承包人权利义务关系可在专</w:t>
      </w:r>
      <w:r>
        <w:rPr>
          <w:rFonts w:ascii="宋体" w:hAnsi="宋体" w:eastAsia="宋体" w:cs="宋体"/>
          <w:spacing w:val="-13"/>
          <w:sz w:val="22"/>
          <w:szCs w:val="22"/>
          <w:highlight w:val="none"/>
        </w:rPr>
        <w:t>用合同条件中约定。暂估价项</w:t>
      </w:r>
      <w:r>
        <w:rPr>
          <w:rFonts w:ascii="宋体" w:hAnsi="宋体" w:eastAsia="宋体" w:cs="宋体"/>
          <w:sz w:val="22"/>
          <w:szCs w:val="22"/>
          <w:highlight w:val="none"/>
        </w:rPr>
        <w:t xml:space="preserve"> </w:t>
      </w:r>
      <w:r>
        <w:rPr>
          <w:rFonts w:ascii="宋体" w:hAnsi="宋体" w:eastAsia="宋体" w:cs="宋体"/>
          <w:spacing w:val="-8"/>
          <w:sz w:val="22"/>
          <w:szCs w:val="22"/>
          <w:highlight w:val="none"/>
        </w:rPr>
        <w:t>目的中标金额与价格清单中所列暂估价的金额差以及相应的税金等其他费用应列入合同价</w:t>
      </w:r>
      <w:r>
        <w:rPr>
          <w:rFonts w:ascii="宋体" w:hAnsi="宋体" w:eastAsia="宋体" w:cs="宋体"/>
          <w:spacing w:val="10"/>
          <w:sz w:val="22"/>
          <w:szCs w:val="22"/>
          <w:highlight w:val="none"/>
        </w:rPr>
        <w:t xml:space="preserve"> </w:t>
      </w:r>
      <w:r>
        <w:rPr>
          <w:rFonts w:ascii="宋体" w:hAnsi="宋体" w:eastAsia="宋体" w:cs="宋体"/>
          <w:spacing w:val="-11"/>
          <w:sz w:val="22"/>
          <w:szCs w:val="22"/>
          <w:highlight w:val="none"/>
        </w:rPr>
        <w:t>格。</w:t>
      </w:r>
    </w:p>
    <w:p w14:paraId="15A1EC50">
      <w:pPr>
        <w:spacing w:before="1" w:line="217" w:lineRule="auto"/>
        <w:ind w:left="420"/>
        <w:rPr>
          <w:rFonts w:ascii="宋体" w:hAnsi="宋体" w:eastAsia="宋体" w:cs="宋体"/>
          <w:sz w:val="22"/>
          <w:szCs w:val="22"/>
          <w:highlight w:val="none"/>
        </w:rPr>
      </w:pPr>
      <w:r>
        <w:rPr>
          <w:rFonts w:ascii="宋体" w:hAnsi="宋体" w:eastAsia="宋体" w:cs="宋体"/>
          <w:spacing w:val="-8"/>
          <w:sz w:val="22"/>
          <w:szCs w:val="22"/>
          <w:highlight w:val="none"/>
        </w:rPr>
        <w:t>13.4.2 不属于依法必须招标的暂估价项目</w:t>
      </w:r>
    </w:p>
    <w:p w14:paraId="56961BB5">
      <w:pPr>
        <w:pStyle w:val="2"/>
        <w:spacing w:line="358" w:lineRule="auto"/>
        <w:rPr>
          <w:highlight w:val="none"/>
        </w:rPr>
      </w:pPr>
    </w:p>
    <w:p w14:paraId="397D051A">
      <w:pPr>
        <w:spacing w:before="69" w:line="417" w:lineRule="auto"/>
        <w:ind w:right="30"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对于不属于依法必须招标的暂估价项目，承包人具备实施暂估价项目的资格和条件的，</w:t>
      </w:r>
      <w:r>
        <w:rPr>
          <w:rFonts w:ascii="宋体" w:hAnsi="宋体" w:eastAsia="宋体" w:cs="宋体"/>
          <w:spacing w:val="11"/>
          <w:sz w:val="21"/>
          <w:szCs w:val="21"/>
          <w:highlight w:val="none"/>
        </w:rPr>
        <w:t xml:space="preserve"> </w:t>
      </w:r>
      <w:r>
        <w:rPr>
          <w:rFonts w:ascii="宋体" w:hAnsi="宋体" w:eastAsia="宋体" w:cs="宋体"/>
          <w:spacing w:val="-2"/>
          <w:sz w:val="21"/>
          <w:szCs w:val="21"/>
          <w:highlight w:val="none"/>
        </w:rPr>
        <w:t>经发包人和承包人协商一致后，可由承包人自行实施暂估价项目，具体的协商和估价</w:t>
      </w:r>
      <w:r>
        <w:rPr>
          <w:rFonts w:ascii="宋体" w:hAnsi="宋体" w:eastAsia="宋体" w:cs="宋体"/>
          <w:spacing w:val="-3"/>
          <w:sz w:val="21"/>
          <w:szCs w:val="21"/>
          <w:highlight w:val="none"/>
        </w:rPr>
        <w:t>程序以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及发包人和承包人权利义务关系可在专用合同条件中约定。确定</w:t>
      </w:r>
      <w:r>
        <w:rPr>
          <w:rFonts w:ascii="宋体" w:hAnsi="宋体" w:eastAsia="宋体" w:cs="宋体"/>
          <w:spacing w:val="-3"/>
          <w:sz w:val="21"/>
          <w:szCs w:val="21"/>
          <w:highlight w:val="none"/>
        </w:rPr>
        <w:t>后的暂估价项目金额与价格</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清单中所列暂估价的金额差以及相应的税金等其他费用应</w:t>
      </w:r>
      <w:r>
        <w:rPr>
          <w:rFonts w:ascii="宋体" w:hAnsi="宋体" w:eastAsia="宋体" w:cs="宋体"/>
          <w:spacing w:val="-2"/>
          <w:sz w:val="21"/>
          <w:szCs w:val="21"/>
          <w:highlight w:val="none"/>
        </w:rPr>
        <w:t>列入合同价格。</w:t>
      </w:r>
    </w:p>
    <w:p w14:paraId="25B7AFBB">
      <w:pPr>
        <w:spacing w:before="42" w:line="427" w:lineRule="auto"/>
        <w:ind w:right="35" w:firstLine="420"/>
        <w:jc w:val="both"/>
        <w:rPr>
          <w:rFonts w:ascii="宋体" w:hAnsi="宋体" w:eastAsia="宋体" w:cs="宋体"/>
          <w:sz w:val="20"/>
          <w:szCs w:val="20"/>
          <w:highlight w:val="none"/>
        </w:rPr>
      </w:pPr>
      <w:r>
        <w:rPr>
          <w:rFonts w:ascii="宋体" w:hAnsi="宋体" w:eastAsia="宋体" w:cs="宋体"/>
          <w:spacing w:val="13"/>
          <w:sz w:val="20"/>
          <w:szCs w:val="20"/>
          <w:highlight w:val="none"/>
        </w:rPr>
        <w:t>因发包人原因导致暂估价合同订立和履行迟延的，由此增加的费用和(或)延误的</w:t>
      </w:r>
      <w:r>
        <w:rPr>
          <w:rFonts w:ascii="宋体" w:hAnsi="宋体" w:eastAsia="宋体" w:cs="宋体"/>
          <w:spacing w:val="12"/>
          <w:sz w:val="20"/>
          <w:szCs w:val="20"/>
          <w:highlight w:val="none"/>
        </w:rPr>
        <w:t>工期</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 xml:space="preserve">由发包人承担，并支付承包人合理的利润。因承包人原因导致暂估价合同订立和履行迟延的， </w:t>
      </w:r>
      <w:r>
        <w:rPr>
          <w:rFonts w:ascii="宋体" w:hAnsi="宋体" w:eastAsia="宋体" w:cs="宋体"/>
          <w:spacing w:val="17"/>
          <w:sz w:val="20"/>
          <w:szCs w:val="20"/>
          <w:highlight w:val="none"/>
        </w:rPr>
        <w:t>由此增加的费用和(或)延误的工期由承包人承</w:t>
      </w:r>
      <w:r>
        <w:rPr>
          <w:rFonts w:ascii="宋体" w:hAnsi="宋体" w:eastAsia="宋体" w:cs="宋体"/>
          <w:spacing w:val="16"/>
          <w:sz w:val="20"/>
          <w:szCs w:val="20"/>
          <w:highlight w:val="none"/>
        </w:rPr>
        <w:t>担。</w:t>
      </w:r>
    </w:p>
    <w:p w14:paraId="5426EA1D">
      <w:pPr>
        <w:pStyle w:val="2"/>
        <w:spacing w:before="145" w:line="300" w:lineRule="exact"/>
        <w:rPr>
          <w:rFonts w:ascii="黑体" w:hAnsi="黑体" w:eastAsia="黑体" w:cs="黑体"/>
          <w:sz w:val="22"/>
          <w:szCs w:val="22"/>
          <w:highlight w:val="none"/>
        </w:rPr>
      </w:pPr>
      <w:r>
        <w:rPr>
          <w:spacing w:val="-7"/>
          <w:position w:val="1"/>
          <w:sz w:val="22"/>
          <w:szCs w:val="22"/>
          <w:highlight w:val="none"/>
        </w:rPr>
        <w:t>13.5</w:t>
      </w:r>
      <w:r>
        <w:rPr>
          <w:spacing w:val="47"/>
          <w:w w:val="101"/>
          <w:position w:val="1"/>
          <w:sz w:val="22"/>
          <w:szCs w:val="22"/>
          <w:highlight w:val="none"/>
        </w:rPr>
        <w:t xml:space="preserve"> </w:t>
      </w:r>
      <w:r>
        <w:rPr>
          <w:rFonts w:ascii="黑体" w:hAnsi="黑体" w:eastAsia="黑体" w:cs="黑体"/>
          <w:spacing w:val="-7"/>
          <w:position w:val="1"/>
          <w:sz w:val="22"/>
          <w:szCs w:val="22"/>
          <w:highlight w:val="none"/>
        </w:rPr>
        <w:t>暂列金额</w:t>
      </w:r>
    </w:p>
    <w:p w14:paraId="547265F8">
      <w:pPr>
        <w:spacing w:before="210" w:line="425" w:lineRule="auto"/>
        <w:ind w:right="30"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除专用合同条件另有约定外，每一笔暂列金额只能按照发包人的指示全部或部分使用，</w:t>
      </w:r>
      <w:r>
        <w:rPr>
          <w:rFonts w:ascii="宋体" w:hAnsi="宋体" w:eastAsia="宋体" w:cs="宋体"/>
          <w:spacing w:val="11"/>
          <w:sz w:val="21"/>
          <w:szCs w:val="21"/>
          <w:highlight w:val="none"/>
        </w:rPr>
        <w:t xml:space="preserve"> </w:t>
      </w:r>
      <w:r>
        <w:rPr>
          <w:rFonts w:ascii="宋体" w:hAnsi="宋体" w:eastAsia="宋体" w:cs="宋体"/>
          <w:spacing w:val="-2"/>
          <w:sz w:val="21"/>
          <w:szCs w:val="21"/>
          <w:highlight w:val="none"/>
        </w:rPr>
        <w:t>并对合同价格进行相应调整。付给承包人的总金额应仅包括发包人已指示的，与暂</w:t>
      </w:r>
      <w:r>
        <w:rPr>
          <w:rFonts w:ascii="宋体" w:hAnsi="宋体" w:eastAsia="宋体" w:cs="宋体"/>
          <w:spacing w:val="-3"/>
          <w:sz w:val="21"/>
          <w:szCs w:val="21"/>
          <w:highlight w:val="none"/>
        </w:rPr>
        <w:t>列金额相</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关的工作、货物或服务的应付款项。</w:t>
      </w:r>
    </w:p>
    <w:p w14:paraId="5F07587D">
      <w:pPr>
        <w:spacing w:line="219" w:lineRule="auto"/>
        <w:ind w:left="420"/>
        <w:rPr>
          <w:rFonts w:ascii="宋体" w:hAnsi="宋体" w:eastAsia="宋体" w:cs="宋体"/>
          <w:sz w:val="21"/>
          <w:szCs w:val="21"/>
          <w:highlight w:val="none"/>
        </w:rPr>
      </w:pPr>
      <w:r>
        <w:rPr>
          <w:rFonts w:ascii="宋体" w:hAnsi="宋体" w:eastAsia="宋体" w:cs="宋体"/>
          <w:spacing w:val="-3"/>
          <w:sz w:val="21"/>
          <w:szCs w:val="21"/>
          <w:highlight w:val="none"/>
        </w:rPr>
        <w:t>对于每笔暂列金额，发包人可以指示用于下列支付：</w:t>
      </w:r>
    </w:p>
    <w:p w14:paraId="3D9787C5">
      <w:pPr>
        <w:spacing w:before="230" w:line="316" w:lineRule="auto"/>
        <w:ind w:right="69" w:firstLine="539"/>
        <w:rPr>
          <w:rFonts w:ascii="宋体" w:hAnsi="宋体" w:eastAsia="宋体" w:cs="宋体"/>
          <w:sz w:val="21"/>
          <w:szCs w:val="21"/>
          <w:highlight w:val="none"/>
        </w:rPr>
      </w:pPr>
      <w:r>
        <w:rPr>
          <w:rFonts w:ascii="宋体" w:hAnsi="宋体" w:eastAsia="宋体" w:cs="宋体"/>
          <w:spacing w:val="1"/>
          <w:sz w:val="21"/>
          <w:szCs w:val="21"/>
          <w:highlight w:val="none"/>
        </w:rPr>
        <w:t>(1)发包人根据第13.1款[发包人变更权]指示</w:t>
      </w:r>
      <w:r>
        <w:rPr>
          <w:rFonts w:ascii="宋体" w:hAnsi="宋体" w:eastAsia="宋体" w:cs="宋体"/>
          <w:sz w:val="21"/>
          <w:szCs w:val="21"/>
          <w:highlight w:val="none"/>
        </w:rPr>
        <w:t xml:space="preserve">变更，决定对合同价格和付款计划表(如 </w:t>
      </w:r>
      <w:r>
        <w:rPr>
          <w:rFonts w:ascii="宋体" w:hAnsi="宋体" w:eastAsia="宋体" w:cs="宋体"/>
          <w:spacing w:val="6"/>
          <w:sz w:val="21"/>
          <w:szCs w:val="21"/>
          <w:highlight w:val="none"/>
        </w:rPr>
        <w:t>有)进行调整的、由承包人实施的工作(包括要提供的工程设备、材料和服务);</w:t>
      </w:r>
    </w:p>
    <w:p w14:paraId="3C1D443D">
      <w:pPr>
        <w:spacing w:before="242" w:line="336" w:lineRule="auto"/>
        <w:ind w:right="116" w:firstLine="550"/>
        <w:rPr>
          <w:rFonts w:ascii="宋体" w:hAnsi="宋体" w:eastAsia="宋体" w:cs="宋体"/>
          <w:sz w:val="22"/>
          <w:szCs w:val="22"/>
          <w:highlight w:val="none"/>
        </w:rPr>
      </w:pPr>
      <w:r>
        <w:rPr>
          <w:rFonts w:ascii="宋体" w:hAnsi="宋体" w:eastAsia="宋体" w:cs="宋体"/>
          <w:spacing w:val="-2"/>
          <w:sz w:val="22"/>
          <w:szCs w:val="22"/>
          <w:highlight w:val="none"/>
        </w:rPr>
        <w:t>(2)承包人购买的工程设备、材料、工作或</w:t>
      </w:r>
      <w:r>
        <w:rPr>
          <w:rFonts w:ascii="宋体" w:hAnsi="宋体" w:eastAsia="宋体" w:cs="宋体"/>
          <w:spacing w:val="-3"/>
          <w:sz w:val="22"/>
          <w:szCs w:val="22"/>
          <w:highlight w:val="none"/>
        </w:rPr>
        <w:t>服务，应支付包括承包人已付(或应付)</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的实际金额以及相应的管理费等费用和利润(管理费和利润应以实际金额为基数根据合</w:t>
      </w:r>
      <w:r>
        <w:rPr>
          <w:rFonts w:ascii="宋体" w:hAnsi="宋体" w:eastAsia="宋体" w:cs="宋体"/>
          <w:spacing w:val="-11"/>
          <w:sz w:val="22"/>
          <w:szCs w:val="22"/>
          <w:highlight w:val="none"/>
        </w:rPr>
        <w:t>同约</w:t>
      </w:r>
      <w:r>
        <w:rPr>
          <w:rFonts w:ascii="宋体" w:hAnsi="宋体" w:eastAsia="宋体" w:cs="宋体"/>
          <w:sz w:val="22"/>
          <w:szCs w:val="22"/>
          <w:highlight w:val="none"/>
        </w:rPr>
        <w:t xml:space="preserve"> </w:t>
      </w:r>
      <w:r>
        <w:rPr>
          <w:rFonts w:ascii="宋体" w:hAnsi="宋体" w:eastAsia="宋体" w:cs="宋体"/>
          <w:spacing w:val="2"/>
          <w:sz w:val="22"/>
          <w:szCs w:val="22"/>
          <w:highlight w:val="none"/>
        </w:rPr>
        <w:t>定的费率(如有)或百分比计算)。</w:t>
      </w:r>
    </w:p>
    <w:p w14:paraId="1E06C069">
      <w:pPr>
        <w:spacing w:line="336" w:lineRule="auto"/>
        <w:rPr>
          <w:rFonts w:ascii="宋体" w:hAnsi="宋体" w:eastAsia="宋体" w:cs="宋体"/>
          <w:sz w:val="22"/>
          <w:szCs w:val="22"/>
          <w:highlight w:val="none"/>
        </w:rPr>
        <w:sectPr>
          <w:footerReference r:id="rId124" w:type="default"/>
          <w:pgSz w:w="11910" w:h="16840"/>
          <w:pgMar w:top="400" w:right="1735" w:bottom="1217" w:left="1769" w:header="0" w:footer="1013" w:gutter="0"/>
          <w:cols w:space="720" w:num="1"/>
        </w:sectPr>
      </w:pPr>
    </w:p>
    <w:p w14:paraId="0FFB2026">
      <w:pPr>
        <w:pStyle w:val="2"/>
        <w:spacing w:line="272" w:lineRule="auto"/>
        <w:rPr>
          <w:highlight w:val="none"/>
        </w:rPr>
      </w:pPr>
    </w:p>
    <w:p w14:paraId="13518BA1">
      <w:pPr>
        <w:pStyle w:val="2"/>
        <w:spacing w:line="273" w:lineRule="auto"/>
        <w:rPr>
          <w:highlight w:val="none"/>
        </w:rPr>
      </w:pPr>
    </w:p>
    <w:p w14:paraId="1AAD01F9">
      <w:pPr>
        <w:pStyle w:val="2"/>
        <w:spacing w:line="273" w:lineRule="auto"/>
        <w:rPr>
          <w:highlight w:val="none"/>
        </w:rPr>
      </w:pPr>
    </w:p>
    <w:p w14:paraId="6B65190A">
      <w:pPr>
        <w:pStyle w:val="2"/>
        <w:spacing w:line="273" w:lineRule="auto"/>
        <w:rPr>
          <w:highlight w:val="none"/>
        </w:rPr>
      </w:pPr>
    </w:p>
    <w:p w14:paraId="50B43E9E">
      <w:pPr>
        <w:spacing w:before="69" w:line="418" w:lineRule="auto"/>
        <w:ind w:right="23" w:firstLine="440"/>
        <w:jc w:val="both"/>
        <w:rPr>
          <w:rFonts w:ascii="宋体" w:hAnsi="宋体" w:eastAsia="宋体" w:cs="宋体"/>
          <w:sz w:val="21"/>
          <w:szCs w:val="21"/>
          <w:highlight w:val="none"/>
        </w:rPr>
      </w:pPr>
      <w:r>
        <w:rPr>
          <w:rFonts w:ascii="宋体" w:hAnsi="宋体" w:eastAsia="宋体" w:cs="宋体"/>
          <w:spacing w:val="3"/>
          <w:sz w:val="21"/>
          <w:szCs w:val="21"/>
          <w:highlight w:val="none"/>
        </w:rPr>
        <w:t>发包人根据上述(1)和(或)(2)指示支付暂列金额的，可以要求承包人提</w:t>
      </w:r>
      <w:r>
        <w:rPr>
          <w:rFonts w:ascii="宋体" w:hAnsi="宋体" w:eastAsia="宋体" w:cs="宋体"/>
          <w:spacing w:val="2"/>
          <w:sz w:val="21"/>
          <w:szCs w:val="21"/>
          <w:highlight w:val="none"/>
        </w:rPr>
        <w:t>交其供应商提</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供的全部或部分要实施的工程或拟购买的工程设备、材料、工作或服务的项目报价单。发包</w:t>
      </w:r>
      <w:r>
        <w:rPr>
          <w:rFonts w:ascii="宋体" w:hAnsi="宋体" w:eastAsia="宋体" w:cs="宋体"/>
          <w:spacing w:val="8"/>
          <w:sz w:val="21"/>
          <w:szCs w:val="21"/>
          <w:highlight w:val="none"/>
        </w:rPr>
        <w:t xml:space="preserve"> </w:t>
      </w:r>
      <w:r>
        <w:rPr>
          <w:rFonts w:ascii="宋体" w:hAnsi="宋体" w:eastAsia="宋体" w:cs="宋体"/>
          <w:spacing w:val="-3"/>
          <w:sz w:val="21"/>
          <w:szCs w:val="21"/>
          <w:highlight w:val="none"/>
        </w:rPr>
        <w:t>人可以发出通知指示承包人接受其中的一个报价或指示撤销支付，发包人在收到项目报价单</w:t>
      </w:r>
      <w:r>
        <w:rPr>
          <w:rFonts w:ascii="宋体" w:hAnsi="宋体" w:eastAsia="宋体" w:cs="宋体"/>
          <w:spacing w:val="8"/>
          <w:sz w:val="21"/>
          <w:szCs w:val="21"/>
          <w:highlight w:val="none"/>
        </w:rPr>
        <w:t xml:space="preserve"> </w:t>
      </w:r>
      <w:r>
        <w:rPr>
          <w:rFonts w:ascii="宋体" w:hAnsi="宋体" w:eastAsia="宋体" w:cs="宋体"/>
          <w:spacing w:val="3"/>
          <w:sz w:val="21"/>
          <w:szCs w:val="21"/>
          <w:highlight w:val="none"/>
        </w:rPr>
        <w:t>的7天内未作回应的，承包人应有权自行接受其中任何一个报价。</w:t>
      </w:r>
    </w:p>
    <w:p w14:paraId="1EC1E01F">
      <w:pPr>
        <w:spacing w:line="388" w:lineRule="auto"/>
        <w:ind w:right="23" w:firstLine="440"/>
        <w:rPr>
          <w:rFonts w:ascii="宋体" w:hAnsi="宋体" w:eastAsia="宋体" w:cs="宋体"/>
          <w:sz w:val="22"/>
          <w:szCs w:val="22"/>
          <w:highlight w:val="none"/>
        </w:rPr>
      </w:pPr>
      <w:r>
        <w:rPr>
          <w:rFonts w:ascii="宋体" w:hAnsi="宋体" w:eastAsia="宋体" w:cs="宋体"/>
          <w:spacing w:val="-12"/>
          <w:sz w:val="22"/>
          <w:szCs w:val="22"/>
          <w:highlight w:val="none"/>
        </w:rPr>
        <w:t>每份包含暂列金额的文件还应包括用以证明暂列金</w:t>
      </w:r>
      <w:r>
        <w:rPr>
          <w:rFonts w:ascii="宋体" w:hAnsi="宋体" w:eastAsia="宋体" w:cs="宋体"/>
          <w:spacing w:val="-13"/>
          <w:sz w:val="22"/>
          <w:szCs w:val="22"/>
          <w:highlight w:val="none"/>
        </w:rPr>
        <w:t>额的所有有效的发票、凭证和账户或</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收据。</w:t>
      </w:r>
    </w:p>
    <w:p w14:paraId="4AF0D91C">
      <w:pPr>
        <w:spacing w:before="188" w:line="224" w:lineRule="auto"/>
        <w:rPr>
          <w:rFonts w:ascii="黑体" w:hAnsi="黑体" w:eastAsia="黑体" w:cs="黑体"/>
          <w:sz w:val="22"/>
          <w:szCs w:val="22"/>
          <w:highlight w:val="none"/>
        </w:rPr>
      </w:pPr>
      <w:r>
        <w:rPr>
          <w:rFonts w:ascii="黑体" w:hAnsi="黑体" w:eastAsia="黑体" w:cs="黑体"/>
          <w:spacing w:val="5"/>
          <w:sz w:val="22"/>
          <w:szCs w:val="22"/>
          <w:highlight w:val="none"/>
        </w:rPr>
        <w:t>13.6计日工</w:t>
      </w:r>
    </w:p>
    <w:p w14:paraId="413F1C8C">
      <w:pPr>
        <w:spacing w:before="119" w:line="318" w:lineRule="auto"/>
        <w:ind w:right="24" w:firstLine="440"/>
        <w:rPr>
          <w:rFonts w:ascii="宋体" w:hAnsi="宋体" w:eastAsia="宋体" w:cs="宋体"/>
          <w:sz w:val="21"/>
          <w:szCs w:val="21"/>
          <w:highlight w:val="none"/>
        </w:rPr>
      </w:pPr>
      <w:r>
        <w:rPr>
          <w:rFonts w:ascii="Times New Roman" w:hAnsi="Times New Roman" w:eastAsia="Times New Roman" w:cs="Times New Roman"/>
          <w:sz w:val="21"/>
          <w:szCs w:val="21"/>
          <w:highlight w:val="none"/>
        </w:rPr>
        <w:t>13.6.1</w:t>
      </w:r>
      <w:r>
        <w:rPr>
          <w:rFonts w:ascii="Times New Roman" w:hAnsi="Times New Roman" w:eastAsia="Times New Roman" w:cs="Times New Roman"/>
          <w:spacing w:val="21"/>
          <w:w w:val="101"/>
          <w:sz w:val="21"/>
          <w:szCs w:val="21"/>
          <w:highlight w:val="none"/>
        </w:rPr>
        <w:t xml:space="preserve">   </w:t>
      </w:r>
      <w:r>
        <w:rPr>
          <w:rFonts w:ascii="宋体" w:hAnsi="宋体" w:eastAsia="宋体" w:cs="宋体"/>
          <w:sz w:val="21"/>
          <w:szCs w:val="21"/>
          <w:highlight w:val="none"/>
        </w:rPr>
        <w:t xml:space="preserve">需要采用计日工方式的，经发包人同意后，由工程师通知承包人以计日工计价 </w:t>
      </w:r>
      <w:r>
        <w:rPr>
          <w:rFonts w:ascii="宋体" w:hAnsi="宋体" w:eastAsia="宋体" w:cs="宋体"/>
          <w:spacing w:val="-2"/>
          <w:sz w:val="21"/>
          <w:szCs w:val="21"/>
          <w:highlight w:val="none"/>
        </w:rPr>
        <w:t>方式实施相应的工作，其价款按列入价格清单或预算书中的计</w:t>
      </w:r>
      <w:r>
        <w:rPr>
          <w:rFonts w:ascii="宋体" w:hAnsi="宋体" w:eastAsia="宋体" w:cs="宋体"/>
          <w:spacing w:val="-3"/>
          <w:sz w:val="21"/>
          <w:szCs w:val="21"/>
          <w:highlight w:val="none"/>
        </w:rPr>
        <w:t>日工计价项目及其单价进行计</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算；价格清单或预算书中无相应的计日工单价的，按照合理的成本与</w:t>
      </w:r>
      <w:r>
        <w:rPr>
          <w:rFonts w:ascii="宋体" w:hAnsi="宋体" w:eastAsia="宋体" w:cs="宋体"/>
          <w:spacing w:val="-3"/>
          <w:sz w:val="21"/>
          <w:szCs w:val="21"/>
          <w:highlight w:val="none"/>
        </w:rPr>
        <w:t>利润构成的原则，由工</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程师按照第3.6款[商定或确定]确定计日工的单价。</w:t>
      </w:r>
    </w:p>
    <w:p w14:paraId="740D841E">
      <w:pPr>
        <w:pStyle w:val="2"/>
        <w:spacing w:line="272" w:lineRule="auto"/>
        <w:rPr>
          <w:highlight w:val="none"/>
        </w:rPr>
      </w:pPr>
    </w:p>
    <w:p w14:paraId="449430BE">
      <w:pPr>
        <w:spacing w:before="68" w:line="286" w:lineRule="auto"/>
        <w:ind w:right="24" w:firstLine="440"/>
        <w:rPr>
          <w:rFonts w:ascii="宋体" w:hAnsi="宋体" w:eastAsia="宋体" w:cs="宋体"/>
          <w:sz w:val="21"/>
          <w:szCs w:val="21"/>
          <w:highlight w:val="none"/>
        </w:rPr>
      </w:pPr>
      <w:r>
        <w:rPr>
          <w:rFonts w:ascii="宋体" w:hAnsi="宋体" w:eastAsia="宋体" w:cs="宋体"/>
          <w:spacing w:val="3"/>
          <w:sz w:val="21"/>
          <w:szCs w:val="21"/>
          <w:highlight w:val="none"/>
        </w:rPr>
        <w:t>13.6.2采用计日工计价的任何一项工作，承包人应在该项工作实施过程中，每天</w:t>
      </w:r>
      <w:r>
        <w:rPr>
          <w:rFonts w:ascii="宋体" w:hAnsi="宋体" w:eastAsia="宋体" w:cs="宋体"/>
          <w:spacing w:val="2"/>
          <w:sz w:val="21"/>
          <w:szCs w:val="21"/>
          <w:highlight w:val="none"/>
        </w:rPr>
        <w:t>提交</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以下报表和有关凭证报送工程师审查：</w:t>
      </w:r>
    </w:p>
    <w:p w14:paraId="197A0AD5">
      <w:pPr>
        <w:pStyle w:val="2"/>
        <w:spacing w:line="373" w:lineRule="auto"/>
        <w:rPr>
          <w:highlight w:val="none"/>
        </w:rPr>
      </w:pPr>
    </w:p>
    <w:p w14:paraId="5BBFC9E8">
      <w:pPr>
        <w:spacing w:before="65" w:line="219" w:lineRule="auto"/>
        <w:ind w:left="539"/>
        <w:rPr>
          <w:rFonts w:ascii="宋体" w:hAnsi="宋体" w:eastAsia="宋体" w:cs="宋体"/>
          <w:sz w:val="20"/>
          <w:szCs w:val="20"/>
          <w:highlight w:val="none"/>
        </w:rPr>
      </w:pPr>
      <w:r>
        <w:rPr>
          <w:rFonts w:ascii="宋体" w:hAnsi="宋体" w:eastAsia="宋体" w:cs="宋体"/>
          <w:spacing w:val="12"/>
          <w:sz w:val="20"/>
          <w:szCs w:val="20"/>
          <w:highlight w:val="none"/>
        </w:rPr>
        <w:t>(1)工作名称、内容和数量；</w:t>
      </w:r>
    </w:p>
    <w:p w14:paraId="6C25C432">
      <w:pPr>
        <w:spacing w:before="223" w:line="219" w:lineRule="auto"/>
        <w:ind w:left="539"/>
        <w:rPr>
          <w:rFonts w:ascii="宋体" w:hAnsi="宋体" w:eastAsia="宋体" w:cs="宋体"/>
          <w:sz w:val="21"/>
          <w:szCs w:val="21"/>
          <w:highlight w:val="none"/>
        </w:rPr>
      </w:pPr>
      <w:r>
        <w:rPr>
          <w:rFonts w:ascii="宋体" w:hAnsi="宋体" w:eastAsia="宋体" w:cs="宋体"/>
          <w:spacing w:val="2"/>
          <w:sz w:val="21"/>
          <w:szCs w:val="21"/>
          <w:highlight w:val="none"/>
        </w:rPr>
        <w:t>(2)投入该工作的所有人员的姓名、专业、工种、级别和耗用工时；</w:t>
      </w:r>
    </w:p>
    <w:p w14:paraId="2D3209D6">
      <w:pPr>
        <w:spacing w:before="229" w:line="219" w:lineRule="auto"/>
        <w:ind w:left="539"/>
        <w:rPr>
          <w:rFonts w:ascii="宋体" w:hAnsi="宋体" w:eastAsia="宋体" w:cs="宋体"/>
          <w:sz w:val="22"/>
          <w:szCs w:val="22"/>
          <w:highlight w:val="none"/>
        </w:rPr>
      </w:pPr>
      <w:r>
        <w:rPr>
          <w:rFonts w:ascii="宋体" w:hAnsi="宋体" w:eastAsia="宋体" w:cs="宋体"/>
          <w:spacing w:val="-6"/>
          <w:sz w:val="22"/>
          <w:szCs w:val="22"/>
          <w:highlight w:val="none"/>
        </w:rPr>
        <w:t>(3)投入该工作的材料类别和数量；</w:t>
      </w:r>
    </w:p>
    <w:p w14:paraId="12DCE2F8">
      <w:pPr>
        <w:spacing w:before="211" w:line="219"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(4)投入该工作的施工设备型号、台数和耗用台时；</w:t>
      </w:r>
    </w:p>
    <w:p w14:paraId="1F398AD2">
      <w:pPr>
        <w:spacing w:before="229" w:line="219" w:lineRule="auto"/>
        <w:ind w:left="539"/>
        <w:rPr>
          <w:rFonts w:ascii="宋体" w:hAnsi="宋体" w:eastAsia="宋体" w:cs="宋体"/>
          <w:sz w:val="22"/>
          <w:szCs w:val="22"/>
          <w:highlight w:val="none"/>
        </w:rPr>
      </w:pPr>
      <w:r>
        <w:rPr>
          <w:rFonts w:ascii="宋体" w:hAnsi="宋体" w:eastAsia="宋体" w:cs="宋体"/>
          <w:spacing w:val="-3"/>
          <w:sz w:val="22"/>
          <w:szCs w:val="22"/>
          <w:highlight w:val="none"/>
        </w:rPr>
        <w:t>(5)其他有关资料和凭证。</w:t>
      </w:r>
    </w:p>
    <w:p w14:paraId="4DC0A55F">
      <w:pPr>
        <w:spacing w:before="228" w:line="424" w:lineRule="auto"/>
        <w:ind w:right="23" w:firstLine="440"/>
        <w:rPr>
          <w:rFonts w:ascii="宋体" w:hAnsi="宋体" w:eastAsia="宋体" w:cs="宋体"/>
          <w:sz w:val="21"/>
          <w:szCs w:val="21"/>
          <w:highlight w:val="none"/>
        </w:rPr>
      </w:pPr>
      <w:r>
        <w:rPr>
          <w:rFonts w:ascii="宋体" w:hAnsi="宋体" w:eastAsia="宋体" w:cs="宋体"/>
          <w:spacing w:val="-2"/>
          <w:sz w:val="21"/>
          <w:szCs w:val="21"/>
          <w:highlight w:val="none"/>
        </w:rPr>
        <w:t>计日工由承包人汇总后，列入最近一期进度付款申</w:t>
      </w:r>
      <w:r>
        <w:rPr>
          <w:rFonts w:ascii="宋体" w:hAnsi="宋体" w:eastAsia="宋体" w:cs="宋体"/>
          <w:spacing w:val="-3"/>
          <w:sz w:val="21"/>
          <w:szCs w:val="21"/>
          <w:highlight w:val="none"/>
        </w:rPr>
        <w:t>请单，由工程师审查并经发包人批准</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后列入进度付款。</w:t>
      </w:r>
    </w:p>
    <w:p w14:paraId="17A325F2">
      <w:pPr>
        <w:pStyle w:val="2"/>
        <w:spacing w:before="105" w:line="300" w:lineRule="exact"/>
        <w:rPr>
          <w:rFonts w:ascii="黑体" w:hAnsi="黑体" w:eastAsia="黑体" w:cs="黑体"/>
          <w:sz w:val="22"/>
          <w:szCs w:val="22"/>
          <w:highlight w:val="none"/>
        </w:rPr>
      </w:pPr>
      <w:r>
        <w:rPr>
          <w:spacing w:val="-7"/>
          <w:position w:val="1"/>
          <w:sz w:val="22"/>
          <w:szCs w:val="22"/>
          <w:highlight w:val="none"/>
        </w:rPr>
        <w:t>13.7</w:t>
      </w:r>
      <w:r>
        <w:rPr>
          <w:spacing w:val="38"/>
          <w:position w:val="1"/>
          <w:sz w:val="22"/>
          <w:szCs w:val="22"/>
          <w:highlight w:val="none"/>
        </w:rPr>
        <w:t xml:space="preserve"> </w:t>
      </w:r>
      <w:r>
        <w:rPr>
          <w:rFonts w:ascii="黑体" w:hAnsi="黑体" w:eastAsia="黑体" w:cs="黑体"/>
          <w:spacing w:val="-7"/>
          <w:position w:val="1"/>
          <w:sz w:val="22"/>
          <w:szCs w:val="22"/>
          <w:highlight w:val="none"/>
        </w:rPr>
        <w:t>法律变化引起的调整</w:t>
      </w:r>
    </w:p>
    <w:p w14:paraId="31910781">
      <w:pPr>
        <w:spacing w:before="101" w:line="367" w:lineRule="auto"/>
        <w:ind w:right="19" w:firstLine="440"/>
        <w:jc w:val="both"/>
        <w:rPr>
          <w:rFonts w:ascii="宋体" w:hAnsi="宋体" w:eastAsia="宋体" w:cs="宋体"/>
          <w:sz w:val="20"/>
          <w:szCs w:val="20"/>
          <w:highlight w:val="none"/>
        </w:rPr>
      </w:pPr>
      <w:r>
        <w:rPr>
          <w:rFonts w:ascii="Times New Roman" w:hAnsi="Times New Roman" w:eastAsia="Times New Roman" w:cs="Times New Roman"/>
          <w:spacing w:val="-2"/>
          <w:sz w:val="22"/>
          <w:szCs w:val="22"/>
          <w:highlight w:val="none"/>
        </w:rPr>
        <w:t xml:space="preserve">13.7.1   </w:t>
      </w:r>
      <w:r>
        <w:rPr>
          <w:rFonts w:ascii="宋体" w:hAnsi="宋体" w:eastAsia="宋体" w:cs="宋体"/>
          <w:spacing w:val="-2"/>
          <w:sz w:val="22"/>
          <w:szCs w:val="22"/>
          <w:highlight w:val="none"/>
        </w:rPr>
        <w:t>基准日期后，法律变化导致承包人在合同履行过程中所需要的费用发生除第</w:t>
      </w:r>
      <w:r>
        <w:rPr>
          <w:rFonts w:ascii="宋体" w:hAnsi="宋体" w:eastAsia="宋体" w:cs="宋体"/>
          <w:spacing w:val="2"/>
          <w:sz w:val="22"/>
          <w:szCs w:val="22"/>
          <w:highlight w:val="none"/>
        </w:rPr>
        <w:t xml:space="preserve"> </w:t>
      </w:r>
      <w:r>
        <w:rPr>
          <w:rFonts w:ascii="宋体" w:hAnsi="宋体" w:eastAsia="宋体" w:cs="宋体"/>
          <w:spacing w:val="12"/>
          <w:sz w:val="20"/>
          <w:szCs w:val="20"/>
          <w:highlight w:val="none"/>
        </w:rPr>
        <w:t>13.8款[市场价格波动引起的调整]约定以外的增加时，由发包人承担由此增加的费用；减</w:t>
      </w:r>
      <w:r>
        <w:rPr>
          <w:rFonts w:ascii="宋体" w:hAnsi="宋体" w:eastAsia="宋体" w:cs="宋体"/>
          <w:spacing w:val="5"/>
          <w:sz w:val="20"/>
          <w:szCs w:val="20"/>
          <w:highlight w:val="none"/>
        </w:rPr>
        <w:t xml:space="preserve"> </w:t>
      </w:r>
      <w:r>
        <w:rPr>
          <w:rFonts w:ascii="宋体" w:hAnsi="宋体" w:eastAsia="宋体" w:cs="宋体"/>
          <w:spacing w:val="8"/>
          <w:sz w:val="20"/>
          <w:szCs w:val="20"/>
          <w:highlight w:val="none"/>
        </w:rPr>
        <w:t>少时，应从合同价格中予以扣减。基准日期后，因法律变化造</w:t>
      </w:r>
      <w:r>
        <w:rPr>
          <w:rFonts w:ascii="宋体" w:hAnsi="宋体" w:eastAsia="宋体" w:cs="宋体"/>
          <w:spacing w:val="7"/>
          <w:sz w:val="20"/>
          <w:szCs w:val="20"/>
          <w:highlight w:val="none"/>
        </w:rPr>
        <w:t>成工期延误时，工期应予以顺</w:t>
      </w:r>
      <w:r>
        <w:rPr>
          <w:rFonts w:ascii="宋体" w:hAnsi="宋体" w:eastAsia="宋体" w:cs="宋体"/>
          <w:sz w:val="20"/>
          <w:szCs w:val="20"/>
          <w:highlight w:val="none"/>
        </w:rPr>
        <w:t xml:space="preserve"> </w:t>
      </w:r>
      <w:r>
        <w:rPr>
          <w:rFonts w:ascii="宋体" w:hAnsi="宋体" w:eastAsia="宋体" w:cs="宋体"/>
          <w:spacing w:val="-3"/>
          <w:sz w:val="20"/>
          <w:szCs w:val="20"/>
          <w:highlight w:val="none"/>
        </w:rPr>
        <w:t>延。</w:t>
      </w:r>
    </w:p>
    <w:p w14:paraId="3361D7FE">
      <w:pPr>
        <w:spacing w:before="188" w:line="277" w:lineRule="auto"/>
        <w:ind w:right="25" w:firstLine="44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13.7.2    </w:t>
      </w:r>
      <w:r>
        <w:rPr>
          <w:rFonts w:ascii="宋体" w:hAnsi="宋体" w:eastAsia="宋体" w:cs="宋体"/>
          <w:sz w:val="21"/>
          <w:szCs w:val="21"/>
          <w:highlight w:val="none"/>
        </w:rPr>
        <w:t>因法律变化引起的合同价格和工期调整，合同当事人无法达成一致的，由工程</w:t>
      </w:r>
      <w:r>
        <w:rPr>
          <w:rFonts w:ascii="宋体" w:hAnsi="宋体" w:eastAsia="宋体" w:cs="宋体"/>
          <w:spacing w:val="11"/>
          <w:sz w:val="21"/>
          <w:szCs w:val="21"/>
          <w:highlight w:val="none"/>
        </w:rPr>
        <w:t xml:space="preserve"> </w:t>
      </w:r>
      <w:r>
        <w:rPr>
          <w:rFonts w:ascii="宋体" w:hAnsi="宋体" w:eastAsia="宋体" w:cs="宋体"/>
          <w:spacing w:val="4"/>
          <w:sz w:val="21"/>
          <w:szCs w:val="21"/>
          <w:highlight w:val="none"/>
        </w:rPr>
        <w:t>师按第3.6款[商定或确定]的约定处理。</w:t>
      </w:r>
    </w:p>
    <w:p w14:paraId="1A4CBCA8">
      <w:pPr>
        <w:pStyle w:val="2"/>
        <w:spacing w:line="282" w:lineRule="auto"/>
        <w:rPr>
          <w:highlight w:val="none"/>
        </w:rPr>
      </w:pPr>
    </w:p>
    <w:p w14:paraId="30D75EEF">
      <w:pPr>
        <w:spacing w:before="66" w:line="290" w:lineRule="auto"/>
        <w:ind w:right="20" w:firstLine="44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13.7.3    </w:t>
      </w:r>
      <w:r>
        <w:rPr>
          <w:rFonts w:ascii="宋体" w:hAnsi="宋体" w:eastAsia="宋体" w:cs="宋体"/>
          <w:spacing w:val="9"/>
          <w:sz w:val="20"/>
          <w:szCs w:val="20"/>
          <w:highlight w:val="none"/>
        </w:rPr>
        <w:t>因承包人原因造成工期延误，在工期延误期间出现法律变化的，由</w:t>
      </w:r>
      <w:r>
        <w:rPr>
          <w:rFonts w:ascii="宋体" w:hAnsi="宋体" w:eastAsia="宋体" w:cs="宋体"/>
          <w:spacing w:val="8"/>
          <w:sz w:val="20"/>
          <w:szCs w:val="20"/>
          <w:highlight w:val="none"/>
        </w:rPr>
        <w:t>此增加的费</w:t>
      </w:r>
      <w:r>
        <w:rPr>
          <w:rFonts w:ascii="宋体" w:hAnsi="宋体" w:eastAsia="宋体" w:cs="宋体"/>
          <w:sz w:val="20"/>
          <w:szCs w:val="20"/>
          <w:highlight w:val="none"/>
        </w:rPr>
        <w:t xml:space="preserve"> </w:t>
      </w:r>
      <w:r>
        <w:rPr>
          <w:rFonts w:ascii="宋体" w:hAnsi="宋体" w:eastAsia="宋体" w:cs="宋体"/>
          <w:spacing w:val="20"/>
          <w:sz w:val="20"/>
          <w:szCs w:val="20"/>
          <w:highlight w:val="none"/>
        </w:rPr>
        <w:t>用和(或)延误的工期由承包人承担。</w:t>
      </w:r>
    </w:p>
    <w:p w14:paraId="215EE5DC">
      <w:pPr>
        <w:spacing w:line="290" w:lineRule="auto"/>
        <w:rPr>
          <w:rFonts w:ascii="宋体" w:hAnsi="宋体" w:eastAsia="宋体" w:cs="宋体"/>
          <w:sz w:val="20"/>
          <w:szCs w:val="20"/>
          <w:highlight w:val="none"/>
        </w:rPr>
        <w:sectPr>
          <w:footerReference r:id="rId125" w:type="default"/>
          <w:pgSz w:w="11910" w:h="16840"/>
          <w:pgMar w:top="400" w:right="1786" w:bottom="1217" w:left="1769" w:header="0" w:footer="1013" w:gutter="0"/>
          <w:cols w:space="720" w:num="1"/>
        </w:sectPr>
      </w:pPr>
    </w:p>
    <w:p w14:paraId="419CC92C">
      <w:pPr>
        <w:pStyle w:val="2"/>
        <w:spacing w:line="245" w:lineRule="auto"/>
        <w:rPr>
          <w:highlight w:val="none"/>
        </w:rPr>
      </w:pPr>
    </w:p>
    <w:p w14:paraId="3F5438FF">
      <w:pPr>
        <w:pStyle w:val="2"/>
        <w:spacing w:line="245" w:lineRule="auto"/>
        <w:rPr>
          <w:highlight w:val="none"/>
        </w:rPr>
      </w:pPr>
    </w:p>
    <w:p w14:paraId="6D4CD9CB">
      <w:pPr>
        <w:pStyle w:val="2"/>
        <w:spacing w:line="246" w:lineRule="auto"/>
        <w:rPr>
          <w:highlight w:val="none"/>
        </w:rPr>
      </w:pPr>
    </w:p>
    <w:p w14:paraId="4150DE6F">
      <w:pPr>
        <w:pStyle w:val="2"/>
        <w:spacing w:line="246" w:lineRule="auto"/>
        <w:rPr>
          <w:highlight w:val="none"/>
        </w:rPr>
      </w:pPr>
    </w:p>
    <w:p w14:paraId="71D7C66B">
      <w:pPr>
        <w:spacing w:before="69" w:line="354" w:lineRule="auto"/>
        <w:ind w:left="10" w:right="48" w:firstLine="440"/>
        <w:jc w:val="both"/>
        <w:rPr>
          <w:rFonts w:ascii="宋体" w:hAnsi="宋体" w:eastAsia="宋体" w:cs="宋体"/>
          <w:sz w:val="21"/>
          <w:szCs w:val="21"/>
          <w:highlight w:val="none"/>
        </w:rPr>
      </w:pPr>
      <w:bookmarkStart w:id="96" w:name="bookmark226"/>
      <w:bookmarkEnd w:id="96"/>
      <w:r>
        <w:rPr>
          <w:rFonts w:ascii="宋体" w:hAnsi="宋体" w:eastAsia="宋体" w:cs="宋体"/>
          <w:spacing w:val="-1"/>
          <w:sz w:val="21"/>
          <w:szCs w:val="21"/>
          <w:highlight w:val="none"/>
        </w:rPr>
        <w:t>13.7.4 因法律变化而需要对工程的实施进行任何调整的，承包人应迅速通知发包人，</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或者发包人应迅速通知承包人，并附上详细的辅助资料。发</w:t>
      </w:r>
      <w:r>
        <w:rPr>
          <w:rFonts w:ascii="宋体" w:hAnsi="宋体" w:eastAsia="宋体" w:cs="宋体"/>
          <w:spacing w:val="-2"/>
          <w:sz w:val="21"/>
          <w:szCs w:val="21"/>
          <w:highlight w:val="none"/>
        </w:rPr>
        <w:t>包人接到通知后，应根据第13.3</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款[变更程序]发出变更指示。</w:t>
      </w:r>
    </w:p>
    <w:p w14:paraId="7E809E7F">
      <w:pPr>
        <w:spacing w:before="272" w:line="222" w:lineRule="auto"/>
        <w:ind w:left="10"/>
        <w:rPr>
          <w:rFonts w:ascii="黑体" w:hAnsi="黑体" w:eastAsia="黑体" w:cs="黑体"/>
          <w:sz w:val="21"/>
          <w:szCs w:val="21"/>
          <w:highlight w:val="none"/>
        </w:rPr>
      </w:pPr>
      <w:r>
        <w:rPr>
          <w:rFonts w:ascii="黑体" w:hAnsi="黑体" w:eastAsia="黑体" w:cs="黑体"/>
          <w:spacing w:val="6"/>
          <w:sz w:val="21"/>
          <w:szCs w:val="21"/>
          <w:highlight w:val="none"/>
        </w:rPr>
        <w:t>13.8市场价格波动引起的调整</w:t>
      </w:r>
    </w:p>
    <w:p w14:paraId="5477DC87">
      <w:pPr>
        <w:spacing w:before="128" w:line="280" w:lineRule="auto"/>
        <w:ind w:left="10" w:right="77" w:firstLine="430"/>
        <w:rPr>
          <w:rFonts w:ascii="宋体" w:hAnsi="宋体" w:eastAsia="宋体" w:cs="宋体"/>
          <w:sz w:val="21"/>
          <w:szCs w:val="21"/>
          <w:highlight w:val="none"/>
        </w:rPr>
      </w:pPr>
      <w:r>
        <w:rPr>
          <w:rFonts w:ascii="宋体" w:hAnsi="宋体" w:eastAsia="宋体" w:cs="宋体"/>
          <w:sz w:val="21"/>
          <w:szCs w:val="21"/>
          <w:highlight w:val="none"/>
        </w:rPr>
        <w:t>13.8.1 主要工程材料、设备、人工价格与招标时基期价相比，波动幅度超过合同约定</w:t>
      </w:r>
      <w:r>
        <w:rPr>
          <w:rFonts w:ascii="宋体" w:hAnsi="宋体" w:eastAsia="宋体" w:cs="宋体"/>
          <w:spacing w:val="7"/>
          <w:sz w:val="21"/>
          <w:szCs w:val="21"/>
          <w:highlight w:val="none"/>
        </w:rPr>
        <w:t xml:space="preserve"> </w:t>
      </w:r>
      <w:r>
        <w:rPr>
          <w:rFonts w:ascii="宋体" w:hAnsi="宋体" w:eastAsia="宋体" w:cs="宋体"/>
          <w:spacing w:val="-1"/>
          <w:sz w:val="21"/>
          <w:szCs w:val="21"/>
          <w:highlight w:val="none"/>
        </w:rPr>
        <w:t>幅度的，双方按照合同约定的价格调整方式</w:t>
      </w:r>
      <w:r>
        <w:rPr>
          <w:rFonts w:ascii="宋体" w:hAnsi="宋体" w:eastAsia="宋体" w:cs="宋体"/>
          <w:spacing w:val="-2"/>
          <w:sz w:val="21"/>
          <w:szCs w:val="21"/>
          <w:highlight w:val="none"/>
        </w:rPr>
        <w:t>调整。</w:t>
      </w:r>
    </w:p>
    <w:p w14:paraId="732C894C">
      <w:pPr>
        <w:pStyle w:val="2"/>
        <w:spacing w:line="271" w:lineRule="auto"/>
        <w:rPr>
          <w:highlight w:val="none"/>
        </w:rPr>
      </w:pPr>
    </w:p>
    <w:p w14:paraId="3815AB1B">
      <w:pPr>
        <w:spacing w:before="69" w:line="287" w:lineRule="auto"/>
        <w:ind w:right="68" w:firstLine="440"/>
        <w:rPr>
          <w:rFonts w:ascii="宋体" w:hAnsi="宋体" w:eastAsia="宋体" w:cs="宋体"/>
          <w:sz w:val="21"/>
          <w:szCs w:val="21"/>
          <w:highlight w:val="none"/>
        </w:rPr>
      </w:pPr>
      <w:r>
        <w:rPr>
          <w:rFonts w:ascii="宋体" w:hAnsi="宋体" w:eastAsia="宋体" w:cs="宋体"/>
          <w:sz w:val="21"/>
          <w:szCs w:val="21"/>
          <w:highlight w:val="none"/>
        </w:rPr>
        <w:t>13.8.2 发包人与承包人在专用合同条件中约定采用《价格指数权重表》的，适用本项</w:t>
      </w:r>
      <w:r>
        <w:rPr>
          <w:rFonts w:ascii="宋体" w:hAnsi="宋体" w:eastAsia="宋体" w:cs="宋体"/>
          <w:spacing w:val="17"/>
          <w:sz w:val="21"/>
          <w:szCs w:val="21"/>
          <w:highlight w:val="none"/>
        </w:rPr>
        <w:t xml:space="preserve"> </w:t>
      </w:r>
      <w:r>
        <w:rPr>
          <w:rFonts w:ascii="宋体" w:hAnsi="宋体" w:eastAsia="宋体" w:cs="宋体"/>
          <w:spacing w:val="-10"/>
          <w:sz w:val="21"/>
          <w:szCs w:val="21"/>
          <w:highlight w:val="none"/>
        </w:rPr>
        <w:t>约定。</w:t>
      </w:r>
    </w:p>
    <w:p w14:paraId="19D1E15D">
      <w:pPr>
        <w:pStyle w:val="2"/>
        <w:spacing w:line="247" w:lineRule="auto"/>
        <w:rPr>
          <w:highlight w:val="none"/>
        </w:rPr>
      </w:pPr>
    </w:p>
    <w:p w14:paraId="411652D2">
      <w:pPr>
        <w:spacing w:before="68" w:line="310" w:lineRule="auto"/>
        <w:ind w:left="10" w:right="80" w:firstLine="650"/>
        <w:rPr>
          <w:rFonts w:ascii="宋体" w:hAnsi="宋体" w:eastAsia="宋体" w:cs="宋体"/>
          <w:sz w:val="21"/>
          <w:szCs w:val="21"/>
          <w:highlight w:val="none"/>
        </w:rPr>
      </w:pPr>
      <w:r>
        <w:rPr>
          <w:highlight w:val="none"/>
        </w:rPr>
        <w:fldChar w:fldCharType="begin"/>
      </w:r>
      <w:r>
        <w:rPr>
          <w:highlight w:val="none"/>
        </w:rPr>
        <w:instrText xml:space="preserve"> HYPERLINK "13.8.2.1" </w:instrText>
      </w:r>
      <w:r>
        <w:rPr>
          <w:highlight w:val="none"/>
        </w:rPr>
        <w:fldChar w:fldCharType="separate"/>
      </w:r>
      <w:r>
        <w:rPr>
          <w:rFonts w:ascii="宋体" w:hAnsi="宋体" w:eastAsia="宋体" w:cs="宋体"/>
          <w:sz w:val="21"/>
          <w:szCs w:val="21"/>
          <w:highlight w:val="none"/>
        </w:rPr>
        <w:t>13.8.2.1</w:t>
      </w:r>
      <w:r>
        <w:rPr>
          <w:rFonts w:ascii="宋体" w:hAnsi="宋体" w:eastAsia="宋体" w:cs="宋体"/>
          <w:sz w:val="21"/>
          <w:szCs w:val="21"/>
          <w:highlight w:val="none"/>
        </w:rPr>
        <w:fldChar w:fldCharType="end"/>
      </w:r>
      <w:r>
        <w:rPr>
          <w:rFonts w:ascii="宋体" w:hAnsi="宋体" w:eastAsia="宋体" w:cs="宋体"/>
          <w:spacing w:val="-6"/>
          <w:sz w:val="21"/>
          <w:szCs w:val="21"/>
          <w:highlight w:val="none"/>
        </w:rPr>
        <w:t xml:space="preserve"> </w:t>
      </w:r>
      <w:r>
        <w:rPr>
          <w:rFonts w:ascii="宋体" w:hAnsi="宋体" w:eastAsia="宋体" w:cs="宋体"/>
          <w:sz w:val="21"/>
          <w:szCs w:val="21"/>
          <w:highlight w:val="none"/>
        </w:rPr>
        <w:t xml:space="preserve">双方当事人可以将部分主要工程材料、工程设备、人工价格及其他双方认 </w:t>
      </w:r>
      <w:r>
        <w:rPr>
          <w:rFonts w:ascii="宋体" w:hAnsi="宋体" w:eastAsia="宋体" w:cs="宋体"/>
          <w:spacing w:val="3"/>
          <w:sz w:val="21"/>
          <w:szCs w:val="21"/>
          <w:highlight w:val="none"/>
        </w:rPr>
        <w:t>为应当根据市场价格调整的费用列入附件6[价格指数权重表],并根据以下公</w:t>
      </w:r>
      <w:r>
        <w:rPr>
          <w:rFonts w:ascii="宋体" w:hAnsi="宋体" w:eastAsia="宋体" w:cs="宋体"/>
          <w:spacing w:val="2"/>
          <w:sz w:val="21"/>
          <w:szCs w:val="21"/>
          <w:highlight w:val="none"/>
        </w:rPr>
        <w:t>式计算差额并</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调整合同价格：</w:t>
      </w:r>
    </w:p>
    <w:p w14:paraId="2740D663">
      <w:pPr>
        <w:pStyle w:val="2"/>
        <w:spacing w:line="371" w:lineRule="auto"/>
        <w:rPr>
          <w:highlight w:val="none"/>
        </w:rPr>
      </w:pPr>
    </w:p>
    <w:p w14:paraId="44651BED">
      <w:pPr>
        <w:spacing w:before="68" w:line="218" w:lineRule="auto"/>
        <w:ind w:left="750"/>
        <w:rPr>
          <w:rFonts w:ascii="宋体" w:hAnsi="宋体" w:eastAsia="宋体" w:cs="宋体"/>
          <w:sz w:val="21"/>
          <w:szCs w:val="21"/>
          <w:highlight w:val="none"/>
        </w:rPr>
      </w:pPr>
      <w:r>
        <w:rPr>
          <w:rFonts w:ascii="宋体" w:hAnsi="宋体" w:eastAsia="宋体" w:cs="宋体"/>
          <w:spacing w:val="10"/>
          <w:sz w:val="21"/>
          <w:szCs w:val="21"/>
          <w:highlight w:val="none"/>
        </w:rPr>
        <w:t>(1)价格调整公式</w:t>
      </w:r>
    </w:p>
    <w:p w14:paraId="102D6F69">
      <w:pPr>
        <w:pStyle w:val="2"/>
        <w:spacing w:line="283" w:lineRule="auto"/>
        <w:rPr>
          <w:highlight w:val="none"/>
        </w:rPr>
      </w:pPr>
    </w:p>
    <w:p w14:paraId="201D39B8">
      <w:pPr>
        <w:spacing w:line="860" w:lineRule="exact"/>
        <w:ind w:firstLine="20"/>
        <w:rPr>
          <w:highlight w:val="none"/>
        </w:rPr>
      </w:pPr>
      <w:r>
        <w:rPr>
          <w:position w:val="-17"/>
          <w:highlight w:val="none"/>
        </w:rPr>
        <w:drawing>
          <wp:inline distT="0" distB="0" distL="0" distR="0">
            <wp:extent cx="4737100" cy="54610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313"/>
                    <a:stretch>
                      <a:fillRect/>
                    </a:stretch>
                  </pic:blipFill>
                  <pic:spPr>
                    <a:xfrm>
                      <a:off x="0" y="0"/>
                      <a:ext cx="4737142" cy="546112"/>
                    </a:xfrm>
                    <a:prstGeom prst="rect">
                      <a:avLst/>
                    </a:prstGeom>
                  </pic:spPr>
                </pic:pic>
              </a:graphicData>
            </a:graphic>
          </wp:inline>
        </w:drawing>
      </w:r>
    </w:p>
    <w:p w14:paraId="34A217A5">
      <w:pPr>
        <w:pStyle w:val="2"/>
        <w:spacing w:line="296" w:lineRule="auto"/>
        <w:rPr>
          <w:highlight w:val="none"/>
        </w:rPr>
      </w:pPr>
    </w:p>
    <w:p w14:paraId="09643227">
      <w:pPr>
        <w:spacing w:before="69" w:line="218" w:lineRule="auto"/>
        <w:ind w:left="610"/>
        <w:rPr>
          <w:rFonts w:ascii="宋体" w:hAnsi="宋体" w:eastAsia="宋体" w:cs="宋体"/>
          <w:sz w:val="21"/>
          <w:szCs w:val="21"/>
          <w:highlight w:val="none"/>
        </w:rPr>
      </w:pPr>
      <w:r>
        <w:rPr>
          <w:rFonts w:ascii="宋体" w:hAnsi="宋体" w:eastAsia="宋体" w:cs="宋体"/>
          <w:spacing w:val="-3"/>
          <w:sz w:val="21"/>
          <w:szCs w:val="21"/>
          <w:highlight w:val="none"/>
        </w:rPr>
        <w:t>公式中：△</w:t>
      </w:r>
      <w:r>
        <w:rPr>
          <w:rFonts w:ascii="Times New Roman" w:hAnsi="Times New Roman" w:eastAsia="Times New Roman" w:cs="Times New Roman"/>
          <w:spacing w:val="-3"/>
          <w:sz w:val="21"/>
          <w:szCs w:val="21"/>
          <w:highlight w:val="none"/>
        </w:rPr>
        <w:t xml:space="preserve">P---  </w:t>
      </w:r>
      <w:r>
        <w:rPr>
          <w:rFonts w:ascii="宋体" w:hAnsi="宋体" w:eastAsia="宋体" w:cs="宋体"/>
          <w:spacing w:val="-3"/>
          <w:sz w:val="21"/>
          <w:szCs w:val="21"/>
          <w:highlight w:val="none"/>
        </w:rPr>
        <w:t>需调整的价格差额；</w:t>
      </w:r>
    </w:p>
    <w:p w14:paraId="48A04EA6">
      <w:pPr>
        <w:spacing w:before="232" w:line="414" w:lineRule="auto"/>
        <w:ind w:left="10" w:firstLine="59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P₀---</w:t>
      </w:r>
      <w:r>
        <w:rPr>
          <w:rFonts w:ascii="Times New Roman" w:hAnsi="Times New Roman" w:eastAsia="Times New Roman" w:cs="Times New Roman"/>
          <w:spacing w:val="52"/>
          <w:sz w:val="21"/>
          <w:szCs w:val="21"/>
          <w:highlight w:val="none"/>
        </w:rPr>
        <w:t xml:space="preserve"> </w:t>
      </w:r>
      <w:r>
        <w:rPr>
          <w:rFonts w:ascii="宋体" w:hAnsi="宋体" w:eastAsia="宋体" w:cs="宋体"/>
          <w:spacing w:val="-1"/>
          <w:sz w:val="21"/>
          <w:szCs w:val="21"/>
          <w:highlight w:val="none"/>
        </w:rPr>
        <w:t>付款证书中承包人应得到的已完成工作量的金额。此项金额应不包括价</w:t>
      </w:r>
      <w:r>
        <w:rPr>
          <w:rFonts w:ascii="宋体" w:hAnsi="宋体" w:eastAsia="宋体" w:cs="宋体"/>
          <w:spacing w:val="-2"/>
          <w:sz w:val="21"/>
          <w:szCs w:val="21"/>
          <w:highlight w:val="none"/>
        </w:rPr>
        <w:t>格调整、</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不计质量保证金的预留和支付、预付款的支付和扣回。第13条</w:t>
      </w:r>
      <w:r>
        <w:rPr>
          <w:rFonts w:ascii="宋体" w:hAnsi="宋体" w:eastAsia="宋体" w:cs="宋体"/>
          <w:spacing w:val="2"/>
          <w:sz w:val="21"/>
          <w:szCs w:val="21"/>
          <w:highlight w:val="none"/>
        </w:rPr>
        <w:t>[变更与调整]约定的变更及</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其他金额已按当期价格计价的，也不计在内；</w:t>
      </w:r>
    </w:p>
    <w:p w14:paraId="3799E0AC">
      <w:pPr>
        <w:spacing w:before="9" w:line="219" w:lineRule="auto"/>
        <w:ind w:left="580"/>
        <w:rPr>
          <w:rFonts w:ascii="宋体" w:hAnsi="宋体" w:eastAsia="宋体" w:cs="宋体"/>
          <w:sz w:val="21"/>
          <w:szCs w:val="21"/>
          <w:highlight w:val="none"/>
        </w:rPr>
      </w:pPr>
      <w:r>
        <w:rPr>
          <w:rFonts w:ascii="Times New Roman" w:hAnsi="Times New Roman" w:eastAsia="Times New Roman" w:cs="Times New Roman"/>
          <w:spacing w:val="6"/>
          <w:sz w:val="21"/>
          <w:szCs w:val="21"/>
          <w:highlight w:val="none"/>
        </w:rPr>
        <w:t>A   ---</w:t>
      </w:r>
      <w:r>
        <w:rPr>
          <w:rFonts w:ascii="宋体" w:hAnsi="宋体" w:eastAsia="宋体" w:cs="宋体"/>
          <w:spacing w:val="6"/>
          <w:sz w:val="21"/>
          <w:szCs w:val="21"/>
          <w:highlight w:val="none"/>
        </w:rPr>
        <w:t>定值权重(即不调部分的权重);</w:t>
      </w:r>
    </w:p>
    <w:p w14:paraId="676D5389">
      <w:pPr>
        <w:spacing w:before="216" w:line="410" w:lineRule="auto"/>
        <w:ind w:right="120" w:firstLine="600"/>
        <w:rPr>
          <w:rFonts w:ascii="Times New Roman" w:hAnsi="Times New Roman" w:eastAsia="Times New Roman" w:cs="Times New Roman"/>
          <w:sz w:val="21"/>
          <w:szCs w:val="21"/>
          <w:highlight w:val="none"/>
        </w:rPr>
      </w:pPr>
      <w:r>
        <w:rPr>
          <w:rFonts w:ascii="Times New Roman" w:hAnsi="Times New Roman" w:eastAsia="Times New Roman" w:cs="Times New Roman"/>
          <w:spacing w:val="3"/>
          <w:sz w:val="21"/>
          <w:szCs w:val="21"/>
          <w:highlight w:val="none"/>
        </w:rPr>
        <w:t xml:space="preserve">B₁;B₂;B₃;      </w:t>
      </w:r>
      <w:r>
        <w:rPr>
          <w:rFonts w:ascii="宋体" w:hAnsi="宋体" w:eastAsia="宋体" w:cs="宋体"/>
          <w:spacing w:val="3"/>
          <w:sz w:val="21"/>
          <w:szCs w:val="21"/>
          <w:highlight w:val="none"/>
        </w:rPr>
        <w:t>……</w:t>
      </w:r>
      <w:r>
        <w:rPr>
          <w:rFonts w:ascii="Times New Roman" w:hAnsi="Times New Roman" w:eastAsia="Times New Roman" w:cs="Times New Roman"/>
          <w:spacing w:val="3"/>
          <w:sz w:val="21"/>
          <w:szCs w:val="21"/>
          <w:highlight w:val="none"/>
        </w:rPr>
        <w:t xml:space="preserve">B.---    </w:t>
      </w:r>
      <w:r>
        <w:rPr>
          <w:rFonts w:ascii="宋体" w:hAnsi="宋体" w:eastAsia="宋体" w:cs="宋体"/>
          <w:spacing w:val="3"/>
          <w:sz w:val="21"/>
          <w:szCs w:val="21"/>
          <w:highlight w:val="none"/>
        </w:rPr>
        <w:t>各可调因子的变值权重</w:t>
      </w:r>
      <w:r>
        <w:rPr>
          <w:rFonts w:ascii="Times New Roman" w:hAnsi="Times New Roman" w:eastAsia="Times New Roman" w:cs="Times New Roman"/>
          <w:spacing w:val="3"/>
          <w:sz w:val="21"/>
          <w:szCs w:val="21"/>
          <w:highlight w:val="none"/>
        </w:rPr>
        <w:t>(</w:t>
      </w:r>
      <w:r>
        <w:rPr>
          <w:rFonts w:ascii="宋体" w:hAnsi="宋体" w:eastAsia="宋体" w:cs="宋体"/>
          <w:spacing w:val="3"/>
          <w:sz w:val="21"/>
          <w:szCs w:val="21"/>
          <w:highlight w:val="none"/>
        </w:rPr>
        <w:t>即可调部分的权重</w:t>
      </w:r>
      <w:r>
        <w:rPr>
          <w:rFonts w:ascii="Times New Roman" w:hAnsi="Times New Roman" w:eastAsia="Times New Roman" w:cs="Times New Roman"/>
          <w:spacing w:val="3"/>
          <w:sz w:val="21"/>
          <w:szCs w:val="21"/>
          <w:highlight w:val="none"/>
        </w:rPr>
        <w:t>)</w:t>
      </w:r>
      <w:r>
        <w:rPr>
          <w:rFonts w:ascii="宋体" w:hAnsi="宋体" w:eastAsia="宋体" w:cs="宋体"/>
          <w:spacing w:val="3"/>
          <w:sz w:val="21"/>
          <w:szCs w:val="21"/>
          <w:highlight w:val="none"/>
        </w:rPr>
        <w:t>为各可调因子在</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投标函投标总报价中所占的比例，且</w:t>
      </w:r>
      <w:r>
        <w:rPr>
          <w:rFonts w:ascii="Times New Roman" w:hAnsi="Times New Roman" w:eastAsia="Times New Roman" w:cs="Times New Roman"/>
          <w:spacing w:val="-5"/>
          <w:sz w:val="21"/>
          <w:szCs w:val="21"/>
          <w:highlight w:val="none"/>
        </w:rPr>
        <w:t>A+B</w:t>
      </w:r>
      <w:r>
        <w:rPr>
          <w:rFonts w:ascii="Times New Roman" w:hAnsi="Times New Roman" w:eastAsia="Times New Roman" w:cs="Times New Roman"/>
          <w:spacing w:val="-6"/>
          <w:sz w:val="21"/>
          <w:szCs w:val="21"/>
          <w:highlight w:val="none"/>
        </w:rPr>
        <w:t>₁+B₂+B₃+……+Bₙ=1;</w:t>
      </w:r>
    </w:p>
    <w:p w14:paraId="624A2951">
      <w:pPr>
        <w:spacing w:before="38" w:line="422" w:lineRule="auto"/>
        <w:ind w:left="20" w:right="71" w:firstLine="580"/>
        <w:rPr>
          <w:rFonts w:ascii="宋体" w:hAnsi="宋体" w:eastAsia="宋体" w:cs="宋体"/>
          <w:sz w:val="21"/>
          <w:szCs w:val="21"/>
          <w:highlight w:val="none"/>
        </w:rPr>
      </w:pPr>
      <w:r>
        <w:rPr>
          <w:rFonts w:ascii="Times New Roman" w:hAnsi="Times New Roman" w:eastAsia="Times New Roman" w:cs="Times New Roman"/>
          <w:spacing w:val="-4"/>
          <w:sz w:val="21"/>
          <w:szCs w:val="21"/>
          <w:highlight w:val="none"/>
        </w:rPr>
        <w:t xml:space="preserve">F+1;  F+2;F+3;  </w:t>
      </w:r>
      <w:r>
        <w:rPr>
          <w:rFonts w:ascii="宋体" w:hAnsi="宋体" w:eastAsia="宋体" w:cs="宋体"/>
          <w:spacing w:val="-4"/>
          <w:sz w:val="21"/>
          <w:szCs w:val="21"/>
          <w:highlight w:val="none"/>
        </w:rPr>
        <w:t>……</w:t>
      </w:r>
      <w:r>
        <w:rPr>
          <w:rFonts w:ascii="Times New Roman" w:hAnsi="Times New Roman" w:eastAsia="Times New Roman" w:cs="Times New Roman"/>
          <w:spacing w:val="-4"/>
          <w:sz w:val="21"/>
          <w:szCs w:val="21"/>
          <w:highlight w:val="none"/>
        </w:rPr>
        <w:t xml:space="preserve">F+n---  </w:t>
      </w:r>
      <w:r>
        <w:rPr>
          <w:rFonts w:ascii="宋体" w:hAnsi="宋体" w:eastAsia="宋体" w:cs="宋体"/>
          <w:spacing w:val="-4"/>
          <w:sz w:val="21"/>
          <w:szCs w:val="21"/>
          <w:highlight w:val="none"/>
        </w:rPr>
        <w:t>各可调因子的当期价格指数，指付款证书相关周期</w:t>
      </w:r>
      <w:r>
        <w:rPr>
          <w:rFonts w:ascii="宋体" w:hAnsi="宋体" w:eastAsia="宋体" w:cs="宋体"/>
          <w:spacing w:val="-5"/>
          <w:sz w:val="21"/>
          <w:szCs w:val="21"/>
          <w:highlight w:val="none"/>
        </w:rPr>
        <w:t>最后一天</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的前42天的各可调因子的价格指数；</w:t>
      </w:r>
    </w:p>
    <w:p w14:paraId="0FFB82B9">
      <w:pPr>
        <w:spacing w:before="1" w:line="427" w:lineRule="auto"/>
        <w:ind w:left="10" w:right="82" w:firstLine="59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Fo1;Fo₂;Fo₃;    </w:t>
      </w:r>
      <w:r>
        <w:rPr>
          <w:rFonts w:ascii="宋体" w:hAnsi="宋体" w:eastAsia="宋体" w:cs="宋体"/>
          <w:sz w:val="21"/>
          <w:szCs w:val="21"/>
          <w:highlight w:val="none"/>
        </w:rPr>
        <w:t>……</w:t>
      </w:r>
      <w:r>
        <w:rPr>
          <w:rFonts w:ascii="宋体" w:hAnsi="宋体" w:eastAsia="宋体" w:cs="宋体"/>
          <w:spacing w:val="-73"/>
          <w:sz w:val="21"/>
          <w:szCs w:val="21"/>
          <w:highlight w:val="none"/>
        </w:rPr>
        <w:t xml:space="preserve"> </w:t>
      </w:r>
      <w:r>
        <w:rPr>
          <w:rFonts w:ascii="Times New Roman" w:hAnsi="Times New Roman" w:eastAsia="Times New Roman" w:cs="Times New Roman"/>
          <w:sz w:val="21"/>
          <w:szCs w:val="21"/>
          <w:highlight w:val="none"/>
        </w:rPr>
        <w:t>Fon---</w:t>
      </w:r>
      <w:r>
        <w:rPr>
          <w:rFonts w:ascii="宋体" w:hAnsi="宋体" w:eastAsia="宋体" w:cs="宋体"/>
          <w:sz w:val="21"/>
          <w:szCs w:val="21"/>
          <w:highlight w:val="none"/>
        </w:rPr>
        <w:t>各可调因子的基本价格指数，指</w:t>
      </w:r>
      <w:r>
        <w:rPr>
          <w:rFonts w:ascii="宋体" w:hAnsi="宋体" w:eastAsia="宋体" w:cs="宋体"/>
          <w:spacing w:val="-1"/>
          <w:sz w:val="21"/>
          <w:szCs w:val="21"/>
          <w:highlight w:val="none"/>
        </w:rPr>
        <w:t>基准日期的各可调因子的价</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格指数。</w:t>
      </w:r>
    </w:p>
    <w:p w14:paraId="376B1551">
      <w:pPr>
        <w:spacing w:line="414" w:lineRule="auto"/>
        <w:ind w:left="20" w:right="72" w:firstLine="600"/>
        <w:jc w:val="both"/>
        <w:rPr>
          <w:rFonts w:ascii="宋体" w:hAnsi="宋体" w:eastAsia="宋体" w:cs="宋体"/>
          <w:sz w:val="21"/>
          <w:szCs w:val="21"/>
          <w:highlight w:val="none"/>
        </w:rPr>
      </w:pPr>
      <w:r>
        <w:rPr>
          <w:rFonts w:ascii="宋体" w:hAnsi="宋体" w:eastAsia="宋体" w:cs="宋体"/>
          <w:spacing w:val="-2"/>
          <w:sz w:val="21"/>
          <w:szCs w:val="21"/>
          <w:highlight w:val="none"/>
        </w:rPr>
        <w:t>以上价格调整公式中的各可调因子、定值和变值权重，以及基本价格指数及其来源在</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投标函附录价格指数和权重表中约定。价格指数应首先采用投标</w:t>
      </w:r>
      <w:r>
        <w:rPr>
          <w:rFonts w:ascii="宋体" w:hAnsi="宋体" w:eastAsia="宋体" w:cs="宋体"/>
          <w:spacing w:val="-3"/>
          <w:sz w:val="21"/>
          <w:szCs w:val="21"/>
          <w:highlight w:val="none"/>
        </w:rPr>
        <w:t>函附录中载明的有关部门提</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供的价格指数，缺乏上述价格指数时，可采用有关部门提</w:t>
      </w:r>
      <w:r>
        <w:rPr>
          <w:rFonts w:ascii="宋体" w:hAnsi="宋体" w:eastAsia="宋体" w:cs="宋体"/>
          <w:spacing w:val="-2"/>
          <w:sz w:val="21"/>
          <w:szCs w:val="21"/>
          <w:highlight w:val="none"/>
        </w:rPr>
        <w:t>供的价格代替。</w:t>
      </w:r>
    </w:p>
    <w:p w14:paraId="3592D58E">
      <w:pPr>
        <w:spacing w:line="414" w:lineRule="auto"/>
        <w:rPr>
          <w:rFonts w:ascii="宋体" w:hAnsi="宋体" w:eastAsia="宋体" w:cs="宋体"/>
          <w:sz w:val="21"/>
          <w:szCs w:val="21"/>
          <w:highlight w:val="none"/>
        </w:rPr>
        <w:sectPr>
          <w:footerReference r:id="rId126" w:type="default"/>
          <w:pgSz w:w="11910" w:h="16840"/>
          <w:pgMar w:top="400" w:right="1728" w:bottom="1240" w:left="1779" w:header="0" w:footer="966" w:gutter="0"/>
          <w:cols w:space="720" w:num="1"/>
        </w:sectPr>
      </w:pPr>
    </w:p>
    <w:p w14:paraId="00018CCA">
      <w:pPr>
        <w:pStyle w:val="2"/>
        <w:spacing w:line="270" w:lineRule="auto"/>
        <w:rPr>
          <w:highlight w:val="none"/>
        </w:rPr>
      </w:pPr>
    </w:p>
    <w:p w14:paraId="4B8F0A6B">
      <w:pPr>
        <w:pStyle w:val="2"/>
        <w:spacing w:line="270" w:lineRule="auto"/>
        <w:rPr>
          <w:highlight w:val="none"/>
        </w:rPr>
      </w:pPr>
    </w:p>
    <w:p w14:paraId="7DC1B630">
      <w:pPr>
        <w:pStyle w:val="2"/>
        <w:spacing w:line="270" w:lineRule="auto"/>
        <w:rPr>
          <w:highlight w:val="none"/>
        </w:rPr>
      </w:pPr>
    </w:p>
    <w:p w14:paraId="51588EFE">
      <w:pPr>
        <w:pStyle w:val="2"/>
        <w:spacing w:line="271" w:lineRule="auto"/>
        <w:rPr>
          <w:highlight w:val="none"/>
        </w:rPr>
      </w:pPr>
    </w:p>
    <w:p w14:paraId="16931F12">
      <w:pPr>
        <w:spacing w:before="71" w:line="219" w:lineRule="auto"/>
        <w:ind w:left="733"/>
        <w:rPr>
          <w:rFonts w:ascii="宋体" w:hAnsi="宋体" w:eastAsia="宋体" w:cs="宋体"/>
          <w:sz w:val="22"/>
          <w:szCs w:val="22"/>
          <w:highlight w:val="none"/>
        </w:rPr>
      </w:pPr>
      <w:r>
        <w:rPr>
          <w:rFonts w:ascii="宋体" w:hAnsi="宋体" w:eastAsia="宋体" w:cs="宋体"/>
          <w:sz w:val="22"/>
          <w:szCs w:val="22"/>
          <w:highlight w:val="none"/>
        </w:rPr>
        <w:t>(2)暂时确定调整差额</w:t>
      </w:r>
    </w:p>
    <w:p w14:paraId="3A884DD2">
      <w:pPr>
        <w:spacing w:before="216" w:line="423" w:lineRule="auto"/>
        <w:ind w:left="3" w:right="33" w:firstLine="610"/>
        <w:rPr>
          <w:rFonts w:ascii="宋体" w:hAnsi="宋体" w:eastAsia="宋体" w:cs="宋体"/>
          <w:sz w:val="21"/>
          <w:szCs w:val="21"/>
          <w:highlight w:val="none"/>
        </w:rPr>
      </w:pPr>
      <w:r>
        <w:rPr>
          <w:rFonts w:ascii="宋体" w:hAnsi="宋体" w:eastAsia="宋体" w:cs="宋体"/>
          <w:spacing w:val="-2"/>
          <w:sz w:val="21"/>
          <w:szCs w:val="21"/>
          <w:highlight w:val="none"/>
        </w:rPr>
        <w:t>在计算调整差额时得不到当期价格指数的，可暂用上一次价格指数计算，并在以后的</w:t>
      </w:r>
      <w:r>
        <w:rPr>
          <w:rFonts w:ascii="宋体" w:hAnsi="宋体" w:eastAsia="宋体" w:cs="宋体"/>
          <w:spacing w:val="9"/>
          <w:sz w:val="21"/>
          <w:szCs w:val="21"/>
          <w:highlight w:val="none"/>
        </w:rPr>
        <w:t xml:space="preserve"> </w:t>
      </w:r>
      <w:r>
        <w:rPr>
          <w:rFonts w:ascii="宋体" w:hAnsi="宋体" w:eastAsia="宋体" w:cs="宋体"/>
          <w:spacing w:val="-3"/>
          <w:sz w:val="21"/>
          <w:szCs w:val="21"/>
          <w:highlight w:val="none"/>
        </w:rPr>
        <w:t>付款中再按实际价格指数进行调整。</w:t>
      </w:r>
    </w:p>
    <w:p w14:paraId="476EC920">
      <w:pPr>
        <w:spacing w:line="219" w:lineRule="auto"/>
        <w:ind w:left="733"/>
        <w:rPr>
          <w:rFonts w:ascii="宋体" w:hAnsi="宋体" w:eastAsia="宋体" w:cs="宋体"/>
          <w:sz w:val="22"/>
          <w:szCs w:val="22"/>
          <w:highlight w:val="none"/>
        </w:rPr>
      </w:pPr>
      <w:r>
        <w:rPr>
          <w:rFonts w:ascii="宋体" w:hAnsi="宋体" w:eastAsia="宋体" w:cs="宋体"/>
          <w:spacing w:val="3"/>
          <w:sz w:val="22"/>
          <w:szCs w:val="22"/>
          <w:highlight w:val="none"/>
        </w:rPr>
        <w:t>(3)权重的调整</w:t>
      </w:r>
    </w:p>
    <w:p w14:paraId="195BE02F">
      <w:pPr>
        <w:spacing w:before="198" w:line="405" w:lineRule="auto"/>
        <w:ind w:left="3" w:right="39" w:firstLine="610"/>
        <w:rPr>
          <w:rFonts w:ascii="宋体" w:hAnsi="宋体" w:eastAsia="宋体" w:cs="宋体"/>
          <w:sz w:val="22"/>
          <w:szCs w:val="22"/>
          <w:highlight w:val="none"/>
        </w:rPr>
      </w:pPr>
      <w:r>
        <w:rPr>
          <w:rFonts w:ascii="宋体" w:hAnsi="宋体" w:eastAsia="宋体" w:cs="宋体"/>
          <w:spacing w:val="-6"/>
          <w:sz w:val="22"/>
          <w:szCs w:val="22"/>
          <w:highlight w:val="none"/>
        </w:rPr>
        <w:t>按第13.1款[发包人变更权]约定的变更导致原定合同中的权重不合理的，由工程师</w:t>
      </w:r>
      <w:r>
        <w:rPr>
          <w:rFonts w:ascii="宋体" w:hAnsi="宋体" w:eastAsia="宋体" w:cs="宋体"/>
          <w:spacing w:val="13"/>
          <w:sz w:val="22"/>
          <w:szCs w:val="22"/>
          <w:highlight w:val="none"/>
        </w:rPr>
        <w:t xml:space="preserve"> </w:t>
      </w:r>
      <w:r>
        <w:rPr>
          <w:rFonts w:ascii="宋体" w:hAnsi="宋体" w:eastAsia="宋体" w:cs="宋体"/>
          <w:spacing w:val="-11"/>
          <w:sz w:val="22"/>
          <w:szCs w:val="22"/>
          <w:highlight w:val="none"/>
        </w:rPr>
        <w:t>与承包人和发包人协商后进行调整。</w:t>
      </w:r>
    </w:p>
    <w:p w14:paraId="3D23C58D">
      <w:pPr>
        <w:spacing w:before="12" w:line="218" w:lineRule="auto"/>
        <w:ind w:left="733"/>
        <w:rPr>
          <w:rFonts w:ascii="宋体" w:hAnsi="宋体" w:eastAsia="宋体" w:cs="宋体"/>
          <w:sz w:val="20"/>
          <w:szCs w:val="20"/>
          <w:highlight w:val="none"/>
        </w:rPr>
      </w:pPr>
      <w:r>
        <w:rPr>
          <w:rFonts w:ascii="宋体" w:hAnsi="宋体" w:eastAsia="宋体" w:cs="宋体"/>
          <w:spacing w:val="14"/>
          <w:sz w:val="20"/>
          <w:szCs w:val="20"/>
          <w:highlight w:val="none"/>
        </w:rPr>
        <w:t>(4)承包人原因工期延误后的价格调整</w:t>
      </w:r>
    </w:p>
    <w:p w14:paraId="72214C24">
      <w:pPr>
        <w:spacing w:before="234" w:line="419" w:lineRule="auto"/>
        <w:ind w:left="3" w:right="38" w:firstLine="610"/>
        <w:rPr>
          <w:rFonts w:ascii="宋体" w:hAnsi="宋体" w:eastAsia="宋体" w:cs="宋体"/>
          <w:sz w:val="21"/>
          <w:szCs w:val="21"/>
          <w:highlight w:val="none"/>
        </w:rPr>
      </w:pPr>
      <w:r>
        <w:rPr>
          <w:rFonts w:ascii="宋体" w:hAnsi="宋体" w:eastAsia="宋体" w:cs="宋体"/>
          <w:spacing w:val="-2"/>
          <w:sz w:val="21"/>
          <w:szCs w:val="21"/>
          <w:highlight w:val="none"/>
        </w:rPr>
        <w:t>因承包人原因未在约定的工期内竣工的，则对原约定竣工日期后继续施工的工程，在</w:t>
      </w:r>
      <w:r>
        <w:rPr>
          <w:rFonts w:ascii="宋体" w:hAnsi="宋体" w:eastAsia="宋体" w:cs="宋体"/>
          <w:spacing w:val="4"/>
          <w:sz w:val="21"/>
          <w:szCs w:val="21"/>
          <w:highlight w:val="none"/>
        </w:rPr>
        <w:t xml:space="preserve"> </w:t>
      </w:r>
      <w:r>
        <w:rPr>
          <w:rFonts w:ascii="宋体" w:hAnsi="宋体" w:eastAsia="宋体" w:cs="宋体"/>
          <w:sz w:val="21"/>
          <w:szCs w:val="21"/>
          <w:highlight w:val="none"/>
        </w:rPr>
        <w:t>使用本款第(1)项价格调整公式时，应采用原约定竣工日期与实际竣工日期的两个价格指数</w:t>
      </w:r>
      <w:r>
        <w:rPr>
          <w:rFonts w:ascii="宋体" w:hAnsi="宋体" w:eastAsia="宋体" w:cs="宋体"/>
          <w:spacing w:val="13"/>
          <w:sz w:val="21"/>
          <w:szCs w:val="21"/>
          <w:highlight w:val="none"/>
        </w:rPr>
        <w:t xml:space="preserve"> </w:t>
      </w:r>
      <w:r>
        <w:rPr>
          <w:rFonts w:ascii="宋体" w:hAnsi="宋体" w:eastAsia="宋体" w:cs="宋体"/>
          <w:spacing w:val="-3"/>
          <w:sz w:val="21"/>
          <w:szCs w:val="21"/>
          <w:highlight w:val="none"/>
        </w:rPr>
        <w:t>中较低的一个作为当期价格指数。</w:t>
      </w:r>
    </w:p>
    <w:p w14:paraId="0BD59E20">
      <w:pPr>
        <w:spacing w:before="2" w:line="217" w:lineRule="auto"/>
        <w:ind w:left="733"/>
        <w:rPr>
          <w:rFonts w:ascii="宋体" w:hAnsi="宋体" w:eastAsia="宋体" w:cs="宋体"/>
          <w:sz w:val="22"/>
          <w:szCs w:val="22"/>
          <w:highlight w:val="none"/>
        </w:rPr>
      </w:pPr>
      <w:r>
        <w:rPr>
          <w:rFonts w:ascii="宋体" w:hAnsi="宋体" w:eastAsia="宋体" w:cs="宋体"/>
          <w:spacing w:val="-4"/>
          <w:sz w:val="22"/>
          <w:szCs w:val="22"/>
          <w:highlight w:val="none"/>
        </w:rPr>
        <w:t>(5)发包人引起的工期延误后的价格调整</w:t>
      </w:r>
    </w:p>
    <w:p w14:paraId="22938A06">
      <w:pPr>
        <w:spacing w:before="200" w:line="372" w:lineRule="auto"/>
        <w:ind w:left="3" w:firstLine="610"/>
        <w:rPr>
          <w:rFonts w:ascii="宋体" w:hAnsi="宋体" w:eastAsia="宋体" w:cs="宋体"/>
          <w:sz w:val="22"/>
          <w:szCs w:val="22"/>
          <w:highlight w:val="none"/>
        </w:rPr>
      </w:pPr>
      <w:r>
        <w:rPr>
          <w:rFonts w:ascii="宋体" w:hAnsi="宋体" w:eastAsia="宋体" w:cs="宋体"/>
          <w:spacing w:val="-11"/>
          <w:sz w:val="22"/>
          <w:szCs w:val="22"/>
          <w:highlight w:val="none"/>
        </w:rPr>
        <w:t>由于发包人原因未在约定的工期内竣工的，则对原约定竣工日期后继续施工的工程，</w:t>
      </w:r>
      <w:r>
        <w:rPr>
          <w:rFonts w:ascii="宋体" w:hAnsi="宋体" w:eastAsia="宋体" w:cs="宋体"/>
          <w:spacing w:val="6"/>
          <w:sz w:val="22"/>
          <w:szCs w:val="22"/>
          <w:highlight w:val="none"/>
        </w:rPr>
        <w:t xml:space="preserve"> </w:t>
      </w:r>
      <w:r>
        <w:rPr>
          <w:rFonts w:ascii="宋体" w:hAnsi="宋体" w:eastAsia="宋体" w:cs="宋体"/>
          <w:spacing w:val="-4"/>
          <w:sz w:val="22"/>
          <w:szCs w:val="22"/>
          <w:highlight w:val="none"/>
        </w:rPr>
        <w:t>在使用本款第(1)目价格调整公式时，应采用原约定竣工日期与实际竣工日期的两个</w:t>
      </w:r>
      <w:r>
        <w:rPr>
          <w:rFonts w:ascii="宋体" w:hAnsi="宋体" w:eastAsia="宋体" w:cs="宋体"/>
          <w:spacing w:val="-5"/>
          <w:sz w:val="22"/>
          <w:szCs w:val="22"/>
          <w:highlight w:val="none"/>
        </w:rPr>
        <w:t>价格</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指数中较高的一个作为当期价格指数。</w:t>
      </w:r>
    </w:p>
    <w:p w14:paraId="3AC84AD5">
      <w:pPr>
        <w:spacing w:before="1" w:line="217" w:lineRule="auto"/>
        <w:ind w:left="613"/>
        <w:rPr>
          <w:rFonts w:ascii="宋体" w:hAnsi="宋体" w:eastAsia="宋体" w:cs="宋体"/>
          <w:sz w:val="22"/>
          <w:szCs w:val="22"/>
          <w:highlight w:val="none"/>
        </w:rPr>
      </w:pPr>
      <w:r>
        <w:rPr>
          <w:highlight w:val="none"/>
        </w:rPr>
        <w:fldChar w:fldCharType="begin"/>
      </w:r>
      <w:r>
        <w:rPr>
          <w:highlight w:val="none"/>
        </w:rPr>
        <w:instrText xml:space="preserve"> HYPERLINK "13.8.2.2" </w:instrText>
      </w:r>
      <w:r>
        <w:rPr>
          <w:highlight w:val="none"/>
        </w:rPr>
        <w:fldChar w:fldCharType="separate"/>
      </w:r>
      <w:r>
        <w:rPr>
          <w:rFonts w:ascii="Times New Roman" w:hAnsi="Times New Roman" w:eastAsia="Times New Roman" w:cs="Times New Roman"/>
          <w:spacing w:val="-6"/>
          <w:sz w:val="22"/>
          <w:szCs w:val="22"/>
          <w:highlight w:val="none"/>
        </w:rPr>
        <w:t>13.8.2.2</w:t>
      </w:r>
      <w:r>
        <w:rPr>
          <w:rFonts w:ascii="Times New Roman" w:hAnsi="Times New Roman" w:eastAsia="Times New Roman" w:cs="Times New Roman"/>
          <w:spacing w:val="-6"/>
          <w:sz w:val="22"/>
          <w:szCs w:val="22"/>
          <w:highlight w:val="none"/>
        </w:rPr>
        <w:fldChar w:fldCharType="end"/>
      </w:r>
      <w:r>
        <w:rPr>
          <w:rFonts w:ascii="Times New Roman" w:hAnsi="Times New Roman" w:eastAsia="Times New Roman" w:cs="Times New Roman"/>
          <w:spacing w:val="-6"/>
          <w:sz w:val="22"/>
          <w:szCs w:val="22"/>
          <w:highlight w:val="none"/>
        </w:rPr>
        <w:t xml:space="preserve">    </w:t>
      </w:r>
      <w:r>
        <w:rPr>
          <w:rFonts w:ascii="宋体" w:hAnsi="宋体" w:eastAsia="宋体" w:cs="宋体"/>
          <w:spacing w:val="-6"/>
          <w:sz w:val="22"/>
          <w:szCs w:val="22"/>
          <w:highlight w:val="none"/>
        </w:rPr>
        <w:t>未列入《价格指数权重</w:t>
      </w:r>
      <w:r>
        <w:rPr>
          <w:rFonts w:ascii="宋体" w:hAnsi="宋体" w:eastAsia="宋体" w:cs="宋体"/>
          <w:spacing w:val="-7"/>
          <w:sz w:val="22"/>
          <w:szCs w:val="22"/>
          <w:highlight w:val="none"/>
        </w:rPr>
        <w:t>表》的费用不因市场变化而调整。</w:t>
      </w:r>
    </w:p>
    <w:p w14:paraId="26C21C6D">
      <w:pPr>
        <w:pStyle w:val="2"/>
        <w:spacing w:line="252" w:lineRule="auto"/>
        <w:rPr>
          <w:highlight w:val="none"/>
        </w:rPr>
      </w:pPr>
    </w:p>
    <w:p w14:paraId="6D456E40">
      <w:pPr>
        <w:spacing w:before="66" w:line="218" w:lineRule="auto"/>
        <w:ind w:left="413"/>
        <w:rPr>
          <w:rFonts w:ascii="宋体" w:hAnsi="宋体" w:eastAsia="宋体" w:cs="宋体"/>
          <w:sz w:val="20"/>
          <w:szCs w:val="20"/>
          <w:highlight w:val="none"/>
        </w:rPr>
      </w:pPr>
      <w:r>
        <w:rPr>
          <w:rFonts w:ascii="Times New Roman" w:hAnsi="Times New Roman" w:eastAsia="Times New Roman" w:cs="Times New Roman"/>
          <w:spacing w:val="8"/>
          <w:sz w:val="20"/>
          <w:szCs w:val="20"/>
          <w:highlight w:val="none"/>
        </w:rPr>
        <w:t xml:space="preserve">13.8.3    </w:t>
      </w:r>
      <w:r>
        <w:rPr>
          <w:rFonts w:ascii="宋体" w:hAnsi="宋体" w:eastAsia="宋体" w:cs="宋体"/>
          <w:spacing w:val="8"/>
          <w:sz w:val="20"/>
          <w:szCs w:val="20"/>
          <w:highlight w:val="none"/>
        </w:rPr>
        <w:t>双方约定采用其他方式调整合同价款的，以专用合同条件约定为准。</w:t>
      </w:r>
    </w:p>
    <w:p w14:paraId="4F8D00C7">
      <w:pPr>
        <w:pStyle w:val="2"/>
        <w:spacing w:line="403" w:lineRule="auto"/>
        <w:rPr>
          <w:highlight w:val="none"/>
        </w:rPr>
      </w:pPr>
    </w:p>
    <w:p w14:paraId="5A8EF299">
      <w:pPr>
        <w:spacing w:before="92" w:line="222" w:lineRule="auto"/>
        <w:ind w:left="3"/>
        <w:outlineLvl w:val="1"/>
        <w:rPr>
          <w:rFonts w:ascii="黑体" w:hAnsi="黑体" w:eastAsia="黑体" w:cs="黑体"/>
          <w:sz w:val="28"/>
          <w:szCs w:val="28"/>
          <w:highlight w:val="none"/>
        </w:rPr>
      </w:pPr>
      <w:bookmarkStart w:id="97" w:name="bookmark60"/>
      <w:bookmarkEnd w:id="97"/>
      <w:r>
        <w:rPr>
          <w:rFonts w:ascii="黑体" w:hAnsi="黑体" w:eastAsia="黑体" w:cs="黑体"/>
          <w:spacing w:val="28"/>
          <w:sz w:val="28"/>
          <w:szCs w:val="28"/>
          <w:highlight w:val="none"/>
        </w:rPr>
        <w:t>第14条合同价格与支付</w:t>
      </w:r>
    </w:p>
    <w:p w14:paraId="281A7D46">
      <w:pPr>
        <w:pStyle w:val="2"/>
        <w:spacing w:line="386" w:lineRule="auto"/>
        <w:rPr>
          <w:highlight w:val="none"/>
        </w:rPr>
      </w:pPr>
    </w:p>
    <w:p w14:paraId="4A1EC340">
      <w:pPr>
        <w:pStyle w:val="2"/>
        <w:spacing w:before="62" w:line="222" w:lineRule="auto"/>
        <w:ind w:left="3"/>
        <w:rPr>
          <w:rFonts w:ascii="黑体" w:hAnsi="黑体" w:eastAsia="黑体" w:cs="黑体"/>
          <w:sz w:val="19"/>
          <w:szCs w:val="19"/>
          <w:highlight w:val="none"/>
        </w:rPr>
      </w:pPr>
      <w:r>
        <w:rPr>
          <w:spacing w:val="9"/>
          <w:sz w:val="19"/>
          <w:szCs w:val="19"/>
          <w:highlight w:val="none"/>
        </w:rPr>
        <w:t>14.1</w:t>
      </w:r>
      <w:r>
        <w:rPr>
          <w:spacing w:val="2"/>
          <w:sz w:val="19"/>
          <w:szCs w:val="19"/>
          <w:highlight w:val="none"/>
        </w:rPr>
        <w:t xml:space="preserve">   </w:t>
      </w:r>
      <w:r>
        <w:rPr>
          <w:rFonts w:ascii="黑体" w:hAnsi="黑体" w:eastAsia="黑体" w:cs="黑体"/>
          <w:spacing w:val="9"/>
          <w:sz w:val="19"/>
          <w:szCs w:val="19"/>
          <w:highlight w:val="none"/>
        </w:rPr>
        <w:t>合同价格形式</w:t>
      </w:r>
    </w:p>
    <w:p w14:paraId="6BB238CA">
      <w:pPr>
        <w:spacing w:before="90" w:line="297" w:lineRule="auto"/>
        <w:ind w:left="3" w:right="32" w:firstLine="41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 xml:space="preserve">14.1.1    </w:t>
      </w:r>
      <w:r>
        <w:rPr>
          <w:rFonts w:ascii="宋体" w:hAnsi="宋体" w:eastAsia="宋体" w:cs="宋体"/>
          <w:spacing w:val="3"/>
          <w:sz w:val="21"/>
          <w:szCs w:val="21"/>
          <w:highlight w:val="none"/>
        </w:rPr>
        <w:t>除专用合同条件中另有约定外，本合同为总价合同，除根据第13条[变更与调</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整],以及合同中其它相关增减金额的约定进行调整外，合同价格不做调整。</w:t>
      </w:r>
    </w:p>
    <w:p w14:paraId="130A5657">
      <w:pPr>
        <w:spacing w:before="288" w:line="219" w:lineRule="auto"/>
        <w:ind w:left="413"/>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14.1.2   </w:t>
      </w:r>
      <w:r>
        <w:rPr>
          <w:rFonts w:ascii="宋体" w:hAnsi="宋体" w:eastAsia="宋体" w:cs="宋体"/>
          <w:spacing w:val="-7"/>
          <w:sz w:val="22"/>
          <w:szCs w:val="22"/>
          <w:highlight w:val="none"/>
        </w:rPr>
        <w:t>除专用合同条件另有约定外：</w:t>
      </w:r>
    </w:p>
    <w:p w14:paraId="0FBABB74">
      <w:pPr>
        <w:pStyle w:val="2"/>
        <w:spacing w:line="362" w:lineRule="auto"/>
        <w:rPr>
          <w:highlight w:val="none"/>
        </w:rPr>
      </w:pPr>
    </w:p>
    <w:p w14:paraId="18D1A7B3">
      <w:pPr>
        <w:spacing w:before="72" w:line="310" w:lineRule="auto"/>
        <w:ind w:left="3" w:right="52" w:firstLine="510"/>
        <w:rPr>
          <w:rFonts w:ascii="宋体" w:hAnsi="宋体" w:eastAsia="宋体" w:cs="宋体"/>
          <w:sz w:val="22"/>
          <w:szCs w:val="22"/>
          <w:highlight w:val="none"/>
        </w:rPr>
      </w:pPr>
      <w:r>
        <w:rPr>
          <w:rFonts w:ascii="宋体" w:hAnsi="宋体" w:eastAsia="宋体" w:cs="宋体"/>
          <w:spacing w:val="-6"/>
          <w:sz w:val="22"/>
          <w:szCs w:val="22"/>
          <w:highlight w:val="none"/>
        </w:rPr>
        <w:t>(1)工程款的支付应以合同协议书约定的签约合</w:t>
      </w:r>
      <w:r>
        <w:rPr>
          <w:rFonts w:ascii="宋体" w:hAnsi="宋体" w:eastAsia="宋体" w:cs="宋体"/>
          <w:spacing w:val="-7"/>
          <w:sz w:val="22"/>
          <w:szCs w:val="22"/>
          <w:highlight w:val="none"/>
        </w:rPr>
        <w:t>同价格为基础，按照合同约定进行调</w:t>
      </w:r>
      <w:r>
        <w:rPr>
          <w:rFonts w:ascii="宋体" w:hAnsi="宋体" w:eastAsia="宋体" w:cs="宋体"/>
          <w:sz w:val="22"/>
          <w:szCs w:val="22"/>
          <w:highlight w:val="none"/>
        </w:rPr>
        <w:t xml:space="preserve"> </w:t>
      </w:r>
      <w:r>
        <w:rPr>
          <w:rFonts w:ascii="宋体" w:hAnsi="宋体" w:eastAsia="宋体" w:cs="宋体"/>
          <w:spacing w:val="-16"/>
          <w:sz w:val="22"/>
          <w:szCs w:val="22"/>
          <w:highlight w:val="none"/>
        </w:rPr>
        <w:t>整；</w:t>
      </w:r>
    </w:p>
    <w:p w14:paraId="6B2A5885">
      <w:pPr>
        <w:spacing w:before="213" w:line="328" w:lineRule="auto"/>
        <w:ind w:left="3" w:right="42" w:firstLine="510"/>
        <w:rPr>
          <w:rFonts w:ascii="宋体" w:hAnsi="宋体" w:eastAsia="宋体" w:cs="宋体"/>
          <w:sz w:val="21"/>
          <w:szCs w:val="21"/>
          <w:highlight w:val="none"/>
        </w:rPr>
      </w:pPr>
      <w:r>
        <w:rPr>
          <w:rFonts w:ascii="宋体" w:hAnsi="宋体" w:eastAsia="宋体" w:cs="宋体"/>
          <w:spacing w:val="6"/>
          <w:sz w:val="21"/>
          <w:szCs w:val="21"/>
          <w:highlight w:val="none"/>
        </w:rPr>
        <w:t>(2)承包人应支付根据法律规定或合同约定应由其支付的各项税费，除第13.</w:t>
      </w:r>
      <w:r>
        <w:rPr>
          <w:rFonts w:ascii="宋体" w:hAnsi="宋体" w:eastAsia="宋体" w:cs="宋体"/>
          <w:spacing w:val="5"/>
          <w:sz w:val="21"/>
          <w:szCs w:val="21"/>
          <w:highlight w:val="none"/>
        </w:rPr>
        <w:t>7款[法</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律变化引起的调整]约定外，合同价格不应因任何这些税费进行调整；</w:t>
      </w:r>
    </w:p>
    <w:p w14:paraId="1518979A">
      <w:pPr>
        <w:spacing w:before="222" w:line="355" w:lineRule="auto"/>
        <w:ind w:left="3" w:right="38" w:firstLine="510"/>
        <w:rPr>
          <w:rFonts w:ascii="宋体" w:hAnsi="宋体" w:eastAsia="宋体" w:cs="宋体"/>
          <w:sz w:val="21"/>
          <w:szCs w:val="21"/>
          <w:highlight w:val="none"/>
        </w:rPr>
      </w:pPr>
      <w:r>
        <w:rPr>
          <w:rFonts w:ascii="宋体" w:hAnsi="宋体" w:eastAsia="宋体" w:cs="宋体"/>
          <w:spacing w:val="4"/>
          <w:sz w:val="21"/>
          <w:szCs w:val="21"/>
          <w:highlight w:val="none"/>
        </w:rPr>
        <w:t>(3)价格清单列出的任何数量仅为估算的工作</w:t>
      </w:r>
      <w:r>
        <w:rPr>
          <w:rFonts w:ascii="宋体" w:hAnsi="宋体" w:eastAsia="宋体" w:cs="宋体"/>
          <w:spacing w:val="3"/>
          <w:sz w:val="21"/>
          <w:szCs w:val="21"/>
          <w:highlight w:val="none"/>
        </w:rPr>
        <w:t>量，不得将其视为要求承包人实施的工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程的实际或准确的工作量。在价格清单中列出的任何工作量和价格数</w:t>
      </w:r>
      <w:r>
        <w:rPr>
          <w:rFonts w:ascii="宋体" w:hAnsi="宋体" w:eastAsia="宋体" w:cs="宋体"/>
          <w:spacing w:val="-3"/>
          <w:sz w:val="21"/>
          <w:szCs w:val="21"/>
          <w:highlight w:val="none"/>
        </w:rPr>
        <w:t>据应仅限用于变更和支</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付的参考资料，而不能用于其他目的。</w:t>
      </w:r>
    </w:p>
    <w:p w14:paraId="6CAD9845">
      <w:pPr>
        <w:spacing w:line="355" w:lineRule="auto"/>
        <w:rPr>
          <w:rFonts w:ascii="宋体" w:hAnsi="宋体" w:eastAsia="宋体" w:cs="宋体"/>
          <w:sz w:val="21"/>
          <w:szCs w:val="21"/>
          <w:highlight w:val="none"/>
        </w:rPr>
        <w:sectPr>
          <w:footerReference r:id="rId127" w:type="default"/>
          <w:pgSz w:w="11910" w:h="16840"/>
          <w:pgMar w:top="400" w:right="1769" w:bottom="1169" w:left="1786" w:header="0" w:footer="1028" w:gutter="0"/>
          <w:cols w:space="720" w:num="1"/>
        </w:sectPr>
      </w:pPr>
    </w:p>
    <w:p w14:paraId="5EDCAD8E">
      <w:pPr>
        <w:pStyle w:val="2"/>
        <w:spacing w:line="243" w:lineRule="auto"/>
        <w:rPr>
          <w:highlight w:val="none"/>
        </w:rPr>
      </w:pPr>
    </w:p>
    <w:p w14:paraId="3FF7BB91">
      <w:pPr>
        <w:pStyle w:val="2"/>
        <w:spacing w:line="243" w:lineRule="auto"/>
        <w:rPr>
          <w:highlight w:val="none"/>
        </w:rPr>
      </w:pPr>
    </w:p>
    <w:p w14:paraId="2024CE20">
      <w:pPr>
        <w:pStyle w:val="2"/>
        <w:spacing w:line="243" w:lineRule="auto"/>
        <w:rPr>
          <w:highlight w:val="none"/>
        </w:rPr>
      </w:pPr>
    </w:p>
    <w:p w14:paraId="680969B4">
      <w:pPr>
        <w:pStyle w:val="2"/>
        <w:spacing w:line="244" w:lineRule="auto"/>
        <w:rPr>
          <w:highlight w:val="none"/>
        </w:rPr>
      </w:pPr>
    </w:p>
    <w:p w14:paraId="72369BEC">
      <w:pPr>
        <w:spacing w:before="69" w:line="343" w:lineRule="auto"/>
        <w:ind w:right="100" w:firstLine="420"/>
        <w:rPr>
          <w:rFonts w:ascii="宋体" w:hAnsi="宋体" w:eastAsia="宋体" w:cs="宋体"/>
          <w:sz w:val="21"/>
          <w:szCs w:val="21"/>
          <w:highlight w:val="none"/>
        </w:rPr>
      </w:pPr>
      <w:bookmarkStart w:id="98" w:name="bookmark227"/>
      <w:bookmarkEnd w:id="98"/>
      <w:r>
        <w:rPr>
          <w:rFonts w:ascii="宋体" w:hAnsi="宋体" w:eastAsia="宋体" w:cs="宋体"/>
          <w:spacing w:val="3"/>
          <w:sz w:val="21"/>
          <w:szCs w:val="21"/>
          <w:highlight w:val="none"/>
        </w:rPr>
        <w:t>14.1.3合同约定工程的某部分按照实际完成的工程量进行支付的，应按照专用合</w:t>
      </w:r>
      <w:r>
        <w:rPr>
          <w:rFonts w:ascii="宋体" w:hAnsi="宋体" w:eastAsia="宋体" w:cs="宋体"/>
          <w:spacing w:val="2"/>
          <w:sz w:val="21"/>
          <w:szCs w:val="21"/>
          <w:highlight w:val="none"/>
        </w:rPr>
        <w:t>同条</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件的约定进行计量和估价，并据此调整合同价格。</w:t>
      </w:r>
    </w:p>
    <w:p w14:paraId="3B2C1A5C">
      <w:pPr>
        <w:pStyle w:val="2"/>
        <w:spacing w:line="254" w:lineRule="auto"/>
        <w:rPr>
          <w:highlight w:val="none"/>
        </w:rPr>
      </w:pPr>
    </w:p>
    <w:p w14:paraId="6EACFA0B">
      <w:pPr>
        <w:spacing w:before="62" w:line="222" w:lineRule="auto"/>
        <w:rPr>
          <w:rFonts w:ascii="黑体" w:hAnsi="黑体" w:eastAsia="黑体" w:cs="黑体"/>
          <w:sz w:val="19"/>
          <w:szCs w:val="19"/>
          <w:highlight w:val="none"/>
        </w:rPr>
      </w:pPr>
      <w:r>
        <w:rPr>
          <w:rFonts w:ascii="黑体" w:hAnsi="黑体" w:eastAsia="黑体" w:cs="黑体"/>
          <w:spacing w:val="14"/>
          <w:sz w:val="19"/>
          <w:szCs w:val="19"/>
          <w:highlight w:val="none"/>
        </w:rPr>
        <w:t>14</w:t>
      </w:r>
      <w:r>
        <w:rPr>
          <w:rFonts w:ascii="黑体" w:hAnsi="黑体" w:eastAsia="黑体" w:cs="黑体"/>
          <w:spacing w:val="-40"/>
          <w:sz w:val="19"/>
          <w:szCs w:val="19"/>
          <w:highlight w:val="none"/>
        </w:rPr>
        <w:t xml:space="preserve"> </w:t>
      </w:r>
      <w:r>
        <w:rPr>
          <w:rFonts w:ascii="黑体" w:hAnsi="黑体" w:eastAsia="黑体" w:cs="黑体"/>
          <w:spacing w:val="14"/>
          <w:sz w:val="19"/>
          <w:szCs w:val="19"/>
          <w:highlight w:val="none"/>
        </w:rPr>
        <w:t>.</w:t>
      </w:r>
      <w:r>
        <w:rPr>
          <w:rFonts w:ascii="黑体" w:hAnsi="黑体" w:eastAsia="黑体" w:cs="黑体"/>
          <w:spacing w:val="-54"/>
          <w:sz w:val="19"/>
          <w:szCs w:val="19"/>
          <w:highlight w:val="none"/>
        </w:rPr>
        <w:t xml:space="preserve"> </w:t>
      </w:r>
      <w:r>
        <w:rPr>
          <w:rFonts w:ascii="黑体" w:hAnsi="黑体" w:eastAsia="黑体" w:cs="黑体"/>
          <w:spacing w:val="14"/>
          <w:sz w:val="19"/>
          <w:szCs w:val="19"/>
          <w:highlight w:val="none"/>
        </w:rPr>
        <w:t>2预付款</w:t>
      </w:r>
    </w:p>
    <w:p w14:paraId="5BC852A0">
      <w:pPr>
        <w:spacing w:before="123" w:line="219" w:lineRule="auto"/>
        <w:ind w:left="420"/>
        <w:rPr>
          <w:rFonts w:ascii="宋体" w:hAnsi="宋体" w:eastAsia="宋体" w:cs="宋体"/>
          <w:sz w:val="20"/>
          <w:szCs w:val="20"/>
          <w:highlight w:val="none"/>
        </w:rPr>
      </w:pPr>
      <w:r>
        <w:rPr>
          <w:rFonts w:ascii="宋体" w:hAnsi="宋体" w:eastAsia="宋体" w:cs="宋体"/>
          <w:spacing w:val="15"/>
          <w:sz w:val="20"/>
          <w:szCs w:val="20"/>
          <w:highlight w:val="none"/>
        </w:rPr>
        <w:t>14.2.1预付款支付</w:t>
      </w:r>
    </w:p>
    <w:p w14:paraId="4AF9113D">
      <w:pPr>
        <w:pStyle w:val="2"/>
        <w:spacing w:line="372" w:lineRule="auto"/>
        <w:rPr>
          <w:highlight w:val="none"/>
        </w:rPr>
      </w:pPr>
    </w:p>
    <w:p w14:paraId="73BD605B">
      <w:pPr>
        <w:spacing w:before="68" w:line="419" w:lineRule="auto"/>
        <w:ind w:right="80" w:firstLine="420"/>
        <w:jc w:val="both"/>
        <w:rPr>
          <w:rFonts w:ascii="宋体" w:hAnsi="宋体" w:eastAsia="宋体" w:cs="宋体"/>
          <w:sz w:val="21"/>
          <w:szCs w:val="21"/>
          <w:highlight w:val="none"/>
        </w:rPr>
      </w:pPr>
      <w:r>
        <w:rPr>
          <w:rFonts w:ascii="宋体" w:hAnsi="宋体" w:eastAsia="宋体" w:cs="宋体"/>
          <w:spacing w:val="-3"/>
          <w:sz w:val="21"/>
          <w:szCs w:val="21"/>
          <w:highlight w:val="none"/>
        </w:rPr>
        <w:t>预付款的额度和支付按照专用合同条件约定执行。预付款应当专用于承包人为合同工程</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的设计和工程实施购置材料、工程设备、施工设备、修建临时设施以及组织施工队伍进场等</w:t>
      </w:r>
      <w:r>
        <w:rPr>
          <w:rFonts w:ascii="宋体" w:hAnsi="宋体" w:eastAsia="宋体" w:cs="宋体"/>
          <w:spacing w:val="8"/>
          <w:sz w:val="21"/>
          <w:szCs w:val="21"/>
          <w:highlight w:val="none"/>
        </w:rPr>
        <w:t xml:space="preserve"> </w:t>
      </w:r>
      <w:r>
        <w:rPr>
          <w:rFonts w:ascii="宋体" w:hAnsi="宋体" w:eastAsia="宋体" w:cs="宋体"/>
          <w:spacing w:val="-7"/>
          <w:sz w:val="21"/>
          <w:szCs w:val="21"/>
          <w:highlight w:val="none"/>
        </w:rPr>
        <w:t>合同工作。</w:t>
      </w:r>
    </w:p>
    <w:p w14:paraId="6A883F15">
      <w:pPr>
        <w:spacing w:line="402" w:lineRule="auto"/>
        <w:ind w:right="20" w:firstLine="420"/>
        <w:rPr>
          <w:rFonts w:ascii="宋体" w:hAnsi="宋体" w:eastAsia="宋体" w:cs="宋体"/>
          <w:sz w:val="22"/>
          <w:szCs w:val="22"/>
          <w:highlight w:val="none"/>
        </w:rPr>
      </w:pPr>
      <w:r>
        <w:rPr>
          <w:rFonts w:ascii="宋体" w:hAnsi="宋体" w:eastAsia="宋体" w:cs="宋体"/>
          <w:spacing w:val="-16"/>
          <w:sz w:val="22"/>
          <w:szCs w:val="22"/>
          <w:highlight w:val="none"/>
        </w:rPr>
        <w:t>除专用合同条件另有约定外，预付款在进度付款中同比例扣回。在颁发工程接收证书前，</w:t>
      </w:r>
      <w:r>
        <w:rPr>
          <w:rFonts w:ascii="宋体" w:hAnsi="宋体" w:eastAsia="宋体" w:cs="宋体"/>
          <w:spacing w:val="12"/>
          <w:sz w:val="22"/>
          <w:szCs w:val="22"/>
          <w:highlight w:val="none"/>
        </w:rPr>
        <w:t xml:space="preserve"> </w:t>
      </w:r>
      <w:r>
        <w:rPr>
          <w:rFonts w:ascii="宋体" w:hAnsi="宋体" w:eastAsia="宋体" w:cs="宋体"/>
          <w:spacing w:val="-11"/>
          <w:sz w:val="22"/>
          <w:szCs w:val="22"/>
          <w:highlight w:val="none"/>
        </w:rPr>
        <w:t>提前解除合同的，尚未扣完的预付款应与合同价款一并结算。</w:t>
      </w:r>
    </w:p>
    <w:p w14:paraId="3EA0A863">
      <w:pPr>
        <w:spacing w:before="1" w:line="387" w:lineRule="auto"/>
        <w:ind w:right="73"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发包人逾期支付预付款超过7天的，承包人有权向发包人发出要求预付的催</w:t>
      </w:r>
      <w:r>
        <w:rPr>
          <w:rFonts w:ascii="宋体" w:hAnsi="宋体" w:eastAsia="宋体" w:cs="宋体"/>
          <w:sz w:val="21"/>
          <w:szCs w:val="21"/>
          <w:highlight w:val="none"/>
        </w:rPr>
        <w:t xml:space="preserve">告通知，发 </w:t>
      </w:r>
      <w:r>
        <w:rPr>
          <w:rFonts w:ascii="宋体" w:hAnsi="宋体" w:eastAsia="宋体" w:cs="宋体"/>
          <w:spacing w:val="3"/>
          <w:sz w:val="21"/>
          <w:szCs w:val="21"/>
          <w:highlight w:val="none"/>
        </w:rPr>
        <w:t>包人收到通知后7天内仍未支付的，承包人有权暂停施工，并按第15.1.1项[发包人违约的</w:t>
      </w:r>
      <w:r>
        <w:rPr>
          <w:rFonts w:ascii="宋体" w:hAnsi="宋体" w:eastAsia="宋体" w:cs="宋体"/>
          <w:spacing w:val="16"/>
          <w:sz w:val="21"/>
          <w:szCs w:val="21"/>
          <w:highlight w:val="none"/>
        </w:rPr>
        <w:t xml:space="preserve"> </w:t>
      </w:r>
      <w:r>
        <w:rPr>
          <w:rFonts w:ascii="宋体" w:hAnsi="宋体" w:eastAsia="宋体" w:cs="宋体"/>
          <w:spacing w:val="-6"/>
          <w:sz w:val="21"/>
          <w:szCs w:val="21"/>
          <w:highlight w:val="none"/>
        </w:rPr>
        <w:t>情形]执行。</w:t>
      </w:r>
    </w:p>
    <w:p w14:paraId="47BC3E26">
      <w:pPr>
        <w:spacing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14.2.2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7"/>
          <w:sz w:val="22"/>
          <w:szCs w:val="22"/>
          <w:highlight w:val="none"/>
        </w:rPr>
        <w:t>预付款担保</w:t>
      </w:r>
    </w:p>
    <w:p w14:paraId="0E39F9E5">
      <w:pPr>
        <w:pStyle w:val="2"/>
        <w:spacing w:line="378" w:lineRule="auto"/>
        <w:rPr>
          <w:highlight w:val="none"/>
        </w:rPr>
      </w:pPr>
    </w:p>
    <w:p w14:paraId="7162652A">
      <w:pPr>
        <w:spacing w:before="69" w:line="413" w:lineRule="auto"/>
        <w:ind w:right="80"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发包人指示承包人提供预付款担保的，承包人应在发包人支付预付款7天前</w:t>
      </w:r>
      <w:r>
        <w:rPr>
          <w:rFonts w:ascii="宋体" w:hAnsi="宋体" w:eastAsia="宋体" w:cs="宋体"/>
          <w:sz w:val="21"/>
          <w:szCs w:val="21"/>
          <w:highlight w:val="none"/>
        </w:rPr>
        <w:t xml:space="preserve">提供预付款 </w:t>
      </w:r>
      <w:r>
        <w:rPr>
          <w:rFonts w:ascii="宋体" w:hAnsi="宋体" w:eastAsia="宋体" w:cs="宋体"/>
          <w:spacing w:val="-2"/>
          <w:sz w:val="21"/>
          <w:szCs w:val="21"/>
          <w:highlight w:val="none"/>
        </w:rPr>
        <w:t>担保，专用合同条件另有约定除外。预付款担保可采用银行保函、担</w:t>
      </w:r>
      <w:r>
        <w:rPr>
          <w:rFonts w:ascii="宋体" w:hAnsi="宋体" w:eastAsia="宋体" w:cs="宋体"/>
          <w:spacing w:val="-3"/>
          <w:sz w:val="21"/>
          <w:szCs w:val="21"/>
          <w:highlight w:val="none"/>
        </w:rPr>
        <w:t>保公司担保等形式，具</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体由合同当事人在专用合同条件中约定。在预付款完全扣回之前，承包人应保证预付款担保</w:t>
      </w:r>
      <w:r>
        <w:rPr>
          <w:rFonts w:ascii="宋体" w:hAnsi="宋体" w:eastAsia="宋体" w:cs="宋体"/>
          <w:spacing w:val="6"/>
          <w:sz w:val="21"/>
          <w:szCs w:val="21"/>
          <w:highlight w:val="none"/>
        </w:rPr>
        <w:t xml:space="preserve"> </w:t>
      </w:r>
      <w:r>
        <w:rPr>
          <w:rFonts w:ascii="宋体" w:hAnsi="宋体" w:eastAsia="宋体" w:cs="宋体"/>
          <w:spacing w:val="-7"/>
          <w:sz w:val="21"/>
          <w:szCs w:val="21"/>
          <w:highlight w:val="none"/>
        </w:rPr>
        <w:t>持续有效。</w:t>
      </w:r>
    </w:p>
    <w:p w14:paraId="3B4C62C3">
      <w:pPr>
        <w:spacing w:before="1" w:line="413" w:lineRule="auto"/>
        <w:ind w:right="80" w:firstLine="420"/>
        <w:rPr>
          <w:rFonts w:ascii="宋体" w:hAnsi="宋体" w:eastAsia="宋体" w:cs="宋体"/>
          <w:sz w:val="22"/>
          <w:szCs w:val="22"/>
          <w:highlight w:val="none"/>
        </w:rPr>
      </w:pPr>
      <w:r>
        <w:rPr>
          <w:rFonts w:ascii="宋体" w:hAnsi="宋体" w:eastAsia="宋体" w:cs="宋体"/>
          <w:spacing w:val="-12"/>
          <w:sz w:val="22"/>
          <w:szCs w:val="22"/>
          <w:highlight w:val="none"/>
        </w:rPr>
        <w:t>发包人在工程款中逐期扣回预付款后，预付款担保额度应相应减少，但剩余的预付款担</w:t>
      </w:r>
      <w:r>
        <w:rPr>
          <w:rFonts w:ascii="宋体" w:hAnsi="宋体" w:eastAsia="宋体" w:cs="宋体"/>
          <w:spacing w:val="4"/>
          <w:sz w:val="22"/>
          <w:szCs w:val="22"/>
          <w:highlight w:val="none"/>
        </w:rPr>
        <w:t xml:space="preserve"> </w:t>
      </w:r>
      <w:r>
        <w:rPr>
          <w:rFonts w:ascii="宋体" w:hAnsi="宋体" w:eastAsia="宋体" w:cs="宋体"/>
          <w:spacing w:val="-10"/>
          <w:sz w:val="22"/>
          <w:szCs w:val="22"/>
          <w:highlight w:val="none"/>
        </w:rPr>
        <w:t>保金额不得低于未被扣回的预付款金额。</w:t>
      </w:r>
    </w:p>
    <w:p w14:paraId="5984D986">
      <w:pPr>
        <w:pStyle w:val="2"/>
        <w:spacing w:before="139" w:line="259" w:lineRule="exact"/>
        <w:rPr>
          <w:rFonts w:ascii="黑体" w:hAnsi="黑体" w:eastAsia="黑体" w:cs="黑体"/>
          <w:sz w:val="19"/>
          <w:szCs w:val="19"/>
          <w:highlight w:val="none"/>
        </w:rPr>
      </w:pPr>
      <w:r>
        <w:rPr>
          <w:spacing w:val="9"/>
          <w:position w:val="1"/>
          <w:sz w:val="19"/>
          <w:szCs w:val="19"/>
          <w:highlight w:val="none"/>
        </w:rPr>
        <w:t>14.3</w:t>
      </w:r>
      <w:r>
        <w:rPr>
          <w:spacing w:val="1"/>
          <w:position w:val="1"/>
          <w:sz w:val="19"/>
          <w:szCs w:val="19"/>
          <w:highlight w:val="none"/>
        </w:rPr>
        <w:t xml:space="preserve">   </w:t>
      </w:r>
      <w:r>
        <w:rPr>
          <w:rFonts w:ascii="黑体" w:hAnsi="黑体" w:eastAsia="黑体" w:cs="黑体"/>
          <w:spacing w:val="9"/>
          <w:position w:val="1"/>
          <w:sz w:val="19"/>
          <w:szCs w:val="19"/>
          <w:highlight w:val="none"/>
        </w:rPr>
        <w:t>工程进度款</w:t>
      </w:r>
    </w:p>
    <w:p w14:paraId="35797041">
      <w:pPr>
        <w:spacing w:before="127" w:line="219" w:lineRule="auto"/>
        <w:ind w:left="420"/>
        <w:rPr>
          <w:rFonts w:ascii="宋体" w:hAnsi="宋体" w:eastAsia="宋体" w:cs="宋体"/>
          <w:sz w:val="20"/>
          <w:szCs w:val="20"/>
          <w:highlight w:val="none"/>
        </w:rPr>
      </w:pPr>
      <w:r>
        <w:rPr>
          <w:rFonts w:ascii="Times New Roman" w:hAnsi="Times New Roman" w:eastAsia="Times New Roman" w:cs="Times New Roman"/>
          <w:spacing w:val="4"/>
          <w:sz w:val="20"/>
          <w:szCs w:val="20"/>
          <w:highlight w:val="none"/>
        </w:rPr>
        <w:t>14.3.1</w:t>
      </w:r>
      <w:r>
        <w:rPr>
          <w:rFonts w:ascii="Times New Roman" w:hAnsi="Times New Roman" w:eastAsia="Times New Roman" w:cs="Times New Roman"/>
          <w:sz w:val="20"/>
          <w:szCs w:val="20"/>
          <w:highlight w:val="none"/>
        </w:rPr>
        <w:t xml:space="preserve">     </w:t>
      </w:r>
      <w:r>
        <w:rPr>
          <w:rFonts w:ascii="宋体" w:hAnsi="宋体" w:eastAsia="宋体" w:cs="宋体"/>
          <w:spacing w:val="4"/>
          <w:sz w:val="20"/>
          <w:szCs w:val="20"/>
          <w:highlight w:val="none"/>
        </w:rPr>
        <w:t>工程进度付款申请</w:t>
      </w:r>
    </w:p>
    <w:p w14:paraId="616718FB">
      <w:pPr>
        <w:pStyle w:val="2"/>
        <w:spacing w:line="385" w:lineRule="auto"/>
        <w:rPr>
          <w:highlight w:val="none"/>
        </w:rPr>
      </w:pPr>
    </w:p>
    <w:p w14:paraId="442880C5">
      <w:pPr>
        <w:spacing w:before="65" w:line="219" w:lineRule="auto"/>
        <w:ind w:left="520"/>
        <w:rPr>
          <w:rFonts w:ascii="宋体" w:hAnsi="宋体" w:eastAsia="宋体" w:cs="宋体"/>
          <w:sz w:val="20"/>
          <w:szCs w:val="20"/>
          <w:highlight w:val="none"/>
        </w:rPr>
      </w:pPr>
      <w:r>
        <w:rPr>
          <w:rFonts w:ascii="宋体" w:hAnsi="宋体" w:eastAsia="宋体" w:cs="宋体"/>
          <w:spacing w:val="18"/>
          <w:sz w:val="20"/>
          <w:szCs w:val="20"/>
          <w:highlight w:val="none"/>
        </w:rPr>
        <w:t>(1)人工费的申请</w:t>
      </w:r>
    </w:p>
    <w:p w14:paraId="31C34BAE">
      <w:pPr>
        <w:spacing w:before="234" w:line="414" w:lineRule="auto"/>
        <w:ind w:right="4" w:firstLine="420"/>
        <w:rPr>
          <w:rFonts w:ascii="宋体" w:hAnsi="宋体" w:eastAsia="宋体" w:cs="宋体"/>
          <w:sz w:val="21"/>
          <w:szCs w:val="21"/>
          <w:highlight w:val="none"/>
        </w:rPr>
      </w:pPr>
      <w:r>
        <w:rPr>
          <w:rFonts w:ascii="宋体" w:hAnsi="宋体" w:eastAsia="宋体" w:cs="宋体"/>
          <w:spacing w:val="1"/>
          <w:sz w:val="21"/>
          <w:szCs w:val="21"/>
          <w:highlight w:val="none"/>
        </w:rPr>
        <w:t>人工费应按月支付，工程师应在收到承包人人工费付款申请单以及相关资料后7</w:t>
      </w:r>
      <w:r>
        <w:rPr>
          <w:rFonts w:ascii="宋体" w:hAnsi="宋体" w:eastAsia="宋体" w:cs="宋体"/>
          <w:sz w:val="21"/>
          <w:szCs w:val="21"/>
          <w:highlight w:val="none"/>
        </w:rPr>
        <w:t xml:space="preserve">天内完 </w:t>
      </w:r>
      <w:r>
        <w:rPr>
          <w:rFonts w:ascii="宋体" w:hAnsi="宋体" w:eastAsia="宋体" w:cs="宋体"/>
          <w:spacing w:val="3"/>
          <w:sz w:val="21"/>
          <w:szCs w:val="21"/>
          <w:highlight w:val="none"/>
        </w:rPr>
        <w:t>成审查并报送发包人，发包人应在收到后7天内完成审批并向承包</w:t>
      </w:r>
      <w:r>
        <w:rPr>
          <w:rFonts w:ascii="宋体" w:hAnsi="宋体" w:eastAsia="宋体" w:cs="宋体"/>
          <w:spacing w:val="2"/>
          <w:sz w:val="21"/>
          <w:szCs w:val="21"/>
          <w:highlight w:val="none"/>
        </w:rPr>
        <w:t>人签发人工费支付证书，</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发包人应在人工费支付证书签发后7天内完成支付。已支付的人工费部分，发包人</w:t>
      </w:r>
      <w:r>
        <w:rPr>
          <w:rFonts w:ascii="宋体" w:hAnsi="宋体" w:eastAsia="宋体" w:cs="宋体"/>
          <w:sz w:val="21"/>
          <w:szCs w:val="21"/>
          <w:highlight w:val="none"/>
        </w:rPr>
        <w:t xml:space="preserve">支付进度 </w:t>
      </w:r>
      <w:r>
        <w:rPr>
          <w:rFonts w:ascii="宋体" w:hAnsi="宋体" w:eastAsia="宋体" w:cs="宋体"/>
          <w:spacing w:val="-4"/>
          <w:sz w:val="21"/>
          <w:szCs w:val="21"/>
          <w:highlight w:val="none"/>
        </w:rPr>
        <w:t>款时予以相应扣除。</w:t>
      </w:r>
    </w:p>
    <w:p w14:paraId="46FBE1B5">
      <w:pPr>
        <w:spacing w:before="15" w:line="405" w:lineRule="auto"/>
        <w:ind w:firstLine="520"/>
        <w:rPr>
          <w:rFonts w:ascii="宋体" w:hAnsi="宋体" w:eastAsia="宋体" w:cs="宋体"/>
          <w:sz w:val="22"/>
          <w:szCs w:val="22"/>
          <w:highlight w:val="none"/>
        </w:rPr>
      </w:pPr>
      <w:r>
        <w:rPr>
          <w:rFonts w:ascii="宋体" w:hAnsi="宋体" w:eastAsia="宋体" w:cs="宋体"/>
          <w:spacing w:val="-9"/>
          <w:sz w:val="22"/>
          <w:szCs w:val="22"/>
          <w:highlight w:val="none"/>
        </w:rPr>
        <w:t>(2)除专用合同条件另有约定外，承包人应在每月月末向工程</w:t>
      </w:r>
      <w:r>
        <w:rPr>
          <w:rFonts w:ascii="宋体" w:hAnsi="宋体" w:eastAsia="宋体" w:cs="宋体"/>
          <w:spacing w:val="-10"/>
          <w:sz w:val="22"/>
          <w:szCs w:val="22"/>
          <w:highlight w:val="none"/>
        </w:rPr>
        <w:t>师提交进度付款申请单，</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该进度付款申请单应包括下列内容：</w:t>
      </w:r>
    </w:p>
    <w:p w14:paraId="7B717345">
      <w:pPr>
        <w:spacing w:line="405" w:lineRule="auto"/>
        <w:rPr>
          <w:rFonts w:ascii="宋体" w:hAnsi="宋体" w:eastAsia="宋体" w:cs="宋体"/>
          <w:sz w:val="22"/>
          <w:szCs w:val="22"/>
          <w:highlight w:val="none"/>
        </w:rPr>
        <w:sectPr>
          <w:footerReference r:id="rId128" w:type="default"/>
          <w:pgSz w:w="11910" w:h="16840"/>
          <w:pgMar w:top="400" w:right="1719" w:bottom="1197" w:left="1779" w:header="0" w:footer="993" w:gutter="0"/>
          <w:cols w:space="720" w:num="1"/>
        </w:sectPr>
      </w:pPr>
    </w:p>
    <w:p w14:paraId="3BA0B3DA">
      <w:pPr>
        <w:pStyle w:val="2"/>
        <w:spacing w:line="269" w:lineRule="auto"/>
        <w:rPr>
          <w:highlight w:val="none"/>
        </w:rPr>
      </w:pPr>
    </w:p>
    <w:p w14:paraId="2A3E0E88">
      <w:pPr>
        <w:pStyle w:val="2"/>
        <w:spacing w:line="270" w:lineRule="auto"/>
        <w:rPr>
          <w:highlight w:val="none"/>
        </w:rPr>
      </w:pPr>
    </w:p>
    <w:p w14:paraId="6C379438">
      <w:pPr>
        <w:pStyle w:val="2"/>
        <w:spacing w:line="270" w:lineRule="auto"/>
        <w:rPr>
          <w:highlight w:val="none"/>
        </w:rPr>
      </w:pPr>
    </w:p>
    <w:p w14:paraId="2FD804E7">
      <w:pPr>
        <w:pStyle w:val="2"/>
        <w:spacing w:line="270" w:lineRule="auto"/>
        <w:rPr>
          <w:highlight w:val="none"/>
        </w:rPr>
      </w:pPr>
    </w:p>
    <w:p w14:paraId="1FFD6EB5">
      <w:pPr>
        <w:spacing w:before="72" w:line="219" w:lineRule="auto"/>
        <w:ind w:left="590"/>
        <w:rPr>
          <w:rFonts w:ascii="宋体" w:hAnsi="宋体" w:eastAsia="宋体" w:cs="宋体"/>
          <w:sz w:val="22"/>
          <w:szCs w:val="22"/>
          <w:highlight w:val="none"/>
        </w:rPr>
      </w:pPr>
      <w:r>
        <w:rPr>
          <w:rFonts w:ascii="宋体" w:hAnsi="宋体" w:eastAsia="宋体" w:cs="宋体"/>
          <w:spacing w:val="-7"/>
          <w:sz w:val="22"/>
          <w:szCs w:val="22"/>
          <w:highlight w:val="none"/>
        </w:rPr>
        <w:t>1)截至本次付款周期内已完成工作对应的金额；</w:t>
      </w:r>
    </w:p>
    <w:p w14:paraId="76A02B0A">
      <w:pPr>
        <w:spacing w:before="209" w:line="219" w:lineRule="auto"/>
        <w:ind w:left="590"/>
        <w:rPr>
          <w:rFonts w:ascii="宋体" w:hAnsi="宋体" w:eastAsia="宋体" w:cs="宋体"/>
          <w:sz w:val="22"/>
          <w:szCs w:val="22"/>
          <w:highlight w:val="none"/>
        </w:rPr>
      </w:pPr>
      <w:r>
        <w:rPr>
          <w:rFonts w:ascii="宋体" w:hAnsi="宋体" w:eastAsia="宋体" w:cs="宋体"/>
          <w:spacing w:val="2"/>
          <w:sz w:val="22"/>
          <w:szCs w:val="22"/>
          <w:highlight w:val="none"/>
        </w:rPr>
        <w:t>2)扣除依据本款第(1)目约定中已扣除的人工</w:t>
      </w:r>
      <w:r>
        <w:rPr>
          <w:rFonts w:ascii="宋体" w:hAnsi="宋体" w:eastAsia="宋体" w:cs="宋体"/>
          <w:spacing w:val="1"/>
          <w:sz w:val="22"/>
          <w:szCs w:val="22"/>
          <w:highlight w:val="none"/>
        </w:rPr>
        <w:t>费金额；</w:t>
      </w:r>
    </w:p>
    <w:p w14:paraId="627B13B5">
      <w:pPr>
        <w:spacing w:before="220" w:line="219" w:lineRule="auto"/>
        <w:ind w:left="590"/>
        <w:rPr>
          <w:rFonts w:ascii="宋体" w:hAnsi="宋体" w:eastAsia="宋体" w:cs="宋体"/>
          <w:sz w:val="22"/>
          <w:szCs w:val="22"/>
          <w:highlight w:val="none"/>
        </w:rPr>
      </w:pPr>
      <w:r>
        <w:rPr>
          <w:rFonts w:ascii="宋体" w:hAnsi="宋体" w:eastAsia="宋体" w:cs="宋体"/>
          <w:spacing w:val="-2"/>
          <w:sz w:val="22"/>
          <w:szCs w:val="22"/>
          <w:highlight w:val="none"/>
        </w:rPr>
        <w:t>3)根据第13条[变更与调整]应增加和扣减的变更金额；</w:t>
      </w:r>
    </w:p>
    <w:p w14:paraId="4492E52A">
      <w:pPr>
        <w:spacing w:before="229" w:line="219" w:lineRule="auto"/>
        <w:ind w:left="590"/>
        <w:rPr>
          <w:rFonts w:ascii="宋体" w:hAnsi="宋体" w:eastAsia="宋体" w:cs="宋体"/>
          <w:sz w:val="22"/>
          <w:szCs w:val="22"/>
          <w:highlight w:val="none"/>
        </w:rPr>
      </w:pPr>
      <w:r>
        <w:rPr>
          <w:rFonts w:ascii="宋体" w:hAnsi="宋体" w:eastAsia="宋体" w:cs="宋体"/>
          <w:spacing w:val="-2"/>
          <w:sz w:val="22"/>
          <w:szCs w:val="22"/>
          <w:highlight w:val="none"/>
        </w:rPr>
        <w:t>4)根据第14.2款[预付款]约定应支付的预付款</w:t>
      </w:r>
      <w:r>
        <w:rPr>
          <w:rFonts w:ascii="宋体" w:hAnsi="宋体" w:eastAsia="宋体" w:cs="宋体"/>
          <w:spacing w:val="-3"/>
          <w:sz w:val="22"/>
          <w:szCs w:val="22"/>
          <w:highlight w:val="none"/>
        </w:rPr>
        <w:t>和扣减的返还预付款；</w:t>
      </w:r>
    </w:p>
    <w:p w14:paraId="0D5321F0">
      <w:pPr>
        <w:spacing w:before="218" w:line="219" w:lineRule="auto"/>
        <w:ind w:left="590"/>
        <w:rPr>
          <w:rFonts w:ascii="宋体" w:hAnsi="宋体" w:eastAsia="宋体" w:cs="宋体"/>
          <w:sz w:val="22"/>
          <w:szCs w:val="22"/>
          <w:highlight w:val="none"/>
        </w:rPr>
      </w:pPr>
      <w:r>
        <w:rPr>
          <w:rFonts w:ascii="宋体" w:hAnsi="宋体" w:eastAsia="宋体" w:cs="宋体"/>
          <w:spacing w:val="-3"/>
          <w:sz w:val="22"/>
          <w:szCs w:val="22"/>
          <w:highlight w:val="none"/>
        </w:rPr>
        <w:t>5)根据第14.6.2项[质量保证金的预留]约定应预留的质量保证金金额；</w:t>
      </w:r>
    </w:p>
    <w:p w14:paraId="3DEDFC43">
      <w:pPr>
        <w:spacing w:before="199" w:line="219" w:lineRule="auto"/>
        <w:ind w:left="590"/>
        <w:rPr>
          <w:rFonts w:ascii="宋体" w:hAnsi="宋体" w:eastAsia="宋体" w:cs="宋体"/>
          <w:sz w:val="22"/>
          <w:szCs w:val="22"/>
          <w:highlight w:val="none"/>
        </w:rPr>
      </w:pPr>
      <w:r>
        <w:rPr>
          <w:rFonts w:ascii="宋体" w:hAnsi="宋体" w:eastAsia="宋体" w:cs="宋体"/>
          <w:spacing w:val="-1"/>
          <w:sz w:val="22"/>
          <w:szCs w:val="22"/>
          <w:highlight w:val="none"/>
        </w:rPr>
        <w:t>6)根据第19条[索赔]应增加和扣减的索赔金额；</w:t>
      </w:r>
    </w:p>
    <w:p w14:paraId="6E61076A">
      <w:pPr>
        <w:spacing w:before="228" w:line="331" w:lineRule="auto"/>
        <w:ind w:right="94" w:firstLine="590"/>
        <w:rPr>
          <w:rFonts w:ascii="宋体" w:hAnsi="宋体" w:eastAsia="宋体" w:cs="宋体"/>
          <w:sz w:val="20"/>
          <w:szCs w:val="20"/>
          <w:highlight w:val="none"/>
        </w:rPr>
      </w:pPr>
      <w:r>
        <w:rPr>
          <w:rFonts w:ascii="宋体" w:hAnsi="宋体" w:eastAsia="宋体" w:cs="宋体"/>
          <w:spacing w:val="13"/>
          <w:sz w:val="20"/>
          <w:szCs w:val="20"/>
          <w:highlight w:val="none"/>
        </w:rPr>
        <w:t>7)对已签发的进度款支付证书中出现错误的修正，应在本次进度付款中支付或扣除</w:t>
      </w:r>
      <w:r>
        <w:rPr>
          <w:rFonts w:ascii="宋体" w:hAnsi="宋体" w:eastAsia="宋体" w:cs="宋体"/>
          <w:spacing w:val="18"/>
          <w:sz w:val="20"/>
          <w:szCs w:val="20"/>
          <w:highlight w:val="none"/>
        </w:rPr>
        <w:t xml:space="preserve"> </w:t>
      </w:r>
      <w:r>
        <w:rPr>
          <w:rFonts w:ascii="宋体" w:hAnsi="宋体" w:eastAsia="宋体" w:cs="宋体"/>
          <w:spacing w:val="-4"/>
          <w:sz w:val="20"/>
          <w:szCs w:val="20"/>
          <w:highlight w:val="none"/>
        </w:rPr>
        <w:t>的金额；</w:t>
      </w:r>
    </w:p>
    <w:p w14:paraId="63534926">
      <w:pPr>
        <w:spacing w:before="242" w:line="219" w:lineRule="auto"/>
        <w:ind w:left="590"/>
        <w:rPr>
          <w:rFonts w:ascii="宋体" w:hAnsi="宋体" w:eastAsia="宋体" w:cs="宋体"/>
          <w:sz w:val="20"/>
          <w:szCs w:val="20"/>
          <w:highlight w:val="none"/>
        </w:rPr>
      </w:pPr>
      <w:r>
        <w:rPr>
          <w:rFonts w:ascii="宋体" w:hAnsi="宋体" w:eastAsia="宋体" w:cs="宋体"/>
          <w:spacing w:val="14"/>
          <w:sz w:val="20"/>
          <w:szCs w:val="20"/>
          <w:highlight w:val="none"/>
        </w:rPr>
        <w:t>8)根据合同约定应增加和扣减的其他金额。</w:t>
      </w:r>
    </w:p>
    <w:p w14:paraId="5F01C84B">
      <w:pPr>
        <w:spacing w:before="123" w:line="219" w:lineRule="auto"/>
        <w:ind w:left="420"/>
        <w:rPr>
          <w:rFonts w:ascii="宋体" w:hAnsi="宋体" w:eastAsia="宋体" w:cs="宋体"/>
          <w:sz w:val="20"/>
          <w:szCs w:val="20"/>
          <w:highlight w:val="none"/>
        </w:rPr>
      </w:pPr>
      <w:r>
        <w:rPr>
          <w:rFonts w:ascii="宋体" w:hAnsi="宋体" w:eastAsia="宋体" w:cs="宋体"/>
          <w:spacing w:val="13"/>
          <w:sz w:val="20"/>
          <w:szCs w:val="20"/>
          <w:highlight w:val="none"/>
        </w:rPr>
        <w:t>14.3.2进度付款审核和支付</w:t>
      </w:r>
    </w:p>
    <w:p w14:paraId="17A5E373">
      <w:pPr>
        <w:pStyle w:val="2"/>
        <w:spacing w:line="284" w:lineRule="auto"/>
        <w:rPr>
          <w:highlight w:val="none"/>
        </w:rPr>
      </w:pPr>
    </w:p>
    <w:p w14:paraId="154166EF">
      <w:pPr>
        <w:spacing w:before="68" w:line="352" w:lineRule="auto"/>
        <w:ind w:right="72" w:firstLine="420"/>
        <w:jc w:val="both"/>
        <w:rPr>
          <w:rFonts w:ascii="宋体" w:hAnsi="宋体" w:eastAsia="宋体" w:cs="宋体"/>
          <w:sz w:val="21"/>
          <w:szCs w:val="21"/>
          <w:highlight w:val="none"/>
        </w:rPr>
      </w:pPr>
      <w:r>
        <w:rPr>
          <w:rFonts w:ascii="宋体" w:hAnsi="宋体" w:eastAsia="宋体" w:cs="宋体"/>
          <w:sz w:val="21"/>
          <w:szCs w:val="21"/>
          <w:highlight w:val="none"/>
        </w:rPr>
        <w:t>除专用合同条件另有约定外，工程师应在收到承包人进度付款申请单以及相关资料后7</w:t>
      </w:r>
      <w:r>
        <w:rPr>
          <w:rFonts w:ascii="宋体" w:hAnsi="宋体" w:eastAsia="宋体" w:cs="宋体"/>
          <w:spacing w:val="16"/>
          <w:sz w:val="21"/>
          <w:szCs w:val="21"/>
          <w:highlight w:val="none"/>
        </w:rPr>
        <w:t xml:space="preserve"> </w:t>
      </w:r>
      <w:r>
        <w:rPr>
          <w:rFonts w:ascii="宋体" w:hAnsi="宋体" w:eastAsia="宋体" w:cs="宋体"/>
          <w:sz w:val="21"/>
          <w:szCs w:val="21"/>
          <w:highlight w:val="none"/>
        </w:rPr>
        <w:t>天内完成审查并报送发包人，发包人应在收到后7天内完成审批并向承包人签发进度款支付</w:t>
      </w:r>
      <w:r>
        <w:rPr>
          <w:rFonts w:ascii="宋体" w:hAnsi="宋体" w:eastAsia="宋体" w:cs="宋体"/>
          <w:spacing w:val="12"/>
          <w:sz w:val="21"/>
          <w:szCs w:val="21"/>
          <w:highlight w:val="none"/>
        </w:rPr>
        <w:t xml:space="preserve"> </w:t>
      </w:r>
      <w:r>
        <w:rPr>
          <w:rFonts w:ascii="宋体" w:hAnsi="宋体" w:eastAsia="宋体" w:cs="宋体"/>
          <w:spacing w:val="3"/>
          <w:sz w:val="21"/>
          <w:szCs w:val="21"/>
          <w:highlight w:val="none"/>
        </w:rPr>
        <w:t>证书。发包人逾期(包括因工程师原因延误报送的时间)未完成审批且未提出异议的，视为</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已签发进度款支付证书。</w:t>
      </w:r>
    </w:p>
    <w:p w14:paraId="5EBFA201">
      <w:pPr>
        <w:spacing w:before="275" w:line="388" w:lineRule="auto"/>
        <w:ind w:right="67" w:firstLine="420"/>
        <w:jc w:val="both"/>
        <w:rPr>
          <w:rFonts w:ascii="宋体" w:hAnsi="宋体" w:eastAsia="宋体" w:cs="宋体"/>
          <w:sz w:val="22"/>
          <w:szCs w:val="22"/>
          <w:highlight w:val="none"/>
        </w:rPr>
      </w:pPr>
      <w:r>
        <w:rPr>
          <w:rFonts w:ascii="宋体" w:hAnsi="宋体" w:eastAsia="宋体" w:cs="宋体"/>
          <w:spacing w:val="-12"/>
          <w:sz w:val="22"/>
          <w:szCs w:val="22"/>
          <w:highlight w:val="none"/>
        </w:rPr>
        <w:t>工程师对承包人的进度付款申请单有异议的，有权</w:t>
      </w:r>
      <w:r>
        <w:rPr>
          <w:rFonts w:ascii="宋体" w:hAnsi="宋体" w:eastAsia="宋体" w:cs="宋体"/>
          <w:spacing w:val="-13"/>
          <w:sz w:val="22"/>
          <w:szCs w:val="22"/>
          <w:highlight w:val="none"/>
        </w:rPr>
        <w:t>要求承包人修正和提供补充资料，承</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包人应提交修正后的进度付款申请单。工程师应在收到承包人修正后的进度付款申</w:t>
      </w:r>
      <w:r>
        <w:rPr>
          <w:rFonts w:ascii="宋体" w:hAnsi="宋体" w:eastAsia="宋体" w:cs="宋体"/>
          <w:spacing w:val="-13"/>
          <w:sz w:val="22"/>
          <w:szCs w:val="22"/>
          <w:highlight w:val="none"/>
        </w:rPr>
        <w:t>请单及相</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关资料后7天内完成审查并报送发包人，发包人应在收到工</w:t>
      </w:r>
      <w:r>
        <w:rPr>
          <w:rFonts w:ascii="宋体" w:hAnsi="宋体" w:eastAsia="宋体" w:cs="宋体"/>
          <w:spacing w:val="-10"/>
          <w:sz w:val="22"/>
          <w:szCs w:val="22"/>
          <w:highlight w:val="none"/>
        </w:rPr>
        <w:t>程师报送的进度付款申请单及相</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关资料后7天内，向承包人签发无异议部分的进度款支付证书。存在争议的部分，按照第</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20条[争议解决]的约定处理。</w:t>
      </w:r>
    </w:p>
    <w:p w14:paraId="1A2BF55A">
      <w:pPr>
        <w:spacing w:before="1" w:line="329" w:lineRule="auto"/>
        <w:ind w:firstLine="420"/>
        <w:jc w:val="both"/>
        <w:rPr>
          <w:rFonts w:ascii="宋体" w:hAnsi="宋体" w:eastAsia="宋体" w:cs="宋体"/>
          <w:sz w:val="21"/>
          <w:szCs w:val="21"/>
          <w:highlight w:val="none"/>
        </w:rPr>
      </w:pPr>
      <w:r>
        <w:rPr>
          <w:rFonts w:ascii="宋体" w:hAnsi="宋体" w:eastAsia="宋体" w:cs="宋体"/>
          <w:spacing w:val="3"/>
          <w:sz w:val="21"/>
          <w:szCs w:val="21"/>
          <w:highlight w:val="none"/>
        </w:rPr>
        <w:t>除专用合同条件另有约定外，发包人应在进度款支付证书签发后14天内完成支付，发</w:t>
      </w:r>
      <w:r>
        <w:rPr>
          <w:rFonts w:ascii="宋体" w:hAnsi="宋体" w:eastAsia="宋体" w:cs="宋体"/>
          <w:spacing w:val="4"/>
          <w:sz w:val="21"/>
          <w:szCs w:val="21"/>
          <w:highlight w:val="none"/>
        </w:rPr>
        <w:t xml:space="preserve"> </w:t>
      </w:r>
      <w:r>
        <w:rPr>
          <w:rFonts w:ascii="宋体" w:hAnsi="宋体" w:eastAsia="宋体" w:cs="宋体"/>
          <w:spacing w:val="1"/>
          <w:sz w:val="21"/>
          <w:szCs w:val="21"/>
          <w:highlight w:val="none"/>
        </w:rPr>
        <w:t>包人逾期支付进度款的，按照贷款市场报价利率</w:t>
      </w:r>
      <w:r>
        <w:rPr>
          <w:rFonts w:ascii="宋体" w:hAnsi="宋体" w:eastAsia="宋体" w:cs="宋体"/>
          <w:spacing w:val="-20"/>
          <w:sz w:val="21"/>
          <w:szCs w:val="21"/>
          <w:highlight w:val="none"/>
        </w:rPr>
        <w:t xml:space="preserve"> </w:t>
      </w:r>
      <w:r>
        <w:rPr>
          <w:rFonts w:ascii="宋体" w:hAnsi="宋体" w:eastAsia="宋体" w:cs="宋体"/>
          <w:spacing w:val="1"/>
          <w:sz w:val="21"/>
          <w:szCs w:val="21"/>
          <w:highlight w:val="none"/>
        </w:rPr>
        <w:t>(</w:t>
      </w:r>
      <w:r>
        <w:rPr>
          <w:rFonts w:ascii="宋体" w:hAnsi="宋体" w:eastAsia="宋体" w:cs="宋体"/>
          <w:spacing w:val="-55"/>
          <w:sz w:val="21"/>
          <w:szCs w:val="21"/>
          <w:highlight w:val="none"/>
        </w:rPr>
        <w:t xml:space="preserve"> </w:t>
      </w:r>
      <w:r>
        <w:rPr>
          <w:rFonts w:ascii="Times New Roman" w:hAnsi="Times New Roman" w:eastAsia="Times New Roman" w:cs="Times New Roman"/>
          <w:sz w:val="21"/>
          <w:szCs w:val="21"/>
          <w:highlight w:val="none"/>
        </w:rPr>
        <w:t>LPR</w:t>
      </w:r>
      <w:r>
        <w:rPr>
          <w:rFonts w:ascii="Times New Roman" w:hAnsi="Times New Roman" w:eastAsia="Times New Roman" w:cs="Times New Roman"/>
          <w:spacing w:val="1"/>
          <w:sz w:val="21"/>
          <w:szCs w:val="21"/>
          <w:highlight w:val="none"/>
        </w:rPr>
        <w:t>)</w:t>
      </w:r>
      <w:r>
        <w:rPr>
          <w:rFonts w:ascii="Times New Roman" w:hAnsi="Times New Roman" w:eastAsia="Times New Roman" w:cs="Times New Roman"/>
          <w:spacing w:val="37"/>
          <w:sz w:val="21"/>
          <w:szCs w:val="21"/>
          <w:highlight w:val="none"/>
        </w:rPr>
        <w:t xml:space="preserve"> </w:t>
      </w:r>
      <w:r>
        <w:rPr>
          <w:rFonts w:ascii="宋体" w:hAnsi="宋体" w:eastAsia="宋体" w:cs="宋体"/>
          <w:spacing w:val="1"/>
          <w:sz w:val="21"/>
          <w:szCs w:val="21"/>
          <w:highlight w:val="none"/>
        </w:rPr>
        <w:t>支付利息；逾期支付超过56天的，</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按照贷款市场报价利率</w:t>
      </w:r>
      <w:r>
        <w:rPr>
          <w:rFonts w:ascii="宋体" w:hAnsi="宋体" w:eastAsia="宋体" w:cs="宋体"/>
          <w:spacing w:val="-25"/>
          <w:sz w:val="21"/>
          <w:szCs w:val="21"/>
          <w:highlight w:val="none"/>
        </w:rPr>
        <w:t xml:space="preserve"> </w:t>
      </w:r>
      <w:r>
        <w:rPr>
          <w:rFonts w:ascii="宋体" w:hAnsi="宋体" w:eastAsia="宋体" w:cs="宋体"/>
          <w:spacing w:val="-4"/>
          <w:sz w:val="21"/>
          <w:szCs w:val="21"/>
          <w:highlight w:val="none"/>
        </w:rPr>
        <w:t>(</w:t>
      </w:r>
      <w:r>
        <w:rPr>
          <w:rFonts w:ascii="宋体" w:hAnsi="宋体" w:eastAsia="宋体" w:cs="宋体"/>
          <w:spacing w:val="-55"/>
          <w:sz w:val="21"/>
          <w:szCs w:val="21"/>
          <w:highlight w:val="none"/>
        </w:rPr>
        <w:t xml:space="preserve"> </w:t>
      </w:r>
      <w:r>
        <w:rPr>
          <w:rFonts w:ascii="Times New Roman" w:hAnsi="Times New Roman" w:eastAsia="Times New Roman" w:cs="Times New Roman"/>
          <w:spacing w:val="-4"/>
          <w:sz w:val="21"/>
          <w:szCs w:val="21"/>
          <w:highlight w:val="none"/>
        </w:rPr>
        <w:t>LPR)</w:t>
      </w:r>
      <w:r>
        <w:rPr>
          <w:rFonts w:ascii="Times New Roman" w:hAnsi="Times New Roman" w:eastAsia="Times New Roman" w:cs="Times New Roman"/>
          <w:spacing w:val="47"/>
          <w:w w:val="101"/>
          <w:sz w:val="21"/>
          <w:szCs w:val="21"/>
          <w:highlight w:val="none"/>
        </w:rPr>
        <w:t xml:space="preserve"> </w:t>
      </w:r>
      <w:r>
        <w:rPr>
          <w:rFonts w:ascii="宋体" w:hAnsi="宋体" w:eastAsia="宋体" w:cs="宋体"/>
          <w:spacing w:val="-4"/>
          <w:sz w:val="21"/>
          <w:szCs w:val="21"/>
          <w:highlight w:val="none"/>
        </w:rPr>
        <w:t>的两倍支付利息。</w:t>
      </w:r>
    </w:p>
    <w:p w14:paraId="78E84F2E">
      <w:pPr>
        <w:spacing w:before="247" w:line="339" w:lineRule="auto"/>
        <w:ind w:right="73" w:firstLine="420"/>
        <w:rPr>
          <w:rFonts w:ascii="宋体" w:hAnsi="宋体" w:eastAsia="宋体" w:cs="宋体"/>
          <w:sz w:val="22"/>
          <w:szCs w:val="22"/>
          <w:highlight w:val="none"/>
        </w:rPr>
      </w:pPr>
      <w:r>
        <w:rPr>
          <w:rFonts w:ascii="宋体" w:hAnsi="宋体" w:eastAsia="宋体" w:cs="宋体"/>
          <w:spacing w:val="-12"/>
          <w:sz w:val="22"/>
          <w:szCs w:val="22"/>
          <w:highlight w:val="none"/>
        </w:rPr>
        <w:t>发包人签发进度款支付证书，不表明发包人已同意、批</w:t>
      </w:r>
      <w:r>
        <w:rPr>
          <w:rFonts w:ascii="宋体" w:hAnsi="宋体" w:eastAsia="宋体" w:cs="宋体"/>
          <w:spacing w:val="-13"/>
          <w:sz w:val="22"/>
          <w:szCs w:val="22"/>
          <w:highlight w:val="none"/>
        </w:rPr>
        <w:t>准或接受了承包人完成的相应部</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分的工作。</w:t>
      </w:r>
    </w:p>
    <w:p w14:paraId="65E0388C">
      <w:pPr>
        <w:spacing w:before="153" w:line="219" w:lineRule="auto"/>
        <w:ind w:left="420"/>
        <w:rPr>
          <w:rFonts w:ascii="宋体" w:hAnsi="宋体" w:eastAsia="宋体" w:cs="宋体"/>
          <w:sz w:val="22"/>
          <w:szCs w:val="22"/>
          <w:highlight w:val="none"/>
        </w:rPr>
      </w:pPr>
      <w:r>
        <w:rPr>
          <w:rFonts w:ascii="宋体" w:hAnsi="宋体" w:eastAsia="宋体" w:cs="宋体"/>
          <w:sz w:val="22"/>
          <w:szCs w:val="22"/>
          <w:highlight w:val="none"/>
        </w:rPr>
        <w:t>14.3.3进度付款的修正</w:t>
      </w:r>
    </w:p>
    <w:p w14:paraId="7480EE0D">
      <w:pPr>
        <w:pStyle w:val="2"/>
        <w:spacing w:line="369" w:lineRule="auto"/>
        <w:rPr>
          <w:highlight w:val="none"/>
        </w:rPr>
      </w:pPr>
    </w:p>
    <w:p w14:paraId="3B89F2D3">
      <w:pPr>
        <w:spacing w:before="65" w:line="445" w:lineRule="auto"/>
        <w:ind w:right="55" w:firstLine="420"/>
        <w:jc w:val="both"/>
        <w:rPr>
          <w:rFonts w:ascii="宋体" w:hAnsi="宋体" w:eastAsia="宋体" w:cs="宋体"/>
          <w:sz w:val="20"/>
          <w:szCs w:val="20"/>
          <w:highlight w:val="none"/>
        </w:rPr>
      </w:pPr>
      <w:r>
        <w:rPr>
          <w:rFonts w:ascii="宋体" w:hAnsi="宋体" w:eastAsia="宋体" w:cs="宋体"/>
          <w:spacing w:val="8"/>
          <w:sz w:val="20"/>
          <w:szCs w:val="20"/>
          <w:highlight w:val="none"/>
        </w:rPr>
        <w:t>在对已签发的进度款支付证书进行阶段汇总和复核中发现错误、遗漏或重复的，发包人</w:t>
      </w:r>
      <w:r>
        <w:rPr>
          <w:rFonts w:ascii="宋体" w:hAnsi="宋体" w:eastAsia="宋体" w:cs="宋体"/>
          <w:spacing w:val="3"/>
          <w:sz w:val="20"/>
          <w:szCs w:val="20"/>
          <w:highlight w:val="none"/>
        </w:rPr>
        <w:t xml:space="preserve"> </w:t>
      </w:r>
      <w:r>
        <w:rPr>
          <w:rFonts w:ascii="宋体" w:hAnsi="宋体" w:eastAsia="宋体" w:cs="宋体"/>
          <w:spacing w:val="8"/>
          <w:sz w:val="20"/>
          <w:szCs w:val="20"/>
          <w:highlight w:val="none"/>
        </w:rPr>
        <w:t>和承包人均有权提出修正申请。经发包人和承包人同意的修正，</w:t>
      </w:r>
      <w:r>
        <w:rPr>
          <w:rFonts w:ascii="宋体" w:hAnsi="宋体" w:eastAsia="宋体" w:cs="宋体"/>
          <w:spacing w:val="7"/>
          <w:sz w:val="20"/>
          <w:szCs w:val="20"/>
          <w:highlight w:val="none"/>
        </w:rPr>
        <w:t>应在下期进度付款中支付或</w:t>
      </w:r>
      <w:r>
        <w:rPr>
          <w:rFonts w:ascii="宋体" w:hAnsi="宋体" w:eastAsia="宋体" w:cs="宋体"/>
          <w:sz w:val="20"/>
          <w:szCs w:val="20"/>
          <w:highlight w:val="none"/>
        </w:rPr>
        <w:t xml:space="preserve"> 扣除。</w:t>
      </w:r>
    </w:p>
    <w:p w14:paraId="1A063EA2">
      <w:pPr>
        <w:spacing w:line="445" w:lineRule="auto"/>
        <w:rPr>
          <w:rFonts w:ascii="宋体" w:hAnsi="宋体" w:eastAsia="宋体" w:cs="宋体"/>
          <w:sz w:val="20"/>
          <w:szCs w:val="20"/>
          <w:highlight w:val="none"/>
        </w:rPr>
        <w:sectPr>
          <w:footerReference r:id="rId129" w:type="default"/>
          <w:pgSz w:w="11910" w:h="16840"/>
          <w:pgMar w:top="400" w:right="1745" w:bottom="1169" w:left="1779" w:header="0" w:footer="1028" w:gutter="0"/>
          <w:cols w:space="720" w:num="1"/>
        </w:sectPr>
      </w:pPr>
    </w:p>
    <w:p w14:paraId="06C2AF8A">
      <w:pPr>
        <w:pStyle w:val="2"/>
        <w:spacing w:line="265" w:lineRule="auto"/>
        <w:rPr>
          <w:highlight w:val="none"/>
        </w:rPr>
      </w:pPr>
    </w:p>
    <w:p w14:paraId="06E82B44">
      <w:pPr>
        <w:pStyle w:val="2"/>
        <w:spacing w:line="265" w:lineRule="auto"/>
        <w:rPr>
          <w:highlight w:val="none"/>
        </w:rPr>
      </w:pPr>
    </w:p>
    <w:p w14:paraId="6339F042">
      <w:pPr>
        <w:pStyle w:val="2"/>
        <w:spacing w:line="265" w:lineRule="auto"/>
        <w:rPr>
          <w:highlight w:val="none"/>
        </w:rPr>
      </w:pPr>
    </w:p>
    <w:p w14:paraId="4D6E152C">
      <w:pPr>
        <w:pStyle w:val="2"/>
        <w:spacing w:line="266" w:lineRule="auto"/>
        <w:rPr>
          <w:highlight w:val="none"/>
        </w:rPr>
      </w:pPr>
    </w:p>
    <w:p w14:paraId="2AC0FAB2">
      <w:pPr>
        <w:pStyle w:val="2"/>
        <w:spacing w:before="72" w:line="223" w:lineRule="auto"/>
        <w:rPr>
          <w:rFonts w:ascii="黑体" w:hAnsi="黑体" w:eastAsia="黑体" w:cs="黑体"/>
          <w:sz w:val="22"/>
          <w:szCs w:val="22"/>
          <w:highlight w:val="none"/>
        </w:rPr>
      </w:pPr>
      <w:r>
        <w:rPr>
          <w:spacing w:val="-7"/>
          <w:sz w:val="22"/>
          <w:szCs w:val="22"/>
          <w:highlight w:val="none"/>
        </w:rPr>
        <w:t>14.4</w:t>
      </w:r>
      <w:r>
        <w:rPr>
          <w:spacing w:val="59"/>
          <w:sz w:val="22"/>
          <w:szCs w:val="22"/>
          <w:highlight w:val="none"/>
        </w:rPr>
        <w:t xml:space="preserve"> </w:t>
      </w:r>
      <w:r>
        <w:rPr>
          <w:rFonts w:ascii="黑体" w:hAnsi="黑体" w:eastAsia="黑体" w:cs="黑体"/>
          <w:spacing w:val="-7"/>
          <w:sz w:val="22"/>
          <w:szCs w:val="22"/>
          <w:highlight w:val="none"/>
        </w:rPr>
        <w:t>付款计划表</w:t>
      </w:r>
    </w:p>
    <w:p w14:paraId="2324B2E1">
      <w:pPr>
        <w:spacing w:before="132" w:line="219" w:lineRule="auto"/>
        <w:ind w:left="43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14.4.1</w:t>
      </w:r>
      <w:r>
        <w:rPr>
          <w:rFonts w:ascii="Times New Roman" w:hAnsi="Times New Roman" w:eastAsia="Times New Roman" w:cs="Times New Roman"/>
          <w:spacing w:val="9"/>
          <w:sz w:val="20"/>
          <w:szCs w:val="20"/>
          <w:highlight w:val="none"/>
        </w:rPr>
        <w:t xml:space="preserve">    </w:t>
      </w:r>
      <w:r>
        <w:rPr>
          <w:rFonts w:ascii="宋体" w:hAnsi="宋体" w:eastAsia="宋体" w:cs="宋体"/>
          <w:spacing w:val="5"/>
          <w:sz w:val="20"/>
          <w:szCs w:val="20"/>
          <w:highlight w:val="none"/>
        </w:rPr>
        <w:t>付款计划表的编制要求</w:t>
      </w:r>
    </w:p>
    <w:p w14:paraId="00D9C63D">
      <w:pPr>
        <w:pStyle w:val="2"/>
        <w:spacing w:line="349" w:lineRule="auto"/>
        <w:rPr>
          <w:highlight w:val="none"/>
        </w:rPr>
      </w:pPr>
    </w:p>
    <w:p w14:paraId="5221A683">
      <w:pPr>
        <w:spacing w:before="72" w:line="219"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除专用合同条件另有约定外，付款计划表按如下要</w:t>
      </w:r>
      <w:r>
        <w:rPr>
          <w:rFonts w:ascii="宋体" w:hAnsi="宋体" w:eastAsia="宋体" w:cs="宋体"/>
          <w:spacing w:val="-12"/>
          <w:sz w:val="22"/>
          <w:szCs w:val="22"/>
          <w:highlight w:val="none"/>
        </w:rPr>
        <w:t>求编制：</w:t>
      </w:r>
    </w:p>
    <w:p w14:paraId="6FB533EB">
      <w:pPr>
        <w:spacing w:before="239" w:line="319" w:lineRule="auto"/>
        <w:ind w:right="51" w:firstLine="529"/>
        <w:rPr>
          <w:rFonts w:ascii="宋体" w:hAnsi="宋体" w:eastAsia="宋体" w:cs="宋体"/>
          <w:sz w:val="21"/>
          <w:szCs w:val="21"/>
          <w:highlight w:val="none"/>
        </w:rPr>
      </w:pPr>
      <w:r>
        <w:rPr>
          <w:rFonts w:ascii="宋体" w:hAnsi="宋体" w:eastAsia="宋体" w:cs="宋体"/>
          <w:spacing w:val="3"/>
          <w:sz w:val="21"/>
          <w:szCs w:val="21"/>
          <w:highlight w:val="none"/>
        </w:rPr>
        <w:t>(1)付款计划表中所列的每期付款金额，应为第14.3.1项[工程进度付款申请]每期进</w:t>
      </w:r>
      <w:r>
        <w:rPr>
          <w:rFonts w:ascii="宋体" w:hAnsi="宋体" w:eastAsia="宋体" w:cs="宋体"/>
          <w:spacing w:val="16"/>
          <w:sz w:val="21"/>
          <w:szCs w:val="21"/>
          <w:highlight w:val="none"/>
        </w:rPr>
        <w:t xml:space="preserve"> </w:t>
      </w:r>
      <w:r>
        <w:rPr>
          <w:rFonts w:ascii="宋体" w:hAnsi="宋体" w:eastAsia="宋体" w:cs="宋体"/>
          <w:spacing w:val="-7"/>
          <w:sz w:val="21"/>
          <w:szCs w:val="21"/>
          <w:highlight w:val="none"/>
        </w:rPr>
        <w:t>度款的估算金额；</w:t>
      </w:r>
    </w:p>
    <w:p w14:paraId="40606625">
      <w:pPr>
        <w:spacing w:before="213" w:line="303" w:lineRule="auto"/>
        <w:ind w:right="71" w:firstLine="529"/>
        <w:rPr>
          <w:rFonts w:ascii="宋体" w:hAnsi="宋体" w:eastAsia="宋体" w:cs="宋体"/>
          <w:sz w:val="22"/>
          <w:szCs w:val="22"/>
          <w:highlight w:val="none"/>
        </w:rPr>
      </w:pPr>
      <w:r>
        <w:rPr>
          <w:rFonts w:ascii="宋体" w:hAnsi="宋体" w:eastAsia="宋体" w:cs="宋体"/>
          <w:spacing w:val="-3"/>
          <w:sz w:val="22"/>
          <w:szCs w:val="22"/>
          <w:highlight w:val="none"/>
        </w:rPr>
        <w:t>(2)实际进度与项目进度计划不一致的，合同当事人可按照</w:t>
      </w:r>
      <w:r>
        <w:rPr>
          <w:rFonts w:ascii="宋体" w:hAnsi="宋体" w:eastAsia="宋体" w:cs="宋体"/>
          <w:spacing w:val="-4"/>
          <w:sz w:val="22"/>
          <w:szCs w:val="22"/>
          <w:highlight w:val="none"/>
        </w:rPr>
        <w:t>第3.6款[商定或确定]修</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改付款计划表；</w:t>
      </w:r>
    </w:p>
    <w:p w14:paraId="46852540">
      <w:pPr>
        <w:spacing w:before="246" w:line="218" w:lineRule="auto"/>
        <w:jc w:val="right"/>
        <w:rPr>
          <w:rFonts w:ascii="宋体" w:hAnsi="宋体" w:eastAsia="宋体" w:cs="宋体"/>
          <w:sz w:val="20"/>
          <w:szCs w:val="20"/>
          <w:highlight w:val="none"/>
        </w:rPr>
      </w:pPr>
      <w:r>
        <w:rPr>
          <w:rFonts w:ascii="宋体" w:hAnsi="宋体" w:eastAsia="宋体" w:cs="宋体"/>
          <w:spacing w:val="9"/>
          <w:sz w:val="20"/>
          <w:szCs w:val="20"/>
          <w:highlight w:val="none"/>
        </w:rPr>
        <w:t>(3)不采用付款计划表的，承包人应向工程师提交按季度编制的支付估算付款计划表，</w:t>
      </w:r>
    </w:p>
    <w:p w14:paraId="1D0CDB10">
      <w:pPr>
        <w:spacing w:before="245" w:line="219" w:lineRule="auto"/>
        <w:rPr>
          <w:rFonts w:ascii="宋体" w:hAnsi="宋体" w:eastAsia="宋体" w:cs="宋体"/>
          <w:sz w:val="20"/>
          <w:szCs w:val="20"/>
          <w:highlight w:val="none"/>
        </w:rPr>
      </w:pPr>
      <w:r>
        <w:rPr>
          <w:rFonts w:ascii="宋体" w:hAnsi="宋体" w:eastAsia="宋体" w:cs="宋体"/>
          <w:spacing w:val="4"/>
          <w:sz w:val="20"/>
          <w:szCs w:val="20"/>
          <w:highlight w:val="none"/>
        </w:rPr>
        <w:t>用于支付参考。</w:t>
      </w:r>
    </w:p>
    <w:p w14:paraId="0C7716E3">
      <w:pPr>
        <w:spacing w:before="123" w:line="219" w:lineRule="auto"/>
        <w:ind w:left="43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14.4.2</w:t>
      </w:r>
      <w:r>
        <w:rPr>
          <w:rFonts w:ascii="Times New Roman" w:hAnsi="Times New Roman" w:eastAsia="Times New Roman" w:cs="Times New Roman"/>
          <w:spacing w:val="12"/>
          <w:w w:val="101"/>
          <w:sz w:val="20"/>
          <w:szCs w:val="20"/>
          <w:highlight w:val="none"/>
        </w:rPr>
        <w:t xml:space="preserve">    </w:t>
      </w:r>
      <w:r>
        <w:rPr>
          <w:rFonts w:ascii="宋体" w:hAnsi="宋体" w:eastAsia="宋体" w:cs="宋体"/>
          <w:spacing w:val="5"/>
          <w:sz w:val="20"/>
          <w:szCs w:val="20"/>
          <w:highlight w:val="none"/>
        </w:rPr>
        <w:t>付款计划表的编制与审批</w:t>
      </w:r>
    </w:p>
    <w:p w14:paraId="5FDB9531">
      <w:pPr>
        <w:pStyle w:val="2"/>
        <w:spacing w:line="354" w:lineRule="auto"/>
        <w:rPr>
          <w:highlight w:val="none"/>
        </w:rPr>
      </w:pPr>
    </w:p>
    <w:p w14:paraId="4103CB91">
      <w:pPr>
        <w:spacing w:before="69" w:line="382" w:lineRule="auto"/>
        <w:ind w:right="59" w:firstLine="529"/>
        <w:rPr>
          <w:rFonts w:ascii="宋体" w:hAnsi="宋体" w:eastAsia="宋体" w:cs="宋体"/>
          <w:sz w:val="21"/>
          <w:szCs w:val="21"/>
          <w:highlight w:val="none"/>
        </w:rPr>
      </w:pPr>
      <w:r>
        <w:rPr>
          <w:rFonts w:ascii="宋体" w:hAnsi="宋体" w:eastAsia="宋体" w:cs="宋体"/>
          <w:spacing w:val="6"/>
          <w:sz w:val="21"/>
          <w:szCs w:val="21"/>
          <w:highlight w:val="none"/>
        </w:rPr>
        <w:t>(1)除专用合同条件另有约定外，承包人应根据第8.4款[项目进度计划]约定的项目</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进度计划、签约合同价和工程量等因素对总价合同进行分解，确定付款期数、计划每期达到</w:t>
      </w:r>
      <w:r>
        <w:rPr>
          <w:rFonts w:ascii="宋体" w:hAnsi="宋体" w:eastAsia="宋体" w:cs="宋体"/>
          <w:spacing w:val="3"/>
          <w:sz w:val="21"/>
          <w:szCs w:val="21"/>
          <w:highlight w:val="none"/>
        </w:rPr>
        <w:t xml:space="preserve"> </w:t>
      </w:r>
      <w:r>
        <w:rPr>
          <w:rFonts w:ascii="宋体" w:hAnsi="宋体" w:eastAsia="宋体" w:cs="宋体"/>
          <w:spacing w:val="6"/>
          <w:sz w:val="21"/>
          <w:szCs w:val="21"/>
          <w:highlight w:val="none"/>
        </w:rPr>
        <w:t>的主要形象进度和(或)完成的主要计划工程量(含设计、采购、施工、竣工试验和竣工后</w:t>
      </w:r>
      <w:r>
        <w:rPr>
          <w:rFonts w:ascii="宋体" w:hAnsi="宋体" w:eastAsia="宋体" w:cs="宋体"/>
          <w:sz w:val="21"/>
          <w:szCs w:val="21"/>
          <w:highlight w:val="none"/>
        </w:rPr>
        <w:t xml:space="preserve"> 试验等)等目标任务，编制付款计划表。其中人工费应按月确定付款</w:t>
      </w:r>
      <w:r>
        <w:rPr>
          <w:rFonts w:ascii="宋体" w:hAnsi="宋体" w:eastAsia="宋体" w:cs="宋体"/>
          <w:spacing w:val="-1"/>
          <w:sz w:val="21"/>
          <w:szCs w:val="21"/>
          <w:highlight w:val="none"/>
        </w:rPr>
        <w:t>期和付款计划。承包人</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应当在收到工程师和发包人批准的项目进度计划后7</w:t>
      </w:r>
      <w:r>
        <w:rPr>
          <w:rFonts w:ascii="宋体" w:hAnsi="宋体" w:eastAsia="宋体" w:cs="宋体"/>
          <w:sz w:val="21"/>
          <w:szCs w:val="21"/>
          <w:highlight w:val="none"/>
        </w:rPr>
        <w:t xml:space="preserve">天内，将付款计划表及编制付款计划表 </w:t>
      </w:r>
      <w:r>
        <w:rPr>
          <w:rFonts w:ascii="宋体" w:hAnsi="宋体" w:eastAsia="宋体" w:cs="宋体"/>
          <w:spacing w:val="-3"/>
          <w:sz w:val="21"/>
          <w:szCs w:val="21"/>
          <w:highlight w:val="none"/>
        </w:rPr>
        <w:t>的支持性资料报送工程师。</w:t>
      </w:r>
    </w:p>
    <w:p w14:paraId="14483023">
      <w:pPr>
        <w:spacing w:before="282" w:line="355" w:lineRule="auto"/>
        <w:ind w:right="70" w:firstLine="529"/>
        <w:rPr>
          <w:rFonts w:ascii="宋体" w:hAnsi="宋体" w:eastAsia="宋体" w:cs="宋体"/>
          <w:sz w:val="21"/>
          <w:szCs w:val="21"/>
          <w:highlight w:val="none"/>
        </w:rPr>
      </w:pPr>
      <w:r>
        <w:rPr>
          <w:rFonts w:ascii="宋体" w:hAnsi="宋体" w:eastAsia="宋体" w:cs="宋体"/>
          <w:spacing w:val="6"/>
          <w:sz w:val="21"/>
          <w:szCs w:val="21"/>
          <w:highlight w:val="none"/>
        </w:rPr>
        <w:t>(2)工程师应在收到付款计划表后7天内完成审核并报送发包人。发包人应在收到经</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工程师审核的付款计划表后7天内完成审批，经发包</w:t>
      </w:r>
      <w:r>
        <w:rPr>
          <w:rFonts w:ascii="宋体" w:hAnsi="宋体" w:eastAsia="宋体" w:cs="宋体"/>
          <w:sz w:val="21"/>
          <w:szCs w:val="21"/>
          <w:highlight w:val="none"/>
        </w:rPr>
        <w:t xml:space="preserve">人批准的付款计划表为有约束力的付款 </w:t>
      </w:r>
      <w:r>
        <w:rPr>
          <w:rFonts w:ascii="宋体" w:hAnsi="宋体" w:eastAsia="宋体" w:cs="宋体"/>
          <w:spacing w:val="-8"/>
          <w:sz w:val="21"/>
          <w:szCs w:val="21"/>
          <w:highlight w:val="none"/>
        </w:rPr>
        <w:t>计划表。</w:t>
      </w:r>
    </w:p>
    <w:p w14:paraId="2F4C0EB2">
      <w:pPr>
        <w:spacing w:before="225" w:line="317" w:lineRule="auto"/>
        <w:ind w:right="67" w:firstLine="529"/>
        <w:rPr>
          <w:rFonts w:ascii="宋体" w:hAnsi="宋体" w:eastAsia="宋体" w:cs="宋体"/>
          <w:sz w:val="21"/>
          <w:szCs w:val="21"/>
          <w:highlight w:val="none"/>
        </w:rPr>
      </w:pPr>
      <w:r>
        <w:rPr>
          <w:rFonts w:ascii="宋体" w:hAnsi="宋体" w:eastAsia="宋体" w:cs="宋体"/>
          <w:spacing w:val="3"/>
          <w:sz w:val="21"/>
          <w:szCs w:val="21"/>
          <w:highlight w:val="none"/>
        </w:rPr>
        <w:t>(3)发包人逾期未完成付款计划表审批的，也未及时要求承包人进行修正和提供补充</w:t>
      </w:r>
      <w:r>
        <w:rPr>
          <w:rFonts w:ascii="宋体" w:hAnsi="宋体" w:eastAsia="宋体" w:cs="宋体"/>
          <w:spacing w:val="12"/>
          <w:sz w:val="21"/>
          <w:szCs w:val="21"/>
          <w:highlight w:val="none"/>
        </w:rPr>
        <w:t xml:space="preserve"> </w:t>
      </w:r>
      <w:r>
        <w:rPr>
          <w:rFonts w:ascii="宋体" w:hAnsi="宋体" w:eastAsia="宋体" w:cs="宋体"/>
          <w:spacing w:val="-2"/>
          <w:sz w:val="21"/>
          <w:szCs w:val="21"/>
          <w:highlight w:val="none"/>
        </w:rPr>
        <w:t>资料的，则承包人提交的付款计划表视为已经获得发包人批准。</w:t>
      </w:r>
    </w:p>
    <w:p w14:paraId="42893982">
      <w:pPr>
        <w:pStyle w:val="2"/>
        <w:spacing w:line="320" w:lineRule="auto"/>
        <w:rPr>
          <w:highlight w:val="none"/>
        </w:rPr>
      </w:pPr>
    </w:p>
    <w:p w14:paraId="3CA37F14">
      <w:pPr>
        <w:pStyle w:val="2"/>
        <w:spacing w:before="62" w:line="259" w:lineRule="exact"/>
        <w:rPr>
          <w:rFonts w:ascii="黑体" w:hAnsi="黑体" w:eastAsia="黑体" w:cs="黑体"/>
          <w:sz w:val="19"/>
          <w:szCs w:val="19"/>
          <w:highlight w:val="none"/>
        </w:rPr>
      </w:pPr>
      <w:r>
        <w:rPr>
          <w:spacing w:val="9"/>
          <w:position w:val="1"/>
          <w:sz w:val="19"/>
          <w:szCs w:val="19"/>
          <w:highlight w:val="none"/>
        </w:rPr>
        <w:t>14.5</w:t>
      </w:r>
      <w:r>
        <w:rPr>
          <w:spacing w:val="2"/>
          <w:position w:val="1"/>
          <w:sz w:val="19"/>
          <w:szCs w:val="19"/>
          <w:highlight w:val="none"/>
        </w:rPr>
        <w:t xml:space="preserve">   </w:t>
      </w:r>
      <w:r>
        <w:rPr>
          <w:rFonts w:ascii="黑体" w:hAnsi="黑体" w:eastAsia="黑体" w:cs="黑体"/>
          <w:spacing w:val="9"/>
          <w:position w:val="1"/>
          <w:sz w:val="19"/>
          <w:szCs w:val="19"/>
          <w:highlight w:val="none"/>
        </w:rPr>
        <w:t>竣工结算</w:t>
      </w:r>
    </w:p>
    <w:p w14:paraId="392C3C9E">
      <w:pPr>
        <w:spacing w:before="99" w:line="219" w:lineRule="auto"/>
        <w:ind w:left="4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14.5.1</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8"/>
          <w:sz w:val="22"/>
          <w:szCs w:val="22"/>
          <w:highlight w:val="none"/>
        </w:rPr>
        <w:t>竣工结算申请</w:t>
      </w:r>
    </w:p>
    <w:p w14:paraId="4C256262">
      <w:pPr>
        <w:pStyle w:val="2"/>
        <w:spacing w:line="354" w:lineRule="auto"/>
        <w:rPr>
          <w:highlight w:val="none"/>
        </w:rPr>
      </w:pPr>
    </w:p>
    <w:p w14:paraId="3D76688E">
      <w:pPr>
        <w:spacing w:before="72" w:line="400" w:lineRule="auto"/>
        <w:ind w:right="68" w:firstLine="430"/>
        <w:jc w:val="both"/>
        <w:rPr>
          <w:rFonts w:ascii="宋体" w:hAnsi="宋体" w:eastAsia="宋体" w:cs="宋体"/>
          <w:sz w:val="22"/>
          <w:szCs w:val="22"/>
          <w:highlight w:val="none"/>
        </w:rPr>
      </w:pPr>
      <w:r>
        <w:rPr>
          <w:rFonts w:ascii="宋体" w:hAnsi="宋体" w:eastAsia="宋体" w:cs="宋体"/>
          <w:spacing w:val="-7"/>
          <w:sz w:val="22"/>
          <w:szCs w:val="22"/>
          <w:highlight w:val="none"/>
        </w:rPr>
        <w:t>除专用合同条件另有约定外，承包人应在工程竣工验收合格后42天内向工程师提交竣</w:t>
      </w:r>
      <w:r>
        <w:rPr>
          <w:rFonts w:ascii="宋体" w:hAnsi="宋体" w:eastAsia="宋体" w:cs="宋体"/>
          <w:spacing w:val="16"/>
          <w:sz w:val="22"/>
          <w:szCs w:val="22"/>
          <w:highlight w:val="none"/>
        </w:rPr>
        <w:t xml:space="preserve"> </w:t>
      </w:r>
      <w:r>
        <w:rPr>
          <w:rFonts w:ascii="宋体" w:hAnsi="宋体" w:eastAsia="宋体" w:cs="宋体"/>
          <w:spacing w:val="-12"/>
          <w:sz w:val="22"/>
          <w:szCs w:val="22"/>
          <w:highlight w:val="none"/>
        </w:rPr>
        <w:t>工结算申请单，并提交完整的结算资料，有关竣工结算申请单的资料清单和份数等要求</w:t>
      </w:r>
      <w:r>
        <w:rPr>
          <w:rFonts w:ascii="宋体" w:hAnsi="宋体" w:eastAsia="宋体" w:cs="宋体"/>
          <w:spacing w:val="-13"/>
          <w:sz w:val="22"/>
          <w:szCs w:val="22"/>
          <w:highlight w:val="none"/>
        </w:rPr>
        <w:t>由合</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同当事人在专用合同条件中约定。</w:t>
      </w:r>
    </w:p>
    <w:p w14:paraId="1569FA77">
      <w:pPr>
        <w:spacing w:line="219"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除专用合同条件另有约定外，竣工结算申请单应包括以下内</w:t>
      </w:r>
      <w:r>
        <w:rPr>
          <w:rFonts w:ascii="宋体" w:hAnsi="宋体" w:eastAsia="宋体" w:cs="宋体"/>
          <w:spacing w:val="-12"/>
          <w:sz w:val="22"/>
          <w:szCs w:val="22"/>
          <w:highlight w:val="none"/>
        </w:rPr>
        <w:t>容：</w:t>
      </w:r>
    </w:p>
    <w:p w14:paraId="2A42929C">
      <w:pPr>
        <w:spacing w:before="227" w:line="218" w:lineRule="auto"/>
        <w:ind w:left="529"/>
        <w:rPr>
          <w:rFonts w:ascii="宋体" w:hAnsi="宋体" w:eastAsia="宋体" w:cs="宋体"/>
          <w:sz w:val="22"/>
          <w:szCs w:val="22"/>
          <w:highlight w:val="none"/>
        </w:rPr>
      </w:pPr>
      <w:r>
        <w:rPr>
          <w:rFonts w:ascii="宋体" w:hAnsi="宋体" w:eastAsia="宋体" w:cs="宋体"/>
          <w:spacing w:val="-4"/>
          <w:sz w:val="22"/>
          <w:szCs w:val="22"/>
          <w:highlight w:val="none"/>
        </w:rPr>
        <w:t>(1)竣工结算合同价格；</w:t>
      </w:r>
    </w:p>
    <w:p w14:paraId="217D49BA">
      <w:pPr>
        <w:spacing w:line="218" w:lineRule="auto"/>
        <w:rPr>
          <w:rFonts w:ascii="宋体" w:hAnsi="宋体" w:eastAsia="宋体" w:cs="宋体"/>
          <w:sz w:val="22"/>
          <w:szCs w:val="22"/>
          <w:highlight w:val="none"/>
        </w:rPr>
        <w:sectPr>
          <w:footerReference r:id="rId130" w:type="default"/>
          <w:pgSz w:w="11910" w:h="16840"/>
          <w:pgMar w:top="400" w:right="1740" w:bottom="1197" w:left="1779" w:header="0" w:footer="993" w:gutter="0"/>
          <w:cols w:space="720" w:num="1"/>
        </w:sectPr>
      </w:pPr>
    </w:p>
    <w:p w14:paraId="4D8DC6C3">
      <w:pPr>
        <w:pStyle w:val="2"/>
        <w:spacing w:line="270" w:lineRule="auto"/>
        <w:rPr>
          <w:highlight w:val="none"/>
        </w:rPr>
      </w:pPr>
    </w:p>
    <w:p w14:paraId="7493714F">
      <w:pPr>
        <w:pStyle w:val="2"/>
        <w:spacing w:line="270" w:lineRule="auto"/>
        <w:rPr>
          <w:highlight w:val="none"/>
        </w:rPr>
      </w:pPr>
    </w:p>
    <w:p w14:paraId="77772B2A">
      <w:pPr>
        <w:pStyle w:val="2"/>
        <w:spacing w:line="270" w:lineRule="auto"/>
        <w:rPr>
          <w:highlight w:val="none"/>
        </w:rPr>
      </w:pPr>
    </w:p>
    <w:p w14:paraId="1B1AAC7B">
      <w:pPr>
        <w:pStyle w:val="2"/>
        <w:spacing w:line="271" w:lineRule="auto"/>
        <w:rPr>
          <w:highlight w:val="none"/>
        </w:rPr>
      </w:pPr>
    </w:p>
    <w:p w14:paraId="33EF81D9">
      <w:pPr>
        <w:spacing w:before="71" w:line="219" w:lineRule="auto"/>
        <w:ind w:left="530"/>
        <w:rPr>
          <w:rFonts w:ascii="宋体" w:hAnsi="宋体" w:eastAsia="宋体" w:cs="宋体"/>
          <w:sz w:val="22"/>
          <w:szCs w:val="22"/>
          <w:highlight w:val="none"/>
        </w:rPr>
      </w:pPr>
      <w:r>
        <w:rPr>
          <w:rFonts w:ascii="宋体" w:hAnsi="宋体" w:eastAsia="宋体" w:cs="宋体"/>
          <w:spacing w:val="-6"/>
          <w:sz w:val="22"/>
          <w:szCs w:val="22"/>
          <w:highlight w:val="none"/>
        </w:rPr>
        <w:t>(2)发包人已支付承包人的款项；</w:t>
      </w:r>
    </w:p>
    <w:p w14:paraId="4FAC5F3C">
      <w:pPr>
        <w:spacing w:before="209" w:line="341" w:lineRule="auto"/>
        <w:ind w:right="67" w:firstLine="530"/>
        <w:rPr>
          <w:rFonts w:ascii="宋体" w:hAnsi="宋体" w:eastAsia="宋体" w:cs="宋体"/>
          <w:sz w:val="22"/>
          <w:szCs w:val="22"/>
          <w:highlight w:val="none"/>
        </w:rPr>
      </w:pPr>
      <w:r>
        <w:rPr>
          <w:rFonts w:ascii="宋体" w:hAnsi="宋体" w:eastAsia="宋体" w:cs="宋体"/>
          <w:spacing w:val="2"/>
          <w:sz w:val="22"/>
          <w:szCs w:val="22"/>
          <w:highlight w:val="none"/>
        </w:rPr>
        <w:t>(3)采用第14.6.1项[承包人提供质量保证金的方式]第(2)种方式提供质量保证金</w:t>
      </w:r>
      <w:r>
        <w:rPr>
          <w:rFonts w:ascii="宋体" w:hAnsi="宋体" w:eastAsia="宋体" w:cs="宋体"/>
          <w:spacing w:val="4"/>
          <w:sz w:val="22"/>
          <w:szCs w:val="22"/>
          <w:highlight w:val="none"/>
        </w:rPr>
        <w:t xml:space="preserve"> </w:t>
      </w:r>
      <w:r>
        <w:rPr>
          <w:rFonts w:ascii="宋体" w:hAnsi="宋体" w:eastAsia="宋体" w:cs="宋体"/>
          <w:spacing w:val="-6"/>
          <w:sz w:val="22"/>
          <w:szCs w:val="22"/>
          <w:highlight w:val="none"/>
        </w:rPr>
        <w:t>的，应当列明应预留的质量保证金金额；采用第14.6.1项[承包人提供质量保证金的方式]</w:t>
      </w:r>
      <w:r>
        <w:rPr>
          <w:rFonts w:ascii="宋体" w:hAnsi="宋体" w:eastAsia="宋体" w:cs="宋体"/>
          <w:spacing w:val="9"/>
          <w:sz w:val="22"/>
          <w:szCs w:val="22"/>
          <w:highlight w:val="none"/>
        </w:rPr>
        <w:t xml:space="preserve"> </w:t>
      </w:r>
      <w:r>
        <w:rPr>
          <w:rFonts w:ascii="宋体" w:hAnsi="宋体" w:eastAsia="宋体" w:cs="宋体"/>
          <w:spacing w:val="-7"/>
          <w:sz w:val="22"/>
          <w:szCs w:val="22"/>
          <w:highlight w:val="none"/>
        </w:rPr>
        <w:t>中其他方式提供质量保证金的，应当按第14.6款[质量保证金]提供相关文件作为附件；</w:t>
      </w:r>
    </w:p>
    <w:p w14:paraId="5581EBE5">
      <w:pPr>
        <w:spacing w:before="237" w:line="218" w:lineRule="auto"/>
        <w:ind w:left="530"/>
        <w:rPr>
          <w:rFonts w:ascii="宋体" w:hAnsi="宋体" w:eastAsia="宋体" w:cs="宋体"/>
          <w:sz w:val="20"/>
          <w:szCs w:val="20"/>
          <w:highlight w:val="none"/>
        </w:rPr>
      </w:pPr>
      <w:r>
        <w:rPr>
          <w:rFonts w:ascii="宋体" w:hAnsi="宋体" w:eastAsia="宋体" w:cs="宋体"/>
          <w:spacing w:val="13"/>
          <w:sz w:val="20"/>
          <w:szCs w:val="20"/>
          <w:highlight w:val="none"/>
        </w:rPr>
        <w:t>(4)发包人应支付承包人的合同价款。</w:t>
      </w:r>
    </w:p>
    <w:p w14:paraId="02E57012">
      <w:pPr>
        <w:spacing w:before="96"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14.5.2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7"/>
          <w:sz w:val="22"/>
          <w:szCs w:val="22"/>
          <w:highlight w:val="none"/>
        </w:rPr>
        <w:t>竣工结算审核</w:t>
      </w:r>
    </w:p>
    <w:p w14:paraId="19322C50">
      <w:pPr>
        <w:pStyle w:val="2"/>
        <w:spacing w:line="344" w:lineRule="auto"/>
        <w:rPr>
          <w:highlight w:val="none"/>
        </w:rPr>
      </w:pPr>
    </w:p>
    <w:p w14:paraId="7BE00B3F">
      <w:pPr>
        <w:spacing w:before="72" w:line="404" w:lineRule="auto"/>
        <w:ind w:firstLine="530"/>
        <w:jc w:val="both"/>
        <w:rPr>
          <w:rFonts w:ascii="宋体" w:hAnsi="宋体" w:eastAsia="宋体" w:cs="宋体"/>
          <w:sz w:val="22"/>
          <w:szCs w:val="22"/>
          <w:highlight w:val="none"/>
        </w:rPr>
      </w:pPr>
      <w:r>
        <w:rPr>
          <w:rFonts w:ascii="宋体" w:hAnsi="宋体" w:eastAsia="宋体" w:cs="宋体"/>
          <w:spacing w:val="-6"/>
          <w:sz w:val="22"/>
          <w:szCs w:val="22"/>
          <w:highlight w:val="none"/>
        </w:rPr>
        <w:t>(1)除专用合同条件另有约定外，工程师应在收到竣工结算申请单后1</w:t>
      </w:r>
      <w:r>
        <w:rPr>
          <w:rFonts w:ascii="宋体" w:hAnsi="宋体" w:eastAsia="宋体" w:cs="宋体"/>
          <w:spacing w:val="-7"/>
          <w:sz w:val="22"/>
          <w:szCs w:val="22"/>
          <w:highlight w:val="none"/>
        </w:rPr>
        <w:t>4天内完成核查</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并报送发包人。发包人应在收到工程师提交的经审核的竣工结算申请单后14天内完成审批，</w:t>
      </w:r>
      <w:r>
        <w:rPr>
          <w:rFonts w:ascii="宋体" w:hAnsi="宋体" w:eastAsia="宋体" w:cs="宋体"/>
          <w:spacing w:val="9"/>
          <w:sz w:val="22"/>
          <w:szCs w:val="22"/>
          <w:highlight w:val="none"/>
        </w:rPr>
        <w:t xml:space="preserve"> </w:t>
      </w:r>
      <w:r>
        <w:rPr>
          <w:rFonts w:ascii="宋体" w:hAnsi="宋体" w:eastAsia="宋体" w:cs="宋体"/>
          <w:spacing w:val="-13"/>
          <w:sz w:val="22"/>
          <w:szCs w:val="22"/>
          <w:highlight w:val="none"/>
        </w:rPr>
        <w:t>并由工程师向承包人签发经发包人签认的竣工付款证书。工程师或发包人对竣工结算申请单</w:t>
      </w:r>
      <w:r>
        <w:rPr>
          <w:rFonts w:ascii="宋体" w:hAnsi="宋体" w:eastAsia="宋体" w:cs="宋体"/>
          <w:spacing w:val="9"/>
          <w:sz w:val="22"/>
          <w:szCs w:val="22"/>
          <w:highlight w:val="none"/>
        </w:rPr>
        <w:t xml:space="preserve">  </w:t>
      </w:r>
      <w:r>
        <w:rPr>
          <w:rFonts w:ascii="宋体" w:hAnsi="宋体" w:eastAsia="宋体" w:cs="宋体"/>
          <w:spacing w:val="-12"/>
          <w:sz w:val="22"/>
          <w:szCs w:val="22"/>
          <w:highlight w:val="none"/>
        </w:rPr>
        <w:t>有异议的，有权要求承包人进行修正和提供补充资料，承包人应提交修正后的竣工结算</w:t>
      </w:r>
      <w:r>
        <w:rPr>
          <w:rFonts w:ascii="宋体" w:hAnsi="宋体" w:eastAsia="宋体" w:cs="宋体"/>
          <w:spacing w:val="-13"/>
          <w:sz w:val="22"/>
          <w:szCs w:val="22"/>
          <w:highlight w:val="none"/>
        </w:rPr>
        <w:t>申请</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单。</w:t>
      </w:r>
    </w:p>
    <w:p w14:paraId="19ED776C">
      <w:pPr>
        <w:spacing w:before="2" w:line="404" w:lineRule="auto"/>
        <w:ind w:right="74" w:firstLine="430"/>
        <w:jc w:val="both"/>
        <w:rPr>
          <w:rFonts w:ascii="宋体" w:hAnsi="宋体" w:eastAsia="宋体" w:cs="宋体"/>
          <w:sz w:val="22"/>
          <w:szCs w:val="22"/>
          <w:highlight w:val="none"/>
        </w:rPr>
      </w:pPr>
      <w:r>
        <w:rPr>
          <w:rFonts w:ascii="宋体" w:hAnsi="宋体" w:eastAsia="宋体" w:cs="宋体"/>
          <w:spacing w:val="-7"/>
          <w:sz w:val="22"/>
          <w:szCs w:val="22"/>
          <w:highlight w:val="none"/>
        </w:rPr>
        <w:t>发包人在收到承包人提交竣工结算申请书后28天内未完成审批且未提出异议的，视为</w:t>
      </w:r>
      <w:r>
        <w:rPr>
          <w:rFonts w:ascii="宋体" w:hAnsi="宋体" w:eastAsia="宋体" w:cs="宋体"/>
          <w:spacing w:val="15"/>
          <w:sz w:val="22"/>
          <w:szCs w:val="22"/>
          <w:highlight w:val="none"/>
        </w:rPr>
        <w:t xml:space="preserve"> </w:t>
      </w:r>
      <w:r>
        <w:rPr>
          <w:rFonts w:ascii="宋体" w:hAnsi="宋体" w:eastAsia="宋体" w:cs="宋体"/>
          <w:spacing w:val="-12"/>
          <w:sz w:val="22"/>
          <w:szCs w:val="22"/>
          <w:highlight w:val="none"/>
        </w:rPr>
        <w:t>发包人认可承包人提交的竣工结算申请单，并自发包人收到承包人提交的竣工结算申请单后</w:t>
      </w:r>
      <w:r>
        <w:rPr>
          <w:rFonts w:ascii="宋体" w:hAnsi="宋体" w:eastAsia="宋体" w:cs="宋体"/>
          <w:spacing w:val="4"/>
          <w:sz w:val="22"/>
          <w:szCs w:val="22"/>
          <w:highlight w:val="none"/>
        </w:rPr>
        <w:t xml:space="preserve"> </w:t>
      </w:r>
      <w:r>
        <w:rPr>
          <w:rFonts w:ascii="宋体" w:hAnsi="宋体" w:eastAsia="宋体" w:cs="宋体"/>
          <w:spacing w:val="-3"/>
          <w:sz w:val="22"/>
          <w:szCs w:val="22"/>
          <w:highlight w:val="none"/>
        </w:rPr>
        <w:t>第29天起视为已签发竣工付款证书。</w:t>
      </w:r>
    </w:p>
    <w:p w14:paraId="354DF668">
      <w:pPr>
        <w:spacing w:before="7" w:line="400" w:lineRule="auto"/>
        <w:ind w:right="80" w:firstLine="530"/>
        <w:jc w:val="both"/>
        <w:rPr>
          <w:rFonts w:ascii="宋体" w:hAnsi="宋体" w:eastAsia="宋体" w:cs="宋体"/>
          <w:sz w:val="21"/>
          <w:szCs w:val="21"/>
          <w:highlight w:val="none"/>
        </w:rPr>
      </w:pPr>
      <w:r>
        <w:rPr>
          <w:rFonts w:ascii="宋体" w:hAnsi="宋体" w:eastAsia="宋体" w:cs="宋体"/>
          <w:spacing w:val="3"/>
          <w:sz w:val="21"/>
          <w:szCs w:val="21"/>
          <w:highlight w:val="none"/>
        </w:rPr>
        <w:t xml:space="preserve">(2)  除专用合同条件另有约定外，发包人应在签发竣工付款证书后的14天内，完成 </w:t>
      </w:r>
      <w:r>
        <w:rPr>
          <w:rFonts w:ascii="宋体" w:hAnsi="宋体" w:eastAsia="宋体" w:cs="宋体"/>
          <w:spacing w:val="2"/>
          <w:sz w:val="21"/>
          <w:szCs w:val="21"/>
          <w:highlight w:val="none"/>
        </w:rPr>
        <w:t>对承包人的竣工付款。发包人逾期支付的，按照贷款市场报价利率(</w:t>
      </w:r>
      <w:r>
        <w:rPr>
          <w:rFonts w:ascii="Times New Roman" w:hAnsi="Times New Roman" w:eastAsia="Times New Roman" w:cs="Times New Roman"/>
          <w:sz w:val="21"/>
          <w:szCs w:val="21"/>
          <w:highlight w:val="none"/>
        </w:rPr>
        <w:t>LPR</w:t>
      </w:r>
      <w:r>
        <w:rPr>
          <w:rFonts w:ascii="Times New Roman" w:hAnsi="Times New Roman" w:eastAsia="Times New Roman" w:cs="Times New Roman"/>
          <w:spacing w:val="2"/>
          <w:sz w:val="21"/>
          <w:szCs w:val="21"/>
          <w:highlight w:val="none"/>
        </w:rPr>
        <w:t xml:space="preserve">)  </w:t>
      </w:r>
      <w:r>
        <w:rPr>
          <w:rFonts w:ascii="宋体" w:hAnsi="宋体" w:eastAsia="宋体" w:cs="宋体"/>
          <w:spacing w:val="1"/>
          <w:sz w:val="21"/>
          <w:szCs w:val="21"/>
          <w:highlight w:val="none"/>
        </w:rPr>
        <w:t>支付违约金；逾</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期支付超过56天的，按照贷款市场报价利率</w:t>
      </w:r>
      <w:r>
        <w:rPr>
          <w:rFonts w:ascii="宋体" w:hAnsi="宋体" w:eastAsia="宋体" w:cs="宋体"/>
          <w:spacing w:val="-22"/>
          <w:sz w:val="21"/>
          <w:szCs w:val="21"/>
          <w:highlight w:val="none"/>
        </w:rPr>
        <w:t xml:space="preserve"> </w:t>
      </w:r>
      <w:r>
        <w:rPr>
          <w:rFonts w:ascii="宋体" w:hAnsi="宋体" w:eastAsia="宋体" w:cs="宋体"/>
          <w:spacing w:val="3"/>
          <w:sz w:val="21"/>
          <w:szCs w:val="21"/>
          <w:highlight w:val="none"/>
        </w:rPr>
        <w:t>(</w:t>
      </w:r>
      <w:r>
        <w:rPr>
          <w:rFonts w:ascii="Times New Roman" w:hAnsi="Times New Roman" w:eastAsia="Times New Roman" w:cs="Times New Roman"/>
          <w:sz w:val="21"/>
          <w:szCs w:val="21"/>
          <w:highlight w:val="none"/>
        </w:rPr>
        <w:t>LPR</w:t>
      </w:r>
      <w:r>
        <w:rPr>
          <w:rFonts w:ascii="Times New Roman" w:hAnsi="Times New Roman" w:eastAsia="Times New Roman" w:cs="Times New Roman"/>
          <w:spacing w:val="3"/>
          <w:sz w:val="21"/>
          <w:szCs w:val="21"/>
          <w:highlight w:val="none"/>
        </w:rPr>
        <w:t>)</w:t>
      </w:r>
      <w:r>
        <w:rPr>
          <w:rFonts w:ascii="Times New Roman" w:hAnsi="Times New Roman" w:eastAsia="Times New Roman" w:cs="Times New Roman"/>
          <w:spacing w:val="37"/>
          <w:sz w:val="21"/>
          <w:szCs w:val="21"/>
          <w:highlight w:val="none"/>
        </w:rPr>
        <w:t xml:space="preserve"> </w:t>
      </w:r>
      <w:r>
        <w:rPr>
          <w:rFonts w:ascii="宋体" w:hAnsi="宋体" w:eastAsia="宋体" w:cs="宋体"/>
          <w:spacing w:val="3"/>
          <w:sz w:val="21"/>
          <w:szCs w:val="21"/>
          <w:highlight w:val="none"/>
        </w:rPr>
        <w:t>的两倍支付违约金。</w:t>
      </w:r>
    </w:p>
    <w:p w14:paraId="5919D6F6">
      <w:pPr>
        <w:spacing w:before="44" w:line="403" w:lineRule="auto"/>
        <w:ind w:right="73" w:firstLine="530"/>
        <w:jc w:val="both"/>
        <w:rPr>
          <w:rFonts w:ascii="宋体" w:hAnsi="宋体" w:eastAsia="宋体" w:cs="宋体"/>
          <w:sz w:val="21"/>
          <w:szCs w:val="21"/>
          <w:highlight w:val="none"/>
        </w:rPr>
      </w:pPr>
      <w:r>
        <w:rPr>
          <w:rFonts w:ascii="宋体" w:hAnsi="宋体" w:eastAsia="宋体" w:cs="宋体"/>
          <w:spacing w:val="3"/>
          <w:sz w:val="21"/>
          <w:szCs w:val="21"/>
          <w:highlight w:val="none"/>
        </w:rPr>
        <w:t>(3)承包人对发包人签认的竣工付款证书有异议的，对于有异议部分应在收到发包人</w:t>
      </w:r>
      <w:r>
        <w:rPr>
          <w:rFonts w:ascii="宋体" w:hAnsi="宋体" w:eastAsia="宋体" w:cs="宋体"/>
          <w:spacing w:val="9"/>
          <w:sz w:val="21"/>
          <w:szCs w:val="21"/>
          <w:highlight w:val="none"/>
        </w:rPr>
        <w:t xml:space="preserve"> </w:t>
      </w:r>
      <w:r>
        <w:rPr>
          <w:rFonts w:ascii="宋体" w:hAnsi="宋体" w:eastAsia="宋体" w:cs="宋体"/>
          <w:spacing w:val="1"/>
          <w:sz w:val="21"/>
          <w:szCs w:val="21"/>
          <w:highlight w:val="none"/>
        </w:rPr>
        <w:t>签认的竣工付款证书后7天内提出异议，并由合</w:t>
      </w:r>
      <w:r>
        <w:rPr>
          <w:rFonts w:ascii="宋体" w:hAnsi="宋体" w:eastAsia="宋体" w:cs="宋体"/>
          <w:sz w:val="21"/>
          <w:szCs w:val="21"/>
          <w:highlight w:val="none"/>
        </w:rPr>
        <w:t xml:space="preserve">同当事人按照专用合同条件约定的方式和程 </w:t>
      </w:r>
      <w:r>
        <w:rPr>
          <w:rFonts w:ascii="宋体" w:hAnsi="宋体" w:eastAsia="宋体" w:cs="宋体"/>
          <w:spacing w:val="3"/>
          <w:sz w:val="21"/>
          <w:szCs w:val="21"/>
          <w:highlight w:val="none"/>
        </w:rPr>
        <w:t>序进行复核，或按照第20条[争议解决]约定处理。对于无异议部分，发包人应签发临时竣</w:t>
      </w:r>
      <w:r>
        <w:rPr>
          <w:rFonts w:ascii="宋体" w:hAnsi="宋体" w:eastAsia="宋体" w:cs="宋体"/>
          <w:spacing w:val="7"/>
          <w:sz w:val="21"/>
          <w:szCs w:val="21"/>
          <w:highlight w:val="none"/>
        </w:rPr>
        <w:t xml:space="preserve"> </w:t>
      </w:r>
      <w:r>
        <w:rPr>
          <w:rFonts w:ascii="宋体" w:hAnsi="宋体" w:eastAsia="宋体" w:cs="宋体"/>
          <w:spacing w:val="6"/>
          <w:sz w:val="21"/>
          <w:szCs w:val="21"/>
          <w:highlight w:val="none"/>
        </w:rPr>
        <w:t>工付款证书，并按本款第(2)项完成付款。承包人逾期未提出异议的，视为认可发包人的</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审批结果。</w:t>
      </w:r>
    </w:p>
    <w:p w14:paraId="7FA3C6A5">
      <w:pPr>
        <w:spacing w:line="220" w:lineRule="auto"/>
        <w:ind w:left="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14.5.3</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6"/>
          <w:sz w:val="22"/>
          <w:szCs w:val="22"/>
          <w:highlight w:val="none"/>
        </w:rPr>
        <w:t>扫尾工作清单</w:t>
      </w:r>
    </w:p>
    <w:p w14:paraId="4A7F0D05">
      <w:pPr>
        <w:pStyle w:val="2"/>
        <w:spacing w:line="332" w:lineRule="auto"/>
        <w:rPr>
          <w:highlight w:val="none"/>
        </w:rPr>
      </w:pPr>
    </w:p>
    <w:p w14:paraId="0CDA0BF0">
      <w:pPr>
        <w:spacing w:before="72" w:line="403" w:lineRule="auto"/>
        <w:ind w:right="51" w:firstLine="430"/>
        <w:rPr>
          <w:rFonts w:ascii="宋体" w:hAnsi="宋体" w:eastAsia="宋体" w:cs="宋体"/>
          <w:sz w:val="22"/>
          <w:szCs w:val="22"/>
          <w:highlight w:val="none"/>
        </w:rPr>
      </w:pPr>
      <w:r>
        <w:rPr>
          <w:rFonts w:ascii="宋体" w:hAnsi="宋体" w:eastAsia="宋体" w:cs="宋体"/>
          <w:spacing w:val="-12"/>
          <w:sz w:val="22"/>
          <w:szCs w:val="22"/>
          <w:highlight w:val="none"/>
        </w:rPr>
        <w:t>经双方协商，部分工作在工程竣工验收后进行的，承包人应当编制扫尾工作清单，扫尾</w:t>
      </w:r>
      <w:r>
        <w:rPr>
          <w:rFonts w:ascii="宋体" w:hAnsi="宋体" w:eastAsia="宋体" w:cs="宋体"/>
          <w:spacing w:val="13"/>
          <w:sz w:val="22"/>
          <w:szCs w:val="22"/>
          <w:highlight w:val="none"/>
        </w:rPr>
        <w:t xml:space="preserve"> </w:t>
      </w:r>
      <w:r>
        <w:rPr>
          <w:rFonts w:ascii="宋体" w:hAnsi="宋体" w:eastAsia="宋体" w:cs="宋体"/>
          <w:spacing w:val="-11"/>
          <w:sz w:val="22"/>
          <w:szCs w:val="22"/>
          <w:highlight w:val="none"/>
        </w:rPr>
        <w:t>工作清单中应当列明承包人应当完成的扫尾工作的内容及完成时间。</w:t>
      </w:r>
    </w:p>
    <w:p w14:paraId="1DB72275">
      <w:pPr>
        <w:spacing w:before="3" w:line="406" w:lineRule="auto"/>
        <w:ind w:right="78" w:firstLine="430"/>
        <w:rPr>
          <w:rFonts w:ascii="宋体" w:hAnsi="宋体" w:eastAsia="宋体" w:cs="宋体"/>
          <w:sz w:val="22"/>
          <w:szCs w:val="22"/>
          <w:highlight w:val="none"/>
        </w:rPr>
      </w:pPr>
      <w:r>
        <w:rPr>
          <w:rFonts w:ascii="宋体" w:hAnsi="宋体" w:eastAsia="宋体" w:cs="宋体"/>
          <w:spacing w:val="-6"/>
          <w:sz w:val="22"/>
          <w:szCs w:val="22"/>
          <w:highlight w:val="none"/>
        </w:rPr>
        <w:t>承包人完成扫尾工作清单中的内容应取得的费用包含在第14.5.1项[竣工结算</w:t>
      </w:r>
      <w:r>
        <w:rPr>
          <w:rFonts w:ascii="宋体" w:hAnsi="宋体" w:eastAsia="宋体" w:cs="宋体"/>
          <w:spacing w:val="-7"/>
          <w:sz w:val="22"/>
          <w:szCs w:val="22"/>
          <w:highlight w:val="none"/>
        </w:rPr>
        <w:t>申请]及</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第14.5.2项[竣工结算审核]中一并结算。</w:t>
      </w:r>
    </w:p>
    <w:p w14:paraId="6D19E9E1">
      <w:pPr>
        <w:spacing w:before="1" w:line="396" w:lineRule="auto"/>
        <w:ind w:right="79" w:firstLine="430"/>
        <w:rPr>
          <w:rFonts w:ascii="宋体" w:hAnsi="宋体" w:eastAsia="宋体" w:cs="宋体"/>
          <w:sz w:val="22"/>
          <w:szCs w:val="22"/>
          <w:highlight w:val="none"/>
        </w:rPr>
      </w:pPr>
      <w:r>
        <w:rPr>
          <w:rFonts w:ascii="宋体" w:hAnsi="宋体" w:eastAsia="宋体" w:cs="宋体"/>
          <w:spacing w:val="-6"/>
          <w:sz w:val="22"/>
          <w:szCs w:val="22"/>
          <w:highlight w:val="none"/>
        </w:rPr>
        <w:t>扫尾工作的缺陷责任期按第11条[缺陷责任与保</w:t>
      </w:r>
      <w:r>
        <w:rPr>
          <w:rFonts w:ascii="宋体" w:hAnsi="宋体" w:eastAsia="宋体" w:cs="宋体"/>
          <w:spacing w:val="-7"/>
          <w:sz w:val="22"/>
          <w:szCs w:val="22"/>
          <w:highlight w:val="none"/>
        </w:rPr>
        <w:t>修]处理。承包人未能按照扫尾工作清</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单约定的完成时间完成扫尾工作的，视为承包人原因导致的工程质量缺陷按照第11.3款[缺</w:t>
      </w:r>
    </w:p>
    <w:p w14:paraId="501D2568">
      <w:pPr>
        <w:spacing w:line="396" w:lineRule="auto"/>
        <w:rPr>
          <w:rFonts w:ascii="宋体" w:hAnsi="宋体" w:eastAsia="宋体" w:cs="宋体"/>
          <w:sz w:val="22"/>
          <w:szCs w:val="22"/>
          <w:highlight w:val="none"/>
        </w:rPr>
        <w:sectPr>
          <w:footerReference r:id="rId131" w:type="default"/>
          <w:pgSz w:w="11910" w:h="16840"/>
          <w:pgMar w:top="400" w:right="1739" w:bottom="1217" w:left="1769" w:header="0" w:footer="1013" w:gutter="0"/>
          <w:cols w:space="720" w:num="1"/>
        </w:sectPr>
      </w:pPr>
    </w:p>
    <w:p w14:paraId="6F9DCB04">
      <w:pPr>
        <w:pStyle w:val="2"/>
        <w:spacing w:line="271" w:lineRule="auto"/>
        <w:rPr>
          <w:highlight w:val="none"/>
        </w:rPr>
      </w:pPr>
    </w:p>
    <w:p w14:paraId="177D4BD9">
      <w:pPr>
        <w:pStyle w:val="2"/>
        <w:spacing w:line="272" w:lineRule="auto"/>
        <w:rPr>
          <w:highlight w:val="none"/>
        </w:rPr>
      </w:pPr>
    </w:p>
    <w:p w14:paraId="1F105D0E">
      <w:pPr>
        <w:pStyle w:val="2"/>
        <w:spacing w:line="272" w:lineRule="auto"/>
        <w:rPr>
          <w:highlight w:val="none"/>
        </w:rPr>
      </w:pPr>
    </w:p>
    <w:p w14:paraId="7A2AC24F">
      <w:pPr>
        <w:pStyle w:val="2"/>
        <w:spacing w:line="272" w:lineRule="auto"/>
        <w:rPr>
          <w:highlight w:val="none"/>
        </w:rPr>
      </w:pPr>
    </w:p>
    <w:p w14:paraId="6C760CB7">
      <w:pPr>
        <w:spacing w:before="65" w:line="220" w:lineRule="auto"/>
        <w:rPr>
          <w:rFonts w:ascii="宋体" w:hAnsi="宋体" w:eastAsia="宋体" w:cs="宋体"/>
          <w:sz w:val="20"/>
          <w:szCs w:val="20"/>
          <w:highlight w:val="none"/>
        </w:rPr>
      </w:pPr>
      <w:bookmarkStart w:id="99" w:name="bookmark228"/>
      <w:bookmarkEnd w:id="99"/>
      <w:r>
        <w:rPr>
          <w:rFonts w:ascii="宋体" w:hAnsi="宋体" w:eastAsia="宋体" w:cs="宋体"/>
          <w:spacing w:val="5"/>
          <w:sz w:val="20"/>
          <w:szCs w:val="20"/>
          <w:highlight w:val="none"/>
        </w:rPr>
        <w:t>陷调查]处理。</w:t>
      </w:r>
    </w:p>
    <w:p w14:paraId="3ACBF09F">
      <w:pPr>
        <w:pStyle w:val="2"/>
        <w:spacing w:line="328" w:lineRule="auto"/>
        <w:rPr>
          <w:highlight w:val="none"/>
        </w:rPr>
      </w:pPr>
    </w:p>
    <w:p w14:paraId="595949B8">
      <w:pPr>
        <w:spacing w:before="71" w:line="222" w:lineRule="auto"/>
        <w:rPr>
          <w:rFonts w:ascii="黑体" w:hAnsi="黑体" w:eastAsia="黑体" w:cs="黑体"/>
          <w:sz w:val="22"/>
          <w:szCs w:val="22"/>
          <w:highlight w:val="none"/>
        </w:rPr>
      </w:pPr>
      <w:r>
        <w:rPr>
          <w:rFonts w:ascii="黑体" w:hAnsi="黑体" w:eastAsia="黑体" w:cs="黑体"/>
          <w:spacing w:val="2"/>
          <w:sz w:val="22"/>
          <w:szCs w:val="22"/>
          <w:highlight w:val="none"/>
        </w:rPr>
        <w:t>14.6质量保证金</w:t>
      </w:r>
    </w:p>
    <w:p w14:paraId="77768615">
      <w:pPr>
        <w:spacing w:before="193" w:line="219" w:lineRule="auto"/>
        <w:ind w:right="2"/>
        <w:jc w:val="right"/>
        <w:rPr>
          <w:rFonts w:ascii="宋体" w:hAnsi="宋体" w:eastAsia="宋体" w:cs="宋体"/>
          <w:sz w:val="21"/>
          <w:szCs w:val="21"/>
          <w:highlight w:val="none"/>
        </w:rPr>
      </w:pPr>
      <w:r>
        <w:rPr>
          <w:rFonts w:ascii="宋体" w:hAnsi="宋体" w:eastAsia="宋体" w:cs="宋体"/>
          <w:spacing w:val="-2"/>
          <w:sz w:val="21"/>
          <w:szCs w:val="21"/>
          <w:highlight w:val="none"/>
        </w:rPr>
        <w:t>经合同当事人协商一致提供质量保证金的，应在专用合同条件中予以明确。在工程项目</w:t>
      </w:r>
    </w:p>
    <w:p w14:paraId="3C57225E">
      <w:pPr>
        <w:spacing w:before="250" w:line="219" w:lineRule="auto"/>
        <w:rPr>
          <w:rFonts w:ascii="宋体" w:hAnsi="宋体" w:eastAsia="宋体" w:cs="宋体"/>
          <w:sz w:val="21"/>
          <w:szCs w:val="21"/>
          <w:highlight w:val="none"/>
        </w:rPr>
      </w:pPr>
      <w:r>
        <w:rPr>
          <w:rFonts w:ascii="宋体" w:hAnsi="宋体" w:eastAsia="宋体" w:cs="宋体"/>
          <w:sz w:val="21"/>
          <w:szCs w:val="21"/>
          <w:highlight w:val="none"/>
        </w:rPr>
        <w:t>竣工前，承包人已经提供履约担保的，发包人不得同时要求承包人提供</w:t>
      </w:r>
      <w:r>
        <w:rPr>
          <w:rFonts w:ascii="宋体" w:hAnsi="宋体" w:eastAsia="宋体" w:cs="宋体"/>
          <w:spacing w:val="-1"/>
          <w:sz w:val="21"/>
          <w:szCs w:val="21"/>
          <w:highlight w:val="none"/>
        </w:rPr>
        <w:t>质量保证金。</w:t>
      </w:r>
    </w:p>
    <w:p w14:paraId="56A57061">
      <w:pPr>
        <w:spacing w:before="101"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14.6.1   </w:t>
      </w:r>
      <w:r>
        <w:rPr>
          <w:rFonts w:ascii="宋体" w:hAnsi="宋体" w:eastAsia="宋体" w:cs="宋体"/>
          <w:spacing w:val="-5"/>
          <w:sz w:val="22"/>
          <w:szCs w:val="22"/>
          <w:highlight w:val="none"/>
        </w:rPr>
        <w:t>承包人提供质量保证金的方式</w:t>
      </w:r>
    </w:p>
    <w:p w14:paraId="41427422">
      <w:pPr>
        <w:pStyle w:val="2"/>
        <w:spacing w:line="355" w:lineRule="auto"/>
        <w:rPr>
          <w:highlight w:val="none"/>
        </w:rPr>
      </w:pPr>
    </w:p>
    <w:p w14:paraId="357C96AC">
      <w:pPr>
        <w:spacing w:before="72" w:line="219" w:lineRule="auto"/>
        <w:ind w:left="420"/>
        <w:rPr>
          <w:rFonts w:ascii="宋体" w:hAnsi="宋体" w:eastAsia="宋体" w:cs="宋体"/>
          <w:sz w:val="22"/>
          <w:szCs w:val="22"/>
          <w:highlight w:val="none"/>
        </w:rPr>
      </w:pPr>
      <w:r>
        <w:rPr>
          <w:rFonts w:ascii="宋体" w:hAnsi="宋体" w:eastAsia="宋体" w:cs="宋体"/>
          <w:spacing w:val="-12"/>
          <w:sz w:val="22"/>
          <w:szCs w:val="22"/>
          <w:highlight w:val="none"/>
        </w:rPr>
        <w:t>承包人提供质量保证金有以下三种方式：</w:t>
      </w:r>
    </w:p>
    <w:p w14:paraId="1931DC72">
      <w:pPr>
        <w:spacing w:before="221" w:line="220" w:lineRule="auto"/>
        <w:ind w:left="529"/>
        <w:rPr>
          <w:rFonts w:ascii="宋体" w:hAnsi="宋体" w:eastAsia="宋体" w:cs="宋体"/>
          <w:sz w:val="22"/>
          <w:szCs w:val="22"/>
          <w:highlight w:val="none"/>
        </w:rPr>
      </w:pPr>
      <w:r>
        <w:rPr>
          <w:rFonts w:ascii="宋体" w:hAnsi="宋体" w:eastAsia="宋体" w:cs="宋体"/>
          <w:spacing w:val="-4"/>
          <w:sz w:val="22"/>
          <w:szCs w:val="22"/>
          <w:highlight w:val="none"/>
        </w:rPr>
        <w:t>(1)提交工程质量保证担保；</w:t>
      </w:r>
    </w:p>
    <w:p w14:paraId="19F62C6B">
      <w:pPr>
        <w:spacing w:before="218" w:line="220" w:lineRule="auto"/>
        <w:ind w:left="529"/>
        <w:rPr>
          <w:rFonts w:ascii="宋体" w:hAnsi="宋体" w:eastAsia="宋体" w:cs="宋体"/>
          <w:sz w:val="22"/>
          <w:szCs w:val="22"/>
          <w:highlight w:val="none"/>
        </w:rPr>
      </w:pPr>
      <w:r>
        <w:rPr>
          <w:rFonts w:ascii="宋体" w:hAnsi="宋体" w:eastAsia="宋体" w:cs="宋体"/>
          <w:spacing w:val="-4"/>
          <w:sz w:val="22"/>
          <w:szCs w:val="22"/>
          <w:highlight w:val="none"/>
        </w:rPr>
        <w:t>(2)预留相应比例的工程款；</w:t>
      </w:r>
    </w:p>
    <w:p w14:paraId="2E9F6FDA">
      <w:pPr>
        <w:spacing w:before="227" w:line="220" w:lineRule="auto"/>
        <w:ind w:left="529"/>
        <w:rPr>
          <w:rFonts w:ascii="宋体" w:hAnsi="宋体" w:eastAsia="宋体" w:cs="宋体"/>
          <w:sz w:val="20"/>
          <w:szCs w:val="20"/>
          <w:highlight w:val="none"/>
        </w:rPr>
      </w:pPr>
      <w:r>
        <w:rPr>
          <w:rFonts w:ascii="宋体" w:hAnsi="宋体" w:eastAsia="宋体" w:cs="宋体"/>
          <w:spacing w:val="14"/>
          <w:sz w:val="20"/>
          <w:szCs w:val="20"/>
          <w:highlight w:val="none"/>
        </w:rPr>
        <w:t>(3)双方约定的其他方式。</w:t>
      </w:r>
    </w:p>
    <w:p w14:paraId="0CC6C0AF">
      <w:pPr>
        <w:spacing w:before="242" w:line="387" w:lineRule="auto"/>
        <w:ind w:right="4" w:firstLine="420"/>
        <w:jc w:val="both"/>
        <w:rPr>
          <w:rFonts w:ascii="宋体" w:hAnsi="宋体" w:eastAsia="宋体" w:cs="宋体"/>
          <w:sz w:val="21"/>
          <w:szCs w:val="21"/>
          <w:highlight w:val="none"/>
        </w:rPr>
      </w:pPr>
      <w:r>
        <w:rPr>
          <w:rFonts w:ascii="宋体" w:hAnsi="宋体" w:eastAsia="宋体" w:cs="宋体"/>
          <w:spacing w:val="6"/>
          <w:sz w:val="21"/>
          <w:szCs w:val="21"/>
          <w:highlight w:val="none"/>
        </w:rPr>
        <w:t>除专用合同条件另有约定外，质量保证金原则上采用上述第(1)种方式，</w:t>
      </w:r>
      <w:r>
        <w:rPr>
          <w:rFonts w:ascii="宋体" w:hAnsi="宋体" w:eastAsia="宋体" w:cs="宋体"/>
          <w:spacing w:val="5"/>
          <w:sz w:val="21"/>
          <w:szCs w:val="21"/>
          <w:highlight w:val="none"/>
        </w:rPr>
        <w:t>且承包人应</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在工程竣工验收合格后7天内，向发包人提交工程质量保证担保。承包人提交工程质量保证</w:t>
      </w:r>
      <w:r>
        <w:rPr>
          <w:rFonts w:ascii="宋体" w:hAnsi="宋体" w:eastAsia="宋体" w:cs="宋体"/>
          <w:spacing w:val="3"/>
          <w:sz w:val="21"/>
          <w:szCs w:val="21"/>
          <w:highlight w:val="none"/>
        </w:rPr>
        <w:t xml:space="preserve"> 担保时，发包人应同时返还预留的作为质量保证金的工程价款(如有)。但不论承包</w:t>
      </w:r>
      <w:r>
        <w:rPr>
          <w:rFonts w:ascii="宋体" w:hAnsi="宋体" w:eastAsia="宋体" w:cs="宋体"/>
          <w:spacing w:val="2"/>
          <w:sz w:val="21"/>
          <w:szCs w:val="21"/>
          <w:highlight w:val="none"/>
        </w:rPr>
        <w:t>人以何</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种方式提供质量保证金，累计金额均不得高于工程价款</w:t>
      </w:r>
      <w:r>
        <w:rPr>
          <w:rFonts w:ascii="宋体" w:hAnsi="宋体" w:eastAsia="宋体" w:cs="宋体"/>
          <w:sz w:val="21"/>
          <w:szCs w:val="21"/>
          <w:highlight w:val="none"/>
        </w:rPr>
        <w:t>结算总额的3%。</w:t>
      </w:r>
    </w:p>
    <w:p w14:paraId="3D276063">
      <w:pPr>
        <w:spacing w:line="220"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14.6.2</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6"/>
          <w:sz w:val="22"/>
          <w:szCs w:val="22"/>
          <w:highlight w:val="none"/>
        </w:rPr>
        <w:t>质量保证金的预留</w:t>
      </w:r>
    </w:p>
    <w:p w14:paraId="5B1B7ABA">
      <w:pPr>
        <w:pStyle w:val="2"/>
        <w:spacing w:line="363" w:lineRule="auto"/>
        <w:rPr>
          <w:highlight w:val="none"/>
        </w:rPr>
      </w:pPr>
    </w:p>
    <w:p w14:paraId="413C917E">
      <w:pPr>
        <w:spacing w:before="72" w:line="406" w:lineRule="auto"/>
        <w:ind w:right="29" w:firstLine="420"/>
        <w:rPr>
          <w:rFonts w:ascii="宋体" w:hAnsi="宋体" w:eastAsia="宋体" w:cs="宋体"/>
          <w:sz w:val="22"/>
          <w:szCs w:val="22"/>
          <w:highlight w:val="none"/>
        </w:rPr>
      </w:pPr>
      <w:r>
        <w:rPr>
          <w:rFonts w:ascii="宋体" w:hAnsi="宋体" w:eastAsia="宋体" w:cs="宋体"/>
          <w:spacing w:val="-12"/>
          <w:sz w:val="22"/>
          <w:szCs w:val="22"/>
          <w:highlight w:val="none"/>
        </w:rPr>
        <w:t>双方约定采用预留相应比例的工程款方式提供质量保证金的</w:t>
      </w:r>
      <w:r>
        <w:rPr>
          <w:rFonts w:ascii="宋体" w:hAnsi="宋体" w:eastAsia="宋体" w:cs="宋体"/>
          <w:spacing w:val="-13"/>
          <w:sz w:val="22"/>
          <w:szCs w:val="22"/>
          <w:highlight w:val="none"/>
        </w:rPr>
        <w:t>，质量保证金的预留有以下</w:t>
      </w:r>
      <w:r>
        <w:rPr>
          <w:rFonts w:ascii="宋体" w:hAnsi="宋体" w:eastAsia="宋体" w:cs="宋体"/>
          <w:sz w:val="22"/>
          <w:szCs w:val="22"/>
          <w:highlight w:val="none"/>
        </w:rPr>
        <w:t xml:space="preserve"> </w:t>
      </w:r>
      <w:r>
        <w:rPr>
          <w:rFonts w:ascii="宋体" w:hAnsi="宋体" w:eastAsia="宋体" w:cs="宋体"/>
          <w:spacing w:val="-15"/>
          <w:sz w:val="22"/>
          <w:szCs w:val="22"/>
          <w:highlight w:val="none"/>
        </w:rPr>
        <w:t>三种方式：</w:t>
      </w:r>
    </w:p>
    <w:p w14:paraId="1FC3E0F6">
      <w:pPr>
        <w:spacing w:before="3" w:line="353" w:lineRule="auto"/>
        <w:ind w:right="25" w:firstLine="529"/>
        <w:rPr>
          <w:rFonts w:ascii="宋体" w:hAnsi="宋体" w:eastAsia="宋体" w:cs="宋体"/>
          <w:sz w:val="21"/>
          <w:szCs w:val="21"/>
          <w:highlight w:val="none"/>
        </w:rPr>
      </w:pPr>
      <w:r>
        <w:rPr>
          <w:rFonts w:ascii="宋体" w:hAnsi="宋体" w:eastAsia="宋体" w:cs="宋体"/>
          <w:spacing w:val="3"/>
          <w:sz w:val="21"/>
          <w:szCs w:val="21"/>
          <w:highlight w:val="none"/>
        </w:rPr>
        <w:t>(1)按专用合同条件的约定在支付工程进度款时逐次预留，直至预留的质量保证金总</w:t>
      </w:r>
      <w:r>
        <w:rPr>
          <w:rFonts w:ascii="宋体" w:hAnsi="宋体" w:eastAsia="宋体" w:cs="宋体"/>
          <w:spacing w:val="7"/>
          <w:sz w:val="21"/>
          <w:szCs w:val="21"/>
          <w:highlight w:val="none"/>
        </w:rPr>
        <w:t xml:space="preserve"> </w:t>
      </w:r>
      <w:r>
        <w:rPr>
          <w:rFonts w:ascii="宋体" w:hAnsi="宋体" w:eastAsia="宋体" w:cs="宋体"/>
          <w:spacing w:val="-2"/>
          <w:sz w:val="21"/>
          <w:szCs w:val="21"/>
          <w:highlight w:val="none"/>
        </w:rPr>
        <w:t>额达到专用合同条件约定的金额或比例为止。在此情形下，质</w:t>
      </w:r>
      <w:r>
        <w:rPr>
          <w:rFonts w:ascii="宋体" w:hAnsi="宋体" w:eastAsia="宋体" w:cs="宋体"/>
          <w:spacing w:val="-3"/>
          <w:sz w:val="21"/>
          <w:szCs w:val="21"/>
          <w:highlight w:val="none"/>
        </w:rPr>
        <w:t>量保证金的计算基数不包括预</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付款的支付、扣回以及价格调整的金额；</w:t>
      </w:r>
    </w:p>
    <w:p w14:paraId="724A4E6A">
      <w:pPr>
        <w:spacing w:before="244" w:line="219"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(2)工程竣工结算时一次性预留质量保证金；</w:t>
      </w:r>
    </w:p>
    <w:p w14:paraId="4C34C779">
      <w:pPr>
        <w:spacing w:before="233" w:line="220" w:lineRule="auto"/>
        <w:ind w:left="529"/>
        <w:rPr>
          <w:rFonts w:ascii="宋体" w:hAnsi="宋体" w:eastAsia="宋体" w:cs="宋体"/>
          <w:sz w:val="20"/>
          <w:szCs w:val="20"/>
          <w:highlight w:val="none"/>
        </w:rPr>
      </w:pPr>
      <w:r>
        <w:rPr>
          <w:rFonts w:ascii="宋体" w:hAnsi="宋体" w:eastAsia="宋体" w:cs="宋体"/>
          <w:spacing w:val="13"/>
          <w:sz w:val="20"/>
          <w:szCs w:val="20"/>
          <w:highlight w:val="none"/>
        </w:rPr>
        <w:t>(3)双方约定的其他预留方式。</w:t>
      </w:r>
    </w:p>
    <w:p w14:paraId="47997C85">
      <w:pPr>
        <w:spacing w:before="230" w:line="394" w:lineRule="auto"/>
        <w:ind w:right="24" w:firstLine="420"/>
        <w:jc w:val="both"/>
        <w:rPr>
          <w:rFonts w:ascii="宋体" w:hAnsi="宋体" w:eastAsia="宋体" w:cs="宋体"/>
          <w:sz w:val="21"/>
          <w:szCs w:val="21"/>
          <w:highlight w:val="none"/>
        </w:rPr>
      </w:pPr>
      <w:r>
        <w:rPr>
          <w:rFonts w:ascii="宋体" w:hAnsi="宋体" w:eastAsia="宋体" w:cs="宋体"/>
          <w:spacing w:val="6"/>
          <w:sz w:val="21"/>
          <w:szCs w:val="21"/>
          <w:highlight w:val="none"/>
        </w:rPr>
        <w:t>除专用合同条件另有约定外，质量保证金的预留原则上采用上述第(1)种方</w:t>
      </w:r>
      <w:r>
        <w:rPr>
          <w:rFonts w:ascii="宋体" w:hAnsi="宋体" w:eastAsia="宋体" w:cs="宋体"/>
          <w:spacing w:val="5"/>
          <w:sz w:val="21"/>
          <w:szCs w:val="21"/>
          <w:highlight w:val="none"/>
        </w:rPr>
        <w:t>式。如承</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包人在发包人签发竣工付款证书后28天内提交工程质量保证担保，发包人应同时返还预留</w:t>
      </w:r>
      <w:r>
        <w:rPr>
          <w:rFonts w:ascii="宋体" w:hAnsi="宋体" w:eastAsia="宋体" w:cs="宋体"/>
          <w:spacing w:val="8"/>
          <w:sz w:val="21"/>
          <w:szCs w:val="21"/>
          <w:highlight w:val="none"/>
        </w:rPr>
        <w:t xml:space="preserve"> </w:t>
      </w:r>
      <w:r>
        <w:rPr>
          <w:rFonts w:ascii="宋体" w:hAnsi="宋体" w:eastAsia="宋体" w:cs="宋体"/>
          <w:spacing w:val="-2"/>
          <w:sz w:val="21"/>
          <w:szCs w:val="21"/>
          <w:highlight w:val="none"/>
        </w:rPr>
        <w:t>的作为质量保证金的工程价款。发包人在返还本条款项下的质量</w:t>
      </w:r>
      <w:r>
        <w:rPr>
          <w:rFonts w:ascii="宋体" w:hAnsi="宋体" w:eastAsia="宋体" w:cs="宋体"/>
          <w:spacing w:val="-3"/>
          <w:sz w:val="21"/>
          <w:szCs w:val="21"/>
          <w:highlight w:val="none"/>
        </w:rPr>
        <w:t>保证金的同时，按照中国人</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民银行同期同类存款基准利率支付利息。</w:t>
      </w:r>
    </w:p>
    <w:p w14:paraId="0C625BCA">
      <w:pPr>
        <w:spacing w:line="220"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14.6.3质量保证金的返还</w:t>
      </w:r>
    </w:p>
    <w:p w14:paraId="2B4CE47A">
      <w:pPr>
        <w:pStyle w:val="2"/>
        <w:spacing w:line="358" w:lineRule="auto"/>
        <w:rPr>
          <w:highlight w:val="none"/>
        </w:rPr>
      </w:pPr>
    </w:p>
    <w:p w14:paraId="39CFE781">
      <w:pPr>
        <w:spacing w:before="65" w:line="463" w:lineRule="auto"/>
        <w:ind w:right="33" w:firstLine="420"/>
        <w:rPr>
          <w:rFonts w:ascii="宋体" w:hAnsi="宋体" w:eastAsia="宋体" w:cs="宋体"/>
          <w:sz w:val="20"/>
          <w:szCs w:val="20"/>
          <w:highlight w:val="none"/>
        </w:rPr>
      </w:pPr>
      <w:r>
        <w:rPr>
          <w:rFonts w:ascii="宋体" w:hAnsi="宋体" w:eastAsia="宋体" w:cs="宋体"/>
          <w:spacing w:val="13"/>
          <w:sz w:val="20"/>
          <w:szCs w:val="20"/>
          <w:highlight w:val="none"/>
        </w:rPr>
        <w:t>缺陷责任期内，承包人认真履行合同约定的责</w:t>
      </w:r>
      <w:r>
        <w:rPr>
          <w:rFonts w:ascii="宋体" w:hAnsi="宋体" w:eastAsia="宋体" w:cs="宋体"/>
          <w:spacing w:val="12"/>
          <w:sz w:val="20"/>
          <w:szCs w:val="20"/>
          <w:highlight w:val="none"/>
        </w:rPr>
        <w:t>任，缺陷责任期满，发包人根据第11.6</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款[缺陷责任期终止证书]向承包人颁发缺陷责</w:t>
      </w:r>
      <w:r>
        <w:rPr>
          <w:rFonts w:ascii="宋体" w:hAnsi="宋体" w:eastAsia="宋体" w:cs="宋体"/>
          <w:spacing w:val="7"/>
          <w:sz w:val="20"/>
          <w:szCs w:val="20"/>
          <w:highlight w:val="none"/>
        </w:rPr>
        <w:t>任期终止证书后，承包人可向发包人申请返还</w:t>
      </w:r>
    </w:p>
    <w:p w14:paraId="47507392">
      <w:pPr>
        <w:spacing w:line="463" w:lineRule="auto"/>
        <w:rPr>
          <w:rFonts w:ascii="宋体" w:hAnsi="宋体" w:eastAsia="宋体" w:cs="宋体"/>
          <w:sz w:val="20"/>
          <w:szCs w:val="20"/>
          <w:highlight w:val="none"/>
        </w:rPr>
        <w:sectPr>
          <w:footerReference r:id="rId132" w:type="default"/>
          <w:pgSz w:w="11910" w:h="16840"/>
          <w:pgMar w:top="400" w:right="1786" w:bottom="1169" w:left="1779" w:header="0" w:footer="1028" w:gutter="0"/>
          <w:cols w:space="720" w:num="1"/>
        </w:sectPr>
      </w:pPr>
    </w:p>
    <w:p w14:paraId="3BBA2F4A">
      <w:pPr>
        <w:pStyle w:val="2"/>
        <w:spacing w:line="267" w:lineRule="auto"/>
        <w:rPr>
          <w:highlight w:val="none"/>
        </w:rPr>
      </w:pPr>
    </w:p>
    <w:p w14:paraId="33401654">
      <w:pPr>
        <w:pStyle w:val="2"/>
        <w:spacing w:line="268" w:lineRule="auto"/>
        <w:rPr>
          <w:highlight w:val="none"/>
        </w:rPr>
      </w:pPr>
    </w:p>
    <w:p w14:paraId="2D8D7F8E">
      <w:pPr>
        <w:pStyle w:val="2"/>
        <w:spacing w:line="268" w:lineRule="auto"/>
        <w:rPr>
          <w:highlight w:val="none"/>
        </w:rPr>
      </w:pPr>
    </w:p>
    <w:p w14:paraId="6DA3E7CB">
      <w:pPr>
        <w:pStyle w:val="2"/>
        <w:spacing w:line="268" w:lineRule="auto"/>
        <w:rPr>
          <w:highlight w:val="none"/>
        </w:rPr>
      </w:pPr>
    </w:p>
    <w:p w14:paraId="691E0D00">
      <w:pPr>
        <w:spacing w:before="72" w:line="220" w:lineRule="auto"/>
        <w:rPr>
          <w:rFonts w:ascii="宋体" w:hAnsi="宋体" w:eastAsia="宋体" w:cs="宋体"/>
          <w:sz w:val="22"/>
          <w:szCs w:val="22"/>
          <w:highlight w:val="none"/>
        </w:rPr>
      </w:pPr>
      <w:r>
        <w:rPr>
          <w:rFonts w:ascii="宋体" w:hAnsi="宋体" w:eastAsia="宋体" w:cs="宋体"/>
          <w:spacing w:val="-13"/>
          <w:sz w:val="22"/>
          <w:szCs w:val="22"/>
          <w:highlight w:val="none"/>
        </w:rPr>
        <w:t>质量保证金。</w:t>
      </w:r>
    </w:p>
    <w:p w14:paraId="520E0984">
      <w:pPr>
        <w:spacing w:before="215" w:line="403" w:lineRule="auto"/>
        <w:ind w:right="40" w:firstLine="420"/>
        <w:jc w:val="both"/>
        <w:rPr>
          <w:rFonts w:ascii="宋体" w:hAnsi="宋体" w:eastAsia="宋体" w:cs="宋体"/>
          <w:sz w:val="22"/>
          <w:szCs w:val="22"/>
          <w:highlight w:val="none"/>
        </w:rPr>
      </w:pPr>
      <w:r>
        <w:rPr>
          <w:rFonts w:ascii="宋体" w:hAnsi="宋体" w:eastAsia="宋体" w:cs="宋体"/>
          <w:spacing w:val="-9"/>
          <w:sz w:val="22"/>
          <w:szCs w:val="22"/>
          <w:highlight w:val="none"/>
        </w:rPr>
        <w:t>发包人在接到承包人返还质量保证金申请后，应于7天内将质量</w:t>
      </w:r>
      <w:r>
        <w:rPr>
          <w:rFonts w:ascii="宋体" w:hAnsi="宋体" w:eastAsia="宋体" w:cs="宋体"/>
          <w:spacing w:val="-10"/>
          <w:sz w:val="22"/>
          <w:szCs w:val="22"/>
          <w:highlight w:val="none"/>
        </w:rPr>
        <w:t>保证金返还承包人，逾</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期未返还的，应承担违约责任。发包人在接到承包人返还质量保证金申请后7天内不予答复，</w:t>
      </w:r>
      <w:r>
        <w:rPr>
          <w:rFonts w:ascii="宋体" w:hAnsi="宋体" w:eastAsia="宋体" w:cs="宋体"/>
          <w:spacing w:val="2"/>
          <w:sz w:val="22"/>
          <w:szCs w:val="22"/>
          <w:highlight w:val="none"/>
        </w:rPr>
        <w:t xml:space="preserve"> </w:t>
      </w:r>
      <w:r>
        <w:rPr>
          <w:rFonts w:ascii="宋体" w:hAnsi="宋体" w:eastAsia="宋体" w:cs="宋体"/>
          <w:spacing w:val="-10"/>
          <w:sz w:val="22"/>
          <w:szCs w:val="22"/>
          <w:highlight w:val="none"/>
        </w:rPr>
        <w:t>视同认可承包人的返还质量保证金申请。</w:t>
      </w:r>
    </w:p>
    <w:p w14:paraId="694F278B">
      <w:pPr>
        <w:spacing w:line="397" w:lineRule="auto"/>
        <w:ind w:right="91" w:firstLine="420"/>
        <w:rPr>
          <w:rFonts w:ascii="宋体" w:hAnsi="宋体" w:eastAsia="宋体" w:cs="宋体"/>
          <w:sz w:val="22"/>
          <w:szCs w:val="22"/>
          <w:highlight w:val="none"/>
        </w:rPr>
      </w:pPr>
      <w:r>
        <w:rPr>
          <w:rFonts w:ascii="宋体" w:hAnsi="宋体" w:eastAsia="宋体" w:cs="宋体"/>
          <w:spacing w:val="-12"/>
          <w:sz w:val="22"/>
          <w:szCs w:val="22"/>
          <w:highlight w:val="none"/>
        </w:rPr>
        <w:t>发包人和承包人对质量保证金预留、返还以及工程维修质量、费用有争议的，按本合同</w:t>
      </w:r>
      <w:r>
        <w:rPr>
          <w:rFonts w:ascii="宋体" w:hAnsi="宋体" w:eastAsia="宋体" w:cs="宋体"/>
          <w:spacing w:val="3"/>
          <w:sz w:val="22"/>
          <w:szCs w:val="22"/>
          <w:highlight w:val="none"/>
        </w:rPr>
        <w:t xml:space="preserve"> </w:t>
      </w:r>
      <w:r>
        <w:rPr>
          <w:rFonts w:ascii="宋体" w:hAnsi="宋体" w:eastAsia="宋体" w:cs="宋体"/>
          <w:spacing w:val="-6"/>
          <w:sz w:val="22"/>
          <w:szCs w:val="22"/>
          <w:highlight w:val="none"/>
        </w:rPr>
        <w:t>第20条[争议解决]约定的争议和纠纷解决程序处理。</w:t>
      </w:r>
    </w:p>
    <w:p w14:paraId="3D8883C4">
      <w:pPr>
        <w:spacing w:before="203" w:line="223" w:lineRule="auto"/>
        <w:rPr>
          <w:rFonts w:ascii="黑体" w:hAnsi="黑体" w:eastAsia="黑体" w:cs="黑体"/>
          <w:sz w:val="19"/>
          <w:szCs w:val="19"/>
          <w:highlight w:val="none"/>
        </w:rPr>
      </w:pPr>
      <w:r>
        <w:rPr>
          <w:rFonts w:ascii="黑体" w:hAnsi="黑体" w:eastAsia="黑体" w:cs="黑体"/>
          <w:spacing w:val="15"/>
          <w:sz w:val="19"/>
          <w:szCs w:val="19"/>
          <w:highlight w:val="none"/>
        </w:rPr>
        <w:t>14</w:t>
      </w:r>
      <w:r>
        <w:rPr>
          <w:rFonts w:ascii="黑体" w:hAnsi="黑体" w:eastAsia="黑体" w:cs="黑体"/>
          <w:spacing w:val="-46"/>
          <w:sz w:val="19"/>
          <w:szCs w:val="19"/>
          <w:highlight w:val="none"/>
        </w:rPr>
        <w:t xml:space="preserve"> </w:t>
      </w:r>
      <w:r>
        <w:rPr>
          <w:rFonts w:ascii="黑体" w:hAnsi="黑体" w:eastAsia="黑体" w:cs="黑体"/>
          <w:spacing w:val="15"/>
          <w:sz w:val="19"/>
          <w:szCs w:val="19"/>
          <w:highlight w:val="none"/>
        </w:rPr>
        <w:t>.</w:t>
      </w:r>
      <w:r>
        <w:rPr>
          <w:rFonts w:ascii="黑体" w:hAnsi="黑体" w:eastAsia="黑体" w:cs="黑体"/>
          <w:spacing w:val="-54"/>
          <w:sz w:val="19"/>
          <w:szCs w:val="19"/>
          <w:highlight w:val="none"/>
        </w:rPr>
        <w:t xml:space="preserve"> </w:t>
      </w:r>
      <w:r>
        <w:rPr>
          <w:rFonts w:ascii="黑体" w:hAnsi="黑体" w:eastAsia="黑体" w:cs="黑体"/>
          <w:spacing w:val="15"/>
          <w:sz w:val="19"/>
          <w:szCs w:val="19"/>
          <w:highlight w:val="none"/>
        </w:rPr>
        <w:t>7最终结清</w:t>
      </w:r>
    </w:p>
    <w:p w14:paraId="58F4B717">
      <w:pPr>
        <w:spacing w:before="120" w:line="219" w:lineRule="auto"/>
        <w:ind w:left="420"/>
        <w:rPr>
          <w:rFonts w:ascii="宋体" w:hAnsi="宋体" w:eastAsia="宋体" w:cs="宋体"/>
          <w:sz w:val="20"/>
          <w:szCs w:val="20"/>
          <w:highlight w:val="none"/>
        </w:rPr>
      </w:pPr>
      <w:r>
        <w:rPr>
          <w:rFonts w:ascii="宋体" w:hAnsi="宋体" w:eastAsia="宋体" w:cs="宋体"/>
          <w:spacing w:val="12"/>
          <w:sz w:val="20"/>
          <w:szCs w:val="20"/>
          <w:highlight w:val="none"/>
        </w:rPr>
        <w:t>14.7.</w:t>
      </w:r>
      <w:r>
        <w:rPr>
          <w:rFonts w:ascii="宋体" w:hAnsi="宋体" w:eastAsia="宋体" w:cs="宋体"/>
          <w:spacing w:val="-59"/>
          <w:sz w:val="20"/>
          <w:szCs w:val="20"/>
          <w:highlight w:val="none"/>
        </w:rPr>
        <w:t xml:space="preserve"> </w:t>
      </w:r>
      <w:r>
        <w:rPr>
          <w:rFonts w:ascii="宋体" w:hAnsi="宋体" w:eastAsia="宋体" w:cs="宋体"/>
          <w:spacing w:val="12"/>
          <w:sz w:val="20"/>
          <w:szCs w:val="20"/>
          <w:highlight w:val="none"/>
        </w:rPr>
        <w:t>1最终结清申请单</w:t>
      </w:r>
    </w:p>
    <w:p w14:paraId="4093A9FE">
      <w:pPr>
        <w:pStyle w:val="2"/>
        <w:spacing w:line="339" w:lineRule="auto"/>
        <w:rPr>
          <w:highlight w:val="none"/>
        </w:rPr>
      </w:pPr>
    </w:p>
    <w:p w14:paraId="7DBC4B42">
      <w:pPr>
        <w:spacing w:before="71" w:line="407" w:lineRule="auto"/>
        <w:ind w:right="98" w:firstLine="529"/>
        <w:rPr>
          <w:rFonts w:ascii="宋体" w:hAnsi="宋体" w:eastAsia="宋体" w:cs="宋体"/>
          <w:sz w:val="22"/>
          <w:szCs w:val="22"/>
          <w:highlight w:val="none"/>
        </w:rPr>
      </w:pPr>
      <w:r>
        <w:rPr>
          <w:rFonts w:ascii="宋体" w:hAnsi="宋体" w:eastAsia="宋体" w:cs="宋体"/>
          <w:spacing w:val="-3"/>
          <w:sz w:val="22"/>
          <w:szCs w:val="22"/>
          <w:highlight w:val="none"/>
        </w:rPr>
        <w:t>(1)除专用合同条件另有约定外，承包人应在缺陷</w:t>
      </w:r>
      <w:r>
        <w:rPr>
          <w:rFonts w:ascii="宋体" w:hAnsi="宋体" w:eastAsia="宋体" w:cs="宋体"/>
          <w:spacing w:val="-4"/>
          <w:sz w:val="22"/>
          <w:szCs w:val="22"/>
          <w:highlight w:val="none"/>
        </w:rPr>
        <w:t>责任期终止证书颁发后7天内，按</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专用合同条件约定的份数向发包人提交最终结清申请单，并提供相关证明材料。</w:t>
      </w:r>
    </w:p>
    <w:p w14:paraId="007EF5BB">
      <w:pPr>
        <w:spacing w:before="1" w:line="417" w:lineRule="auto"/>
        <w:ind w:right="25" w:firstLine="420"/>
        <w:rPr>
          <w:rFonts w:ascii="宋体" w:hAnsi="宋体" w:eastAsia="宋体" w:cs="宋体"/>
          <w:sz w:val="21"/>
          <w:szCs w:val="21"/>
          <w:highlight w:val="none"/>
        </w:rPr>
      </w:pPr>
      <w:r>
        <w:rPr>
          <w:rFonts w:ascii="宋体" w:hAnsi="宋体" w:eastAsia="宋体" w:cs="宋体"/>
          <w:spacing w:val="-6"/>
          <w:sz w:val="21"/>
          <w:szCs w:val="21"/>
          <w:highlight w:val="none"/>
        </w:rPr>
        <w:t>除专用合同条件另有约定外，最终结清申请单应列明质量保证金、应扣除的质量保证金、</w:t>
      </w:r>
      <w:r>
        <w:rPr>
          <w:rFonts w:ascii="宋体" w:hAnsi="宋体" w:eastAsia="宋体" w:cs="宋体"/>
          <w:spacing w:val="18"/>
          <w:sz w:val="21"/>
          <w:szCs w:val="21"/>
          <w:highlight w:val="none"/>
        </w:rPr>
        <w:t xml:space="preserve"> </w:t>
      </w:r>
      <w:r>
        <w:rPr>
          <w:rFonts w:ascii="宋体" w:hAnsi="宋体" w:eastAsia="宋体" w:cs="宋体"/>
          <w:spacing w:val="-3"/>
          <w:sz w:val="21"/>
          <w:szCs w:val="21"/>
          <w:highlight w:val="none"/>
        </w:rPr>
        <w:t>缺陷责任期内发生的增减费用。</w:t>
      </w:r>
    </w:p>
    <w:p w14:paraId="0DC045FA">
      <w:pPr>
        <w:spacing w:before="1" w:line="382" w:lineRule="auto"/>
        <w:ind w:right="94" w:firstLine="529"/>
        <w:rPr>
          <w:rFonts w:ascii="宋体" w:hAnsi="宋体" w:eastAsia="宋体" w:cs="宋体"/>
          <w:sz w:val="21"/>
          <w:szCs w:val="21"/>
          <w:highlight w:val="none"/>
        </w:rPr>
      </w:pPr>
      <w:r>
        <w:rPr>
          <w:rFonts w:ascii="宋体" w:hAnsi="宋体" w:eastAsia="宋体" w:cs="宋体"/>
          <w:spacing w:val="3"/>
          <w:sz w:val="21"/>
          <w:szCs w:val="21"/>
          <w:highlight w:val="none"/>
        </w:rPr>
        <w:t>(2)发包人对最终结清申请单内容有异议的，有权要求承包人进行修正和提供补充资</w:t>
      </w:r>
      <w:r>
        <w:rPr>
          <w:rFonts w:ascii="宋体" w:hAnsi="宋体" w:eastAsia="宋体" w:cs="宋体"/>
          <w:spacing w:val="15"/>
          <w:sz w:val="21"/>
          <w:szCs w:val="21"/>
          <w:highlight w:val="none"/>
        </w:rPr>
        <w:t xml:space="preserve"> </w:t>
      </w:r>
      <w:r>
        <w:rPr>
          <w:rFonts w:ascii="宋体" w:hAnsi="宋体" w:eastAsia="宋体" w:cs="宋体"/>
          <w:spacing w:val="-2"/>
          <w:sz w:val="21"/>
          <w:szCs w:val="21"/>
          <w:highlight w:val="none"/>
        </w:rPr>
        <w:t>料，承包人应向发包人提交修正后的最终结清申请单。</w:t>
      </w:r>
    </w:p>
    <w:p w14:paraId="5053DCBD">
      <w:pPr>
        <w:spacing w:line="218" w:lineRule="auto"/>
        <w:ind w:left="420"/>
        <w:rPr>
          <w:rFonts w:ascii="宋体" w:hAnsi="宋体" w:eastAsia="宋体" w:cs="宋体"/>
          <w:sz w:val="20"/>
          <w:szCs w:val="20"/>
          <w:highlight w:val="none"/>
        </w:rPr>
      </w:pPr>
      <w:r>
        <w:rPr>
          <w:rFonts w:ascii="宋体" w:hAnsi="宋体" w:eastAsia="宋体" w:cs="宋体"/>
          <w:spacing w:val="13"/>
          <w:sz w:val="20"/>
          <w:szCs w:val="20"/>
          <w:highlight w:val="none"/>
        </w:rPr>
        <w:t>14.7.2最终结清证书和支付</w:t>
      </w:r>
    </w:p>
    <w:p w14:paraId="6129F6A8">
      <w:pPr>
        <w:pStyle w:val="2"/>
        <w:spacing w:line="353" w:lineRule="auto"/>
        <w:rPr>
          <w:highlight w:val="none"/>
        </w:rPr>
      </w:pPr>
    </w:p>
    <w:p w14:paraId="17145D6B">
      <w:pPr>
        <w:spacing w:before="69" w:line="371" w:lineRule="auto"/>
        <w:ind w:right="45" w:firstLine="529"/>
        <w:rPr>
          <w:rFonts w:ascii="宋体" w:hAnsi="宋体" w:eastAsia="宋体" w:cs="宋体"/>
          <w:sz w:val="21"/>
          <w:szCs w:val="21"/>
          <w:highlight w:val="none"/>
        </w:rPr>
      </w:pPr>
      <w:r>
        <w:rPr>
          <w:rFonts w:ascii="宋体" w:hAnsi="宋体" w:eastAsia="宋体" w:cs="宋体"/>
          <w:spacing w:val="3"/>
          <w:sz w:val="21"/>
          <w:szCs w:val="21"/>
          <w:highlight w:val="none"/>
        </w:rPr>
        <w:t>(1)除专用合同条件另有约定外，发包人应在收到承包人提交的最终结清申请单后14</w:t>
      </w:r>
      <w:r>
        <w:rPr>
          <w:rFonts w:ascii="宋体" w:hAnsi="宋体" w:eastAsia="宋体" w:cs="宋体"/>
          <w:spacing w:val="4"/>
          <w:sz w:val="21"/>
          <w:szCs w:val="21"/>
          <w:highlight w:val="none"/>
        </w:rPr>
        <w:t xml:space="preserve"> </w:t>
      </w:r>
      <w:r>
        <w:rPr>
          <w:rFonts w:ascii="宋体" w:hAnsi="宋体" w:eastAsia="宋体" w:cs="宋体"/>
          <w:spacing w:val="-6"/>
          <w:sz w:val="21"/>
          <w:szCs w:val="21"/>
          <w:highlight w:val="none"/>
        </w:rPr>
        <w:t>天内完成审批并向承包人颁发最终结清证书。发包人逾期未完成审批，又未提出修改意见的，</w:t>
      </w:r>
      <w:r>
        <w:rPr>
          <w:rFonts w:ascii="宋体" w:hAnsi="宋体" w:eastAsia="宋体" w:cs="宋体"/>
          <w:spacing w:val="10"/>
          <w:sz w:val="21"/>
          <w:szCs w:val="21"/>
          <w:highlight w:val="none"/>
        </w:rPr>
        <w:t xml:space="preserve"> </w:t>
      </w:r>
      <w:r>
        <w:rPr>
          <w:rFonts w:ascii="宋体" w:hAnsi="宋体" w:eastAsia="宋体" w:cs="宋体"/>
          <w:spacing w:val="-3"/>
          <w:sz w:val="21"/>
          <w:szCs w:val="21"/>
          <w:highlight w:val="none"/>
        </w:rPr>
        <w:t>视为发包人同意承包人提交的最终结清申请单，且自发包人收到承包人提交的最终结清申请</w:t>
      </w:r>
      <w:r>
        <w:rPr>
          <w:rFonts w:ascii="宋体" w:hAnsi="宋体" w:eastAsia="宋体" w:cs="宋体"/>
          <w:spacing w:val="18"/>
          <w:sz w:val="21"/>
          <w:szCs w:val="21"/>
          <w:highlight w:val="none"/>
        </w:rPr>
        <w:t xml:space="preserve"> </w:t>
      </w:r>
      <w:r>
        <w:rPr>
          <w:rFonts w:ascii="宋体" w:hAnsi="宋体" w:eastAsia="宋体" w:cs="宋体"/>
          <w:spacing w:val="5"/>
          <w:sz w:val="21"/>
          <w:szCs w:val="21"/>
          <w:highlight w:val="none"/>
        </w:rPr>
        <w:t>单后15天起视为已颁发最终结清证书。</w:t>
      </w:r>
    </w:p>
    <w:p w14:paraId="7FB12BF0">
      <w:pPr>
        <w:spacing w:before="233" w:line="345" w:lineRule="auto"/>
        <w:ind w:right="92" w:firstLine="529"/>
        <w:rPr>
          <w:rFonts w:ascii="宋体" w:hAnsi="宋体" w:eastAsia="宋体" w:cs="宋体"/>
          <w:sz w:val="21"/>
          <w:szCs w:val="21"/>
          <w:highlight w:val="none"/>
        </w:rPr>
      </w:pPr>
      <w:r>
        <w:rPr>
          <w:rFonts w:ascii="宋体" w:hAnsi="宋体" w:eastAsia="宋体" w:cs="宋体"/>
          <w:spacing w:val="5"/>
          <w:sz w:val="21"/>
          <w:szCs w:val="21"/>
          <w:highlight w:val="none"/>
        </w:rPr>
        <w:t>(2)除专用合同条件另有约定外，发包人应在颁发最终结清证书后7天内完成支付。</w:t>
      </w:r>
      <w:r>
        <w:rPr>
          <w:rFonts w:ascii="宋体" w:hAnsi="宋体" w:eastAsia="宋体" w:cs="宋体"/>
          <w:spacing w:val="13"/>
          <w:sz w:val="21"/>
          <w:szCs w:val="21"/>
          <w:highlight w:val="none"/>
        </w:rPr>
        <w:t xml:space="preserve"> </w:t>
      </w:r>
      <w:r>
        <w:rPr>
          <w:rFonts w:ascii="宋体" w:hAnsi="宋体" w:eastAsia="宋体" w:cs="宋体"/>
          <w:spacing w:val="3"/>
          <w:sz w:val="21"/>
          <w:szCs w:val="21"/>
          <w:highlight w:val="none"/>
        </w:rPr>
        <w:t>发包人逾期支付的，按照贷款市场报价利率(</w:t>
      </w:r>
      <w:r>
        <w:rPr>
          <w:rFonts w:ascii="宋体" w:hAnsi="宋体" w:eastAsia="宋体" w:cs="宋体"/>
          <w:spacing w:val="-55"/>
          <w:sz w:val="21"/>
          <w:szCs w:val="21"/>
          <w:highlight w:val="none"/>
        </w:rPr>
        <w:t xml:space="preserve"> </w:t>
      </w:r>
      <w:r>
        <w:rPr>
          <w:rFonts w:ascii="Times New Roman" w:hAnsi="Times New Roman" w:eastAsia="Times New Roman" w:cs="Times New Roman"/>
          <w:sz w:val="21"/>
          <w:szCs w:val="21"/>
          <w:highlight w:val="none"/>
        </w:rPr>
        <w:t>LPR</w:t>
      </w:r>
      <w:r>
        <w:rPr>
          <w:rFonts w:ascii="Times New Roman" w:hAnsi="Times New Roman" w:eastAsia="Times New Roman" w:cs="Times New Roman"/>
          <w:spacing w:val="3"/>
          <w:sz w:val="21"/>
          <w:szCs w:val="21"/>
          <w:highlight w:val="none"/>
        </w:rPr>
        <w:t xml:space="preserve">) </w:t>
      </w:r>
      <w:r>
        <w:rPr>
          <w:rFonts w:ascii="宋体" w:hAnsi="宋体" w:eastAsia="宋体" w:cs="宋体"/>
          <w:spacing w:val="3"/>
          <w:sz w:val="21"/>
          <w:szCs w:val="21"/>
          <w:highlight w:val="none"/>
        </w:rPr>
        <w:t>支</w:t>
      </w:r>
      <w:r>
        <w:rPr>
          <w:rFonts w:ascii="宋体" w:hAnsi="宋体" w:eastAsia="宋体" w:cs="宋体"/>
          <w:spacing w:val="2"/>
          <w:sz w:val="21"/>
          <w:szCs w:val="21"/>
          <w:highlight w:val="none"/>
        </w:rPr>
        <w:t>付利息；逾期支付超过56天的，按照</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贷款市场报价利率</w:t>
      </w:r>
      <w:r>
        <w:rPr>
          <w:rFonts w:ascii="宋体" w:hAnsi="宋体" w:eastAsia="宋体" w:cs="宋体"/>
          <w:spacing w:val="-28"/>
          <w:sz w:val="21"/>
          <w:szCs w:val="21"/>
          <w:highlight w:val="none"/>
        </w:rPr>
        <w:t xml:space="preserve"> </w:t>
      </w:r>
      <w:r>
        <w:rPr>
          <w:rFonts w:ascii="宋体" w:hAnsi="宋体" w:eastAsia="宋体" w:cs="宋体"/>
          <w:spacing w:val="-3"/>
          <w:sz w:val="21"/>
          <w:szCs w:val="21"/>
          <w:highlight w:val="none"/>
        </w:rPr>
        <w:t>(</w:t>
      </w:r>
      <w:r>
        <w:rPr>
          <w:rFonts w:ascii="宋体" w:hAnsi="宋体" w:eastAsia="宋体" w:cs="宋体"/>
          <w:spacing w:val="-54"/>
          <w:sz w:val="21"/>
          <w:szCs w:val="21"/>
          <w:highlight w:val="none"/>
        </w:rPr>
        <w:t xml:space="preserve"> </w:t>
      </w:r>
      <w:r>
        <w:rPr>
          <w:rFonts w:ascii="Times New Roman" w:hAnsi="Times New Roman" w:eastAsia="Times New Roman" w:cs="Times New Roman"/>
          <w:spacing w:val="-3"/>
          <w:sz w:val="21"/>
          <w:szCs w:val="21"/>
          <w:highlight w:val="none"/>
        </w:rPr>
        <w:t>LPR)</w:t>
      </w:r>
      <w:r>
        <w:rPr>
          <w:rFonts w:ascii="Times New Roman" w:hAnsi="Times New Roman" w:eastAsia="Times New Roman" w:cs="Times New Roman"/>
          <w:spacing w:val="27"/>
          <w:sz w:val="21"/>
          <w:szCs w:val="21"/>
          <w:highlight w:val="none"/>
        </w:rPr>
        <w:t xml:space="preserve"> </w:t>
      </w:r>
      <w:r>
        <w:rPr>
          <w:rFonts w:ascii="宋体" w:hAnsi="宋体" w:eastAsia="宋体" w:cs="宋体"/>
          <w:spacing w:val="-3"/>
          <w:sz w:val="21"/>
          <w:szCs w:val="21"/>
          <w:highlight w:val="none"/>
        </w:rPr>
        <w:t>的两倍支付利息。</w:t>
      </w:r>
    </w:p>
    <w:p w14:paraId="3695DAB0">
      <w:pPr>
        <w:spacing w:before="231" w:line="219" w:lineRule="auto"/>
        <w:jc w:val="right"/>
        <w:rPr>
          <w:rFonts w:ascii="宋体" w:hAnsi="宋体" w:eastAsia="宋体" w:cs="宋体"/>
          <w:sz w:val="22"/>
          <w:szCs w:val="22"/>
          <w:highlight w:val="none"/>
        </w:rPr>
      </w:pPr>
      <w:r>
        <w:rPr>
          <w:rFonts w:ascii="宋体" w:hAnsi="宋体" w:eastAsia="宋体" w:cs="宋体"/>
          <w:spacing w:val="-9"/>
          <w:sz w:val="22"/>
          <w:szCs w:val="22"/>
          <w:highlight w:val="none"/>
        </w:rPr>
        <w:t>(3)承包人对发包人颁发的最终结清证书有异议的，按第20条[争议解决]的约定办理。</w:t>
      </w:r>
    </w:p>
    <w:p w14:paraId="493E876A">
      <w:pPr>
        <w:pStyle w:val="2"/>
        <w:spacing w:line="258" w:lineRule="auto"/>
        <w:rPr>
          <w:highlight w:val="none"/>
        </w:rPr>
      </w:pPr>
    </w:p>
    <w:p w14:paraId="482859D6">
      <w:pPr>
        <w:spacing w:before="92" w:line="222" w:lineRule="auto"/>
        <w:outlineLvl w:val="1"/>
        <w:rPr>
          <w:rFonts w:ascii="黑体" w:hAnsi="黑体" w:eastAsia="黑体" w:cs="黑体"/>
          <w:sz w:val="28"/>
          <w:szCs w:val="28"/>
          <w:highlight w:val="none"/>
        </w:rPr>
      </w:pPr>
      <w:bookmarkStart w:id="100" w:name="bookmark61"/>
      <w:bookmarkEnd w:id="100"/>
      <w:r>
        <w:rPr>
          <w:rFonts w:ascii="黑体" w:hAnsi="黑体" w:eastAsia="黑体" w:cs="黑体"/>
          <w:spacing w:val="50"/>
          <w:sz w:val="28"/>
          <w:szCs w:val="28"/>
          <w:highlight w:val="none"/>
        </w:rPr>
        <w:t>第15条违约</w:t>
      </w:r>
    </w:p>
    <w:p w14:paraId="4524C1CC">
      <w:pPr>
        <w:pStyle w:val="2"/>
        <w:spacing w:line="341" w:lineRule="auto"/>
        <w:rPr>
          <w:highlight w:val="none"/>
        </w:rPr>
      </w:pPr>
    </w:p>
    <w:p w14:paraId="06A2E853">
      <w:pPr>
        <w:pStyle w:val="2"/>
        <w:spacing w:before="62" w:line="259" w:lineRule="exact"/>
        <w:rPr>
          <w:rFonts w:ascii="黑体" w:hAnsi="黑体" w:eastAsia="黑体" w:cs="黑体"/>
          <w:sz w:val="19"/>
          <w:szCs w:val="19"/>
          <w:highlight w:val="none"/>
        </w:rPr>
      </w:pPr>
      <w:r>
        <w:rPr>
          <w:spacing w:val="10"/>
          <w:position w:val="1"/>
          <w:sz w:val="19"/>
          <w:szCs w:val="19"/>
          <w:highlight w:val="none"/>
        </w:rPr>
        <w:t>15.1</w:t>
      </w:r>
      <w:r>
        <w:rPr>
          <w:spacing w:val="25"/>
          <w:position w:val="1"/>
          <w:sz w:val="19"/>
          <w:szCs w:val="19"/>
          <w:highlight w:val="none"/>
        </w:rPr>
        <w:t xml:space="preserve">  </w:t>
      </w:r>
      <w:r>
        <w:rPr>
          <w:rFonts w:ascii="黑体" w:hAnsi="黑体" w:eastAsia="黑体" w:cs="黑体"/>
          <w:spacing w:val="10"/>
          <w:position w:val="1"/>
          <w:sz w:val="19"/>
          <w:szCs w:val="19"/>
          <w:highlight w:val="none"/>
        </w:rPr>
        <w:t>发包人违约</w:t>
      </w:r>
    </w:p>
    <w:p w14:paraId="16E3C7DA">
      <w:pPr>
        <w:spacing w:before="118" w:line="220" w:lineRule="auto"/>
        <w:ind w:left="420"/>
        <w:rPr>
          <w:rFonts w:ascii="宋体" w:hAnsi="宋体" w:eastAsia="宋体" w:cs="宋体"/>
          <w:sz w:val="20"/>
          <w:szCs w:val="20"/>
          <w:highlight w:val="none"/>
        </w:rPr>
      </w:pPr>
      <w:r>
        <w:rPr>
          <w:rFonts w:ascii="Times New Roman" w:hAnsi="Times New Roman" w:eastAsia="Times New Roman" w:cs="Times New Roman"/>
          <w:spacing w:val="4"/>
          <w:sz w:val="20"/>
          <w:szCs w:val="20"/>
          <w:highlight w:val="none"/>
        </w:rPr>
        <w:t>15.1.1</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4"/>
          <w:sz w:val="20"/>
          <w:szCs w:val="20"/>
          <w:highlight w:val="none"/>
        </w:rPr>
        <w:t>发包人违约的情形</w:t>
      </w:r>
    </w:p>
    <w:p w14:paraId="7C9D372A">
      <w:pPr>
        <w:pStyle w:val="2"/>
        <w:spacing w:line="380" w:lineRule="auto"/>
        <w:rPr>
          <w:highlight w:val="none"/>
        </w:rPr>
      </w:pPr>
    </w:p>
    <w:p w14:paraId="6BA0067D">
      <w:pPr>
        <w:spacing w:before="69" w:line="219" w:lineRule="auto"/>
        <w:ind w:left="420"/>
        <w:rPr>
          <w:rFonts w:ascii="宋体" w:hAnsi="宋体" w:eastAsia="宋体" w:cs="宋体"/>
          <w:sz w:val="21"/>
          <w:szCs w:val="21"/>
          <w:highlight w:val="none"/>
        </w:rPr>
      </w:pPr>
      <w:r>
        <w:rPr>
          <w:rFonts w:ascii="宋体" w:hAnsi="宋体" w:eastAsia="宋体" w:cs="宋体"/>
          <w:spacing w:val="-1"/>
          <w:sz w:val="21"/>
          <w:szCs w:val="21"/>
          <w:highlight w:val="none"/>
        </w:rPr>
        <w:t>除专用合同条件另有约定外，在合同履行过程中发生的下列情形，属于发包人违约：</w:t>
      </w:r>
    </w:p>
    <w:p w14:paraId="3D1DDEE8">
      <w:pPr>
        <w:spacing w:line="219" w:lineRule="auto"/>
        <w:rPr>
          <w:rFonts w:ascii="宋体" w:hAnsi="宋体" w:eastAsia="宋体" w:cs="宋体"/>
          <w:sz w:val="21"/>
          <w:szCs w:val="21"/>
          <w:highlight w:val="none"/>
        </w:rPr>
        <w:sectPr>
          <w:footerReference r:id="rId133" w:type="default"/>
          <w:pgSz w:w="11910" w:h="16840"/>
          <w:pgMar w:top="400" w:right="1709" w:bottom="1217" w:left="1779" w:header="0" w:footer="1013" w:gutter="0"/>
          <w:cols w:space="720" w:num="1"/>
        </w:sectPr>
      </w:pPr>
    </w:p>
    <w:p w14:paraId="10069BDB">
      <w:pPr>
        <w:pStyle w:val="2"/>
        <w:spacing w:line="265" w:lineRule="auto"/>
        <w:rPr>
          <w:highlight w:val="none"/>
        </w:rPr>
      </w:pPr>
    </w:p>
    <w:p w14:paraId="34B90CFC">
      <w:pPr>
        <w:pStyle w:val="2"/>
        <w:spacing w:line="265" w:lineRule="auto"/>
        <w:rPr>
          <w:highlight w:val="none"/>
        </w:rPr>
      </w:pPr>
    </w:p>
    <w:p w14:paraId="3056D067">
      <w:pPr>
        <w:pStyle w:val="2"/>
        <w:spacing w:line="265" w:lineRule="auto"/>
        <w:rPr>
          <w:highlight w:val="none"/>
        </w:rPr>
      </w:pPr>
    </w:p>
    <w:p w14:paraId="6DE54F05">
      <w:pPr>
        <w:pStyle w:val="2"/>
        <w:spacing w:line="266" w:lineRule="auto"/>
        <w:rPr>
          <w:highlight w:val="none"/>
        </w:rPr>
      </w:pPr>
    </w:p>
    <w:p w14:paraId="51EFC743">
      <w:pPr>
        <w:spacing w:before="72" w:line="220" w:lineRule="auto"/>
        <w:ind w:left="539"/>
        <w:rPr>
          <w:rFonts w:ascii="宋体" w:hAnsi="宋体" w:eastAsia="宋体" w:cs="宋体"/>
          <w:sz w:val="22"/>
          <w:szCs w:val="22"/>
          <w:highlight w:val="none"/>
        </w:rPr>
      </w:pPr>
      <w:bookmarkStart w:id="101" w:name="bookmark229"/>
      <w:bookmarkEnd w:id="101"/>
      <w:r>
        <w:rPr>
          <w:rFonts w:ascii="宋体" w:hAnsi="宋体" w:eastAsia="宋体" w:cs="宋体"/>
          <w:spacing w:val="-5"/>
          <w:sz w:val="22"/>
          <w:szCs w:val="22"/>
          <w:highlight w:val="none"/>
        </w:rPr>
        <w:t>(1)因发包人原因导致开始工作日期延误的；</w:t>
      </w:r>
    </w:p>
    <w:p w14:paraId="531F61D7">
      <w:pPr>
        <w:spacing w:before="244" w:line="218" w:lineRule="auto"/>
        <w:ind w:left="539"/>
        <w:rPr>
          <w:rFonts w:ascii="宋体" w:hAnsi="宋体" w:eastAsia="宋体" w:cs="宋体"/>
          <w:sz w:val="20"/>
          <w:szCs w:val="20"/>
          <w:highlight w:val="none"/>
        </w:rPr>
      </w:pPr>
      <w:r>
        <w:rPr>
          <w:rFonts w:ascii="宋体" w:hAnsi="宋体" w:eastAsia="宋体" w:cs="宋体"/>
          <w:spacing w:val="11"/>
          <w:sz w:val="20"/>
          <w:szCs w:val="20"/>
          <w:highlight w:val="none"/>
        </w:rPr>
        <w:t>(2)因发包人原因未能按合同约定支付合同价款的；</w:t>
      </w:r>
    </w:p>
    <w:p w14:paraId="72A5FAF6">
      <w:pPr>
        <w:spacing w:before="226" w:line="219" w:lineRule="auto"/>
        <w:ind w:left="539"/>
        <w:rPr>
          <w:rFonts w:ascii="宋体" w:hAnsi="宋体" w:eastAsia="宋体" w:cs="宋体"/>
          <w:sz w:val="22"/>
          <w:szCs w:val="22"/>
          <w:highlight w:val="none"/>
        </w:rPr>
      </w:pPr>
      <w:r>
        <w:rPr>
          <w:rFonts w:ascii="宋体" w:hAnsi="宋体" w:eastAsia="宋体" w:cs="宋体"/>
          <w:spacing w:val="-4"/>
          <w:sz w:val="22"/>
          <w:szCs w:val="22"/>
          <w:highlight w:val="none"/>
        </w:rPr>
        <w:t>(3)发包人违反第13.1.1项约定，自行实施被取消的工作或转由他人实施的；</w:t>
      </w:r>
    </w:p>
    <w:p w14:paraId="11A4139A">
      <w:pPr>
        <w:spacing w:before="229" w:line="220"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(4)因发包人违反合同约定造成工程暂停施工的；</w:t>
      </w:r>
    </w:p>
    <w:p w14:paraId="2A6307B8">
      <w:pPr>
        <w:spacing w:before="216" w:line="219" w:lineRule="auto"/>
        <w:ind w:left="539"/>
        <w:rPr>
          <w:rFonts w:ascii="宋体" w:hAnsi="宋体" w:eastAsia="宋体" w:cs="宋体"/>
          <w:sz w:val="21"/>
          <w:szCs w:val="21"/>
          <w:highlight w:val="none"/>
        </w:rPr>
      </w:pPr>
      <w:r>
        <w:rPr>
          <w:rFonts w:ascii="宋体" w:hAnsi="宋体" w:eastAsia="宋体" w:cs="宋体"/>
          <w:spacing w:val="2"/>
          <w:sz w:val="21"/>
          <w:szCs w:val="21"/>
          <w:highlight w:val="none"/>
        </w:rPr>
        <w:t>(5)工程师无正当理由没有在约定期限内发出复工指示，导致承包人无法复工的；</w:t>
      </w:r>
    </w:p>
    <w:p w14:paraId="7BBEE48C">
      <w:pPr>
        <w:spacing w:before="212" w:line="219"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(6)发包人明确表示或者以其行为表明不履行合同主要义务的；</w:t>
      </w:r>
    </w:p>
    <w:p w14:paraId="1F479630">
      <w:pPr>
        <w:spacing w:before="228" w:line="219" w:lineRule="auto"/>
        <w:ind w:left="539"/>
        <w:rPr>
          <w:rFonts w:ascii="宋体" w:hAnsi="宋体" w:eastAsia="宋体" w:cs="宋体"/>
          <w:sz w:val="20"/>
          <w:szCs w:val="20"/>
          <w:highlight w:val="none"/>
        </w:rPr>
      </w:pPr>
      <w:r>
        <w:rPr>
          <w:rFonts w:ascii="宋体" w:hAnsi="宋体" w:eastAsia="宋体" w:cs="宋体"/>
          <w:spacing w:val="12"/>
          <w:sz w:val="20"/>
          <w:szCs w:val="20"/>
          <w:highlight w:val="none"/>
        </w:rPr>
        <w:t>(7)发包人未能按照合同约定履行其他义务的。</w:t>
      </w:r>
    </w:p>
    <w:p w14:paraId="5BE30850">
      <w:pPr>
        <w:spacing w:before="122" w:line="219" w:lineRule="auto"/>
        <w:ind w:left="440"/>
        <w:rPr>
          <w:rFonts w:ascii="宋体" w:hAnsi="宋体" w:eastAsia="宋体" w:cs="宋体"/>
          <w:sz w:val="20"/>
          <w:szCs w:val="20"/>
          <w:highlight w:val="none"/>
        </w:rPr>
      </w:pPr>
      <w:r>
        <w:rPr>
          <w:rFonts w:ascii="Times New Roman" w:hAnsi="Times New Roman" w:eastAsia="Times New Roman" w:cs="Times New Roman"/>
          <w:spacing w:val="3"/>
          <w:sz w:val="20"/>
          <w:szCs w:val="20"/>
          <w:highlight w:val="none"/>
        </w:rPr>
        <w:t>15.1.2</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3"/>
          <w:sz w:val="20"/>
          <w:szCs w:val="20"/>
          <w:highlight w:val="none"/>
        </w:rPr>
        <w:t>通知改正</w:t>
      </w:r>
    </w:p>
    <w:p w14:paraId="6B5697B6">
      <w:pPr>
        <w:pStyle w:val="2"/>
        <w:spacing w:line="381" w:lineRule="auto"/>
        <w:rPr>
          <w:highlight w:val="none"/>
        </w:rPr>
      </w:pPr>
    </w:p>
    <w:p w14:paraId="013E3554">
      <w:pPr>
        <w:spacing w:before="69" w:line="390" w:lineRule="auto"/>
        <w:ind w:firstLine="440"/>
        <w:jc w:val="both"/>
        <w:rPr>
          <w:rFonts w:ascii="宋体" w:hAnsi="宋体" w:eastAsia="宋体" w:cs="宋体"/>
          <w:sz w:val="21"/>
          <w:szCs w:val="21"/>
          <w:highlight w:val="none"/>
        </w:rPr>
      </w:pPr>
      <w:r>
        <w:rPr>
          <w:rFonts w:ascii="宋体" w:hAnsi="宋体" w:eastAsia="宋体" w:cs="宋体"/>
          <w:spacing w:val="1"/>
          <w:sz w:val="21"/>
          <w:szCs w:val="21"/>
          <w:highlight w:val="none"/>
        </w:rPr>
        <w:t>发包人发生除第15.1.1项第(6)目以外的违约情况时，承包人可向发包人发出通知，要</w:t>
      </w:r>
      <w:r>
        <w:rPr>
          <w:rFonts w:ascii="宋体" w:hAnsi="宋体" w:eastAsia="宋体" w:cs="宋体"/>
          <w:spacing w:val="2"/>
          <w:sz w:val="21"/>
          <w:szCs w:val="21"/>
          <w:highlight w:val="none"/>
        </w:rPr>
        <w:t xml:space="preserve"> </w:t>
      </w:r>
      <w:r>
        <w:rPr>
          <w:rFonts w:ascii="宋体" w:hAnsi="宋体" w:eastAsia="宋体" w:cs="宋体"/>
          <w:spacing w:val="3"/>
          <w:sz w:val="21"/>
          <w:szCs w:val="21"/>
          <w:highlight w:val="none"/>
        </w:rPr>
        <w:t>求发包人采取有效措施纠正违约行为。发包人收到承包人通知后28天内仍不纠正违约行为</w:t>
      </w:r>
      <w:r>
        <w:rPr>
          <w:rFonts w:ascii="宋体" w:hAnsi="宋体" w:eastAsia="宋体" w:cs="宋体"/>
          <w:spacing w:val="9"/>
          <w:sz w:val="21"/>
          <w:szCs w:val="21"/>
          <w:highlight w:val="none"/>
        </w:rPr>
        <w:t xml:space="preserve"> </w:t>
      </w:r>
      <w:r>
        <w:rPr>
          <w:rFonts w:ascii="宋体" w:hAnsi="宋体" w:eastAsia="宋体" w:cs="宋体"/>
          <w:spacing w:val="-2"/>
          <w:sz w:val="21"/>
          <w:szCs w:val="21"/>
          <w:highlight w:val="none"/>
        </w:rPr>
        <w:t>的，承包人有权暂停相应部位工程实施，并通知工程师。</w:t>
      </w:r>
    </w:p>
    <w:p w14:paraId="3C3DFADD">
      <w:pPr>
        <w:spacing w:line="219" w:lineRule="auto"/>
        <w:ind w:left="440"/>
        <w:rPr>
          <w:rFonts w:ascii="宋体" w:hAnsi="宋体" w:eastAsia="宋体" w:cs="宋体"/>
          <w:sz w:val="20"/>
          <w:szCs w:val="20"/>
          <w:highlight w:val="none"/>
        </w:rPr>
      </w:pPr>
      <w:r>
        <w:rPr>
          <w:rFonts w:ascii="Times New Roman" w:hAnsi="Times New Roman" w:eastAsia="Times New Roman" w:cs="Times New Roman"/>
          <w:spacing w:val="4"/>
          <w:sz w:val="20"/>
          <w:szCs w:val="20"/>
          <w:highlight w:val="none"/>
        </w:rPr>
        <w:t>15.1.3</w:t>
      </w:r>
      <w:r>
        <w:rPr>
          <w:rFonts w:ascii="Times New Roman" w:hAnsi="Times New Roman" w:eastAsia="Times New Roman" w:cs="Times New Roman"/>
          <w:spacing w:val="12"/>
          <w:w w:val="101"/>
          <w:sz w:val="20"/>
          <w:szCs w:val="20"/>
          <w:highlight w:val="none"/>
        </w:rPr>
        <w:t xml:space="preserve">    </w:t>
      </w:r>
      <w:r>
        <w:rPr>
          <w:rFonts w:ascii="宋体" w:hAnsi="宋体" w:eastAsia="宋体" w:cs="宋体"/>
          <w:spacing w:val="4"/>
          <w:sz w:val="20"/>
          <w:szCs w:val="20"/>
          <w:highlight w:val="none"/>
        </w:rPr>
        <w:t>发包人违约的责任</w:t>
      </w:r>
    </w:p>
    <w:p w14:paraId="12600D2B">
      <w:pPr>
        <w:pStyle w:val="2"/>
        <w:spacing w:line="361" w:lineRule="auto"/>
        <w:rPr>
          <w:highlight w:val="none"/>
        </w:rPr>
      </w:pPr>
    </w:p>
    <w:p w14:paraId="4328D05F">
      <w:pPr>
        <w:spacing w:before="69" w:line="424" w:lineRule="auto"/>
        <w:ind w:right="34" w:firstLine="440"/>
        <w:jc w:val="both"/>
        <w:rPr>
          <w:rFonts w:ascii="宋体" w:hAnsi="宋体" w:eastAsia="宋体" w:cs="宋体"/>
          <w:sz w:val="21"/>
          <w:szCs w:val="21"/>
          <w:highlight w:val="none"/>
        </w:rPr>
      </w:pPr>
      <w:r>
        <w:rPr>
          <w:rFonts w:ascii="宋体" w:hAnsi="宋体" w:eastAsia="宋体" w:cs="宋体"/>
          <w:spacing w:val="3"/>
          <w:sz w:val="21"/>
          <w:szCs w:val="21"/>
          <w:highlight w:val="none"/>
        </w:rPr>
        <w:t>发包人应承担因其违约给承包人增加的费用和(或)延误的工期，并支付承包人合理的</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利润。此外，合同当事人可在专用合同条件中另行约定发包人违约责任的承担方式和</w:t>
      </w:r>
      <w:r>
        <w:rPr>
          <w:rFonts w:ascii="宋体" w:hAnsi="宋体" w:eastAsia="宋体" w:cs="宋体"/>
          <w:spacing w:val="-3"/>
          <w:sz w:val="21"/>
          <w:szCs w:val="21"/>
          <w:highlight w:val="none"/>
        </w:rPr>
        <w:t>计算方</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法。</w:t>
      </w:r>
    </w:p>
    <w:p w14:paraId="115A1435">
      <w:pPr>
        <w:pStyle w:val="2"/>
        <w:spacing w:before="95" w:line="299" w:lineRule="exact"/>
        <w:rPr>
          <w:rFonts w:ascii="黑体" w:hAnsi="黑体" w:eastAsia="黑体" w:cs="黑体"/>
          <w:sz w:val="22"/>
          <w:szCs w:val="22"/>
          <w:highlight w:val="none"/>
        </w:rPr>
      </w:pPr>
      <w:r>
        <w:rPr>
          <w:spacing w:val="-6"/>
          <w:position w:val="1"/>
          <w:sz w:val="22"/>
          <w:szCs w:val="22"/>
          <w:highlight w:val="none"/>
        </w:rPr>
        <w:t>15.2</w:t>
      </w:r>
      <w:r>
        <w:rPr>
          <w:spacing w:val="38"/>
          <w:position w:val="1"/>
          <w:sz w:val="22"/>
          <w:szCs w:val="22"/>
          <w:highlight w:val="none"/>
        </w:rPr>
        <w:t xml:space="preserve"> </w:t>
      </w:r>
      <w:r>
        <w:rPr>
          <w:rFonts w:ascii="黑体" w:hAnsi="黑体" w:eastAsia="黑体" w:cs="黑体"/>
          <w:spacing w:val="-6"/>
          <w:position w:val="1"/>
          <w:sz w:val="22"/>
          <w:szCs w:val="22"/>
          <w:highlight w:val="none"/>
        </w:rPr>
        <w:t>承包人违约</w:t>
      </w:r>
    </w:p>
    <w:p w14:paraId="2F1DC227">
      <w:pPr>
        <w:spacing w:before="120" w:line="219" w:lineRule="auto"/>
        <w:ind w:left="440"/>
        <w:rPr>
          <w:rFonts w:ascii="宋体" w:hAnsi="宋体" w:eastAsia="宋体" w:cs="宋体"/>
          <w:sz w:val="20"/>
          <w:szCs w:val="20"/>
          <w:highlight w:val="none"/>
        </w:rPr>
      </w:pPr>
      <w:r>
        <w:rPr>
          <w:rFonts w:ascii="Times New Roman" w:hAnsi="Times New Roman" w:eastAsia="Times New Roman" w:cs="Times New Roman"/>
          <w:spacing w:val="4"/>
          <w:sz w:val="20"/>
          <w:szCs w:val="20"/>
          <w:highlight w:val="none"/>
        </w:rPr>
        <w:t>15.2.1</w:t>
      </w:r>
      <w:r>
        <w:rPr>
          <w:rFonts w:ascii="Times New Roman" w:hAnsi="Times New Roman" w:eastAsia="Times New Roman" w:cs="Times New Roman"/>
          <w:spacing w:val="13"/>
          <w:sz w:val="20"/>
          <w:szCs w:val="20"/>
          <w:highlight w:val="none"/>
        </w:rPr>
        <w:t xml:space="preserve">    </w:t>
      </w:r>
      <w:r>
        <w:rPr>
          <w:rFonts w:ascii="宋体" w:hAnsi="宋体" w:eastAsia="宋体" w:cs="宋体"/>
          <w:spacing w:val="4"/>
          <w:sz w:val="20"/>
          <w:szCs w:val="20"/>
          <w:highlight w:val="none"/>
        </w:rPr>
        <w:t>承包人违约的情形</w:t>
      </w:r>
    </w:p>
    <w:p w14:paraId="78D88A66">
      <w:pPr>
        <w:pStyle w:val="2"/>
        <w:spacing w:line="385" w:lineRule="auto"/>
        <w:rPr>
          <w:highlight w:val="none"/>
        </w:rPr>
      </w:pPr>
    </w:p>
    <w:p w14:paraId="148581AC">
      <w:pPr>
        <w:spacing w:before="65" w:line="443" w:lineRule="auto"/>
        <w:ind w:right="42" w:firstLine="440"/>
        <w:rPr>
          <w:rFonts w:ascii="宋体" w:hAnsi="宋体" w:eastAsia="宋体" w:cs="宋体"/>
          <w:sz w:val="20"/>
          <w:szCs w:val="20"/>
          <w:highlight w:val="none"/>
        </w:rPr>
      </w:pPr>
      <w:r>
        <w:rPr>
          <w:rFonts w:ascii="宋体" w:hAnsi="宋体" w:eastAsia="宋体" w:cs="宋体"/>
          <w:spacing w:val="7"/>
          <w:sz w:val="20"/>
          <w:szCs w:val="20"/>
          <w:highlight w:val="none"/>
        </w:rPr>
        <w:t>除专用合同条件另有约定外，在履行合同过程中发生的下列情况之一的，属于承包人违</w:t>
      </w:r>
      <w:r>
        <w:rPr>
          <w:rFonts w:ascii="宋体" w:hAnsi="宋体" w:eastAsia="宋体" w:cs="宋体"/>
          <w:spacing w:val="11"/>
          <w:sz w:val="20"/>
          <w:szCs w:val="20"/>
          <w:highlight w:val="none"/>
        </w:rPr>
        <w:t xml:space="preserve"> </w:t>
      </w:r>
      <w:r>
        <w:rPr>
          <w:rFonts w:ascii="宋体" w:hAnsi="宋体" w:eastAsia="宋体" w:cs="宋体"/>
          <w:spacing w:val="-15"/>
          <w:sz w:val="20"/>
          <w:szCs w:val="20"/>
          <w:highlight w:val="none"/>
        </w:rPr>
        <w:t>约：</w:t>
      </w:r>
    </w:p>
    <w:p w14:paraId="6303D2EB">
      <w:pPr>
        <w:spacing w:line="331" w:lineRule="auto"/>
        <w:ind w:right="42" w:firstLine="539"/>
        <w:rPr>
          <w:rFonts w:ascii="宋体" w:hAnsi="宋体" w:eastAsia="宋体" w:cs="宋体"/>
          <w:sz w:val="20"/>
          <w:szCs w:val="20"/>
          <w:highlight w:val="none"/>
        </w:rPr>
      </w:pPr>
      <w:r>
        <w:rPr>
          <w:rFonts w:ascii="宋体" w:hAnsi="宋体" w:eastAsia="宋体" w:cs="宋体"/>
          <w:spacing w:val="13"/>
          <w:sz w:val="20"/>
          <w:szCs w:val="20"/>
          <w:highlight w:val="none"/>
        </w:rPr>
        <w:t>(1)承包人的原因导致的承包人文件、实施</w:t>
      </w:r>
      <w:r>
        <w:rPr>
          <w:rFonts w:ascii="宋体" w:hAnsi="宋体" w:eastAsia="宋体" w:cs="宋体"/>
          <w:spacing w:val="12"/>
          <w:sz w:val="20"/>
          <w:szCs w:val="20"/>
          <w:highlight w:val="none"/>
        </w:rPr>
        <w:t>和竣工的工程不符合法律法规、工程质量</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验收标准以及合同约定；</w:t>
      </w:r>
    </w:p>
    <w:p w14:paraId="615FE71A">
      <w:pPr>
        <w:spacing w:before="233" w:line="219" w:lineRule="auto"/>
        <w:ind w:left="539"/>
        <w:rPr>
          <w:rFonts w:ascii="宋体" w:hAnsi="宋体" w:eastAsia="宋体" w:cs="宋体"/>
          <w:sz w:val="20"/>
          <w:szCs w:val="20"/>
          <w:highlight w:val="none"/>
        </w:rPr>
      </w:pPr>
      <w:r>
        <w:rPr>
          <w:rFonts w:ascii="宋体" w:hAnsi="宋体" w:eastAsia="宋体" w:cs="宋体"/>
          <w:spacing w:val="11"/>
          <w:sz w:val="20"/>
          <w:szCs w:val="20"/>
          <w:highlight w:val="none"/>
        </w:rPr>
        <w:t>(2)承包人违反合同约定进行转包或违法分包的；</w:t>
      </w:r>
    </w:p>
    <w:p w14:paraId="6BB9DE09">
      <w:pPr>
        <w:spacing w:before="222" w:line="219" w:lineRule="auto"/>
        <w:ind w:left="539"/>
        <w:rPr>
          <w:rFonts w:ascii="宋体" w:hAnsi="宋体" w:eastAsia="宋体" w:cs="宋体"/>
          <w:sz w:val="22"/>
          <w:szCs w:val="22"/>
          <w:highlight w:val="none"/>
        </w:rPr>
      </w:pPr>
      <w:r>
        <w:rPr>
          <w:rFonts w:ascii="宋体" w:hAnsi="宋体" w:eastAsia="宋体" w:cs="宋体"/>
          <w:spacing w:val="-11"/>
          <w:sz w:val="22"/>
          <w:szCs w:val="22"/>
          <w:highlight w:val="none"/>
        </w:rPr>
        <w:t>(3) 承包人违反约定采购和使用不合格材料或工程设备；</w:t>
      </w:r>
    </w:p>
    <w:p w14:paraId="0F9880F1">
      <w:pPr>
        <w:spacing w:before="250" w:line="219" w:lineRule="auto"/>
        <w:ind w:left="539"/>
        <w:rPr>
          <w:rFonts w:ascii="宋体" w:hAnsi="宋体" w:eastAsia="宋体" w:cs="宋体"/>
          <w:sz w:val="20"/>
          <w:szCs w:val="20"/>
          <w:highlight w:val="none"/>
        </w:rPr>
      </w:pPr>
      <w:r>
        <w:rPr>
          <w:rFonts w:ascii="宋体" w:hAnsi="宋体" w:eastAsia="宋体" w:cs="宋体"/>
          <w:spacing w:val="11"/>
          <w:sz w:val="20"/>
          <w:szCs w:val="20"/>
          <w:highlight w:val="none"/>
        </w:rPr>
        <w:t>(4)因承包人原因导致工程质量不符合合同要求的；</w:t>
      </w:r>
    </w:p>
    <w:p w14:paraId="2D0AE039">
      <w:pPr>
        <w:spacing w:before="212" w:line="329" w:lineRule="auto"/>
        <w:ind w:right="41" w:firstLine="539"/>
        <w:rPr>
          <w:rFonts w:ascii="宋体" w:hAnsi="宋体" w:eastAsia="宋体" w:cs="宋体"/>
          <w:sz w:val="21"/>
          <w:szCs w:val="21"/>
          <w:highlight w:val="none"/>
        </w:rPr>
      </w:pPr>
      <w:r>
        <w:rPr>
          <w:rFonts w:ascii="宋体" w:hAnsi="宋体" w:eastAsia="宋体" w:cs="宋体"/>
          <w:spacing w:val="3"/>
          <w:sz w:val="21"/>
          <w:szCs w:val="21"/>
          <w:highlight w:val="none"/>
        </w:rPr>
        <w:t>(5)承包人未经工程师批准，擅自将已按合同约定进入施工现场的施工设备、临时设</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施或材料撤离施工现场；</w:t>
      </w:r>
    </w:p>
    <w:p w14:paraId="120AAE2F">
      <w:pPr>
        <w:spacing w:before="232" w:line="219" w:lineRule="auto"/>
        <w:ind w:left="539"/>
        <w:rPr>
          <w:rFonts w:ascii="宋体" w:hAnsi="宋体" w:eastAsia="宋体" w:cs="宋体"/>
          <w:sz w:val="20"/>
          <w:szCs w:val="20"/>
          <w:highlight w:val="none"/>
        </w:rPr>
      </w:pPr>
      <w:r>
        <w:rPr>
          <w:rFonts w:ascii="宋体" w:hAnsi="宋体" w:eastAsia="宋体" w:cs="宋体"/>
          <w:spacing w:val="12"/>
          <w:sz w:val="20"/>
          <w:szCs w:val="20"/>
          <w:highlight w:val="none"/>
        </w:rPr>
        <w:t>(6)承包人未能按项目进度计划及时完成合同约定的</w:t>
      </w:r>
      <w:r>
        <w:rPr>
          <w:rFonts w:ascii="宋体" w:hAnsi="宋体" w:eastAsia="宋体" w:cs="宋体"/>
          <w:spacing w:val="11"/>
          <w:sz w:val="20"/>
          <w:szCs w:val="20"/>
          <w:highlight w:val="none"/>
        </w:rPr>
        <w:t>工作，造成工期延误；</w:t>
      </w:r>
    </w:p>
    <w:p w14:paraId="272FC51D">
      <w:pPr>
        <w:spacing w:before="253" w:line="219" w:lineRule="auto"/>
        <w:ind w:left="539"/>
        <w:rPr>
          <w:rFonts w:ascii="宋体" w:hAnsi="宋体" w:eastAsia="宋体" w:cs="宋体"/>
          <w:sz w:val="20"/>
          <w:szCs w:val="20"/>
          <w:highlight w:val="none"/>
        </w:rPr>
      </w:pPr>
      <w:r>
        <w:rPr>
          <w:rFonts w:ascii="宋体" w:hAnsi="宋体" w:eastAsia="宋体" w:cs="宋体"/>
          <w:spacing w:val="11"/>
          <w:sz w:val="20"/>
          <w:szCs w:val="20"/>
          <w:highlight w:val="none"/>
        </w:rPr>
        <w:t>(7)由于承包人原因未能通过竣工试验或竣工后试验的；</w:t>
      </w:r>
    </w:p>
    <w:p w14:paraId="4127670B">
      <w:pPr>
        <w:spacing w:line="219" w:lineRule="auto"/>
        <w:rPr>
          <w:rFonts w:ascii="宋体" w:hAnsi="宋体" w:eastAsia="宋体" w:cs="宋体"/>
          <w:sz w:val="20"/>
          <w:szCs w:val="20"/>
          <w:highlight w:val="none"/>
        </w:rPr>
        <w:sectPr>
          <w:footerReference r:id="rId134" w:type="default"/>
          <w:pgSz w:w="11910" w:h="16840"/>
          <w:pgMar w:top="400" w:right="1779" w:bottom="1217" w:left="1769" w:header="0" w:footer="1013" w:gutter="0"/>
          <w:cols w:space="720" w:num="1"/>
        </w:sectPr>
      </w:pPr>
    </w:p>
    <w:p w14:paraId="312E3662">
      <w:pPr>
        <w:pStyle w:val="2"/>
        <w:spacing w:line="276" w:lineRule="auto"/>
        <w:rPr>
          <w:highlight w:val="none"/>
        </w:rPr>
      </w:pPr>
    </w:p>
    <w:p w14:paraId="684F5F45">
      <w:pPr>
        <w:pStyle w:val="2"/>
        <w:spacing w:line="276" w:lineRule="auto"/>
        <w:rPr>
          <w:highlight w:val="none"/>
        </w:rPr>
      </w:pPr>
    </w:p>
    <w:p w14:paraId="56626A24">
      <w:pPr>
        <w:pStyle w:val="2"/>
        <w:spacing w:line="276" w:lineRule="auto"/>
        <w:rPr>
          <w:highlight w:val="none"/>
        </w:rPr>
      </w:pPr>
    </w:p>
    <w:p w14:paraId="4885674F">
      <w:pPr>
        <w:pStyle w:val="2"/>
        <w:spacing w:line="277" w:lineRule="auto"/>
        <w:rPr>
          <w:highlight w:val="none"/>
        </w:rPr>
      </w:pPr>
    </w:p>
    <w:p w14:paraId="4C2C15DE">
      <w:pPr>
        <w:spacing w:before="65" w:line="327" w:lineRule="auto"/>
        <w:ind w:right="34" w:firstLine="520"/>
        <w:rPr>
          <w:rFonts w:ascii="宋体" w:hAnsi="宋体" w:eastAsia="宋体" w:cs="宋体"/>
          <w:sz w:val="20"/>
          <w:szCs w:val="20"/>
          <w:highlight w:val="none"/>
        </w:rPr>
      </w:pPr>
      <w:r>
        <w:rPr>
          <w:rFonts w:ascii="宋体" w:hAnsi="宋体" w:eastAsia="宋体" w:cs="宋体"/>
          <w:spacing w:val="13"/>
          <w:sz w:val="20"/>
          <w:szCs w:val="20"/>
          <w:highlight w:val="none"/>
        </w:rPr>
        <w:t>(8)承包人在缺陷责任期及保修期内，未能在合理期限对工程缺陷进行</w:t>
      </w:r>
      <w:r>
        <w:rPr>
          <w:rFonts w:ascii="宋体" w:hAnsi="宋体" w:eastAsia="宋体" w:cs="宋体"/>
          <w:spacing w:val="12"/>
          <w:sz w:val="20"/>
          <w:szCs w:val="20"/>
          <w:highlight w:val="none"/>
        </w:rPr>
        <w:t>修复，或拒绝</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按发包人指示进行修复的；</w:t>
      </w:r>
    </w:p>
    <w:p w14:paraId="06A9F495">
      <w:pPr>
        <w:spacing w:before="223" w:line="219" w:lineRule="auto"/>
        <w:ind w:left="520"/>
        <w:rPr>
          <w:rFonts w:ascii="宋体" w:hAnsi="宋体" w:eastAsia="宋体" w:cs="宋体"/>
          <w:sz w:val="22"/>
          <w:szCs w:val="22"/>
          <w:highlight w:val="none"/>
        </w:rPr>
      </w:pPr>
      <w:r>
        <w:rPr>
          <w:rFonts w:ascii="宋体" w:hAnsi="宋体" w:eastAsia="宋体" w:cs="宋体"/>
          <w:spacing w:val="-7"/>
          <w:sz w:val="22"/>
          <w:szCs w:val="22"/>
          <w:highlight w:val="none"/>
        </w:rPr>
        <w:t>(9)承包人明确表示或者以其行为表明不履行合同主要义务的；</w:t>
      </w:r>
    </w:p>
    <w:p w14:paraId="034DB3DA">
      <w:pPr>
        <w:spacing w:before="229" w:line="219" w:lineRule="auto"/>
        <w:ind w:left="520"/>
        <w:rPr>
          <w:rFonts w:ascii="宋体" w:hAnsi="宋体" w:eastAsia="宋体" w:cs="宋体"/>
          <w:sz w:val="22"/>
          <w:szCs w:val="22"/>
          <w:highlight w:val="none"/>
        </w:rPr>
      </w:pPr>
      <w:r>
        <w:rPr>
          <w:rFonts w:ascii="宋体" w:hAnsi="宋体" w:eastAsia="宋体" w:cs="宋体"/>
          <w:spacing w:val="-6"/>
          <w:sz w:val="22"/>
          <w:szCs w:val="22"/>
          <w:highlight w:val="none"/>
        </w:rPr>
        <w:t>(10)承包人未能按照合同约定履行其他义务的。</w:t>
      </w:r>
    </w:p>
    <w:p w14:paraId="71388F33">
      <w:pPr>
        <w:spacing w:before="79" w:line="219" w:lineRule="auto"/>
        <w:ind w:left="43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15.2.2</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4"/>
          <w:sz w:val="22"/>
          <w:szCs w:val="22"/>
          <w:highlight w:val="none"/>
        </w:rPr>
        <w:t>通知改正</w:t>
      </w:r>
    </w:p>
    <w:p w14:paraId="193726DD">
      <w:pPr>
        <w:pStyle w:val="2"/>
        <w:spacing w:line="378" w:lineRule="auto"/>
        <w:rPr>
          <w:highlight w:val="none"/>
        </w:rPr>
      </w:pPr>
    </w:p>
    <w:p w14:paraId="39C5022A">
      <w:pPr>
        <w:spacing w:before="68" w:line="219" w:lineRule="auto"/>
        <w:ind w:right="12"/>
        <w:jc w:val="right"/>
        <w:rPr>
          <w:rFonts w:ascii="宋体" w:hAnsi="宋体" w:eastAsia="宋体" w:cs="宋体"/>
          <w:sz w:val="21"/>
          <w:szCs w:val="21"/>
          <w:highlight w:val="none"/>
        </w:rPr>
      </w:pPr>
      <w:r>
        <w:rPr>
          <w:rFonts w:ascii="宋体" w:hAnsi="宋体" w:eastAsia="宋体" w:cs="宋体"/>
          <w:spacing w:val="3"/>
          <w:sz w:val="21"/>
          <w:szCs w:val="21"/>
          <w:highlight w:val="none"/>
        </w:rPr>
        <w:t>承包人发生除第15.2.1项第(7)目、第(9)目约定以外的其他违约情况时，工程师可在</w:t>
      </w:r>
    </w:p>
    <w:p w14:paraId="74C58AF3">
      <w:pPr>
        <w:spacing w:before="210" w:line="219" w:lineRule="auto"/>
        <w:rPr>
          <w:rFonts w:ascii="宋体" w:hAnsi="宋体" w:eastAsia="宋体" w:cs="宋体"/>
          <w:sz w:val="21"/>
          <w:szCs w:val="21"/>
          <w:highlight w:val="none"/>
        </w:rPr>
      </w:pPr>
      <w:r>
        <w:rPr>
          <w:rFonts w:ascii="宋体" w:hAnsi="宋体" w:eastAsia="宋体" w:cs="宋体"/>
          <w:spacing w:val="-1"/>
          <w:sz w:val="21"/>
          <w:szCs w:val="21"/>
          <w:highlight w:val="none"/>
        </w:rPr>
        <w:t>专用合同条件约定的合理期限内向承包人发出整改通知，要求其在指定的期限内改</w:t>
      </w:r>
      <w:r>
        <w:rPr>
          <w:rFonts w:ascii="宋体" w:hAnsi="宋体" w:eastAsia="宋体" w:cs="宋体"/>
          <w:spacing w:val="-2"/>
          <w:sz w:val="21"/>
          <w:szCs w:val="21"/>
          <w:highlight w:val="none"/>
        </w:rPr>
        <w:t>正。</w:t>
      </w:r>
    </w:p>
    <w:p w14:paraId="49C09B65">
      <w:pPr>
        <w:spacing w:before="120" w:line="219" w:lineRule="auto"/>
        <w:ind w:left="43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15.2.3</w:t>
      </w:r>
      <w:r>
        <w:rPr>
          <w:rFonts w:ascii="Times New Roman" w:hAnsi="Times New Roman" w:eastAsia="Times New Roman" w:cs="Times New Roman"/>
          <w:spacing w:val="11"/>
          <w:sz w:val="20"/>
          <w:szCs w:val="20"/>
          <w:highlight w:val="none"/>
        </w:rPr>
        <w:t xml:space="preserve">    </w:t>
      </w:r>
      <w:r>
        <w:rPr>
          <w:rFonts w:ascii="宋体" w:hAnsi="宋体" w:eastAsia="宋体" w:cs="宋体"/>
          <w:spacing w:val="5"/>
          <w:sz w:val="20"/>
          <w:szCs w:val="20"/>
          <w:highlight w:val="none"/>
        </w:rPr>
        <w:t>承包人违约的责任</w:t>
      </w:r>
    </w:p>
    <w:p w14:paraId="1D58F880">
      <w:pPr>
        <w:pStyle w:val="2"/>
        <w:spacing w:line="382" w:lineRule="auto"/>
        <w:rPr>
          <w:highlight w:val="none"/>
        </w:rPr>
      </w:pPr>
    </w:p>
    <w:p w14:paraId="0509958E">
      <w:pPr>
        <w:spacing w:before="69" w:line="424" w:lineRule="auto"/>
        <w:ind w:right="31" w:firstLine="430"/>
        <w:rPr>
          <w:rFonts w:ascii="宋体" w:hAnsi="宋体" w:eastAsia="宋体" w:cs="宋体"/>
          <w:sz w:val="21"/>
          <w:szCs w:val="21"/>
          <w:highlight w:val="none"/>
        </w:rPr>
      </w:pPr>
      <w:r>
        <w:rPr>
          <w:rFonts w:ascii="宋体" w:hAnsi="宋体" w:eastAsia="宋体" w:cs="宋体"/>
          <w:spacing w:val="3"/>
          <w:sz w:val="21"/>
          <w:szCs w:val="21"/>
          <w:highlight w:val="none"/>
        </w:rPr>
        <w:t>承包人应承担因其违约行为而增加的费用和(或)延误的工期。此外，合同当</w:t>
      </w:r>
      <w:r>
        <w:rPr>
          <w:rFonts w:ascii="宋体" w:hAnsi="宋体" w:eastAsia="宋体" w:cs="宋体"/>
          <w:spacing w:val="2"/>
          <w:sz w:val="21"/>
          <w:szCs w:val="21"/>
          <w:highlight w:val="none"/>
        </w:rPr>
        <w:t>事人可在</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专用合同条件中另行约定承包人违约责任的承担方式和计算方法。</w:t>
      </w:r>
    </w:p>
    <w:p w14:paraId="1C32A324">
      <w:pPr>
        <w:pStyle w:val="2"/>
        <w:spacing w:before="115" w:line="300" w:lineRule="exact"/>
        <w:rPr>
          <w:rFonts w:ascii="黑体" w:hAnsi="黑体" w:eastAsia="黑体" w:cs="黑体"/>
          <w:sz w:val="22"/>
          <w:szCs w:val="22"/>
          <w:highlight w:val="none"/>
        </w:rPr>
      </w:pPr>
      <w:r>
        <w:rPr>
          <w:spacing w:val="-8"/>
          <w:position w:val="1"/>
          <w:sz w:val="22"/>
          <w:szCs w:val="22"/>
          <w:highlight w:val="none"/>
        </w:rPr>
        <w:t>15.3</w:t>
      </w:r>
      <w:r>
        <w:rPr>
          <w:spacing w:val="52"/>
          <w:w w:val="101"/>
          <w:position w:val="1"/>
          <w:sz w:val="22"/>
          <w:szCs w:val="22"/>
          <w:highlight w:val="none"/>
        </w:rPr>
        <w:t xml:space="preserve"> </w:t>
      </w:r>
      <w:r>
        <w:rPr>
          <w:rFonts w:ascii="黑体" w:hAnsi="黑体" w:eastAsia="黑体" w:cs="黑体"/>
          <w:spacing w:val="-8"/>
          <w:position w:val="1"/>
          <w:sz w:val="22"/>
          <w:szCs w:val="22"/>
          <w:highlight w:val="none"/>
        </w:rPr>
        <w:t>第三人造成的违约</w:t>
      </w:r>
    </w:p>
    <w:p w14:paraId="7A21600C">
      <w:pPr>
        <w:spacing w:before="211" w:line="414" w:lineRule="auto"/>
        <w:ind w:right="14" w:firstLine="430"/>
        <w:rPr>
          <w:rFonts w:ascii="宋体" w:hAnsi="宋体" w:eastAsia="宋体" w:cs="宋体"/>
          <w:sz w:val="21"/>
          <w:szCs w:val="21"/>
          <w:highlight w:val="none"/>
        </w:rPr>
      </w:pPr>
      <w:r>
        <w:rPr>
          <w:rFonts w:ascii="宋体" w:hAnsi="宋体" w:eastAsia="宋体" w:cs="宋体"/>
          <w:spacing w:val="-2"/>
          <w:sz w:val="21"/>
          <w:szCs w:val="21"/>
          <w:highlight w:val="none"/>
        </w:rPr>
        <w:t>在履行合同过程中，一方当事人因第三人的原因造成违约的，应当向对</w:t>
      </w:r>
      <w:r>
        <w:rPr>
          <w:rFonts w:ascii="宋体" w:hAnsi="宋体" w:eastAsia="宋体" w:cs="宋体"/>
          <w:spacing w:val="-3"/>
          <w:sz w:val="21"/>
          <w:szCs w:val="21"/>
          <w:highlight w:val="none"/>
        </w:rPr>
        <w:t>方当事人承担违</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约责任。一方当事人和第三人之间的纠纷，依照法律规定或者按照约定解决。</w:t>
      </w:r>
    </w:p>
    <w:p w14:paraId="62905E87">
      <w:pPr>
        <w:spacing w:before="128" w:line="222" w:lineRule="auto"/>
        <w:outlineLvl w:val="1"/>
        <w:rPr>
          <w:rFonts w:ascii="黑体" w:hAnsi="黑体" w:eastAsia="黑体" w:cs="黑体"/>
          <w:sz w:val="28"/>
          <w:szCs w:val="28"/>
          <w:highlight w:val="none"/>
        </w:rPr>
      </w:pPr>
      <w:bookmarkStart w:id="102" w:name="bookmark62"/>
      <w:bookmarkEnd w:id="102"/>
      <w:r>
        <w:rPr>
          <w:rFonts w:ascii="黑体" w:hAnsi="黑体" w:eastAsia="黑体" w:cs="黑体"/>
          <w:spacing w:val="39"/>
          <w:sz w:val="28"/>
          <w:szCs w:val="28"/>
          <w:highlight w:val="none"/>
        </w:rPr>
        <w:t>第16条合同解除</w:t>
      </w:r>
    </w:p>
    <w:p w14:paraId="4022AA64">
      <w:pPr>
        <w:pStyle w:val="2"/>
        <w:spacing w:line="307" w:lineRule="auto"/>
        <w:rPr>
          <w:highlight w:val="none"/>
        </w:rPr>
      </w:pPr>
    </w:p>
    <w:p w14:paraId="70AD81EA">
      <w:pPr>
        <w:pStyle w:val="2"/>
        <w:spacing w:before="73" w:line="300" w:lineRule="exact"/>
        <w:rPr>
          <w:rFonts w:ascii="黑体" w:hAnsi="黑体" w:eastAsia="黑体" w:cs="黑体"/>
          <w:sz w:val="22"/>
          <w:szCs w:val="22"/>
          <w:highlight w:val="none"/>
        </w:rPr>
      </w:pPr>
      <w:r>
        <w:rPr>
          <w:spacing w:val="-8"/>
          <w:position w:val="1"/>
          <w:sz w:val="22"/>
          <w:szCs w:val="22"/>
          <w:highlight w:val="none"/>
        </w:rPr>
        <w:t>16.1</w:t>
      </w:r>
      <w:r>
        <w:rPr>
          <w:spacing w:val="55"/>
          <w:position w:val="1"/>
          <w:sz w:val="22"/>
          <w:szCs w:val="22"/>
          <w:highlight w:val="none"/>
        </w:rPr>
        <w:t xml:space="preserve"> </w:t>
      </w:r>
      <w:r>
        <w:rPr>
          <w:rFonts w:ascii="黑体" w:hAnsi="黑体" w:eastAsia="黑体" w:cs="黑体"/>
          <w:spacing w:val="-8"/>
          <w:position w:val="1"/>
          <w:sz w:val="22"/>
          <w:szCs w:val="22"/>
          <w:highlight w:val="none"/>
        </w:rPr>
        <w:t>由发包人解除合同</w:t>
      </w:r>
    </w:p>
    <w:p w14:paraId="2AC75330">
      <w:pPr>
        <w:spacing w:before="90" w:line="219" w:lineRule="auto"/>
        <w:ind w:left="43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 xml:space="preserve">16.1.1    </w:t>
      </w:r>
      <w:r>
        <w:rPr>
          <w:rFonts w:ascii="宋体" w:hAnsi="宋体" w:eastAsia="宋体" w:cs="宋体"/>
          <w:spacing w:val="5"/>
          <w:sz w:val="20"/>
          <w:szCs w:val="20"/>
          <w:highlight w:val="none"/>
        </w:rPr>
        <w:t>因承包人违约解除合同</w:t>
      </w:r>
    </w:p>
    <w:p w14:paraId="21B54981">
      <w:pPr>
        <w:pStyle w:val="2"/>
        <w:spacing w:line="381" w:lineRule="auto"/>
        <w:rPr>
          <w:highlight w:val="none"/>
        </w:rPr>
      </w:pPr>
    </w:p>
    <w:p w14:paraId="31176FB3">
      <w:pPr>
        <w:spacing w:before="69" w:line="414" w:lineRule="auto"/>
        <w:ind w:right="33"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除专用合同条件另有约定外，发包人有权基于下列原因，以书面形式通知承包人解除合</w:t>
      </w:r>
      <w:r>
        <w:rPr>
          <w:rFonts w:ascii="宋体" w:hAnsi="宋体" w:eastAsia="宋体" w:cs="宋体"/>
          <w:spacing w:val="11"/>
          <w:sz w:val="21"/>
          <w:szCs w:val="21"/>
          <w:highlight w:val="none"/>
        </w:rPr>
        <w:t xml:space="preserve"> </w:t>
      </w:r>
      <w:r>
        <w:rPr>
          <w:rFonts w:ascii="宋体" w:hAnsi="宋体" w:eastAsia="宋体" w:cs="宋体"/>
          <w:spacing w:val="8"/>
          <w:sz w:val="21"/>
          <w:szCs w:val="21"/>
          <w:highlight w:val="none"/>
        </w:rPr>
        <w:t>同，解除通知中应注明是根据第16.1.1项发出的，发包人应在发出</w:t>
      </w:r>
      <w:r>
        <w:rPr>
          <w:rFonts w:ascii="宋体" w:hAnsi="宋体" w:eastAsia="宋体" w:cs="宋体"/>
          <w:spacing w:val="7"/>
          <w:sz w:val="21"/>
          <w:szCs w:val="21"/>
          <w:highlight w:val="none"/>
        </w:rPr>
        <w:t>正式解除合同通知14</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天前告知承包人其解除合同意向，除非承包人在收到该解除合同意向通知后14天</w:t>
      </w:r>
      <w:r>
        <w:rPr>
          <w:rFonts w:ascii="宋体" w:hAnsi="宋体" w:eastAsia="宋体" w:cs="宋体"/>
          <w:spacing w:val="2"/>
          <w:sz w:val="21"/>
          <w:szCs w:val="21"/>
          <w:highlight w:val="none"/>
        </w:rPr>
        <w:t>内采取了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补救措施，否则发包人可向承包人发出正式解除合同通知立即解</w:t>
      </w:r>
      <w:r>
        <w:rPr>
          <w:rFonts w:ascii="宋体" w:hAnsi="宋体" w:eastAsia="宋体" w:cs="宋体"/>
          <w:spacing w:val="-3"/>
          <w:sz w:val="21"/>
          <w:szCs w:val="21"/>
          <w:highlight w:val="none"/>
        </w:rPr>
        <w:t>除合同。解除日期应为承包</w:t>
      </w:r>
      <w:r>
        <w:rPr>
          <w:rFonts w:ascii="宋体" w:hAnsi="宋体" w:eastAsia="宋体" w:cs="宋体"/>
          <w:sz w:val="21"/>
          <w:szCs w:val="21"/>
          <w:highlight w:val="none"/>
        </w:rPr>
        <w:t xml:space="preserve"> 人收到正式解除合同通知的日期，但在第(5)目的情况下，发包人无须提前告知承包人其解</w:t>
      </w:r>
      <w:r>
        <w:rPr>
          <w:rFonts w:ascii="宋体" w:hAnsi="宋体" w:eastAsia="宋体" w:cs="宋体"/>
          <w:spacing w:val="11"/>
          <w:sz w:val="21"/>
          <w:szCs w:val="21"/>
          <w:highlight w:val="none"/>
        </w:rPr>
        <w:t xml:space="preserve"> </w:t>
      </w:r>
      <w:r>
        <w:rPr>
          <w:rFonts w:ascii="宋体" w:hAnsi="宋体" w:eastAsia="宋体" w:cs="宋体"/>
          <w:spacing w:val="-2"/>
          <w:sz w:val="21"/>
          <w:szCs w:val="21"/>
          <w:highlight w:val="none"/>
        </w:rPr>
        <w:t>除合同意向，可直接发出正式解除合同通知立即解除合同：</w:t>
      </w:r>
    </w:p>
    <w:p w14:paraId="06E94842">
      <w:pPr>
        <w:spacing w:before="55" w:line="219" w:lineRule="auto"/>
        <w:ind w:left="520"/>
        <w:rPr>
          <w:rFonts w:ascii="宋体" w:hAnsi="宋体" w:eastAsia="宋体" w:cs="宋体"/>
          <w:sz w:val="20"/>
          <w:szCs w:val="20"/>
          <w:highlight w:val="none"/>
        </w:rPr>
      </w:pPr>
      <w:r>
        <w:rPr>
          <w:rFonts w:ascii="宋体" w:hAnsi="宋体" w:eastAsia="宋体" w:cs="宋体"/>
          <w:spacing w:val="15"/>
          <w:sz w:val="20"/>
          <w:szCs w:val="20"/>
          <w:highlight w:val="none"/>
        </w:rPr>
        <w:t>(1)承包人未能遵守第4.2款[履约担保]的约定；</w:t>
      </w:r>
    </w:p>
    <w:p w14:paraId="300E5BD0">
      <w:pPr>
        <w:spacing w:before="243" w:line="219" w:lineRule="auto"/>
        <w:ind w:left="520"/>
        <w:rPr>
          <w:rFonts w:ascii="宋体" w:hAnsi="宋体" w:eastAsia="宋体" w:cs="宋体"/>
          <w:sz w:val="20"/>
          <w:szCs w:val="20"/>
          <w:highlight w:val="none"/>
        </w:rPr>
      </w:pPr>
      <w:r>
        <w:rPr>
          <w:rFonts w:ascii="宋体" w:hAnsi="宋体" w:eastAsia="宋体" w:cs="宋体"/>
          <w:spacing w:val="14"/>
          <w:sz w:val="20"/>
          <w:szCs w:val="20"/>
          <w:highlight w:val="none"/>
        </w:rPr>
        <w:t>(2)承包人未能遵守第4.5款[分包]有关分包和转包的约定；</w:t>
      </w:r>
    </w:p>
    <w:p w14:paraId="29A336A3">
      <w:pPr>
        <w:spacing w:before="222" w:line="308" w:lineRule="auto"/>
        <w:ind w:right="35" w:firstLine="520"/>
        <w:rPr>
          <w:rFonts w:ascii="宋体" w:hAnsi="宋体" w:eastAsia="宋体" w:cs="宋体"/>
          <w:sz w:val="22"/>
          <w:szCs w:val="22"/>
          <w:highlight w:val="none"/>
        </w:rPr>
      </w:pPr>
      <w:r>
        <w:rPr>
          <w:rFonts w:ascii="宋体" w:hAnsi="宋体" w:eastAsia="宋体" w:cs="宋体"/>
          <w:spacing w:val="-6"/>
          <w:sz w:val="22"/>
          <w:szCs w:val="22"/>
          <w:highlight w:val="none"/>
        </w:rPr>
        <w:t>(3)承包人实际进度明显落后于进度计划，并且未</w:t>
      </w:r>
      <w:r>
        <w:rPr>
          <w:rFonts w:ascii="宋体" w:hAnsi="宋体" w:eastAsia="宋体" w:cs="宋体"/>
          <w:spacing w:val="-7"/>
          <w:sz w:val="22"/>
          <w:szCs w:val="22"/>
          <w:highlight w:val="none"/>
        </w:rPr>
        <w:t>按发包人的指令采取措施并修正进</w:t>
      </w:r>
      <w:r>
        <w:rPr>
          <w:rFonts w:ascii="宋体" w:hAnsi="宋体" w:eastAsia="宋体" w:cs="宋体"/>
          <w:sz w:val="22"/>
          <w:szCs w:val="22"/>
          <w:highlight w:val="none"/>
        </w:rPr>
        <w:t xml:space="preserve"> </w:t>
      </w:r>
      <w:r>
        <w:rPr>
          <w:rFonts w:ascii="宋体" w:hAnsi="宋体" w:eastAsia="宋体" w:cs="宋体"/>
          <w:spacing w:val="-17"/>
          <w:sz w:val="22"/>
          <w:szCs w:val="22"/>
          <w:highlight w:val="none"/>
        </w:rPr>
        <w:t>度计划；</w:t>
      </w:r>
    </w:p>
    <w:p w14:paraId="749C4CE3">
      <w:pPr>
        <w:spacing w:before="237" w:line="219" w:lineRule="auto"/>
        <w:ind w:left="520"/>
        <w:rPr>
          <w:rFonts w:ascii="宋体" w:hAnsi="宋体" w:eastAsia="宋体" w:cs="宋体"/>
          <w:sz w:val="21"/>
          <w:szCs w:val="21"/>
          <w:highlight w:val="none"/>
        </w:rPr>
      </w:pPr>
      <w:r>
        <w:rPr>
          <w:rFonts w:ascii="宋体" w:hAnsi="宋体" w:eastAsia="宋体" w:cs="宋体"/>
          <w:spacing w:val="5"/>
          <w:sz w:val="21"/>
          <w:szCs w:val="21"/>
          <w:highlight w:val="none"/>
        </w:rPr>
        <w:t>(4)工程质量有严重缺陷，承包人无正当理由使修复开始日期拖延达28天以上；</w:t>
      </w:r>
    </w:p>
    <w:p w14:paraId="00851FB1">
      <w:pPr>
        <w:spacing w:line="219" w:lineRule="auto"/>
        <w:rPr>
          <w:rFonts w:ascii="宋体" w:hAnsi="宋体" w:eastAsia="宋体" w:cs="宋体"/>
          <w:sz w:val="21"/>
          <w:szCs w:val="21"/>
          <w:highlight w:val="none"/>
        </w:rPr>
        <w:sectPr>
          <w:footerReference r:id="rId135" w:type="default"/>
          <w:pgSz w:w="11910" w:h="16840"/>
          <w:pgMar w:top="400" w:right="1786" w:bottom="1238" w:left="1779" w:header="0" w:footer="1007" w:gutter="0"/>
          <w:cols w:space="720" w:num="1"/>
        </w:sectPr>
      </w:pPr>
    </w:p>
    <w:p w14:paraId="289E2C44">
      <w:pPr>
        <w:pStyle w:val="2"/>
        <w:spacing w:line="273" w:lineRule="auto"/>
        <w:rPr>
          <w:highlight w:val="none"/>
        </w:rPr>
      </w:pPr>
    </w:p>
    <w:p w14:paraId="306991F1">
      <w:pPr>
        <w:pStyle w:val="2"/>
        <w:spacing w:line="273" w:lineRule="auto"/>
        <w:rPr>
          <w:highlight w:val="none"/>
        </w:rPr>
      </w:pPr>
    </w:p>
    <w:p w14:paraId="43C041FE">
      <w:pPr>
        <w:pStyle w:val="2"/>
        <w:spacing w:line="274" w:lineRule="auto"/>
        <w:rPr>
          <w:highlight w:val="none"/>
        </w:rPr>
      </w:pPr>
    </w:p>
    <w:p w14:paraId="21161BC3">
      <w:pPr>
        <w:pStyle w:val="2"/>
        <w:spacing w:line="274" w:lineRule="auto"/>
        <w:rPr>
          <w:highlight w:val="none"/>
        </w:rPr>
      </w:pPr>
    </w:p>
    <w:p w14:paraId="1A07BEEA">
      <w:pPr>
        <w:spacing w:before="69" w:line="371" w:lineRule="auto"/>
        <w:ind w:right="25" w:firstLine="520"/>
        <w:rPr>
          <w:rFonts w:ascii="宋体" w:hAnsi="宋体" w:eastAsia="宋体" w:cs="宋体"/>
          <w:sz w:val="21"/>
          <w:szCs w:val="21"/>
          <w:highlight w:val="none"/>
        </w:rPr>
      </w:pPr>
      <w:bookmarkStart w:id="103" w:name="bookmark230"/>
      <w:bookmarkEnd w:id="103"/>
      <w:r>
        <w:rPr>
          <w:rFonts w:ascii="宋体" w:hAnsi="宋体" w:eastAsia="宋体" w:cs="宋体"/>
          <w:spacing w:val="7"/>
          <w:sz w:val="21"/>
          <w:szCs w:val="21"/>
          <w:highlight w:val="none"/>
        </w:rPr>
        <w:t>(5)承包人破产、停业清理或进入清算程序，或情况表明承包人将进入</w:t>
      </w:r>
      <w:r>
        <w:rPr>
          <w:rFonts w:ascii="宋体" w:hAnsi="宋体" w:eastAsia="宋体" w:cs="宋体"/>
          <w:spacing w:val="6"/>
          <w:sz w:val="21"/>
          <w:szCs w:val="21"/>
          <w:highlight w:val="none"/>
        </w:rPr>
        <w:t>破产和(或)</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清算程序，已有对其财产的接管令或管理令，与债权人达成和解，或为其债权人的利</w:t>
      </w:r>
      <w:r>
        <w:rPr>
          <w:rFonts w:ascii="宋体" w:hAnsi="宋体" w:eastAsia="宋体" w:cs="宋体"/>
          <w:spacing w:val="-3"/>
          <w:sz w:val="21"/>
          <w:szCs w:val="21"/>
          <w:highlight w:val="none"/>
        </w:rPr>
        <w:t>益在财</w:t>
      </w:r>
      <w:r>
        <w:rPr>
          <w:rFonts w:ascii="宋体" w:hAnsi="宋体" w:eastAsia="宋体" w:cs="宋体"/>
          <w:sz w:val="21"/>
          <w:szCs w:val="21"/>
          <w:highlight w:val="none"/>
        </w:rPr>
        <w:t xml:space="preserve"> 产接管人、受托人或管理人的监督下营业，或采取了任何行动或发生</w:t>
      </w:r>
      <w:r>
        <w:rPr>
          <w:rFonts w:ascii="宋体" w:hAnsi="宋体" w:eastAsia="宋体" w:cs="宋体"/>
          <w:spacing w:val="-1"/>
          <w:sz w:val="21"/>
          <w:szCs w:val="21"/>
          <w:highlight w:val="none"/>
        </w:rPr>
        <w:t>任何事件(根据有关适</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用法律)具有与前述行动或事件相似的效果；</w:t>
      </w:r>
    </w:p>
    <w:p w14:paraId="27A1A0DD">
      <w:pPr>
        <w:spacing w:before="199" w:line="311" w:lineRule="auto"/>
        <w:ind w:right="44" w:firstLine="520"/>
        <w:rPr>
          <w:rFonts w:ascii="宋体" w:hAnsi="宋体" w:eastAsia="宋体" w:cs="宋体"/>
          <w:sz w:val="22"/>
          <w:szCs w:val="22"/>
          <w:highlight w:val="none"/>
        </w:rPr>
      </w:pPr>
      <w:r>
        <w:rPr>
          <w:rFonts w:ascii="宋体" w:hAnsi="宋体" w:eastAsia="宋体" w:cs="宋体"/>
          <w:spacing w:val="-7"/>
          <w:sz w:val="22"/>
          <w:szCs w:val="22"/>
          <w:highlight w:val="none"/>
        </w:rPr>
        <w:t>(6)承包人明确表示或以自己的行为表明不履行合同、或经发包人以书面形式通知其</w:t>
      </w:r>
      <w:r>
        <w:rPr>
          <w:rFonts w:ascii="宋体" w:hAnsi="宋体" w:eastAsia="宋体" w:cs="宋体"/>
          <w:spacing w:val="14"/>
          <w:sz w:val="22"/>
          <w:szCs w:val="22"/>
          <w:highlight w:val="none"/>
        </w:rPr>
        <w:t xml:space="preserve"> </w:t>
      </w:r>
      <w:r>
        <w:rPr>
          <w:rFonts w:ascii="宋体" w:hAnsi="宋体" w:eastAsia="宋体" w:cs="宋体"/>
          <w:spacing w:val="-12"/>
          <w:sz w:val="22"/>
          <w:szCs w:val="22"/>
          <w:highlight w:val="none"/>
        </w:rPr>
        <w:t>履约后仍未能依约履行合同、或以不适当的方式履行合同；</w:t>
      </w:r>
    </w:p>
    <w:p w14:paraId="1E0C0CDF">
      <w:pPr>
        <w:spacing w:before="210" w:line="329" w:lineRule="auto"/>
        <w:ind w:right="44" w:firstLine="520"/>
        <w:rPr>
          <w:rFonts w:ascii="宋体" w:hAnsi="宋体" w:eastAsia="宋体" w:cs="宋体"/>
          <w:sz w:val="21"/>
          <w:szCs w:val="21"/>
          <w:highlight w:val="none"/>
        </w:rPr>
      </w:pPr>
      <w:r>
        <w:rPr>
          <w:rFonts w:ascii="宋体" w:hAnsi="宋体" w:eastAsia="宋体" w:cs="宋体"/>
          <w:spacing w:val="9"/>
          <w:sz w:val="21"/>
          <w:szCs w:val="21"/>
          <w:highlight w:val="none"/>
        </w:rPr>
        <w:t>(7)未能通过的竣工试验、未能通过的竣</w:t>
      </w:r>
      <w:r>
        <w:rPr>
          <w:rFonts w:ascii="宋体" w:hAnsi="宋体" w:eastAsia="宋体" w:cs="宋体"/>
          <w:spacing w:val="8"/>
          <w:sz w:val="21"/>
          <w:szCs w:val="21"/>
          <w:highlight w:val="none"/>
        </w:rPr>
        <w:t>工后试验，使工程的任何部分和(或)整个</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工程丧失了主要使用功能、生产功能；</w:t>
      </w:r>
    </w:p>
    <w:p w14:paraId="7B60B64C">
      <w:pPr>
        <w:spacing w:before="210" w:line="330" w:lineRule="auto"/>
        <w:ind w:right="23" w:firstLine="520"/>
        <w:rPr>
          <w:rFonts w:ascii="宋体" w:hAnsi="宋体" w:eastAsia="宋体" w:cs="宋体"/>
          <w:sz w:val="21"/>
          <w:szCs w:val="21"/>
          <w:highlight w:val="none"/>
        </w:rPr>
      </w:pPr>
      <w:r>
        <w:rPr>
          <w:rFonts w:ascii="宋体" w:hAnsi="宋体" w:eastAsia="宋体" w:cs="宋体"/>
          <w:spacing w:val="3"/>
          <w:sz w:val="21"/>
          <w:szCs w:val="21"/>
          <w:highlight w:val="none"/>
        </w:rPr>
        <w:t>(8)因承包人的原因暂停工作超过56天且暂停影响到整个工程，或因承包人的原因暂</w:t>
      </w:r>
      <w:r>
        <w:rPr>
          <w:rFonts w:ascii="宋体" w:hAnsi="宋体" w:eastAsia="宋体" w:cs="宋体"/>
          <w:spacing w:val="16"/>
          <w:sz w:val="21"/>
          <w:szCs w:val="21"/>
          <w:highlight w:val="none"/>
        </w:rPr>
        <w:t xml:space="preserve"> </w:t>
      </w:r>
      <w:r>
        <w:rPr>
          <w:rFonts w:ascii="宋体" w:hAnsi="宋体" w:eastAsia="宋体" w:cs="宋体"/>
          <w:spacing w:val="6"/>
          <w:sz w:val="21"/>
          <w:szCs w:val="21"/>
          <w:highlight w:val="none"/>
        </w:rPr>
        <w:t>停工作超过182天；</w:t>
      </w:r>
    </w:p>
    <w:p w14:paraId="4566F8FF">
      <w:pPr>
        <w:spacing w:before="239" w:line="219" w:lineRule="auto"/>
        <w:ind w:left="520"/>
        <w:rPr>
          <w:rFonts w:ascii="宋体" w:hAnsi="宋体" w:eastAsia="宋体" w:cs="宋体"/>
          <w:sz w:val="20"/>
          <w:szCs w:val="20"/>
          <w:highlight w:val="none"/>
        </w:rPr>
      </w:pPr>
      <w:r>
        <w:rPr>
          <w:rFonts w:ascii="宋体" w:hAnsi="宋体" w:eastAsia="宋体" w:cs="宋体"/>
          <w:spacing w:val="17"/>
          <w:sz w:val="20"/>
          <w:szCs w:val="20"/>
          <w:highlight w:val="none"/>
        </w:rPr>
        <w:t>(9)承包人未能遵守第8.2款[竣工日期]规定，延误超过18</w:t>
      </w:r>
      <w:r>
        <w:rPr>
          <w:rFonts w:ascii="宋体" w:hAnsi="宋体" w:eastAsia="宋体" w:cs="宋体"/>
          <w:spacing w:val="16"/>
          <w:sz w:val="20"/>
          <w:szCs w:val="20"/>
          <w:highlight w:val="none"/>
        </w:rPr>
        <w:t>2天；</w:t>
      </w:r>
    </w:p>
    <w:p w14:paraId="22710FF1">
      <w:pPr>
        <w:spacing w:before="203" w:line="219" w:lineRule="auto"/>
        <w:ind w:right="38"/>
        <w:jc w:val="right"/>
        <w:rPr>
          <w:rFonts w:ascii="宋体" w:hAnsi="宋体" w:eastAsia="宋体" w:cs="宋体"/>
          <w:sz w:val="22"/>
          <w:szCs w:val="22"/>
          <w:highlight w:val="none"/>
        </w:rPr>
      </w:pPr>
      <w:r>
        <w:rPr>
          <w:rFonts w:ascii="宋体" w:hAnsi="宋体" w:eastAsia="宋体" w:cs="宋体"/>
          <w:spacing w:val="-3"/>
          <w:sz w:val="22"/>
          <w:szCs w:val="22"/>
          <w:highlight w:val="none"/>
        </w:rPr>
        <w:t>(10)工程师根据第15.2.2项[通知改正]发出整改通知后，</w:t>
      </w:r>
      <w:r>
        <w:rPr>
          <w:rFonts w:ascii="宋体" w:hAnsi="宋体" w:eastAsia="宋体" w:cs="宋体"/>
          <w:spacing w:val="-4"/>
          <w:sz w:val="22"/>
          <w:szCs w:val="22"/>
          <w:highlight w:val="none"/>
        </w:rPr>
        <w:t>承包人在指定的合理期限</w:t>
      </w:r>
    </w:p>
    <w:p w14:paraId="013EB32F">
      <w:pPr>
        <w:spacing w:before="239" w:line="219" w:lineRule="auto"/>
        <w:rPr>
          <w:rFonts w:ascii="宋体" w:hAnsi="宋体" w:eastAsia="宋体" w:cs="宋体"/>
          <w:sz w:val="22"/>
          <w:szCs w:val="22"/>
          <w:highlight w:val="none"/>
        </w:rPr>
      </w:pPr>
      <w:r>
        <w:rPr>
          <w:rFonts w:ascii="宋体" w:hAnsi="宋体" w:eastAsia="宋体" w:cs="宋体"/>
          <w:spacing w:val="-11"/>
          <w:sz w:val="22"/>
          <w:szCs w:val="22"/>
          <w:highlight w:val="none"/>
        </w:rPr>
        <w:t>内仍不纠正违约行为并致使合同目的不能实现的。</w:t>
      </w:r>
    </w:p>
    <w:p w14:paraId="1F96A394">
      <w:pPr>
        <w:spacing w:before="118" w:line="219" w:lineRule="auto"/>
        <w:ind w:left="43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16.1.2    </w:t>
      </w:r>
      <w:r>
        <w:rPr>
          <w:rFonts w:ascii="宋体" w:hAnsi="宋体" w:eastAsia="宋体" w:cs="宋体"/>
          <w:spacing w:val="7"/>
          <w:sz w:val="20"/>
          <w:szCs w:val="20"/>
          <w:highlight w:val="none"/>
        </w:rPr>
        <w:t>因承包人违约解除合同后承包人的义务</w:t>
      </w:r>
    </w:p>
    <w:p w14:paraId="5B0FB644">
      <w:pPr>
        <w:pStyle w:val="2"/>
        <w:spacing w:line="372" w:lineRule="auto"/>
        <w:rPr>
          <w:highlight w:val="none"/>
        </w:rPr>
      </w:pPr>
    </w:p>
    <w:p w14:paraId="2492F3DE">
      <w:pPr>
        <w:spacing w:before="69" w:line="219" w:lineRule="auto"/>
        <w:ind w:left="430"/>
        <w:rPr>
          <w:rFonts w:ascii="宋体" w:hAnsi="宋体" w:eastAsia="宋体" w:cs="宋体"/>
          <w:sz w:val="21"/>
          <w:szCs w:val="21"/>
          <w:highlight w:val="none"/>
        </w:rPr>
      </w:pPr>
      <w:r>
        <w:rPr>
          <w:rFonts w:ascii="宋体" w:hAnsi="宋体" w:eastAsia="宋体" w:cs="宋体"/>
          <w:spacing w:val="-4"/>
          <w:sz w:val="21"/>
          <w:szCs w:val="21"/>
          <w:highlight w:val="none"/>
        </w:rPr>
        <w:t>合同解除后，承包人应按以下约定执行：</w:t>
      </w:r>
    </w:p>
    <w:p w14:paraId="290B8BD3">
      <w:pPr>
        <w:spacing w:before="220" w:line="321" w:lineRule="auto"/>
        <w:ind w:right="44" w:firstLine="520"/>
        <w:rPr>
          <w:rFonts w:ascii="宋体" w:hAnsi="宋体" w:eastAsia="宋体" w:cs="宋体"/>
          <w:sz w:val="21"/>
          <w:szCs w:val="21"/>
          <w:highlight w:val="none"/>
        </w:rPr>
      </w:pPr>
      <w:r>
        <w:rPr>
          <w:rFonts w:ascii="宋体" w:hAnsi="宋体" w:eastAsia="宋体" w:cs="宋体"/>
          <w:spacing w:val="3"/>
          <w:sz w:val="21"/>
          <w:szCs w:val="21"/>
          <w:highlight w:val="none"/>
        </w:rPr>
        <w:t>(1)除了为保护生命、财产或工程安全、清理和必须执行的工作外，停止执行所</w:t>
      </w:r>
      <w:r>
        <w:rPr>
          <w:rFonts w:ascii="宋体" w:hAnsi="宋体" w:eastAsia="宋体" w:cs="宋体"/>
          <w:spacing w:val="2"/>
          <w:sz w:val="21"/>
          <w:szCs w:val="21"/>
          <w:highlight w:val="none"/>
        </w:rPr>
        <w:t>有被</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通知解除的工作，并将相关人员撤离现场；</w:t>
      </w:r>
    </w:p>
    <w:p w14:paraId="2D69CEFC">
      <w:pPr>
        <w:spacing w:before="220" w:line="355" w:lineRule="auto"/>
        <w:ind w:right="37" w:firstLine="520"/>
        <w:rPr>
          <w:rFonts w:ascii="宋体" w:hAnsi="宋体" w:eastAsia="宋体" w:cs="宋体"/>
          <w:sz w:val="21"/>
          <w:szCs w:val="21"/>
          <w:highlight w:val="none"/>
        </w:rPr>
      </w:pPr>
      <w:r>
        <w:rPr>
          <w:rFonts w:ascii="宋体" w:hAnsi="宋体" w:eastAsia="宋体" w:cs="宋体"/>
          <w:spacing w:val="3"/>
          <w:sz w:val="21"/>
          <w:szCs w:val="21"/>
          <w:highlight w:val="none"/>
        </w:rPr>
        <w:t>(2)经发包人批准，承包人应将与被解除合同相关的和正在执行的分包合同及相关的</w:t>
      </w:r>
      <w:r>
        <w:rPr>
          <w:rFonts w:ascii="宋体" w:hAnsi="宋体" w:eastAsia="宋体" w:cs="宋体"/>
          <w:spacing w:val="6"/>
          <w:sz w:val="21"/>
          <w:szCs w:val="21"/>
          <w:highlight w:val="none"/>
        </w:rPr>
        <w:t xml:space="preserve"> </w:t>
      </w:r>
      <w:r>
        <w:rPr>
          <w:rFonts w:ascii="宋体" w:hAnsi="宋体" w:eastAsia="宋体" w:cs="宋体"/>
          <w:spacing w:val="3"/>
          <w:sz w:val="21"/>
          <w:szCs w:val="21"/>
          <w:highlight w:val="none"/>
        </w:rPr>
        <w:t>责任和义务转让至发包人和(或)发包人指定方的名下，包括永久性</w:t>
      </w:r>
      <w:r>
        <w:rPr>
          <w:rFonts w:ascii="宋体" w:hAnsi="宋体" w:eastAsia="宋体" w:cs="宋体"/>
          <w:spacing w:val="2"/>
          <w:sz w:val="21"/>
          <w:szCs w:val="21"/>
          <w:highlight w:val="none"/>
        </w:rPr>
        <w:t>工程及工程物资，以及</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相关工作；</w:t>
      </w:r>
    </w:p>
    <w:p w14:paraId="6C9B46D0">
      <w:pPr>
        <w:spacing w:before="219" w:line="219" w:lineRule="auto"/>
        <w:ind w:left="520"/>
        <w:rPr>
          <w:rFonts w:ascii="宋体" w:hAnsi="宋体" w:eastAsia="宋体" w:cs="宋体"/>
          <w:sz w:val="21"/>
          <w:szCs w:val="21"/>
          <w:highlight w:val="none"/>
        </w:rPr>
      </w:pPr>
      <w:r>
        <w:rPr>
          <w:rFonts w:ascii="宋体" w:hAnsi="宋体" w:eastAsia="宋体" w:cs="宋体"/>
          <w:spacing w:val="3"/>
          <w:sz w:val="21"/>
          <w:szCs w:val="21"/>
          <w:highlight w:val="none"/>
        </w:rPr>
        <w:t>(3)移交已完成的永久性工程及负责已运抵现场的工程物资。在移交前，妥善做好己</w:t>
      </w:r>
    </w:p>
    <w:p w14:paraId="214C0823">
      <w:pPr>
        <w:spacing w:before="251" w:line="219" w:lineRule="auto"/>
        <w:rPr>
          <w:rFonts w:ascii="宋体" w:hAnsi="宋体" w:eastAsia="宋体" w:cs="宋体"/>
          <w:sz w:val="21"/>
          <w:szCs w:val="21"/>
          <w:highlight w:val="none"/>
        </w:rPr>
      </w:pPr>
      <w:r>
        <w:rPr>
          <w:rFonts w:ascii="宋体" w:hAnsi="宋体" w:eastAsia="宋体" w:cs="宋体"/>
          <w:spacing w:val="-3"/>
          <w:sz w:val="21"/>
          <w:szCs w:val="21"/>
          <w:highlight w:val="none"/>
        </w:rPr>
        <w:t>完工程和已运抵现场的工程物资的保管、维护和保养；</w:t>
      </w:r>
    </w:p>
    <w:p w14:paraId="2B1BACAB">
      <w:pPr>
        <w:spacing w:before="200" w:line="403" w:lineRule="auto"/>
        <w:ind w:right="41" w:firstLine="520"/>
        <w:jc w:val="both"/>
        <w:rPr>
          <w:rFonts w:ascii="宋体" w:hAnsi="宋体" w:eastAsia="宋体" w:cs="宋体"/>
          <w:sz w:val="22"/>
          <w:szCs w:val="22"/>
          <w:highlight w:val="none"/>
        </w:rPr>
      </w:pPr>
      <w:r>
        <w:rPr>
          <w:rFonts w:ascii="宋体" w:hAnsi="宋体" w:eastAsia="宋体" w:cs="宋体"/>
          <w:spacing w:val="-7"/>
          <w:sz w:val="22"/>
          <w:szCs w:val="22"/>
          <w:highlight w:val="none"/>
        </w:rPr>
        <w:t>(4)将发包人提供的所有信息及承包人为本工程编制的设计文件、技术资料及其它文</w:t>
      </w:r>
      <w:r>
        <w:rPr>
          <w:rFonts w:ascii="宋体" w:hAnsi="宋体" w:eastAsia="宋体" w:cs="宋体"/>
          <w:spacing w:val="16"/>
          <w:sz w:val="22"/>
          <w:szCs w:val="22"/>
          <w:highlight w:val="none"/>
        </w:rPr>
        <w:t xml:space="preserve"> </w:t>
      </w:r>
      <w:r>
        <w:rPr>
          <w:rFonts w:ascii="宋体" w:hAnsi="宋体" w:eastAsia="宋体" w:cs="宋体"/>
          <w:spacing w:val="-12"/>
          <w:sz w:val="22"/>
          <w:szCs w:val="22"/>
          <w:highlight w:val="none"/>
        </w:rPr>
        <w:t>件移交给发包人。在承包人留有的资料文件中</w:t>
      </w:r>
      <w:r>
        <w:rPr>
          <w:rFonts w:ascii="宋体" w:hAnsi="宋体" w:eastAsia="宋体" w:cs="宋体"/>
          <w:spacing w:val="-13"/>
          <w:sz w:val="22"/>
          <w:szCs w:val="22"/>
          <w:highlight w:val="none"/>
        </w:rPr>
        <w:t>，销毁与发包人提供的所有信息相关的数据及</w:t>
      </w:r>
      <w:r>
        <w:rPr>
          <w:rFonts w:ascii="宋体" w:hAnsi="宋体" w:eastAsia="宋体" w:cs="宋体"/>
          <w:sz w:val="22"/>
          <w:szCs w:val="22"/>
          <w:highlight w:val="none"/>
        </w:rPr>
        <w:t xml:space="preserve"> </w:t>
      </w:r>
      <w:r>
        <w:rPr>
          <w:rFonts w:ascii="宋体" w:hAnsi="宋体" w:eastAsia="宋体" w:cs="宋体"/>
          <w:spacing w:val="-17"/>
          <w:sz w:val="22"/>
          <w:szCs w:val="22"/>
          <w:highlight w:val="none"/>
        </w:rPr>
        <w:t>资料的备份；</w:t>
      </w:r>
    </w:p>
    <w:p w14:paraId="358FE126">
      <w:pPr>
        <w:spacing w:before="2" w:line="381" w:lineRule="auto"/>
        <w:ind w:right="68" w:firstLine="520"/>
        <w:rPr>
          <w:rFonts w:ascii="宋体" w:hAnsi="宋体" w:eastAsia="宋体" w:cs="宋体"/>
          <w:sz w:val="21"/>
          <w:szCs w:val="21"/>
          <w:highlight w:val="none"/>
        </w:rPr>
      </w:pPr>
      <w:r>
        <w:rPr>
          <w:rFonts w:ascii="宋体" w:hAnsi="宋体" w:eastAsia="宋体" w:cs="宋体"/>
          <w:spacing w:val="2"/>
          <w:sz w:val="21"/>
          <w:szCs w:val="21"/>
          <w:highlight w:val="none"/>
        </w:rPr>
        <w:t>(5)移交相应实施阶段已经付款的并已完成的和尚待完成的设计文件、图纸、资料、</w:t>
      </w:r>
      <w:r>
        <w:rPr>
          <w:rFonts w:ascii="宋体" w:hAnsi="宋体" w:eastAsia="宋体" w:cs="宋体"/>
          <w:spacing w:val="13"/>
          <w:sz w:val="21"/>
          <w:szCs w:val="21"/>
          <w:highlight w:val="none"/>
        </w:rPr>
        <w:t xml:space="preserve"> </w:t>
      </w:r>
      <w:r>
        <w:rPr>
          <w:rFonts w:ascii="宋体" w:hAnsi="宋体" w:eastAsia="宋体" w:cs="宋体"/>
          <w:spacing w:val="-2"/>
          <w:sz w:val="21"/>
          <w:szCs w:val="21"/>
          <w:highlight w:val="none"/>
        </w:rPr>
        <w:t>操作维修手册、施工组织设计、质检资料、</w:t>
      </w:r>
      <w:r>
        <w:rPr>
          <w:rFonts w:ascii="宋体" w:hAnsi="宋体" w:eastAsia="宋体" w:cs="宋体"/>
          <w:spacing w:val="-3"/>
          <w:sz w:val="21"/>
          <w:szCs w:val="21"/>
          <w:highlight w:val="none"/>
        </w:rPr>
        <w:t>竣工资料等；</w:t>
      </w:r>
    </w:p>
    <w:p w14:paraId="635BDFFC">
      <w:pPr>
        <w:spacing w:before="1" w:line="217" w:lineRule="auto"/>
        <w:ind w:left="43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16.1.3    </w:t>
      </w:r>
      <w:r>
        <w:rPr>
          <w:rFonts w:ascii="宋体" w:hAnsi="宋体" w:eastAsia="宋体" w:cs="宋体"/>
          <w:spacing w:val="7"/>
          <w:sz w:val="20"/>
          <w:szCs w:val="20"/>
          <w:highlight w:val="none"/>
        </w:rPr>
        <w:t>因承包人违约解除合同后的估价、付款和结算</w:t>
      </w:r>
    </w:p>
    <w:p w14:paraId="2CC1DB04">
      <w:pPr>
        <w:pStyle w:val="2"/>
        <w:spacing w:line="376" w:lineRule="auto"/>
        <w:rPr>
          <w:highlight w:val="none"/>
        </w:rPr>
      </w:pPr>
    </w:p>
    <w:p w14:paraId="225B46A1">
      <w:pPr>
        <w:spacing w:before="65" w:line="218" w:lineRule="auto"/>
        <w:ind w:right="24"/>
        <w:jc w:val="right"/>
        <w:rPr>
          <w:rFonts w:ascii="宋体" w:hAnsi="宋体" w:eastAsia="宋体" w:cs="宋体"/>
          <w:sz w:val="20"/>
          <w:szCs w:val="20"/>
          <w:highlight w:val="none"/>
        </w:rPr>
      </w:pPr>
      <w:r>
        <w:rPr>
          <w:rFonts w:ascii="宋体" w:hAnsi="宋体" w:eastAsia="宋体" w:cs="宋体"/>
          <w:spacing w:val="13"/>
          <w:sz w:val="20"/>
          <w:szCs w:val="20"/>
          <w:highlight w:val="none"/>
        </w:rPr>
        <w:t>因承包人原因导致合同解除的，则合同当事人应在合同解除后28天内</w:t>
      </w:r>
      <w:r>
        <w:rPr>
          <w:rFonts w:ascii="宋体" w:hAnsi="宋体" w:eastAsia="宋体" w:cs="宋体"/>
          <w:spacing w:val="12"/>
          <w:sz w:val="20"/>
          <w:szCs w:val="20"/>
          <w:highlight w:val="none"/>
        </w:rPr>
        <w:t>完成估价、付款</w:t>
      </w:r>
    </w:p>
    <w:p w14:paraId="6302ADEE">
      <w:pPr>
        <w:spacing w:line="218" w:lineRule="auto"/>
        <w:rPr>
          <w:rFonts w:ascii="宋体" w:hAnsi="宋体" w:eastAsia="宋体" w:cs="宋体"/>
          <w:sz w:val="20"/>
          <w:szCs w:val="20"/>
          <w:highlight w:val="none"/>
        </w:rPr>
        <w:sectPr>
          <w:footerReference r:id="rId136" w:type="default"/>
          <w:pgSz w:w="11910" w:h="16840"/>
          <w:pgMar w:top="400" w:right="1786" w:bottom="1218" w:left="1779" w:header="0" w:footer="986" w:gutter="0"/>
          <w:cols w:space="720" w:num="1"/>
        </w:sectPr>
      </w:pPr>
    </w:p>
    <w:p w14:paraId="01CB847E">
      <w:pPr>
        <w:pStyle w:val="2"/>
        <w:spacing w:line="273" w:lineRule="auto"/>
        <w:rPr>
          <w:highlight w:val="none"/>
        </w:rPr>
      </w:pPr>
    </w:p>
    <w:p w14:paraId="64B78487">
      <w:pPr>
        <w:pStyle w:val="2"/>
        <w:spacing w:line="273" w:lineRule="auto"/>
        <w:rPr>
          <w:highlight w:val="none"/>
        </w:rPr>
      </w:pPr>
    </w:p>
    <w:p w14:paraId="5E776E28">
      <w:pPr>
        <w:pStyle w:val="2"/>
        <w:spacing w:line="273" w:lineRule="auto"/>
        <w:rPr>
          <w:highlight w:val="none"/>
        </w:rPr>
      </w:pPr>
    </w:p>
    <w:p w14:paraId="210FC492">
      <w:pPr>
        <w:pStyle w:val="2"/>
        <w:spacing w:line="274" w:lineRule="auto"/>
        <w:rPr>
          <w:highlight w:val="none"/>
        </w:rPr>
      </w:pPr>
    </w:p>
    <w:p w14:paraId="231D6F73">
      <w:pPr>
        <w:spacing w:before="69" w:line="219" w:lineRule="auto"/>
        <w:rPr>
          <w:rFonts w:ascii="宋体" w:hAnsi="宋体" w:eastAsia="宋体" w:cs="宋体"/>
          <w:sz w:val="21"/>
          <w:szCs w:val="21"/>
          <w:highlight w:val="none"/>
        </w:rPr>
      </w:pPr>
      <w:bookmarkStart w:id="104" w:name="bookmark231"/>
      <w:bookmarkEnd w:id="104"/>
      <w:r>
        <w:rPr>
          <w:rFonts w:ascii="宋体" w:hAnsi="宋体" w:eastAsia="宋体" w:cs="宋体"/>
          <w:spacing w:val="-5"/>
          <w:sz w:val="21"/>
          <w:szCs w:val="21"/>
          <w:highlight w:val="none"/>
        </w:rPr>
        <w:t>和清算，并按以下约定执行：</w:t>
      </w:r>
    </w:p>
    <w:p w14:paraId="759A23EF">
      <w:pPr>
        <w:spacing w:before="230" w:line="315" w:lineRule="auto"/>
        <w:ind w:right="75" w:firstLine="539"/>
        <w:rPr>
          <w:rFonts w:ascii="宋体" w:hAnsi="宋体" w:eastAsia="宋体" w:cs="宋体"/>
          <w:sz w:val="21"/>
          <w:szCs w:val="21"/>
          <w:highlight w:val="none"/>
        </w:rPr>
      </w:pPr>
      <w:r>
        <w:rPr>
          <w:rFonts w:ascii="宋体" w:hAnsi="宋体" w:eastAsia="宋体" w:cs="宋体"/>
          <w:spacing w:val="6"/>
          <w:sz w:val="21"/>
          <w:szCs w:val="21"/>
          <w:highlight w:val="none"/>
        </w:rPr>
        <w:t>(1)合同解除后，按第3.6款[商定或确定]商定或确定承</w:t>
      </w:r>
      <w:r>
        <w:rPr>
          <w:rFonts w:ascii="宋体" w:hAnsi="宋体" w:eastAsia="宋体" w:cs="宋体"/>
          <w:spacing w:val="5"/>
          <w:sz w:val="21"/>
          <w:szCs w:val="21"/>
          <w:highlight w:val="none"/>
        </w:rPr>
        <w:t>包人实际完成工作对应的合</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同价款，以及承包人已提供的材料、工程设备、施工设备</w:t>
      </w:r>
      <w:r>
        <w:rPr>
          <w:rFonts w:ascii="宋体" w:hAnsi="宋体" w:eastAsia="宋体" w:cs="宋体"/>
          <w:spacing w:val="-2"/>
          <w:sz w:val="21"/>
          <w:szCs w:val="21"/>
          <w:highlight w:val="none"/>
        </w:rPr>
        <w:t>和临时工程等的价值；</w:t>
      </w:r>
    </w:p>
    <w:p w14:paraId="5B2CA9E0">
      <w:pPr>
        <w:spacing w:before="253" w:line="219" w:lineRule="auto"/>
        <w:ind w:left="539"/>
        <w:rPr>
          <w:rFonts w:ascii="宋体" w:hAnsi="宋体" w:eastAsia="宋体" w:cs="宋体"/>
          <w:sz w:val="20"/>
          <w:szCs w:val="20"/>
          <w:highlight w:val="none"/>
        </w:rPr>
      </w:pPr>
      <w:r>
        <w:rPr>
          <w:rFonts w:ascii="宋体" w:hAnsi="宋体" w:eastAsia="宋体" w:cs="宋体"/>
          <w:spacing w:val="12"/>
          <w:sz w:val="20"/>
          <w:szCs w:val="20"/>
          <w:highlight w:val="none"/>
        </w:rPr>
        <w:t>(2)合同解除后，承包人应支付的违约金；</w:t>
      </w:r>
    </w:p>
    <w:p w14:paraId="0A6C40A4">
      <w:pPr>
        <w:spacing w:before="242" w:line="219" w:lineRule="auto"/>
        <w:ind w:left="539"/>
        <w:rPr>
          <w:rFonts w:ascii="宋体" w:hAnsi="宋体" w:eastAsia="宋体" w:cs="宋体"/>
          <w:sz w:val="20"/>
          <w:szCs w:val="20"/>
          <w:highlight w:val="none"/>
        </w:rPr>
      </w:pPr>
      <w:r>
        <w:rPr>
          <w:rFonts w:ascii="宋体" w:hAnsi="宋体" w:eastAsia="宋体" w:cs="宋体"/>
          <w:spacing w:val="11"/>
          <w:sz w:val="20"/>
          <w:szCs w:val="20"/>
          <w:highlight w:val="none"/>
        </w:rPr>
        <w:t>(3)合同解除后，因解除合同给发包人造成的损失；</w:t>
      </w:r>
    </w:p>
    <w:p w14:paraId="0A0BD4DB">
      <w:pPr>
        <w:spacing w:before="203" w:line="219"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(4)合同解除后，承包人应按照发包人的指示完成现场的清理和撤离；</w:t>
      </w:r>
    </w:p>
    <w:p w14:paraId="6EE5F30B">
      <w:pPr>
        <w:spacing w:before="199" w:line="320" w:lineRule="auto"/>
        <w:ind w:right="95" w:firstLine="539"/>
        <w:rPr>
          <w:rFonts w:ascii="宋体" w:hAnsi="宋体" w:eastAsia="宋体" w:cs="宋体"/>
          <w:sz w:val="22"/>
          <w:szCs w:val="22"/>
          <w:highlight w:val="none"/>
        </w:rPr>
      </w:pPr>
      <w:r>
        <w:rPr>
          <w:rFonts w:ascii="宋体" w:hAnsi="宋体" w:eastAsia="宋体" w:cs="宋体"/>
          <w:spacing w:val="-7"/>
          <w:sz w:val="22"/>
          <w:szCs w:val="22"/>
          <w:highlight w:val="none"/>
        </w:rPr>
        <w:t>(5)发包人和承包人应在合同解除后进行清算，出具最终结清付款证书，结清全部款</w:t>
      </w:r>
      <w:r>
        <w:rPr>
          <w:rFonts w:ascii="宋体" w:hAnsi="宋体" w:eastAsia="宋体" w:cs="宋体"/>
          <w:spacing w:val="4"/>
          <w:sz w:val="22"/>
          <w:szCs w:val="22"/>
          <w:highlight w:val="none"/>
        </w:rPr>
        <w:t xml:space="preserve"> </w:t>
      </w:r>
      <w:r>
        <w:rPr>
          <w:rFonts w:ascii="宋体" w:hAnsi="宋体" w:eastAsia="宋体" w:cs="宋体"/>
          <w:spacing w:val="-12"/>
          <w:sz w:val="22"/>
          <w:szCs w:val="22"/>
          <w:highlight w:val="none"/>
        </w:rPr>
        <w:t>项。</w:t>
      </w:r>
    </w:p>
    <w:p w14:paraId="3E9DED63">
      <w:pPr>
        <w:spacing w:before="215" w:line="393" w:lineRule="auto"/>
        <w:ind w:right="19" w:firstLine="430"/>
        <w:jc w:val="both"/>
        <w:rPr>
          <w:rFonts w:ascii="宋体" w:hAnsi="宋体" w:eastAsia="宋体" w:cs="宋体"/>
          <w:sz w:val="21"/>
          <w:szCs w:val="21"/>
          <w:highlight w:val="none"/>
        </w:rPr>
      </w:pPr>
      <w:r>
        <w:rPr>
          <w:rFonts w:ascii="宋体" w:hAnsi="宋体" w:eastAsia="宋体" w:cs="宋体"/>
          <w:spacing w:val="-6"/>
          <w:sz w:val="21"/>
          <w:szCs w:val="21"/>
          <w:highlight w:val="none"/>
        </w:rPr>
        <w:t>因承包人违约解除合同的，发包人有权暂停对承包人的付款，查清各项付款和已扣</w:t>
      </w:r>
      <w:r>
        <w:rPr>
          <w:rFonts w:ascii="宋体" w:hAnsi="宋体" w:eastAsia="宋体" w:cs="宋体"/>
          <w:spacing w:val="-7"/>
          <w:sz w:val="21"/>
          <w:szCs w:val="21"/>
          <w:highlight w:val="none"/>
        </w:rPr>
        <w:t>款项，</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发包人和承包人未能就合同解除后的清算和款项支付达成一致</w:t>
      </w:r>
      <w:r>
        <w:rPr>
          <w:rFonts w:ascii="宋体" w:hAnsi="宋体" w:eastAsia="宋体" w:cs="宋体"/>
          <w:spacing w:val="3"/>
          <w:sz w:val="21"/>
          <w:szCs w:val="21"/>
          <w:highlight w:val="none"/>
        </w:rPr>
        <w:t>的，按照第20条[争议解决]</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的约定处理。</w:t>
      </w:r>
    </w:p>
    <w:p w14:paraId="3C936313">
      <w:pPr>
        <w:spacing w:line="219" w:lineRule="auto"/>
        <w:ind w:left="43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16.1.4    </w:t>
      </w:r>
      <w:r>
        <w:rPr>
          <w:rFonts w:ascii="宋体" w:hAnsi="宋体" w:eastAsia="宋体" w:cs="宋体"/>
          <w:spacing w:val="7"/>
          <w:sz w:val="20"/>
          <w:szCs w:val="20"/>
          <w:highlight w:val="none"/>
        </w:rPr>
        <w:t>因承包人违约解除合同的合同权益</w:t>
      </w:r>
      <w:r>
        <w:rPr>
          <w:rFonts w:ascii="宋体" w:hAnsi="宋体" w:eastAsia="宋体" w:cs="宋体"/>
          <w:spacing w:val="6"/>
          <w:sz w:val="20"/>
          <w:szCs w:val="20"/>
          <w:highlight w:val="none"/>
        </w:rPr>
        <w:t>转让</w:t>
      </w:r>
    </w:p>
    <w:p w14:paraId="00435A9F">
      <w:pPr>
        <w:pStyle w:val="2"/>
        <w:spacing w:line="353" w:lineRule="auto"/>
        <w:rPr>
          <w:highlight w:val="none"/>
        </w:rPr>
      </w:pPr>
    </w:p>
    <w:p w14:paraId="799FE1D7">
      <w:pPr>
        <w:spacing w:before="69" w:line="416" w:lineRule="auto"/>
        <w:ind w:right="54" w:firstLine="430"/>
        <w:jc w:val="both"/>
        <w:rPr>
          <w:rFonts w:ascii="宋体" w:hAnsi="宋体" w:eastAsia="宋体" w:cs="宋体"/>
          <w:sz w:val="21"/>
          <w:szCs w:val="21"/>
          <w:highlight w:val="none"/>
        </w:rPr>
      </w:pPr>
      <w:r>
        <w:rPr>
          <w:rFonts w:ascii="宋体" w:hAnsi="宋体" w:eastAsia="宋体" w:cs="宋体"/>
          <w:spacing w:val="4"/>
          <w:sz w:val="21"/>
          <w:szCs w:val="21"/>
          <w:highlight w:val="none"/>
        </w:rPr>
        <w:t>合同解除后，发包人可以继续完成工程，和(或)安排第三人完成。发包人有权</w:t>
      </w:r>
      <w:r>
        <w:rPr>
          <w:rFonts w:ascii="宋体" w:hAnsi="宋体" w:eastAsia="宋体" w:cs="宋体"/>
          <w:spacing w:val="3"/>
          <w:sz w:val="21"/>
          <w:szCs w:val="21"/>
          <w:highlight w:val="none"/>
        </w:rPr>
        <w:t>要求承</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包人将其为实施合同而订立的材料和设备的订货合同或任何服</w:t>
      </w:r>
      <w:r>
        <w:rPr>
          <w:rFonts w:ascii="宋体" w:hAnsi="宋体" w:eastAsia="宋体" w:cs="宋体"/>
          <w:spacing w:val="-3"/>
          <w:sz w:val="21"/>
          <w:szCs w:val="21"/>
          <w:highlight w:val="none"/>
        </w:rPr>
        <w:t>务合同利益转让给发包人，并</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在承包人收到解除合同通知后的14天内，依法办理转让手续。发包人和(或)第三人有权</w:t>
      </w:r>
      <w:r>
        <w:rPr>
          <w:rFonts w:ascii="宋体" w:hAnsi="宋体" w:eastAsia="宋体" w:cs="宋体"/>
          <w:spacing w:val="7"/>
          <w:sz w:val="21"/>
          <w:szCs w:val="21"/>
          <w:highlight w:val="none"/>
        </w:rPr>
        <w:t xml:space="preserve"> </w:t>
      </w:r>
      <w:r>
        <w:rPr>
          <w:rFonts w:ascii="宋体" w:hAnsi="宋体" w:eastAsia="宋体" w:cs="宋体"/>
          <w:spacing w:val="-2"/>
          <w:sz w:val="21"/>
          <w:szCs w:val="21"/>
          <w:highlight w:val="none"/>
        </w:rPr>
        <w:t>使用承包人在施工现场的材料、设备、临时工程、承包人文件和由承包人或以其</w:t>
      </w:r>
      <w:r>
        <w:rPr>
          <w:rFonts w:ascii="宋体" w:hAnsi="宋体" w:eastAsia="宋体" w:cs="宋体"/>
          <w:spacing w:val="-3"/>
          <w:sz w:val="21"/>
          <w:szCs w:val="21"/>
          <w:highlight w:val="none"/>
        </w:rPr>
        <w:t>名义编制的</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其他文件。</w:t>
      </w:r>
    </w:p>
    <w:p w14:paraId="7FAE3F60">
      <w:pPr>
        <w:pStyle w:val="2"/>
        <w:spacing w:before="163" w:line="300" w:lineRule="exact"/>
        <w:rPr>
          <w:rFonts w:ascii="黑体" w:hAnsi="黑体" w:eastAsia="黑体" w:cs="黑体"/>
          <w:sz w:val="22"/>
          <w:szCs w:val="22"/>
          <w:highlight w:val="none"/>
        </w:rPr>
      </w:pPr>
      <w:r>
        <w:rPr>
          <w:spacing w:val="-8"/>
          <w:position w:val="1"/>
          <w:sz w:val="22"/>
          <w:szCs w:val="22"/>
          <w:highlight w:val="none"/>
        </w:rPr>
        <w:t>16.2</w:t>
      </w:r>
      <w:r>
        <w:rPr>
          <w:spacing w:val="45"/>
          <w:position w:val="1"/>
          <w:sz w:val="22"/>
          <w:szCs w:val="22"/>
          <w:highlight w:val="none"/>
        </w:rPr>
        <w:t xml:space="preserve"> </w:t>
      </w:r>
      <w:r>
        <w:rPr>
          <w:rFonts w:ascii="黑体" w:hAnsi="黑体" w:eastAsia="黑体" w:cs="黑体"/>
          <w:spacing w:val="-8"/>
          <w:position w:val="1"/>
          <w:sz w:val="22"/>
          <w:szCs w:val="22"/>
          <w:highlight w:val="none"/>
        </w:rPr>
        <w:t>由承包人解除合同</w:t>
      </w:r>
    </w:p>
    <w:p w14:paraId="2CC944EE">
      <w:pPr>
        <w:spacing w:before="100" w:line="219" w:lineRule="auto"/>
        <w:ind w:left="43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16.2.1</w:t>
      </w:r>
      <w:r>
        <w:rPr>
          <w:rFonts w:ascii="Times New Roman" w:hAnsi="Times New Roman" w:eastAsia="Times New Roman" w:cs="Times New Roman"/>
          <w:spacing w:val="1"/>
          <w:sz w:val="20"/>
          <w:szCs w:val="20"/>
          <w:highlight w:val="none"/>
        </w:rPr>
        <w:t xml:space="preserve">     </w:t>
      </w:r>
      <w:r>
        <w:rPr>
          <w:rFonts w:ascii="宋体" w:hAnsi="宋体" w:eastAsia="宋体" w:cs="宋体"/>
          <w:spacing w:val="5"/>
          <w:sz w:val="20"/>
          <w:szCs w:val="20"/>
          <w:highlight w:val="none"/>
        </w:rPr>
        <w:t>因发包人违约解除合同</w:t>
      </w:r>
    </w:p>
    <w:p w14:paraId="2CF6B300">
      <w:pPr>
        <w:pStyle w:val="2"/>
        <w:spacing w:line="369" w:lineRule="auto"/>
        <w:rPr>
          <w:highlight w:val="none"/>
        </w:rPr>
      </w:pPr>
    </w:p>
    <w:p w14:paraId="204662E0">
      <w:pPr>
        <w:spacing w:before="69" w:line="416" w:lineRule="auto"/>
        <w:ind w:right="75"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除专用合同条件另有约定外，承包人有权基于下列原因，以书面形式通知</w:t>
      </w:r>
      <w:r>
        <w:rPr>
          <w:rFonts w:ascii="宋体" w:hAnsi="宋体" w:eastAsia="宋体" w:cs="宋体"/>
          <w:spacing w:val="-3"/>
          <w:sz w:val="21"/>
          <w:szCs w:val="21"/>
          <w:highlight w:val="none"/>
        </w:rPr>
        <w:t>发包人解除合</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同，解除通知中应注明是根据第16.2.1项发出的，承包人应在发出</w:t>
      </w:r>
      <w:r>
        <w:rPr>
          <w:rFonts w:ascii="宋体" w:hAnsi="宋体" w:eastAsia="宋体" w:cs="宋体"/>
          <w:spacing w:val="7"/>
          <w:sz w:val="21"/>
          <w:szCs w:val="21"/>
          <w:highlight w:val="none"/>
        </w:rPr>
        <w:t>正式解除合同通知14</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天前告知发包人其解除合同意向，除非发包人在收到该解除合同意向通知后14天</w:t>
      </w:r>
      <w:r>
        <w:rPr>
          <w:rFonts w:ascii="宋体" w:hAnsi="宋体" w:eastAsia="宋体" w:cs="宋体"/>
          <w:spacing w:val="2"/>
          <w:sz w:val="21"/>
          <w:szCs w:val="21"/>
          <w:highlight w:val="none"/>
        </w:rPr>
        <w:t>内采取了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补救措施，否则承包人可向发包人发出正式解除合同通知立即解</w:t>
      </w:r>
      <w:r>
        <w:rPr>
          <w:rFonts w:ascii="宋体" w:hAnsi="宋体" w:eastAsia="宋体" w:cs="宋体"/>
          <w:spacing w:val="-3"/>
          <w:sz w:val="21"/>
          <w:szCs w:val="21"/>
          <w:highlight w:val="none"/>
        </w:rPr>
        <w:t>除合同。解除日期应为发包</w:t>
      </w:r>
      <w:r>
        <w:rPr>
          <w:rFonts w:ascii="宋体" w:hAnsi="宋体" w:eastAsia="宋体" w:cs="宋体"/>
          <w:sz w:val="21"/>
          <w:szCs w:val="21"/>
          <w:highlight w:val="none"/>
        </w:rPr>
        <w:t xml:space="preserve"> 人收到正式解除合同通知的日期，但在第(5)目的情况下，承包人无须提前告知发包人其解</w:t>
      </w:r>
      <w:r>
        <w:rPr>
          <w:rFonts w:ascii="宋体" w:hAnsi="宋体" w:eastAsia="宋体" w:cs="宋体"/>
          <w:spacing w:val="11"/>
          <w:sz w:val="21"/>
          <w:szCs w:val="21"/>
          <w:highlight w:val="none"/>
        </w:rPr>
        <w:t xml:space="preserve"> </w:t>
      </w:r>
      <w:r>
        <w:rPr>
          <w:rFonts w:ascii="宋体" w:hAnsi="宋体" w:eastAsia="宋体" w:cs="宋体"/>
          <w:spacing w:val="-3"/>
          <w:sz w:val="21"/>
          <w:szCs w:val="21"/>
          <w:highlight w:val="none"/>
        </w:rPr>
        <w:t>除合同意向，可直接发出正式解除合同通知立即解除合同：</w:t>
      </w:r>
    </w:p>
    <w:p w14:paraId="33C1D41A">
      <w:pPr>
        <w:spacing w:before="42" w:line="321" w:lineRule="auto"/>
        <w:ind w:firstLine="539"/>
        <w:rPr>
          <w:rFonts w:ascii="宋体" w:hAnsi="宋体" w:eastAsia="宋体" w:cs="宋体"/>
          <w:sz w:val="21"/>
          <w:szCs w:val="21"/>
          <w:highlight w:val="none"/>
        </w:rPr>
      </w:pPr>
      <w:r>
        <w:rPr>
          <w:rFonts w:ascii="宋体" w:hAnsi="宋体" w:eastAsia="宋体" w:cs="宋体"/>
          <w:spacing w:val="7"/>
          <w:sz w:val="21"/>
          <w:szCs w:val="21"/>
          <w:highlight w:val="none"/>
        </w:rPr>
        <w:t>(1)承包人就发包人未能遵守第2.5.2项关于发包人的资金安排发出通知后42天内，</w:t>
      </w:r>
      <w:r>
        <w:rPr>
          <w:rFonts w:ascii="宋体" w:hAnsi="宋体" w:eastAsia="宋体" w:cs="宋体"/>
          <w:spacing w:val="16"/>
          <w:sz w:val="21"/>
          <w:szCs w:val="21"/>
          <w:highlight w:val="none"/>
        </w:rPr>
        <w:t xml:space="preserve"> </w:t>
      </w:r>
      <w:r>
        <w:rPr>
          <w:rFonts w:ascii="宋体" w:hAnsi="宋体" w:eastAsia="宋体" w:cs="宋体"/>
          <w:spacing w:val="-6"/>
          <w:sz w:val="21"/>
          <w:szCs w:val="21"/>
          <w:highlight w:val="none"/>
        </w:rPr>
        <w:t>仍未收到合理的证明；</w:t>
      </w:r>
    </w:p>
    <w:p w14:paraId="5DFBB982">
      <w:pPr>
        <w:spacing w:before="222" w:line="219" w:lineRule="auto"/>
        <w:ind w:left="539"/>
        <w:rPr>
          <w:rFonts w:ascii="宋体" w:hAnsi="宋体" w:eastAsia="宋体" w:cs="宋体"/>
          <w:sz w:val="22"/>
          <w:szCs w:val="22"/>
          <w:highlight w:val="none"/>
        </w:rPr>
      </w:pPr>
      <w:r>
        <w:rPr>
          <w:rFonts w:ascii="宋体" w:hAnsi="宋体" w:eastAsia="宋体" w:cs="宋体"/>
          <w:sz w:val="22"/>
          <w:szCs w:val="22"/>
          <w:highlight w:val="none"/>
        </w:rPr>
        <w:t>(2)在第14条规定的付款时间到期后42天内，承包人仍未收到应付款</w:t>
      </w:r>
      <w:r>
        <w:rPr>
          <w:rFonts w:ascii="宋体" w:hAnsi="宋体" w:eastAsia="宋体" w:cs="宋体"/>
          <w:spacing w:val="-1"/>
          <w:sz w:val="22"/>
          <w:szCs w:val="22"/>
          <w:highlight w:val="none"/>
        </w:rPr>
        <w:t>项；</w:t>
      </w:r>
    </w:p>
    <w:p w14:paraId="6366F2C0">
      <w:pPr>
        <w:spacing w:line="219" w:lineRule="auto"/>
        <w:rPr>
          <w:rFonts w:ascii="宋体" w:hAnsi="宋体" w:eastAsia="宋体" w:cs="宋体"/>
          <w:sz w:val="22"/>
          <w:szCs w:val="22"/>
          <w:highlight w:val="none"/>
        </w:rPr>
        <w:sectPr>
          <w:footerReference r:id="rId137" w:type="default"/>
          <w:pgSz w:w="11910" w:h="16840"/>
          <w:pgMar w:top="400" w:right="1735" w:bottom="1238" w:left="1769" w:header="0" w:footer="1007" w:gutter="0"/>
          <w:cols w:space="720" w:num="1"/>
        </w:sectPr>
      </w:pPr>
    </w:p>
    <w:p w14:paraId="35C55527">
      <w:pPr>
        <w:pStyle w:val="2"/>
        <w:spacing w:line="276" w:lineRule="auto"/>
        <w:rPr>
          <w:highlight w:val="none"/>
        </w:rPr>
      </w:pPr>
    </w:p>
    <w:p w14:paraId="1E2975D2">
      <w:pPr>
        <w:pStyle w:val="2"/>
        <w:spacing w:line="276" w:lineRule="auto"/>
        <w:rPr>
          <w:highlight w:val="none"/>
        </w:rPr>
      </w:pPr>
    </w:p>
    <w:p w14:paraId="10E1FD26">
      <w:pPr>
        <w:pStyle w:val="2"/>
        <w:spacing w:line="276" w:lineRule="auto"/>
        <w:rPr>
          <w:highlight w:val="none"/>
        </w:rPr>
      </w:pPr>
    </w:p>
    <w:p w14:paraId="1CDC6D49">
      <w:pPr>
        <w:pStyle w:val="2"/>
        <w:spacing w:line="277" w:lineRule="auto"/>
        <w:rPr>
          <w:highlight w:val="none"/>
        </w:rPr>
      </w:pPr>
    </w:p>
    <w:p w14:paraId="269E453A">
      <w:pPr>
        <w:spacing w:before="65" w:line="219" w:lineRule="auto"/>
        <w:ind w:left="520"/>
        <w:rPr>
          <w:rFonts w:ascii="宋体" w:hAnsi="宋体" w:eastAsia="宋体" w:cs="宋体"/>
          <w:sz w:val="20"/>
          <w:szCs w:val="20"/>
          <w:highlight w:val="none"/>
        </w:rPr>
      </w:pPr>
      <w:r>
        <w:rPr>
          <w:rFonts w:ascii="宋体" w:hAnsi="宋体" w:eastAsia="宋体" w:cs="宋体"/>
          <w:spacing w:val="11"/>
          <w:sz w:val="20"/>
          <w:szCs w:val="20"/>
          <w:highlight w:val="none"/>
        </w:rPr>
        <w:t>(3)发包人实质上未能根据合同约定履行其义务，构成根本性违约；</w:t>
      </w:r>
    </w:p>
    <w:p w14:paraId="052D5246">
      <w:pPr>
        <w:spacing w:before="214" w:line="312" w:lineRule="auto"/>
        <w:ind w:right="73" w:firstLine="520"/>
        <w:rPr>
          <w:rFonts w:ascii="宋体" w:hAnsi="宋体" w:eastAsia="宋体" w:cs="宋体"/>
          <w:sz w:val="22"/>
          <w:szCs w:val="22"/>
          <w:highlight w:val="none"/>
        </w:rPr>
      </w:pPr>
      <w:r>
        <w:rPr>
          <w:rFonts w:ascii="宋体" w:hAnsi="宋体" w:eastAsia="宋体" w:cs="宋体"/>
          <w:sz w:val="22"/>
          <w:szCs w:val="22"/>
          <w:highlight w:val="none"/>
        </w:rPr>
        <w:t>(4)发承包双方订立本合同协议书后的84天内，承包人未收到根据第8.1款[开始工</w:t>
      </w:r>
      <w:r>
        <w:rPr>
          <w:rFonts w:ascii="宋体" w:hAnsi="宋体" w:eastAsia="宋体" w:cs="宋体"/>
          <w:spacing w:val="10"/>
          <w:sz w:val="22"/>
          <w:szCs w:val="22"/>
          <w:highlight w:val="none"/>
        </w:rPr>
        <w:t xml:space="preserve"> </w:t>
      </w:r>
      <w:r>
        <w:rPr>
          <w:rFonts w:ascii="宋体" w:hAnsi="宋体" w:eastAsia="宋体" w:cs="宋体"/>
          <w:spacing w:val="-14"/>
          <w:sz w:val="22"/>
          <w:szCs w:val="22"/>
          <w:highlight w:val="none"/>
        </w:rPr>
        <w:t>作]的开始工作通知；</w:t>
      </w:r>
    </w:p>
    <w:p w14:paraId="4DC46652">
      <w:pPr>
        <w:spacing w:before="237" w:line="360" w:lineRule="auto"/>
        <w:ind w:right="95" w:firstLine="520"/>
        <w:rPr>
          <w:rFonts w:ascii="宋体" w:hAnsi="宋体" w:eastAsia="宋体" w:cs="宋体"/>
          <w:sz w:val="21"/>
          <w:szCs w:val="21"/>
          <w:highlight w:val="none"/>
        </w:rPr>
      </w:pPr>
      <w:r>
        <w:rPr>
          <w:rFonts w:ascii="宋体" w:hAnsi="宋体" w:eastAsia="宋体" w:cs="宋体"/>
          <w:spacing w:val="7"/>
          <w:sz w:val="21"/>
          <w:szCs w:val="21"/>
          <w:highlight w:val="none"/>
        </w:rPr>
        <w:t>(5)发包人破产、停业清理或进入清算程序，或情况表明发包人将进入</w:t>
      </w:r>
      <w:r>
        <w:rPr>
          <w:rFonts w:ascii="宋体" w:hAnsi="宋体" w:eastAsia="宋体" w:cs="宋体"/>
          <w:spacing w:val="6"/>
          <w:sz w:val="21"/>
          <w:szCs w:val="21"/>
          <w:highlight w:val="none"/>
        </w:rPr>
        <w:t>破产和(或)</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清算程序或发包人资信严重恶化，已有对其财产的接管令或管理令，与债权人达成和解</w:t>
      </w:r>
      <w:r>
        <w:rPr>
          <w:rFonts w:ascii="宋体" w:hAnsi="宋体" w:eastAsia="宋体" w:cs="宋体"/>
          <w:spacing w:val="-3"/>
          <w:sz w:val="21"/>
          <w:szCs w:val="21"/>
          <w:highlight w:val="none"/>
        </w:rPr>
        <w:t>，或</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为其债权人的利益在财产接管人、受托人或管理人的监督下营业，或采取了任何行动或</w:t>
      </w:r>
      <w:r>
        <w:rPr>
          <w:rFonts w:ascii="宋体" w:hAnsi="宋体" w:eastAsia="宋体" w:cs="宋体"/>
          <w:spacing w:val="-3"/>
          <w:sz w:val="21"/>
          <w:szCs w:val="21"/>
          <w:highlight w:val="none"/>
        </w:rPr>
        <w:t>发生</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任何事件(根据有关适用法律)具有与前述行动或事</w:t>
      </w:r>
      <w:r>
        <w:rPr>
          <w:rFonts w:ascii="宋体" w:hAnsi="宋体" w:eastAsia="宋体" w:cs="宋体"/>
          <w:spacing w:val="5"/>
          <w:sz w:val="21"/>
          <w:szCs w:val="21"/>
          <w:highlight w:val="none"/>
        </w:rPr>
        <w:t>件相似的效果；</w:t>
      </w:r>
    </w:p>
    <w:p w14:paraId="12EF3FC4">
      <w:pPr>
        <w:spacing w:before="270" w:line="219" w:lineRule="auto"/>
        <w:ind w:left="520"/>
        <w:rPr>
          <w:rFonts w:ascii="宋体" w:hAnsi="宋体" w:eastAsia="宋体" w:cs="宋体"/>
          <w:sz w:val="20"/>
          <w:szCs w:val="20"/>
          <w:highlight w:val="none"/>
        </w:rPr>
      </w:pPr>
      <w:r>
        <w:rPr>
          <w:rFonts w:ascii="宋体" w:hAnsi="宋体" w:eastAsia="宋体" w:cs="宋体"/>
          <w:spacing w:val="15"/>
          <w:sz w:val="20"/>
          <w:szCs w:val="20"/>
          <w:highlight w:val="none"/>
        </w:rPr>
        <w:t>(6)发包人未能遵守第2.5.3项的约定提</w:t>
      </w:r>
      <w:r>
        <w:rPr>
          <w:rFonts w:ascii="宋体" w:hAnsi="宋体" w:eastAsia="宋体" w:cs="宋体"/>
          <w:spacing w:val="14"/>
          <w:sz w:val="20"/>
          <w:szCs w:val="20"/>
          <w:highlight w:val="none"/>
        </w:rPr>
        <w:t>交支付担保；</w:t>
      </w:r>
    </w:p>
    <w:p w14:paraId="3E72A8AF">
      <w:pPr>
        <w:spacing w:before="223" w:line="219" w:lineRule="auto"/>
        <w:ind w:left="520"/>
        <w:rPr>
          <w:rFonts w:ascii="宋体" w:hAnsi="宋体" w:eastAsia="宋体" w:cs="宋体"/>
          <w:sz w:val="21"/>
          <w:szCs w:val="21"/>
          <w:highlight w:val="none"/>
        </w:rPr>
      </w:pPr>
      <w:r>
        <w:rPr>
          <w:rFonts w:ascii="宋体" w:hAnsi="宋体" w:eastAsia="宋体" w:cs="宋体"/>
          <w:spacing w:val="5"/>
          <w:sz w:val="21"/>
          <w:szCs w:val="21"/>
          <w:highlight w:val="none"/>
        </w:rPr>
        <w:t>(7)发包人未能执行第15.1.2项[通知改正]的约定，</w:t>
      </w:r>
      <w:r>
        <w:rPr>
          <w:rFonts w:ascii="宋体" w:hAnsi="宋体" w:eastAsia="宋体" w:cs="宋体"/>
          <w:spacing w:val="4"/>
          <w:sz w:val="21"/>
          <w:szCs w:val="21"/>
          <w:highlight w:val="none"/>
        </w:rPr>
        <w:t>致使合同目的不能实现的；</w:t>
      </w:r>
    </w:p>
    <w:p w14:paraId="1EF2BF3F">
      <w:pPr>
        <w:spacing w:before="230" w:line="219" w:lineRule="auto"/>
        <w:ind w:left="520"/>
        <w:rPr>
          <w:rFonts w:ascii="宋体" w:hAnsi="宋体" w:eastAsia="宋体" w:cs="宋体"/>
          <w:sz w:val="20"/>
          <w:szCs w:val="20"/>
          <w:highlight w:val="none"/>
        </w:rPr>
      </w:pPr>
      <w:r>
        <w:rPr>
          <w:rFonts w:ascii="宋体" w:hAnsi="宋体" w:eastAsia="宋体" w:cs="宋体"/>
          <w:spacing w:val="13"/>
          <w:sz w:val="20"/>
          <w:szCs w:val="20"/>
          <w:highlight w:val="none"/>
        </w:rPr>
        <w:t>(8)因发包人的原因暂停工作超过56天且暂停影响到整个工程，</w:t>
      </w:r>
      <w:r>
        <w:rPr>
          <w:rFonts w:ascii="宋体" w:hAnsi="宋体" w:eastAsia="宋体" w:cs="宋体"/>
          <w:spacing w:val="12"/>
          <w:sz w:val="20"/>
          <w:szCs w:val="20"/>
          <w:highlight w:val="none"/>
        </w:rPr>
        <w:t>或因发包人的原因暂</w:t>
      </w:r>
    </w:p>
    <w:p w14:paraId="1D6EC0AE">
      <w:pPr>
        <w:spacing w:before="263" w:line="220" w:lineRule="auto"/>
        <w:rPr>
          <w:rFonts w:ascii="宋体" w:hAnsi="宋体" w:eastAsia="宋体" w:cs="宋体"/>
          <w:sz w:val="20"/>
          <w:szCs w:val="20"/>
          <w:highlight w:val="none"/>
        </w:rPr>
      </w:pPr>
      <w:r>
        <w:rPr>
          <w:rFonts w:ascii="宋体" w:hAnsi="宋体" w:eastAsia="宋体" w:cs="宋体"/>
          <w:spacing w:val="13"/>
          <w:sz w:val="20"/>
          <w:szCs w:val="20"/>
          <w:highlight w:val="none"/>
        </w:rPr>
        <w:t>停工作超过182天的；</w:t>
      </w:r>
    </w:p>
    <w:p w14:paraId="520F4258">
      <w:pPr>
        <w:spacing w:before="211" w:line="431" w:lineRule="auto"/>
        <w:ind w:right="121" w:firstLine="520"/>
        <w:rPr>
          <w:rFonts w:ascii="宋体" w:hAnsi="宋体" w:eastAsia="宋体" w:cs="宋体"/>
          <w:sz w:val="21"/>
          <w:szCs w:val="21"/>
          <w:highlight w:val="none"/>
        </w:rPr>
      </w:pPr>
      <w:r>
        <w:rPr>
          <w:rFonts w:ascii="宋体" w:hAnsi="宋体" w:eastAsia="宋体" w:cs="宋体"/>
          <w:spacing w:val="6"/>
          <w:sz w:val="21"/>
          <w:szCs w:val="21"/>
          <w:highlight w:val="none"/>
        </w:rPr>
        <w:t>(9)因发包人原因造成开始工作日期迟于承包人</w:t>
      </w:r>
      <w:r>
        <w:rPr>
          <w:rFonts w:ascii="宋体" w:hAnsi="宋体" w:eastAsia="宋体" w:cs="宋体"/>
          <w:spacing w:val="5"/>
          <w:sz w:val="21"/>
          <w:szCs w:val="21"/>
          <w:highlight w:val="none"/>
        </w:rPr>
        <w:t>收到中标通知书(或在无中标通知书</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的情况下，订立本合同之日)后第84天的。</w:t>
      </w:r>
    </w:p>
    <w:p w14:paraId="213FCD0D">
      <w:pPr>
        <w:spacing w:line="381" w:lineRule="auto"/>
        <w:ind w:firstLine="430"/>
        <w:jc w:val="both"/>
        <w:rPr>
          <w:rFonts w:ascii="宋体" w:hAnsi="宋体" w:eastAsia="宋体" w:cs="宋体"/>
          <w:sz w:val="21"/>
          <w:szCs w:val="21"/>
          <w:highlight w:val="none"/>
        </w:rPr>
      </w:pPr>
      <w:r>
        <w:rPr>
          <w:rFonts w:ascii="宋体" w:hAnsi="宋体" w:eastAsia="宋体" w:cs="宋体"/>
          <w:sz w:val="21"/>
          <w:szCs w:val="21"/>
          <w:highlight w:val="none"/>
        </w:rPr>
        <w:t>发包人接到承包人解除合同意向通知后14天内，发包人随后给予了付款，或同意复工、</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或继续履行其义务、或提供了支付担保等，承包人应尽快安排并恢复正常工作；因此造成工</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期延误的，竣工日期顺延；承包人因此增加</w:t>
      </w:r>
      <w:r>
        <w:rPr>
          <w:rFonts w:ascii="宋体" w:hAnsi="宋体" w:eastAsia="宋体" w:cs="宋体"/>
          <w:spacing w:val="-2"/>
          <w:sz w:val="21"/>
          <w:szCs w:val="21"/>
          <w:highlight w:val="none"/>
        </w:rPr>
        <w:t>的费用，由发包人承担。</w:t>
      </w:r>
    </w:p>
    <w:p w14:paraId="2FF1DE35">
      <w:pPr>
        <w:spacing w:line="219" w:lineRule="auto"/>
        <w:ind w:left="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16.2.2   </w:t>
      </w:r>
      <w:r>
        <w:rPr>
          <w:rFonts w:ascii="宋体" w:hAnsi="宋体" w:eastAsia="宋体" w:cs="宋体"/>
          <w:spacing w:val="-6"/>
          <w:sz w:val="22"/>
          <w:szCs w:val="22"/>
          <w:highlight w:val="none"/>
        </w:rPr>
        <w:t>因发包人违约解除合同后承包人的义务</w:t>
      </w:r>
    </w:p>
    <w:p w14:paraId="2E952A84">
      <w:pPr>
        <w:pStyle w:val="2"/>
        <w:spacing w:line="248" w:lineRule="auto"/>
        <w:rPr>
          <w:highlight w:val="none"/>
        </w:rPr>
      </w:pPr>
    </w:p>
    <w:p w14:paraId="46E4690D">
      <w:pPr>
        <w:spacing w:before="69" w:line="219" w:lineRule="auto"/>
        <w:ind w:left="430"/>
        <w:rPr>
          <w:rFonts w:ascii="宋体" w:hAnsi="宋体" w:eastAsia="宋体" w:cs="宋体"/>
          <w:sz w:val="21"/>
          <w:szCs w:val="21"/>
          <w:highlight w:val="none"/>
        </w:rPr>
      </w:pPr>
      <w:r>
        <w:rPr>
          <w:rFonts w:ascii="宋体" w:hAnsi="宋体" w:eastAsia="宋体" w:cs="宋体"/>
          <w:spacing w:val="-4"/>
          <w:sz w:val="21"/>
          <w:szCs w:val="21"/>
          <w:highlight w:val="none"/>
        </w:rPr>
        <w:t>合同解除后，承包人应按以下约定执行：</w:t>
      </w:r>
    </w:p>
    <w:p w14:paraId="371C95BC">
      <w:pPr>
        <w:pStyle w:val="2"/>
        <w:spacing w:line="357" w:lineRule="auto"/>
        <w:rPr>
          <w:highlight w:val="none"/>
        </w:rPr>
      </w:pPr>
    </w:p>
    <w:p w14:paraId="793BA427">
      <w:pPr>
        <w:spacing w:before="72" w:line="311" w:lineRule="auto"/>
        <w:ind w:right="95" w:firstLine="520"/>
        <w:rPr>
          <w:rFonts w:ascii="宋体" w:hAnsi="宋体" w:eastAsia="宋体" w:cs="宋体"/>
          <w:sz w:val="22"/>
          <w:szCs w:val="22"/>
          <w:highlight w:val="none"/>
        </w:rPr>
      </w:pPr>
      <w:r>
        <w:rPr>
          <w:rFonts w:ascii="宋体" w:hAnsi="宋体" w:eastAsia="宋体" w:cs="宋体"/>
          <w:spacing w:val="-6"/>
          <w:sz w:val="22"/>
          <w:szCs w:val="22"/>
          <w:highlight w:val="none"/>
        </w:rPr>
        <w:t>(1)除为保护生命、财产、工程安全的工作外，停止所有进一步的工作；承</w:t>
      </w:r>
      <w:r>
        <w:rPr>
          <w:rFonts w:ascii="宋体" w:hAnsi="宋体" w:eastAsia="宋体" w:cs="宋体"/>
          <w:spacing w:val="-7"/>
          <w:sz w:val="22"/>
          <w:szCs w:val="22"/>
          <w:highlight w:val="none"/>
        </w:rPr>
        <w:t>包人因执</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行该保护工作而产生费用的，由发包人承担；</w:t>
      </w:r>
    </w:p>
    <w:p w14:paraId="4D1F1B71">
      <w:pPr>
        <w:spacing w:before="217" w:line="219" w:lineRule="auto"/>
        <w:ind w:left="520"/>
        <w:rPr>
          <w:rFonts w:ascii="宋体" w:hAnsi="宋体" w:eastAsia="宋体" w:cs="宋体"/>
          <w:sz w:val="21"/>
          <w:szCs w:val="21"/>
          <w:highlight w:val="none"/>
        </w:rPr>
      </w:pPr>
      <w:r>
        <w:rPr>
          <w:rFonts w:ascii="宋体" w:hAnsi="宋体" w:eastAsia="宋体" w:cs="宋体"/>
          <w:spacing w:val="2"/>
          <w:sz w:val="21"/>
          <w:szCs w:val="21"/>
          <w:highlight w:val="none"/>
        </w:rPr>
        <w:t>(2)向发包人移交承包人已获得支付的承包人文件、生产设备、材料</w:t>
      </w:r>
      <w:r>
        <w:rPr>
          <w:rFonts w:ascii="宋体" w:hAnsi="宋体" w:eastAsia="宋体" w:cs="宋体"/>
          <w:spacing w:val="1"/>
          <w:sz w:val="21"/>
          <w:szCs w:val="21"/>
          <w:highlight w:val="none"/>
        </w:rPr>
        <w:t>和其他工作；</w:t>
      </w:r>
    </w:p>
    <w:p w14:paraId="0DD3A4A9">
      <w:pPr>
        <w:spacing w:before="222" w:line="219" w:lineRule="auto"/>
        <w:ind w:left="520"/>
        <w:rPr>
          <w:rFonts w:ascii="宋体" w:hAnsi="宋体" w:eastAsia="宋体" w:cs="宋体"/>
          <w:sz w:val="22"/>
          <w:szCs w:val="22"/>
          <w:highlight w:val="none"/>
        </w:rPr>
      </w:pPr>
      <w:r>
        <w:rPr>
          <w:rFonts w:ascii="宋体" w:hAnsi="宋体" w:eastAsia="宋体" w:cs="宋体"/>
          <w:spacing w:val="-7"/>
          <w:sz w:val="22"/>
          <w:szCs w:val="22"/>
          <w:highlight w:val="none"/>
        </w:rPr>
        <w:t>(3)从现场运走除为了安全需要以外的所有属于承包人的其他货物，并撤离现场。</w:t>
      </w:r>
    </w:p>
    <w:p w14:paraId="5B6AF9EB">
      <w:pPr>
        <w:spacing w:before="110"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16.2.3</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7"/>
          <w:sz w:val="22"/>
          <w:szCs w:val="22"/>
          <w:highlight w:val="none"/>
        </w:rPr>
        <w:t>因发包人违约解除合同后的付款</w:t>
      </w:r>
    </w:p>
    <w:p w14:paraId="13E9C245">
      <w:pPr>
        <w:pStyle w:val="2"/>
        <w:spacing w:line="356" w:lineRule="auto"/>
        <w:rPr>
          <w:highlight w:val="none"/>
        </w:rPr>
      </w:pPr>
    </w:p>
    <w:p w14:paraId="4485187E">
      <w:pPr>
        <w:spacing w:before="70" w:line="417" w:lineRule="auto"/>
        <w:ind w:right="96" w:firstLine="430"/>
        <w:rPr>
          <w:rFonts w:ascii="宋体" w:hAnsi="宋体" w:eastAsia="宋体" w:cs="宋体"/>
          <w:sz w:val="21"/>
          <w:szCs w:val="21"/>
          <w:highlight w:val="none"/>
        </w:rPr>
      </w:pPr>
      <w:r>
        <w:rPr>
          <w:rFonts w:ascii="宋体" w:hAnsi="宋体" w:eastAsia="宋体" w:cs="宋体"/>
          <w:spacing w:val="3"/>
          <w:sz w:val="21"/>
          <w:szCs w:val="21"/>
          <w:highlight w:val="none"/>
        </w:rPr>
        <w:t xml:space="preserve">承包人按照本款约定解除合同的，发包人应在解除合同后28天内支付下列款项，并退 </w:t>
      </w:r>
      <w:r>
        <w:rPr>
          <w:rFonts w:ascii="宋体" w:hAnsi="宋体" w:eastAsia="宋体" w:cs="宋体"/>
          <w:spacing w:val="-8"/>
          <w:sz w:val="21"/>
          <w:szCs w:val="21"/>
          <w:highlight w:val="none"/>
        </w:rPr>
        <w:t>还履约担保：</w:t>
      </w:r>
    </w:p>
    <w:p w14:paraId="1176D478">
      <w:pPr>
        <w:spacing w:line="218" w:lineRule="auto"/>
        <w:ind w:left="520"/>
        <w:rPr>
          <w:rFonts w:ascii="宋体" w:hAnsi="宋体" w:eastAsia="宋体" w:cs="宋体"/>
          <w:sz w:val="22"/>
          <w:szCs w:val="22"/>
          <w:highlight w:val="none"/>
        </w:rPr>
      </w:pPr>
      <w:r>
        <w:rPr>
          <w:rFonts w:ascii="宋体" w:hAnsi="宋体" w:eastAsia="宋体" w:cs="宋体"/>
          <w:spacing w:val="-6"/>
          <w:sz w:val="22"/>
          <w:szCs w:val="22"/>
          <w:highlight w:val="none"/>
        </w:rPr>
        <w:t>(1)合同解除前所完成工作的价款；</w:t>
      </w:r>
    </w:p>
    <w:p w14:paraId="7CB1A328">
      <w:pPr>
        <w:spacing w:before="202" w:line="319" w:lineRule="auto"/>
        <w:ind w:right="96" w:firstLine="520"/>
        <w:rPr>
          <w:rFonts w:ascii="宋体" w:hAnsi="宋体" w:eastAsia="宋体" w:cs="宋体"/>
          <w:sz w:val="22"/>
          <w:szCs w:val="22"/>
          <w:highlight w:val="none"/>
        </w:rPr>
      </w:pPr>
      <w:r>
        <w:rPr>
          <w:rFonts w:ascii="宋体" w:hAnsi="宋体" w:eastAsia="宋体" w:cs="宋体"/>
          <w:spacing w:val="-6"/>
          <w:sz w:val="22"/>
          <w:szCs w:val="22"/>
          <w:highlight w:val="none"/>
        </w:rPr>
        <w:t>(2)承包人为工程施工订购并已付款的材料、工程设备和其他物品的价款</w:t>
      </w:r>
      <w:r>
        <w:rPr>
          <w:rFonts w:ascii="宋体" w:hAnsi="宋体" w:eastAsia="宋体" w:cs="宋体"/>
          <w:spacing w:val="-7"/>
          <w:sz w:val="22"/>
          <w:szCs w:val="22"/>
          <w:highlight w:val="none"/>
        </w:rPr>
        <w:t>；发包人付</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款后，该材料、工程设备和其他物品归发包人所有；</w:t>
      </w:r>
    </w:p>
    <w:p w14:paraId="0CAC1907">
      <w:pPr>
        <w:spacing w:line="319" w:lineRule="auto"/>
        <w:rPr>
          <w:rFonts w:ascii="宋体" w:hAnsi="宋体" w:eastAsia="宋体" w:cs="宋体"/>
          <w:sz w:val="22"/>
          <w:szCs w:val="22"/>
          <w:highlight w:val="none"/>
        </w:rPr>
        <w:sectPr>
          <w:footerReference r:id="rId138" w:type="default"/>
          <w:pgSz w:w="11910" w:h="16840"/>
          <w:pgMar w:top="400" w:right="1714" w:bottom="1238" w:left="1779" w:header="0" w:footer="1007" w:gutter="0"/>
          <w:cols w:space="720" w:num="1"/>
        </w:sectPr>
      </w:pPr>
    </w:p>
    <w:p w14:paraId="577CF14A">
      <w:pPr>
        <w:pStyle w:val="2"/>
        <w:spacing w:line="270" w:lineRule="auto"/>
        <w:rPr>
          <w:highlight w:val="none"/>
        </w:rPr>
      </w:pPr>
    </w:p>
    <w:p w14:paraId="3DB685FB">
      <w:pPr>
        <w:pStyle w:val="2"/>
        <w:spacing w:line="270" w:lineRule="auto"/>
        <w:rPr>
          <w:highlight w:val="none"/>
        </w:rPr>
      </w:pPr>
    </w:p>
    <w:p w14:paraId="2CC9A950">
      <w:pPr>
        <w:pStyle w:val="2"/>
        <w:spacing w:line="270" w:lineRule="auto"/>
        <w:rPr>
          <w:highlight w:val="none"/>
        </w:rPr>
      </w:pPr>
    </w:p>
    <w:p w14:paraId="5EF8E5CA">
      <w:pPr>
        <w:pStyle w:val="2"/>
        <w:spacing w:line="271" w:lineRule="auto"/>
        <w:rPr>
          <w:highlight w:val="none"/>
        </w:rPr>
      </w:pPr>
    </w:p>
    <w:p w14:paraId="04B2DC90">
      <w:pPr>
        <w:spacing w:before="71" w:line="219" w:lineRule="auto"/>
        <w:ind w:left="539"/>
        <w:rPr>
          <w:rFonts w:ascii="宋体" w:hAnsi="宋体" w:eastAsia="宋体" w:cs="宋体"/>
          <w:sz w:val="22"/>
          <w:szCs w:val="22"/>
          <w:highlight w:val="none"/>
        </w:rPr>
      </w:pPr>
      <w:bookmarkStart w:id="105" w:name="bookmark232"/>
      <w:bookmarkEnd w:id="105"/>
      <w:r>
        <w:rPr>
          <w:rFonts w:ascii="宋体" w:hAnsi="宋体" w:eastAsia="宋体" w:cs="宋体"/>
          <w:spacing w:val="-7"/>
          <w:sz w:val="22"/>
          <w:szCs w:val="22"/>
          <w:highlight w:val="none"/>
        </w:rPr>
        <w:t>(3)承包人为完成工程所发生的，而发包人未支付的金额；</w:t>
      </w:r>
    </w:p>
    <w:p w14:paraId="6990E359">
      <w:pPr>
        <w:spacing w:before="228" w:line="219" w:lineRule="auto"/>
        <w:ind w:left="539"/>
        <w:rPr>
          <w:rFonts w:ascii="宋体" w:hAnsi="宋体" w:eastAsia="宋体" w:cs="宋体"/>
          <w:sz w:val="20"/>
          <w:szCs w:val="20"/>
          <w:highlight w:val="none"/>
        </w:rPr>
      </w:pPr>
      <w:r>
        <w:rPr>
          <w:rFonts w:ascii="宋体" w:hAnsi="宋体" w:eastAsia="宋体" w:cs="宋体"/>
          <w:spacing w:val="11"/>
          <w:sz w:val="20"/>
          <w:szCs w:val="20"/>
          <w:highlight w:val="none"/>
        </w:rPr>
        <w:t>(4)承包人撤离施工现场以及遣散承包人人员的款项；</w:t>
      </w:r>
    </w:p>
    <w:p w14:paraId="67DDABAB">
      <w:pPr>
        <w:spacing w:before="242" w:line="219" w:lineRule="auto"/>
        <w:ind w:left="539"/>
        <w:rPr>
          <w:rFonts w:ascii="宋体" w:hAnsi="宋体" w:eastAsia="宋体" w:cs="宋体"/>
          <w:sz w:val="20"/>
          <w:szCs w:val="20"/>
          <w:highlight w:val="none"/>
        </w:rPr>
      </w:pPr>
      <w:r>
        <w:rPr>
          <w:rFonts w:ascii="宋体" w:hAnsi="宋体" w:eastAsia="宋体" w:cs="宋体"/>
          <w:spacing w:val="11"/>
          <w:sz w:val="20"/>
          <w:szCs w:val="20"/>
          <w:highlight w:val="none"/>
        </w:rPr>
        <w:t>(5)按照合同约定在合同解除前应支付的违约金；</w:t>
      </w:r>
    </w:p>
    <w:p w14:paraId="3DB74CAE">
      <w:pPr>
        <w:spacing w:before="252" w:line="219" w:lineRule="auto"/>
        <w:ind w:left="539"/>
        <w:rPr>
          <w:rFonts w:ascii="宋体" w:hAnsi="宋体" w:eastAsia="宋体" w:cs="宋体"/>
          <w:sz w:val="20"/>
          <w:szCs w:val="20"/>
          <w:highlight w:val="none"/>
        </w:rPr>
      </w:pPr>
      <w:r>
        <w:rPr>
          <w:rFonts w:ascii="宋体" w:hAnsi="宋体" w:eastAsia="宋体" w:cs="宋体"/>
          <w:spacing w:val="11"/>
          <w:sz w:val="20"/>
          <w:szCs w:val="20"/>
          <w:highlight w:val="none"/>
        </w:rPr>
        <w:t>(6)按照合同约定应当支付给承包人的其他款项；</w:t>
      </w:r>
    </w:p>
    <w:p w14:paraId="5D54CC83">
      <w:pPr>
        <w:spacing w:before="233" w:line="219" w:lineRule="auto"/>
        <w:ind w:left="539"/>
        <w:rPr>
          <w:rFonts w:ascii="宋体" w:hAnsi="宋体" w:eastAsia="宋体" w:cs="宋体"/>
          <w:sz w:val="20"/>
          <w:szCs w:val="20"/>
          <w:highlight w:val="none"/>
        </w:rPr>
      </w:pPr>
      <w:r>
        <w:rPr>
          <w:rFonts w:ascii="宋体" w:hAnsi="宋体" w:eastAsia="宋体" w:cs="宋体"/>
          <w:spacing w:val="12"/>
          <w:sz w:val="20"/>
          <w:szCs w:val="20"/>
          <w:highlight w:val="none"/>
        </w:rPr>
        <w:t>(7)按照合同约定应返还的质量保证金；</w:t>
      </w:r>
    </w:p>
    <w:p w14:paraId="16EFB30F">
      <w:pPr>
        <w:spacing w:before="232" w:line="219" w:lineRule="auto"/>
        <w:ind w:left="539"/>
        <w:rPr>
          <w:rFonts w:ascii="宋体" w:hAnsi="宋体" w:eastAsia="宋体" w:cs="宋体"/>
          <w:sz w:val="20"/>
          <w:szCs w:val="20"/>
          <w:highlight w:val="none"/>
        </w:rPr>
      </w:pPr>
      <w:r>
        <w:rPr>
          <w:rFonts w:ascii="宋体" w:hAnsi="宋体" w:eastAsia="宋体" w:cs="宋体"/>
          <w:spacing w:val="13"/>
          <w:sz w:val="20"/>
          <w:szCs w:val="20"/>
          <w:highlight w:val="none"/>
        </w:rPr>
        <w:t>(8)因解除合同给承包人造成的损失。</w:t>
      </w:r>
    </w:p>
    <w:p w14:paraId="5A9DC14D">
      <w:pPr>
        <w:spacing w:before="222" w:line="463" w:lineRule="auto"/>
        <w:ind w:right="96" w:firstLine="420"/>
        <w:rPr>
          <w:rFonts w:ascii="宋体" w:hAnsi="宋体" w:eastAsia="宋体" w:cs="宋体"/>
          <w:sz w:val="20"/>
          <w:szCs w:val="20"/>
          <w:highlight w:val="none"/>
        </w:rPr>
      </w:pPr>
      <w:r>
        <w:rPr>
          <w:rFonts w:ascii="宋体" w:hAnsi="宋体" w:eastAsia="宋体" w:cs="宋体"/>
          <w:spacing w:val="8"/>
          <w:sz w:val="20"/>
          <w:szCs w:val="20"/>
          <w:highlight w:val="none"/>
        </w:rPr>
        <w:t>承包人应妥善做好已完工程和与工程有关的已购材料、工程设备的保护</w:t>
      </w:r>
      <w:r>
        <w:rPr>
          <w:rFonts w:ascii="宋体" w:hAnsi="宋体" w:eastAsia="宋体" w:cs="宋体"/>
          <w:spacing w:val="7"/>
          <w:sz w:val="20"/>
          <w:szCs w:val="20"/>
          <w:highlight w:val="none"/>
        </w:rPr>
        <w:t>和移交工作，并</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将施工设备和人员撤出施工现场，发包人应为承包人撤出提供必要条件。</w:t>
      </w:r>
    </w:p>
    <w:p w14:paraId="6505E3CE">
      <w:pPr>
        <w:spacing w:before="127" w:line="222" w:lineRule="auto"/>
        <w:rPr>
          <w:rFonts w:ascii="黑体" w:hAnsi="黑体" w:eastAsia="黑体" w:cs="黑体"/>
          <w:sz w:val="22"/>
          <w:szCs w:val="22"/>
          <w:highlight w:val="none"/>
        </w:rPr>
      </w:pPr>
      <w:r>
        <w:rPr>
          <w:rFonts w:ascii="黑体" w:hAnsi="黑体" w:eastAsia="黑体" w:cs="黑体"/>
          <w:spacing w:val="-2"/>
          <w:sz w:val="22"/>
          <w:szCs w:val="22"/>
          <w:highlight w:val="none"/>
        </w:rPr>
        <w:t>16.3合同解除后的事项</w:t>
      </w:r>
    </w:p>
    <w:p w14:paraId="59BDA285">
      <w:pPr>
        <w:spacing w:before="96"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16.3.1</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7"/>
          <w:sz w:val="22"/>
          <w:szCs w:val="22"/>
          <w:highlight w:val="none"/>
        </w:rPr>
        <w:t>结算约定依然有效</w:t>
      </w:r>
    </w:p>
    <w:p w14:paraId="0C3879B0">
      <w:pPr>
        <w:pStyle w:val="2"/>
        <w:spacing w:line="381" w:lineRule="auto"/>
        <w:rPr>
          <w:highlight w:val="none"/>
        </w:rPr>
      </w:pPr>
    </w:p>
    <w:p w14:paraId="316B4F7B">
      <w:pPr>
        <w:spacing w:before="65" w:line="370" w:lineRule="auto"/>
        <w:ind w:right="95" w:firstLine="420"/>
        <w:rPr>
          <w:rFonts w:ascii="宋体" w:hAnsi="宋体" w:eastAsia="宋体" w:cs="宋体"/>
          <w:sz w:val="20"/>
          <w:szCs w:val="20"/>
          <w:highlight w:val="none"/>
        </w:rPr>
      </w:pPr>
      <w:r>
        <w:rPr>
          <w:rFonts w:ascii="宋体" w:hAnsi="宋体" w:eastAsia="宋体" w:cs="宋体"/>
          <w:spacing w:val="8"/>
          <w:sz w:val="20"/>
          <w:szCs w:val="20"/>
          <w:highlight w:val="none"/>
        </w:rPr>
        <w:t>合同解除后，由发包人或由承包人解除合同的结算及结算后的付款约定仍</w:t>
      </w:r>
      <w:r>
        <w:rPr>
          <w:rFonts w:ascii="宋体" w:hAnsi="宋体" w:eastAsia="宋体" w:cs="宋体"/>
          <w:spacing w:val="7"/>
          <w:sz w:val="20"/>
          <w:szCs w:val="20"/>
          <w:highlight w:val="none"/>
        </w:rPr>
        <w:t>然有效，直至</w:t>
      </w:r>
      <w:r>
        <w:rPr>
          <w:rFonts w:ascii="宋体" w:hAnsi="宋体" w:eastAsia="宋体" w:cs="宋体"/>
          <w:sz w:val="20"/>
          <w:szCs w:val="20"/>
          <w:highlight w:val="none"/>
        </w:rPr>
        <w:t xml:space="preserve"> </w:t>
      </w:r>
      <w:r>
        <w:rPr>
          <w:rFonts w:ascii="宋体" w:hAnsi="宋体" w:eastAsia="宋体" w:cs="宋体"/>
          <w:spacing w:val="7"/>
          <w:sz w:val="20"/>
          <w:szCs w:val="20"/>
          <w:highlight w:val="none"/>
        </w:rPr>
        <w:t>解除合同的结算工作结清。</w:t>
      </w:r>
    </w:p>
    <w:p w14:paraId="568CC42D">
      <w:pPr>
        <w:spacing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16.3.2</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6"/>
          <w:sz w:val="22"/>
          <w:szCs w:val="22"/>
          <w:highlight w:val="none"/>
        </w:rPr>
        <w:t>解除合同的争议</w:t>
      </w:r>
    </w:p>
    <w:p w14:paraId="306313F9">
      <w:pPr>
        <w:pStyle w:val="2"/>
        <w:spacing w:line="345" w:lineRule="auto"/>
        <w:rPr>
          <w:highlight w:val="none"/>
        </w:rPr>
      </w:pPr>
    </w:p>
    <w:p w14:paraId="3AD727C2">
      <w:pPr>
        <w:spacing w:before="72" w:line="219" w:lineRule="auto"/>
        <w:ind w:left="420"/>
        <w:rPr>
          <w:rFonts w:ascii="宋体" w:hAnsi="宋体" w:eastAsia="宋体" w:cs="宋体"/>
          <w:sz w:val="22"/>
          <w:szCs w:val="22"/>
          <w:highlight w:val="none"/>
        </w:rPr>
      </w:pPr>
      <w:r>
        <w:rPr>
          <w:rFonts w:ascii="宋体" w:hAnsi="宋体" w:eastAsia="宋体" w:cs="宋体"/>
          <w:spacing w:val="-7"/>
          <w:sz w:val="22"/>
          <w:szCs w:val="22"/>
          <w:highlight w:val="none"/>
        </w:rPr>
        <w:t>双方对解除合同或解除合同后的结算有争议的，按照第20条[争议解决]的约定处理。</w:t>
      </w:r>
    </w:p>
    <w:p w14:paraId="7F5D477C">
      <w:pPr>
        <w:pStyle w:val="2"/>
        <w:spacing w:line="246" w:lineRule="auto"/>
        <w:rPr>
          <w:highlight w:val="none"/>
        </w:rPr>
      </w:pPr>
    </w:p>
    <w:p w14:paraId="73E68015">
      <w:pPr>
        <w:spacing w:before="91" w:line="221" w:lineRule="auto"/>
        <w:outlineLvl w:val="1"/>
        <w:rPr>
          <w:rFonts w:ascii="黑体" w:hAnsi="黑体" w:eastAsia="黑体" w:cs="黑体"/>
          <w:sz w:val="28"/>
          <w:szCs w:val="28"/>
          <w:highlight w:val="none"/>
        </w:rPr>
      </w:pPr>
      <w:bookmarkStart w:id="106" w:name="bookmark63"/>
      <w:bookmarkEnd w:id="106"/>
      <w:r>
        <w:rPr>
          <w:rFonts w:ascii="黑体" w:hAnsi="黑体" w:eastAsia="黑体" w:cs="黑体"/>
          <w:spacing w:val="40"/>
          <w:sz w:val="28"/>
          <w:szCs w:val="28"/>
          <w:highlight w:val="none"/>
        </w:rPr>
        <w:t>第17条不可抗力</w:t>
      </w:r>
    </w:p>
    <w:p w14:paraId="25FF484C">
      <w:pPr>
        <w:pStyle w:val="2"/>
        <w:spacing w:line="349" w:lineRule="auto"/>
        <w:rPr>
          <w:highlight w:val="none"/>
        </w:rPr>
      </w:pPr>
    </w:p>
    <w:p w14:paraId="023E4EB2">
      <w:pPr>
        <w:pStyle w:val="2"/>
        <w:spacing w:before="72" w:line="221" w:lineRule="auto"/>
        <w:rPr>
          <w:rFonts w:ascii="黑体" w:hAnsi="黑体" w:eastAsia="黑体" w:cs="黑体"/>
          <w:sz w:val="22"/>
          <w:szCs w:val="22"/>
          <w:highlight w:val="none"/>
        </w:rPr>
      </w:pPr>
      <w:r>
        <w:rPr>
          <w:spacing w:val="-8"/>
          <w:sz w:val="22"/>
          <w:szCs w:val="22"/>
          <w:highlight w:val="none"/>
        </w:rPr>
        <w:t>17.1</w:t>
      </w:r>
      <w:r>
        <w:rPr>
          <w:spacing w:val="49"/>
          <w:w w:val="101"/>
          <w:sz w:val="22"/>
          <w:szCs w:val="22"/>
          <w:highlight w:val="none"/>
        </w:rPr>
        <w:t xml:space="preserve"> </w:t>
      </w:r>
      <w:r>
        <w:rPr>
          <w:rFonts w:ascii="黑体" w:hAnsi="黑体" w:eastAsia="黑体" w:cs="黑体"/>
          <w:spacing w:val="-8"/>
          <w:sz w:val="22"/>
          <w:szCs w:val="22"/>
          <w:highlight w:val="none"/>
        </w:rPr>
        <w:t>不可抗力的定义</w:t>
      </w:r>
    </w:p>
    <w:p w14:paraId="1CBFFB75">
      <w:pPr>
        <w:spacing w:before="198" w:line="432" w:lineRule="auto"/>
        <w:ind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不可抗力是指合同当事人在订立合同时不可预见，在合同履行过程中不可避免、</w:t>
      </w:r>
      <w:r>
        <w:rPr>
          <w:rFonts w:ascii="宋体" w:hAnsi="宋体" w:eastAsia="宋体" w:cs="宋体"/>
          <w:spacing w:val="-3"/>
          <w:sz w:val="21"/>
          <w:szCs w:val="21"/>
          <w:highlight w:val="none"/>
        </w:rPr>
        <w:t>不能克</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服且不能提前防备的自然灾害和社会性突发事件，如地震、海啸、瘟疫、骚乱、戒严、暴动、</w:t>
      </w:r>
      <w:r>
        <w:rPr>
          <w:rFonts w:ascii="宋体" w:hAnsi="宋体" w:eastAsia="宋体" w:cs="宋体"/>
          <w:spacing w:val="9"/>
          <w:sz w:val="21"/>
          <w:szCs w:val="21"/>
          <w:highlight w:val="none"/>
        </w:rPr>
        <w:t xml:space="preserve"> </w:t>
      </w:r>
      <w:r>
        <w:rPr>
          <w:rFonts w:ascii="宋体" w:hAnsi="宋体" w:eastAsia="宋体" w:cs="宋体"/>
          <w:spacing w:val="-1"/>
          <w:sz w:val="21"/>
          <w:szCs w:val="21"/>
          <w:highlight w:val="none"/>
        </w:rPr>
        <w:t>战争和专用合同条件中约定的其他情形。</w:t>
      </w:r>
    </w:p>
    <w:p w14:paraId="5F380396">
      <w:pPr>
        <w:pStyle w:val="2"/>
        <w:spacing w:before="144" w:line="221" w:lineRule="auto"/>
        <w:rPr>
          <w:rFonts w:ascii="黑体" w:hAnsi="黑体" w:eastAsia="黑体" w:cs="黑体"/>
          <w:sz w:val="22"/>
          <w:szCs w:val="22"/>
          <w:highlight w:val="none"/>
        </w:rPr>
      </w:pPr>
      <w:r>
        <w:rPr>
          <w:spacing w:val="-8"/>
          <w:sz w:val="22"/>
          <w:szCs w:val="22"/>
          <w:highlight w:val="none"/>
        </w:rPr>
        <w:t>17.2</w:t>
      </w:r>
      <w:r>
        <w:rPr>
          <w:spacing w:val="52"/>
          <w:w w:val="101"/>
          <w:sz w:val="22"/>
          <w:szCs w:val="22"/>
          <w:highlight w:val="none"/>
        </w:rPr>
        <w:t xml:space="preserve"> </w:t>
      </w:r>
      <w:r>
        <w:rPr>
          <w:rFonts w:ascii="黑体" w:hAnsi="黑体" w:eastAsia="黑体" w:cs="黑体"/>
          <w:spacing w:val="-8"/>
          <w:sz w:val="22"/>
          <w:szCs w:val="22"/>
          <w:highlight w:val="none"/>
        </w:rPr>
        <w:t>不可抗力的通知</w:t>
      </w:r>
    </w:p>
    <w:p w14:paraId="53E2945B">
      <w:pPr>
        <w:spacing w:before="218" w:line="437" w:lineRule="auto"/>
        <w:ind w:right="94" w:firstLine="420"/>
        <w:jc w:val="both"/>
        <w:rPr>
          <w:rFonts w:ascii="宋体" w:hAnsi="宋体" w:eastAsia="宋体" w:cs="宋体"/>
          <w:sz w:val="20"/>
          <w:szCs w:val="20"/>
          <w:highlight w:val="none"/>
        </w:rPr>
      </w:pPr>
      <w:r>
        <w:rPr>
          <w:rFonts w:ascii="宋体" w:hAnsi="宋体" w:eastAsia="宋体" w:cs="宋体"/>
          <w:spacing w:val="8"/>
          <w:sz w:val="20"/>
          <w:szCs w:val="20"/>
          <w:highlight w:val="none"/>
        </w:rPr>
        <w:t>合同一方当事人觉察或发现不可抗力事件发生，使其履行合同义务受到阻</w:t>
      </w:r>
      <w:r>
        <w:rPr>
          <w:rFonts w:ascii="宋体" w:hAnsi="宋体" w:eastAsia="宋体" w:cs="宋体"/>
          <w:spacing w:val="7"/>
          <w:sz w:val="20"/>
          <w:szCs w:val="20"/>
          <w:highlight w:val="none"/>
        </w:rPr>
        <w:t>碍时，有义务</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立即通知合同另一方当事人和工程师，书面说明不可抗力和受阻碍的详细情况，并提供必要</w:t>
      </w:r>
      <w:r>
        <w:rPr>
          <w:rFonts w:ascii="宋体" w:hAnsi="宋体" w:eastAsia="宋体" w:cs="宋体"/>
          <w:sz w:val="20"/>
          <w:szCs w:val="20"/>
          <w:highlight w:val="none"/>
        </w:rPr>
        <w:t xml:space="preserve"> </w:t>
      </w:r>
      <w:r>
        <w:rPr>
          <w:rFonts w:ascii="宋体" w:hAnsi="宋体" w:eastAsia="宋体" w:cs="宋体"/>
          <w:spacing w:val="-2"/>
          <w:sz w:val="20"/>
          <w:szCs w:val="20"/>
          <w:highlight w:val="none"/>
        </w:rPr>
        <w:t>的证明。</w:t>
      </w:r>
    </w:p>
    <w:p w14:paraId="49AE0CDF">
      <w:pPr>
        <w:spacing w:before="1" w:line="422" w:lineRule="auto"/>
        <w:ind w:right="94" w:firstLine="420"/>
        <w:jc w:val="both"/>
        <w:rPr>
          <w:rFonts w:ascii="宋体" w:hAnsi="宋体" w:eastAsia="宋体" w:cs="宋体"/>
          <w:sz w:val="21"/>
          <w:szCs w:val="21"/>
          <w:highlight w:val="none"/>
        </w:rPr>
      </w:pPr>
      <w:r>
        <w:rPr>
          <w:rFonts w:ascii="宋体" w:hAnsi="宋体" w:eastAsia="宋体" w:cs="宋体"/>
          <w:spacing w:val="3"/>
          <w:sz w:val="21"/>
          <w:szCs w:val="21"/>
          <w:highlight w:val="none"/>
        </w:rPr>
        <w:t>不可抗力持续发生的，合同一方当事人应每隔28天向合同另一方当事人和工程师提交</w:t>
      </w:r>
      <w:r>
        <w:rPr>
          <w:rFonts w:ascii="宋体" w:hAnsi="宋体" w:eastAsia="宋体" w:cs="宋体"/>
          <w:spacing w:val="14"/>
          <w:sz w:val="21"/>
          <w:szCs w:val="21"/>
          <w:highlight w:val="none"/>
        </w:rPr>
        <w:t xml:space="preserve"> </w:t>
      </w:r>
      <w:r>
        <w:rPr>
          <w:rFonts w:ascii="宋体" w:hAnsi="宋体" w:eastAsia="宋体" w:cs="宋体"/>
          <w:spacing w:val="3"/>
          <w:sz w:val="21"/>
          <w:szCs w:val="21"/>
          <w:highlight w:val="none"/>
        </w:rPr>
        <w:t>中间报告，说明不可抗力和履行合同受阻的情况，并于不可抗力事件结束后28天内提交最</w:t>
      </w:r>
      <w:r>
        <w:rPr>
          <w:rFonts w:ascii="宋体" w:hAnsi="宋体" w:eastAsia="宋体" w:cs="宋体"/>
          <w:spacing w:val="9"/>
          <w:sz w:val="21"/>
          <w:szCs w:val="21"/>
          <w:highlight w:val="none"/>
        </w:rPr>
        <w:t xml:space="preserve"> </w:t>
      </w:r>
      <w:r>
        <w:rPr>
          <w:rFonts w:ascii="宋体" w:hAnsi="宋体" w:eastAsia="宋体" w:cs="宋体"/>
          <w:spacing w:val="-5"/>
          <w:sz w:val="21"/>
          <w:szCs w:val="21"/>
          <w:highlight w:val="none"/>
        </w:rPr>
        <w:t>终报告及有关资料。</w:t>
      </w:r>
    </w:p>
    <w:p w14:paraId="48322AE8">
      <w:pPr>
        <w:spacing w:line="422" w:lineRule="auto"/>
        <w:rPr>
          <w:rFonts w:ascii="宋体" w:hAnsi="宋体" w:eastAsia="宋体" w:cs="宋体"/>
          <w:sz w:val="21"/>
          <w:szCs w:val="21"/>
          <w:highlight w:val="none"/>
        </w:rPr>
        <w:sectPr>
          <w:footerReference r:id="rId139" w:type="default"/>
          <w:pgSz w:w="11910" w:h="16840"/>
          <w:pgMar w:top="400" w:right="1714" w:bottom="1238" w:left="1779" w:header="0" w:footer="1007" w:gutter="0"/>
          <w:cols w:space="720" w:num="1"/>
        </w:sectPr>
      </w:pPr>
    </w:p>
    <w:p w14:paraId="591AC5F6">
      <w:pPr>
        <w:pStyle w:val="2"/>
        <w:spacing w:line="259" w:lineRule="auto"/>
        <w:rPr>
          <w:highlight w:val="none"/>
        </w:rPr>
      </w:pPr>
    </w:p>
    <w:p w14:paraId="419CDD59">
      <w:pPr>
        <w:pStyle w:val="2"/>
        <w:spacing w:line="260" w:lineRule="auto"/>
        <w:rPr>
          <w:highlight w:val="none"/>
        </w:rPr>
      </w:pPr>
    </w:p>
    <w:p w14:paraId="66B8965C">
      <w:pPr>
        <w:pStyle w:val="2"/>
        <w:spacing w:line="260" w:lineRule="auto"/>
        <w:rPr>
          <w:highlight w:val="none"/>
        </w:rPr>
      </w:pPr>
    </w:p>
    <w:p w14:paraId="5F359EA4">
      <w:pPr>
        <w:pStyle w:val="2"/>
        <w:spacing w:line="260" w:lineRule="auto"/>
        <w:rPr>
          <w:highlight w:val="none"/>
        </w:rPr>
      </w:pPr>
    </w:p>
    <w:p w14:paraId="6612D177">
      <w:pPr>
        <w:pStyle w:val="2"/>
        <w:spacing w:before="72" w:line="300" w:lineRule="exact"/>
        <w:rPr>
          <w:rFonts w:ascii="黑体" w:hAnsi="黑体" w:eastAsia="黑体" w:cs="黑体"/>
          <w:sz w:val="22"/>
          <w:szCs w:val="22"/>
          <w:highlight w:val="none"/>
        </w:rPr>
      </w:pPr>
      <w:r>
        <w:rPr>
          <w:spacing w:val="-7"/>
          <w:position w:val="1"/>
          <w:sz w:val="22"/>
          <w:szCs w:val="22"/>
          <w:highlight w:val="none"/>
        </w:rPr>
        <w:t>17.3</w:t>
      </w:r>
      <w:r>
        <w:rPr>
          <w:spacing w:val="45"/>
          <w:position w:val="1"/>
          <w:sz w:val="22"/>
          <w:szCs w:val="22"/>
          <w:highlight w:val="none"/>
        </w:rPr>
        <w:t xml:space="preserve"> </w:t>
      </w:r>
      <w:r>
        <w:rPr>
          <w:rFonts w:ascii="黑体" w:hAnsi="黑体" w:eastAsia="黑体" w:cs="黑体"/>
          <w:spacing w:val="-7"/>
          <w:position w:val="1"/>
          <w:sz w:val="22"/>
          <w:szCs w:val="22"/>
          <w:highlight w:val="none"/>
        </w:rPr>
        <w:t>将损失减至最小的义务</w:t>
      </w:r>
    </w:p>
    <w:p w14:paraId="136F784C">
      <w:pPr>
        <w:spacing w:before="220" w:line="423" w:lineRule="auto"/>
        <w:ind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不可抗力发生后，合同当事人均应采取措施尽量</w:t>
      </w:r>
      <w:r>
        <w:rPr>
          <w:rFonts w:ascii="宋体" w:hAnsi="宋体" w:eastAsia="宋体" w:cs="宋体"/>
          <w:spacing w:val="-3"/>
          <w:sz w:val="21"/>
          <w:szCs w:val="21"/>
          <w:highlight w:val="none"/>
        </w:rPr>
        <w:t>避免和减少损失的扩大，使不可抗力对</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履行合同造成的损失减至最小。另一方全力协助并采取措施，需暂停实施的工作，立即停止。</w:t>
      </w:r>
      <w:r>
        <w:rPr>
          <w:rFonts w:ascii="宋体" w:hAnsi="宋体" w:eastAsia="宋体" w:cs="宋体"/>
          <w:sz w:val="21"/>
          <w:szCs w:val="21"/>
          <w:highlight w:val="none"/>
        </w:rPr>
        <w:t xml:space="preserve"> 任何一方当事人没有采取有效措施导致损失</w:t>
      </w:r>
      <w:r>
        <w:rPr>
          <w:rFonts w:ascii="宋体" w:hAnsi="宋体" w:eastAsia="宋体" w:cs="宋体"/>
          <w:spacing w:val="-1"/>
          <w:sz w:val="21"/>
          <w:szCs w:val="21"/>
          <w:highlight w:val="none"/>
        </w:rPr>
        <w:t>扩大的，应对扩大的损失承担责任。</w:t>
      </w:r>
    </w:p>
    <w:p w14:paraId="5A6AC8F7">
      <w:pPr>
        <w:spacing w:before="155" w:line="221" w:lineRule="auto"/>
        <w:rPr>
          <w:rFonts w:ascii="黑体" w:hAnsi="黑体" w:eastAsia="黑体" w:cs="黑体"/>
          <w:sz w:val="22"/>
          <w:szCs w:val="22"/>
          <w:highlight w:val="none"/>
        </w:rPr>
      </w:pPr>
      <w:r>
        <w:rPr>
          <w:rFonts w:ascii="黑体" w:hAnsi="黑体" w:eastAsia="黑体" w:cs="黑体"/>
          <w:spacing w:val="-2"/>
          <w:sz w:val="22"/>
          <w:szCs w:val="22"/>
          <w:highlight w:val="none"/>
        </w:rPr>
        <w:t>17.4不可抗力后果的承担</w:t>
      </w:r>
    </w:p>
    <w:p w14:paraId="479F858C">
      <w:pPr>
        <w:spacing w:before="218" w:line="424" w:lineRule="auto"/>
        <w:ind w:right="74" w:firstLine="420"/>
        <w:rPr>
          <w:rFonts w:ascii="宋体" w:hAnsi="宋体" w:eastAsia="宋体" w:cs="宋体"/>
          <w:sz w:val="21"/>
          <w:szCs w:val="21"/>
          <w:highlight w:val="none"/>
        </w:rPr>
      </w:pPr>
      <w:r>
        <w:rPr>
          <w:rFonts w:ascii="宋体" w:hAnsi="宋体" w:eastAsia="宋体" w:cs="宋体"/>
          <w:spacing w:val="4"/>
          <w:sz w:val="21"/>
          <w:szCs w:val="21"/>
          <w:highlight w:val="none"/>
        </w:rPr>
        <w:t>不可抗力导致的人员伤亡、财产损失、费用增加和(或)</w:t>
      </w:r>
      <w:r>
        <w:rPr>
          <w:rFonts w:ascii="宋体" w:hAnsi="宋体" w:eastAsia="宋体" w:cs="宋体"/>
          <w:spacing w:val="3"/>
          <w:sz w:val="21"/>
          <w:szCs w:val="21"/>
          <w:highlight w:val="none"/>
        </w:rPr>
        <w:t>工期延误等后果，由合同当事</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人按以下原则承担：</w:t>
      </w:r>
    </w:p>
    <w:p w14:paraId="0DBAD223">
      <w:pPr>
        <w:spacing w:before="5" w:line="331" w:lineRule="auto"/>
        <w:ind w:right="95" w:firstLine="529"/>
        <w:rPr>
          <w:rFonts w:ascii="宋体" w:hAnsi="宋体" w:eastAsia="宋体" w:cs="宋体"/>
          <w:sz w:val="20"/>
          <w:szCs w:val="20"/>
          <w:highlight w:val="none"/>
        </w:rPr>
      </w:pPr>
      <w:r>
        <w:rPr>
          <w:rFonts w:ascii="宋体" w:hAnsi="宋体" w:eastAsia="宋体" w:cs="宋体"/>
          <w:spacing w:val="13"/>
          <w:sz w:val="20"/>
          <w:szCs w:val="20"/>
          <w:highlight w:val="none"/>
        </w:rPr>
        <w:t>(1)永久工程，包括已运至施工现场的材料和工</w:t>
      </w:r>
      <w:r>
        <w:rPr>
          <w:rFonts w:ascii="宋体" w:hAnsi="宋体" w:eastAsia="宋体" w:cs="宋体"/>
          <w:spacing w:val="12"/>
          <w:sz w:val="20"/>
          <w:szCs w:val="20"/>
          <w:highlight w:val="none"/>
        </w:rPr>
        <w:t>程设备的损害，以及因工程损害造成</w:t>
      </w:r>
      <w:r>
        <w:rPr>
          <w:rFonts w:ascii="宋体" w:hAnsi="宋体" w:eastAsia="宋体" w:cs="宋体"/>
          <w:sz w:val="20"/>
          <w:szCs w:val="20"/>
          <w:highlight w:val="none"/>
        </w:rPr>
        <w:t xml:space="preserve"> </w:t>
      </w:r>
      <w:r>
        <w:rPr>
          <w:rFonts w:ascii="宋体" w:hAnsi="宋体" w:eastAsia="宋体" w:cs="宋体"/>
          <w:spacing w:val="7"/>
          <w:sz w:val="20"/>
          <w:szCs w:val="20"/>
          <w:highlight w:val="none"/>
        </w:rPr>
        <w:t>的第三人人员伤亡和财产损失由发包人承担；</w:t>
      </w:r>
    </w:p>
    <w:p w14:paraId="3AF88D34">
      <w:pPr>
        <w:spacing w:before="222"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(2)承包人提供的施工设备的损坏由承包人承担；</w:t>
      </w:r>
    </w:p>
    <w:p w14:paraId="2322D162">
      <w:pPr>
        <w:spacing w:before="210"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(3)发包人和承包人各自承担其人员伤亡及其他财产损失；</w:t>
      </w:r>
    </w:p>
    <w:p w14:paraId="20682FEA">
      <w:pPr>
        <w:spacing w:before="199" w:line="360" w:lineRule="auto"/>
        <w:ind w:right="93" w:firstLine="529"/>
        <w:rPr>
          <w:rFonts w:ascii="宋体" w:hAnsi="宋体" w:eastAsia="宋体" w:cs="宋体"/>
          <w:sz w:val="21"/>
          <w:szCs w:val="21"/>
          <w:highlight w:val="none"/>
        </w:rPr>
      </w:pPr>
      <w:r>
        <w:rPr>
          <w:rFonts w:ascii="宋体" w:hAnsi="宋体" w:eastAsia="宋体" w:cs="宋体"/>
          <w:spacing w:val="3"/>
          <w:sz w:val="21"/>
          <w:szCs w:val="21"/>
          <w:highlight w:val="none"/>
        </w:rPr>
        <w:t>(4)因不可抗力影响承包人履行合同约定的义务，已经引起或将引起工期延误的</w:t>
      </w:r>
      <w:r>
        <w:rPr>
          <w:rFonts w:ascii="宋体" w:hAnsi="宋体" w:eastAsia="宋体" w:cs="宋体"/>
          <w:spacing w:val="2"/>
          <w:sz w:val="21"/>
          <w:szCs w:val="21"/>
          <w:highlight w:val="none"/>
        </w:rPr>
        <w:t>，应</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当顺延工期，由此导致承包人停工的费用损失由发包人和承包人合理</w:t>
      </w:r>
      <w:r>
        <w:rPr>
          <w:rFonts w:ascii="宋体" w:hAnsi="宋体" w:eastAsia="宋体" w:cs="宋体"/>
          <w:spacing w:val="-3"/>
          <w:sz w:val="21"/>
          <w:szCs w:val="21"/>
          <w:highlight w:val="none"/>
        </w:rPr>
        <w:t>分担，停工期间必须支</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付的现场必要的工人工资由发包人承担；</w:t>
      </w:r>
    </w:p>
    <w:p w14:paraId="7A69AAAB">
      <w:pPr>
        <w:spacing w:before="240" w:line="331" w:lineRule="auto"/>
        <w:ind w:right="81" w:firstLine="529"/>
        <w:rPr>
          <w:rFonts w:ascii="宋体" w:hAnsi="宋体" w:eastAsia="宋体" w:cs="宋体"/>
          <w:sz w:val="20"/>
          <w:szCs w:val="20"/>
          <w:highlight w:val="none"/>
        </w:rPr>
      </w:pPr>
      <w:r>
        <w:rPr>
          <w:rFonts w:ascii="宋体" w:hAnsi="宋体" w:eastAsia="宋体" w:cs="宋体"/>
          <w:spacing w:val="13"/>
          <w:sz w:val="20"/>
          <w:szCs w:val="20"/>
          <w:highlight w:val="none"/>
        </w:rPr>
        <w:t>(5)因不可抗力引起或将引起工期延误，发包人指示赶工的，由此增加的赶工费</w:t>
      </w:r>
      <w:r>
        <w:rPr>
          <w:rFonts w:ascii="宋体" w:hAnsi="宋体" w:eastAsia="宋体" w:cs="宋体"/>
          <w:spacing w:val="12"/>
          <w:sz w:val="20"/>
          <w:szCs w:val="20"/>
          <w:highlight w:val="none"/>
        </w:rPr>
        <w:t>用由</w:t>
      </w:r>
      <w:r>
        <w:rPr>
          <w:rFonts w:ascii="宋体" w:hAnsi="宋体" w:eastAsia="宋体" w:cs="宋体"/>
          <w:sz w:val="20"/>
          <w:szCs w:val="20"/>
          <w:highlight w:val="none"/>
        </w:rPr>
        <w:t xml:space="preserve"> </w:t>
      </w:r>
      <w:r>
        <w:rPr>
          <w:rFonts w:ascii="宋体" w:hAnsi="宋体" w:eastAsia="宋体" w:cs="宋体"/>
          <w:spacing w:val="-1"/>
          <w:sz w:val="20"/>
          <w:szCs w:val="20"/>
          <w:highlight w:val="none"/>
        </w:rPr>
        <w:t>发包人承担；</w:t>
      </w:r>
    </w:p>
    <w:p w14:paraId="27124B1A">
      <w:pPr>
        <w:spacing w:before="214" w:line="315" w:lineRule="auto"/>
        <w:ind w:right="94" w:firstLine="529"/>
        <w:rPr>
          <w:rFonts w:ascii="宋体" w:hAnsi="宋体" w:eastAsia="宋体" w:cs="宋体"/>
          <w:sz w:val="22"/>
          <w:szCs w:val="22"/>
          <w:highlight w:val="none"/>
        </w:rPr>
      </w:pPr>
      <w:r>
        <w:rPr>
          <w:rFonts w:ascii="宋体" w:hAnsi="宋体" w:eastAsia="宋体" w:cs="宋体"/>
          <w:spacing w:val="-7"/>
          <w:sz w:val="22"/>
          <w:szCs w:val="22"/>
          <w:highlight w:val="none"/>
        </w:rPr>
        <w:t>(6)承包人在停工期间按照工程师或发包人要求照管、清理和修复工程的费用由发包</w:t>
      </w:r>
      <w:r>
        <w:rPr>
          <w:rFonts w:ascii="宋体" w:hAnsi="宋体" w:eastAsia="宋体" w:cs="宋体"/>
          <w:spacing w:val="15"/>
          <w:sz w:val="22"/>
          <w:szCs w:val="22"/>
          <w:highlight w:val="none"/>
        </w:rPr>
        <w:t xml:space="preserve"> </w:t>
      </w:r>
      <w:r>
        <w:rPr>
          <w:rFonts w:ascii="宋体" w:hAnsi="宋体" w:eastAsia="宋体" w:cs="宋体"/>
          <w:spacing w:val="-14"/>
          <w:sz w:val="22"/>
          <w:szCs w:val="22"/>
          <w:highlight w:val="none"/>
        </w:rPr>
        <w:t>人承担。</w:t>
      </w:r>
    </w:p>
    <w:p w14:paraId="6C3C2210">
      <w:pPr>
        <w:spacing w:before="229" w:line="415" w:lineRule="auto"/>
        <w:ind w:right="93" w:firstLine="420"/>
        <w:rPr>
          <w:rFonts w:ascii="宋体" w:hAnsi="宋体" w:eastAsia="宋体" w:cs="宋体"/>
          <w:sz w:val="21"/>
          <w:szCs w:val="21"/>
          <w:highlight w:val="none"/>
        </w:rPr>
      </w:pPr>
      <w:r>
        <w:rPr>
          <w:rFonts w:ascii="宋体" w:hAnsi="宋体" w:eastAsia="宋体" w:cs="宋体"/>
          <w:spacing w:val="-2"/>
          <w:sz w:val="21"/>
          <w:szCs w:val="21"/>
          <w:highlight w:val="none"/>
        </w:rPr>
        <w:t>不可抗力引起的后果及造成的损失由合同当事人按照法</w:t>
      </w:r>
      <w:r>
        <w:rPr>
          <w:rFonts w:ascii="宋体" w:hAnsi="宋体" w:eastAsia="宋体" w:cs="宋体"/>
          <w:spacing w:val="-3"/>
          <w:sz w:val="21"/>
          <w:szCs w:val="21"/>
          <w:highlight w:val="none"/>
        </w:rPr>
        <w:t>律规定及合同约定各自承担。不</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可抗力发生前已完成的工程应当按照合同约定进行支付。</w:t>
      </w:r>
    </w:p>
    <w:p w14:paraId="7CD6DA76">
      <w:pPr>
        <w:pStyle w:val="2"/>
        <w:spacing w:before="135" w:line="299" w:lineRule="exact"/>
        <w:rPr>
          <w:rFonts w:ascii="黑体" w:hAnsi="黑体" w:eastAsia="黑体" w:cs="黑体"/>
          <w:sz w:val="22"/>
          <w:szCs w:val="22"/>
          <w:highlight w:val="none"/>
        </w:rPr>
      </w:pPr>
      <w:r>
        <w:rPr>
          <w:spacing w:val="-9"/>
          <w:position w:val="1"/>
          <w:sz w:val="22"/>
          <w:szCs w:val="22"/>
          <w:highlight w:val="none"/>
        </w:rPr>
        <w:t>17.5</w:t>
      </w:r>
      <w:r>
        <w:rPr>
          <w:spacing w:val="56"/>
          <w:w w:val="101"/>
          <w:position w:val="1"/>
          <w:sz w:val="22"/>
          <w:szCs w:val="22"/>
          <w:highlight w:val="none"/>
        </w:rPr>
        <w:t xml:space="preserve"> </w:t>
      </w:r>
      <w:r>
        <w:rPr>
          <w:rFonts w:ascii="黑体" w:hAnsi="黑体" w:eastAsia="黑体" w:cs="黑体"/>
          <w:spacing w:val="-9"/>
          <w:position w:val="1"/>
          <w:sz w:val="22"/>
          <w:szCs w:val="22"/>
          <w:highlight w:val="none"/>
        </w:rPr>
        <w:t>不可抗力影响分包人</w:t>
      </w:r>
    </w:p>
    <w:p w14:paraId="29EF1134">
      <w:pPr>
        <w:spacing w:before="192" w:line="430" w:lineRule="auto"/>
        <w:ind w:right="95" w:firstLine="420"/>
        <w:rPr>
          <w:rFonts w:ascii="宋体" w:hAnsi="宋体" w:eastAsia="宋体" w:cs="宋体"/>
          <w:sz w:val="22"/>
          <w:szCs w:val="22"/>
          <w:highlight w:val="none"/>
        </w:rPr>
      </w:pPr>
      <w:r>
        <w:rPr>
          <w:rFonts w:ascii="宋体" w:hAnsi="宋体" w:eastAsia="宋体" w:cs="宋体"/>
          <w:spacing w:val="-12"/>
          <w:sz w:val="22"/>
          <w:szCs w:val="22"/>
          <w:highlight w:val="none"/>
        </w:rPr>
        <w:t>分包人根据分包合同的约定，有权获得更多或者更</w:t>
      </w:r>
      <w:r>
        <w:rPr>
          <w:rFonts w:ascii="宋体" w:hAnsi="宋体" w:eastAsia="宋体" w:cs="宋体"/>
          <w:spacing w:val="-13"/>
          <w:sz w:val="22"/>
          <w:szCs w:val="22"/>
          <w:highlight w:val="none"/>
        </w:rPr>
        <w:t>广的不可抗力而免除某些义务时，承</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包人不得以分包合同中不可抗力约定向发包人抗辩免除其义务。</w:t>
      </w:r>
    </w:p>
    <w:p w14:paraId="7859CBF5">
      <w:pPr>
        <w:pStyle w:val="2"/>
        <w:spacing w:before="64" w:line="300" w:lineRule="exact"/>
        <w:rPr>
          <w:rFonts w:ascii="黑体" w:hAnsi="黑体" w:eastAsia="黑体" w:cs="黑体"/>
          <w:sz w:val="22"/>
          <w:szCs w:val="22"/>
          <w:highlight w:val="none"/>
        </w:rPr>
      </w:pPr>
      <w:r>
        <w:rPr>
          <w:spacing w:val="-9"/>
          <w:position w:val="1"/>
          <w:sz w:val="22"/>
          <w:szCs w:val="22"/>
          <w:highlight w:val="none"/>
        </w:rPr>
        <w:t>17.6</w:t>
      </w:r>
      <w:r>
        <w:rPr>
          <w:spacing w:val="66"/>
          <w:position w:val="1"/>
          <w:sz w:val="22"/>
          <w:szCs w:val="22"/>
          <w:highlight w:val="none"/>
        </w:rPr>
        <w:t xml:space="preserve"> </w:t>
      </w:r>
      <w:r>
        <w:rPr>
          <w:rFonts w:ascii="黑体" w:hAnsi="黑体" w:eastAsia="黑体" w:cs="黑体"/>
          <w:spacing w:val="-9"/>
          <w:position w:val="1"/>
          <w:sz w:val="22"/>
          <w:szCs w:val="22"/>
          <w:highlight w:val="none"/>
        </w:rPr>
        <w:t>因不可抗力解除合同</w:t>
      </w:r>
    </w:p>
    <w:p w14:paraId="10441C5E">
      <w:pPr>
        <w:spacing w:before="229" w:line="415" w:lineRule="auto"/>
        <w:ind w:right="74" w:firstLine="420"/>
        <w:jc w:val="both"/>
        <w:rPr>
          <w:rFonts w:ascii="宋体" w:hAnsi="宋体" w:eastAsia="宋体" w:cs="宋体"/>
          <w:sz w:val="21"/>
          <w:szCs w:val="21"/>
          <w:highlight w:val="none"/>
        </w:rPr>
      </w:pPr>
      <w:r>
        <w:rPr>
          <w:rFonts w:ascii="宋体" w:hAnsi="宋体" w:eastAsia="宋体" w:cs="宋体"/>
          <w:spacing w:val="6"/>
          <w:sz w:val="21"/>
          <w:szCs w:val="21"/>
          <w:highlight w:val="none"/>
        </w:rPr>
        <w:t>因单次不可抗力导致合同无法履行连续超过84天或累计超过140天的，发包人和承包</w:t>
      </w:r>
      <w:r>
        <w:rPr>
          <w:rFonts w:ascii="宋体" w:hAnsi="宋体" w:eastAsia="宋体" w:cs="宋体"/>
          <w:spacing w:val="10"/>
          <w:sz w:val="21"/>
          <w:szCs w:val="21"/>
          <w:highlight w:val="none"/>
        </w:rPr>
        <w:t xml:space="preserve"> </w:t>
      </w:r>
      <w:r>
        <w:rPr>
          <w:rFonts w:ascii="宋体" w:hAnsi="宋体" w:eastAsia="宋体" w:cs="宋体"/>
          <w:spacing w:val="3"/>
          <w:sz w:val="21"/>
          <w:szCs w:val="21"/>
          <w:highlight w:val="none"/>
        </w:rPr>
        <w:t>人均有权解除合同。合同解除后，承包人应按照第10.5款[竣工退场]</w:t>
      </w:r>
      <w:r>
        <w:rPr>
          <w:rFonts w:ascii="宋体" w:hAnsi="宋体" w:eastAsia="宋体" w:cs="宋体"/>
          <w:spacing w:val="2"/>
          <w:sz w:val="21"/>
          <w:szCs w:val="21"/>
          <w:highlight w:val="none"/>
        </w:rPr>
        <w:t>的规定进行。由双方</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当事人按照第3.6款[商定或确定]商定或确定</w:t>
      </w:r>
      <w:r>
        <w:rPr>
          <w:rFonts w:ascii="宋体" w:hAnsi="宋体" w:eastAsia="宋体" w:cs="宋体"/>
          <w:spacing w:val="2"/>
          <w:sz w:val="21"/>
          <w:szCs w:val="21"/>
          <w:highlight w:val="none"/>
        </w:rPr>
        <w:t>发包人应支付的款项，该款项包括：</w:t>
      </w:r>
    </w:p>
    <w:p w14:paraId="593D568C">
      <w:pPr>
        <w:spacing w:before="33" w:line="218" w:lineRule="auto"/>
        <w:ind w:left="529"/>
        <w:rPr>
          <w:rFonts w:ascii="宋体" w:hAnsi="宋体" w:eastAsia="宋体" w:cs="宋体"/>
          <w:sz w:val="20"/>
          <w:szCs w:val="20"/>
          <w:highlight w:val="none"/>
        </w:rPr>
      </w:pPr>
      <w:r>
        <w:rPr>
          <w:rFonts w:ascii="宋体" w:hAnsi="宋体" w:eastAsia="宋体" w:cs="宋体"/>
          <w:spacing w:val="13"/>
          <w:sz w:val="20"/>
          <w:szCs w:val="20"/>
          <w:highlight w:val="none"/>
        </w:rPr>
        <w:t>(1)合同解除前承包人已完成工作的价款；</w:t>
      </w:r>
    </w:p>
    <w:p w14:paraId="04AFAF52">
      <w:pPr>
        <w:spacing w:line="218" w:lineRule="auto"/>
        <w:rPr>
          <w:rFonts w:ascii="宋体" w:hAnsi="宋体" w:eastAsia="宋体" w:cs="宋体"/>
          <w:sz w:val="20"/>
          <w:szCs w:val="20"/>
          <w:highlight w:val="none"/>
        </w:rPr>
        <w:sectPr>
          <w:footerReference r:id="rId140" w:type="default"/>
          <w:pgSz w:w="11910" w:h="16840"/>
          <w:pgMar w:top="400" w:right="1724" w:bottom="1238" w:left="1779" w:header="0" w:footer="1007" w:gutter="0"/>
          <w:cols w:space="720" w:num="1"/>
        </w:sectPr>
      </w:pPr>
    </w:p>
    <w:p w14:paraId="77A80739">
      <w:pPr>
        <w:pStyle w:val="2"/>
        <w:spacing w:line="275" w:lineRule="auto"/>
        <w:rPr>
          <w:highlight w:val="none"/>
        </w:rPr>
      </w:pPr>
    </w:p>
    <w:p w14:paraId="764DC565">
      <w:pPr>
        <w:pStyle w:val="2"/>
        <w:spacing w:line="275" w:lineRule="auto"/>
        <w:rPr>
          <w:highlight w:val="none"/>
        </w:rPr>
      </w:pPr>
    </w:p>
    <w:p w14:paraId="377B66C2">
      <w:pPr>
        <w:pStyle w:val="2"/>
        <w:spacing w:line="275" w:lineRule="auto"/>
        <w:rPr>
          <w:highlight w:val="none"/>
        </w:rPr>
      </w:pPr>
    </w:p>
    <w:p w14:paraId="1DF5F00F">
      <w:pPr>
        <w:pStyle w:val="2"/>
        <w:spacing w:line="276" w:lineRule="auto"/>
        <w:rPr>
          <w:highlight w:val="none"/>
        </w:rPr>
      </w:pPr>
    </w:p>
    <w:p w14:paraId="7574F58D">
      <w:pPr>
        <w:spacing w:before="69" w:line="349" w:lineRule="auto"/>
        <w:ind w:right="32" w:firstLine="529"/>
        <w:rPr>
          <w:rFonts w:ascii="宋体" w:hAnsi="宋体" w:eastAsia="宋体" w:cs="宋体"/>
          <w:sz w:val="21"/>
          <w:szCs w:val="21"/>
          <w:highlight w:val="none"/>
        </w:rPr>
      </w:pPr>
      <w:bookmarkStart w:id="107" w:name="bookmark233"/>
      <w:bookmarkEnd w:id="107"/>
      <w:r>
        <w:rPr>
          <w:rFonts w:ascii="宋体" w:hAnsi="宋体" w:eastAsia="宋体" w:cs="宋体"/>
          <w:spacing w:val="3"/>
          <w:sz w:val="21"/>
          <w:szCs w:val="21"/>
          <w:highlight w:val="none"/>
        </w:rPr>
        <w:t>(2)承包人为工程订购的并已交付给承包人，或承包人有责任接受交付的材料</w:t>
      </w:r>
      <w:r>
        <w:rPr>
          <w:rFonts w:ascii="宋体" w:hAnsi="宋体" w:eastAsia="宋体" w:cs="宋体"/>
          <w:spacing w:val="2"/>
          <w:sz w:val="21"/>
          <w:szCs w:val="21"/>
          <w:highlight w:val="none"/>
        </w:rPr>
        <w:t>、工程</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设备和其他物品的价款；当发包人支付上述费用后，此项材料、工</w:t>
      </w:r>
      <w:r>
        <w:rPr>
          <w:rFonts w:ascii="宋体" w:hAnsi="宋体" w:eastAsia="宋体" w:cs="宋体"/>
          <w:spacing w:val="-3"/>
          <w:sz w:val="21"/>
          <w:szCs w:val="21"/>
          <w:highlight w:val="none"/>
        </w:rPr>
        <w:t>程设备与其他物品应成为</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发包人的财产，承包人应将其交由发包人处理；</w:t>
      </w:r>
    </w:p>
    <w:p w14:paraId="742A2347">
      <w:pPr>
        <w:spacing w:before="238" w:line="317" w:lineRule="auto"/>
        <w:ind w:right="24" w:firstLine="529"/>
        <w:rPr>
          <w:rFonts w:ascii="宋体" w:hAnsi="宋体" w:eastAsia="宋体" w:cs="宋体"/>
          <w:sz w:val="21"/>
          <w:szCs w:val="21"/>
          <w:highlight w:val="none"/>
        </w:rPr>
      </w:pPr>
      <w:r>
        <w:rPr>
          <w:rFonts w:ascii="宋体" w:hAnsi="宋体" w:eastAsia="宋体" w:cs="宋体"/>
          <w:spacing w:val="3"/>
          <w:sz w:val="21"/>
          <w:szCs w:val="21"/>
          <w:highlight w:val="none"/>
        </w:rPr>
        <w:t>(3)发包人指示承包人退货或解除订货合同而产生的费用，或因不能退货或解除合同</w:t>
      </w:r>
      <w:r>
        <w:rPr>
          <w:rFonts w:ascii="宋体" w:hAnsi="宋体" w:eastAsia="宋体" w:cs="宋体"/>
          <w:spacing w:val="9"/>
          <w:sz w:val="21"/>
          <w:szCs w:val="21"/>
          <w:highlight w:val="none"/>
        </w:rPr>
        <w:t xml:space="preserve"> </w:t>
      </w:r>
      <w:r>
        <w:rPr>
          <w:rFonts w:ascii="宋体" w:hAnsi="宋体" w:eastAsia="宋体" w:cs="宋体"/>
          <w:spacing w:val="-8"/>
          <w:sz w:val="21"/>
          <w:szCs w:val="21"/>
          <w:highlight w:val="none"/>
        </w:rPr>
        <w:t>而产生的损失；</w:t>
      </w:r>
    </w:p>
    <w:p w14:paraId="22C50306">
      <w:pPr>
        <w:spacing w:before="211"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(4)承包人撤离施工现场以及遣散承包人人员的费用；</w:t>
      </w:r>
    </w:p>
    <w:p w14:paraId="1D319CFE">
      <w:pPr>
        <w:spacing w:before="209"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(5)按照合同约定在合同解除前应支付给承包人的其他款项；</w:t>
      </w:r>
    </w:p>
    <w:p w14:paraId="6142FB85">
      <w:pPr>
        <w:spacing w:before="248" w:line="219"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(6)扣减承包人按照合同约定应向发包人支付的款项；</w:t>
      </w:r>
    </w:p>
    <w:p w14:paraId="6CB87F5C">
      <w:pPr>
        <w:spacing w:before="233" w:line="220" w:lineRule="auto"/>
        <w:ind w:left="529"/>
        <w:rPr>
          <w:rFonts w:ascii="宋体" w:hAnsi="宋体" w:eastAsia="宋体" w:cs="宋体"/>
          <w:sz w:val="20"/>
          <w:szCs w:val="20"/>
          <w:highlight w:val="none"/>
        </w:rPr>
      </w:pPr>
      <w:r>
        <w:rPr>
          <w:rFonts w:ascii="宋体" w:hAnsi="宋体" w:eastAsia="宋体" w:cs="宋体"/>
          <w:spacing w:val="14"/>
          <w:sz w:val="20"/>
          <w:szCs w:val="20"/>
          <w:highlight w:val="none"/>
        </w:rPr>
        <w:t>(7)双方商定或确定的其他款项。</w:t>
      </w:r>
    </w:p>
    <w:p w14:paraId="57F5AE23">
      <w:pPr>
        <w:spacing w:before="210" w:line="422" w:lineRule="auto"/>
        <w:ind w:right="33" w:firstLine="430"/>
        <w:rPr>
          <w:rFonts w:ascii="宋体" w:hAnsi="宋体" w:eastAsia="宋体" w:cs="宋体"/>
          <w:sz w:val="22"/>
          <w:szCs w:val="22"/>
          <w:highlight w:val="none"/>
        </w:rPr>
      </w:pPr>
      <w:r>
        <w:rPr>
          <w:rFonts w:ascii="宋体" w:hAnsi="宋体" w:eastAsia="宋体" w:cs="宋体"/>
          <w:spacing w:val="-7"/>
          <w:sz w:val="22"/>
          <w:szCs w:val="22"/>
          <w:highlight w:val="none"/>
        </w:rPr>
        <w:t>除专用合同条件另有约定外，合同解除后，发包人应当在商定或确定上述款项后28天</w:t>
      </w:r>
      <w:r>
        <w:rPr>
          <w:rFonts w:ascii="宋体" w:hAnsi="宋体" w:eastAsia="宋体" w:cs="宋体"/>
          <w:spacing w:val="5"/>
          <w:sz w:val="22"/>
          <w:szCs w:val="22"/>
          <w:highlight w:val="none"/>
        </w:rPr>
        <w:t xml:space="preserve"> </w:t>
      </w:r>
      <w:r>
        <w:rPr>
          <w:rFonts w:ascii="宋体" w:hAnsi="宋体" w:eastAsia="宋体" w:cs="宋体"/>
          <w:spacing w:val="-13"/>
          <w:sz w:val="22"/>
          <w:szCs w:val="22"/>
          <w:highlight w:val="none"/>
        </w:rPr>
        <w:t>内完成上述款项的支付。</w:t>
      </w:r>
    </w:p>
    <w:p w14:paraId="30963983">
      <w:pPr>
        <w:spacing w:before="86" w:line="222" w:lineRule="auto"/>
        <w:outlineLvl w:val="1"/>
        <w:rPr>
          <w:rFonts w:ascii="黑体" w:hAnsi="黑体" w:eastAsia="黑体" w:cs="黑体"/>
          <w:sz w:val="28"/>
          <w:szCs w:val="28"/>
          <w:highlight w:val="none"/>
        </w:rPr>
      </w:pPr>
      <w:bookmarkStart w:id="108" w:name="bookmark64"/>
      <w:bookmarkEnd w:id="108"/>
      <w:r>
        <w:rPr>
          <w:rFonts w:ascii="黑体" w:hAnsi="黑体" w:eastAsia="黑体" w:cs="黑体"/>
          <w:spacing w:val="49"/>
          <w:sz w:val="28"/>
          <w:szCs w:val="28"/>
          <w:highlight w:val="none"/>
        </w:rPr>
        <w:t>第18条保险</w:t>
      </w:r>
    </w:p>
    <w:p w14:paraId="65F5D1DD">
      <w:pPr>
        <w:pStyle w:val="2"/>
        <w:spacing w:line="298" w:lineRule="auto"/>
        <w:rPr>
          <w:highlight w:val="none"/>
        </w:rPr>
      </w:pPr>
    </w:p>
    <w:p w14:paraId="3E6BFB93">
      <w:pPr>
        <w:pStyle w:val="2"/>
        <w:spacing w:before="72" w:line="300" w:lineRule="exact"/>
        <w:rPr>
          <w:rFonts w:ascii="黑体" w:hAnsi="黑体" w:eastAsia="黑体" w:cs="黑体"/>
          <w:sz w:val="22"/>
          <w:szCs w:val="22"/>
          <w:highlight w:val="none"/>
        </w:rPr>
      </w:pPr>
      <w:r>
        <w:rPr>
          <w:spacing w:val="-8"/>
          <w:position w:val="1"/>
          <w:sz w:val="22"/>
          <w:szCs w:val="22"/>
          <w:highlight w:val="none"/>
        </w:rPr>
        <w:t>18.1</w:t>
      </w:r>
      <w:r>
        <w:rPr>
          <w:spacing w:val="43"/>
          <w:position w:val="1"/>
          <w:sz w:val="22"/>
          <w:szCs w:val="22"/>
          <w:highlight w:val="none"/>
        </w:rPr>
        <w:t xml:space="preserve"> </w:t>
      </w:r>
      <w:r>
        <w:rPr>
          <w:rFonts w:ascii="黑体" w:hAnsi="黑体" w:eastAsia="黑体" w:cs="黑体"/>
          <w:spacing w:val="-8"/>
          <w:position w:val="1"/>
          <w:sz w:val="22"/>
          <w:szCs w:val="22"/>
          <w:highlight w:val="none"/>
        </w:rPr>
        <w:t>设计和工程保险</w:t>
      </w:r>
    </w:p>
    <w:p w14:paraId="20B24D95">
      <w:pPr>
        <w:spacing w:before="99" w:line="300" w:lineRule="auto"/>
        <w:ind w:right="34" w:firstLine="430"/>
        <w:rPr>
          <w:rFonts w:ascii="宋体" w:hAnsi="宋体" w:eastAsia="宋体" w:cs="宋体"/>
          <w:sz w:val="22"/>
          <w:szCs w:val="22"/>
          <w:highlight w:val="none"/>
        </w:rPr>
      </w:pPr>
      <w:r>
        <w:rPr>
          <w:rFonts w:ascii="Times New Roman" w:hAnsi="Times New Roman" w:eastAsia="Times New Roman" w:cs="Times New Roman"/>
          <w:spacing w:val="-2"/>
          <w:sz w:val="22"/>
          <w:szCs w:val="22"/>
          <w:highlight w:val="none"/>
        </w:rPr>
        <w:t xml:space="preserve">18.1.1   </w:t>
      </w:r>
      <w:r>
        <w:rPr>
          <w:rFonts w:ascii="宋体" w:hAnsi="宋体" w:eastAsia="宋体" w:cs="宋体"/>
          <w:spacing w:val="-2"/>
          <w:sz w:val="22"/>
          <w:szCs w:val="22"/>
          <w:highlight w:val="none"/>
        </w:rPr>
        <w:t>双方应按照专用合同条件的约定向双方同意的</w:t>
      </w:r>
      <w:r>
        <w:rPr>
          <w:rFonts w:ascii="宋体" w:hAnsi="宋体" w:eastAsia="宋体" w:cs="宋体"/>
          <w:spacing w:val="-3"/>
          <w:sz w:val="22"/>
          <w:szCs w:val="22"/>
          <w:highlight w:val="none"/>
        </w:rPr>
        <w:t>保险人投保建设工程设计责任</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险、建筑安装工程一切险等保险。具体的投保险种、保险范围、</w:t>
      </w:r>
      <w:r>
        <w:rPr>
          <w:rFonts w:ascii="宋体" w:hAnsi="宋体" w:eastAsia="宋体" w:cs="宋体"/>
          <w:spacing w:val="-13"/>
          <w:sz w:val="22"/>
          <w:szCs w:val="22"/>
          <w:highlight w:val="none"/>
        </w:rPr>
        <w:t>保险金额、保险费率、保险</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期限等有关内容应当在专用合同条件中明确约定。</w:t>
      </w:r>
    </w:p>
    <w:p w14:paraId="74D14F19">
      <w:pPr>
        <w:pStyle w:val="2"/>
        <w:spacing w:line="268" w:lineRule="auto"/>
        <w:rPr>
          <w:highlight w:val="none"/>
        </w:rPr>
      </w:pPr>
    </w:p>
    <w:p w14:paraId="76E36FDF">
      <w:pPr>
        <w:spacing w:before="69" w:line="281" w:lineRule="auto"/>
        <w:ind w:right="29"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18.1.2</w:t>
      </w:r>
      <w:r>
        <w:rPr>
          <w:rFonts w:ascii="Times New Roman" w:hAnsi="Times New Roman" w:eastAsia="Times New Roman" w:cs="Times New Roman"/>
          <w:spacing w:val="20"/>
          <w:sz w:val="21"/>
          <w:szCs w:val="21"/>
          <w:highlight w:val="none"/>
        </w:rPr>
        <w:t xml:space="preserve">   </w:t>
      </w:r>
      <w:r>
        <w:rPr>
          <w:rFonts w:ascii="宋体" w:hAnsi="宋体" w:eastAsia="宋体" w:cs="宋体"/>
          <w:sz w:val="21"/>
          <w:szCs w:val="21"/>
          <w:highlight w:val="none"/>
        </w:rPr>
        <w:t>双方应按照专用合同条件的约定投保第三者责任险，并在缺陷责任期终止证书 颁发前维持其持续有效。第三者责任险最低投保额应在专用合同</w:t>
      </w:r>
      <w:r>
        <w:rPr>
          <w:rFonts w:ascii="宋体" w:hAnsi="宋体" w:eastAsia="宋体" w:cs="宋体"/>
          <w:spacing w:val="-1"/>
          <w:sz w:val="21"/>
          <w:szCs w:val="21"/>
          <w:highlight w:val="none"/>
        </w:rPr>
        <w:t>条件内约定。</w:t>
      </w:r>
    </w:p>
    <w:p w14:paraId="63019BB6">
      <w:pPr>
        <w:pStyle w:val="2"/>
        <w:spacing w:line="327" w:lineRule="auto"/>
        <w:rPr>
          <w:highlight w:val="none"/>
        </w:rPr>
      </w:pPr>
    </w:p>
    <w:p w14:paraId="568E9B86">
      <w:pPr>
        <w:pStyle w:val="2"/>
        <w:spacing w:before="73" w:line="299" w:lineRule="exact"/>
        <w:rPr>
          <w:rFonts w:ascii="黑体" w:hAnsi="黑体" w:eastAsia="黑体" w:cs="黑体"/>
          <w:sz w:val="22"/>
          <w:szCs w:val="22"/>
          <w:highlight w:val="none"/>
        </w:rPr>
      </w:pPr>
      <w:r>
        <w:rPr>
          <w:spacing w:val="-9"/>
          <w:position w:val="1"/>
          <w:sz w:val="22"/>
          <w:szCs w:val="22"/>
          <w:highlight w:val="none"/>
        </w:rPr>
        <w:t>18.2</w:t>
      </w:r>
      <w:r>
        <w:rPr>
          <w:spacing w:val="53"/>
          <w:w w:val="101"/>
          <w:position w:val="1"/>
          <w:sz w:val="22"/>
          <w:szCs w:val="22"/>
          <w:highlight w:val="none"/>
        </w:rPr>
        <w:t xml:space="preserve"> </w:t>
      </w:r>
      <w:r>
        <w:rPr>
          <w:rFonts w:ascii="黑体" w:hAnsi="黑体" w:eastAsia="黑体" w:cs="黑体"/>
          <w:spacing w:val="-9"/>
          <w:position w:val="1"/>
          <w:sz w:val="22"/>
          <w:szCs w:val="22"/>
          <w:highlight w:val="none"/>
        </w:rPr>
        <w:t>工伤和意外伤害保险</w:t>
      </w:r>
    </w:p>
    <w:p w14:paraId="75263DD5">
      <w:pPr>
        <w:spacing w:before="119" w:line="302" w:lineRule="auto"/>
        <w:ind w:right="16"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18.2.1    </w:t>
      </w:r>
      <w:r>
        <w:rPr>
          <w:rFonts w:ascii="宋体" w:hAnsi="宋体" w:eastAsia="宋体" w:cs="宋体"/>
          <w:spacing w:val="1"/>
          <w:sz w:val="21"/>
          <w:szCs w:val="21"/>
          <w:highlight w:val="none"/>
        </w:rPr>
        <w:t>发包人应依照法律规定为</w:t>
      </w:r>
      <w:r>
        <w:rPr>
          <w:rFonts w:ascii="宋体" w:hAnsi="宋体" w:eastAsia="宋体" w:cs="宋体"/>
          <w:sz w:val="21"/>
          <w:szCs w:val="21"/>
          <w:highlight w:val="none"/>
        </w:rPr>
        <w:t xml:space="preserve">其在施工现场的雇用人员办理工伤保险，缴纳工伤保 </w:t>
      </w:r>
      <w:r>
        <w:rPr>
          <w:rFonts w:ascii="宋体" w:hAnsi="宋体" w:eastAsia="宋体" w:cs="宋体"/>
          <w:spacing w:val="-2"/>
          <w:sz w:val="21"/>
          <w:szCs w:val="21"/>
          <w:highlight w:val="none"/>
        </w:rPr>
        <w:t>险费；并要求工程师及由发包人为履行合同聘请的第三方在施工现场</w:t>
      </w:r>
      <w:r>
        <w:rPr>
          <w:rFonts w:ascii="宋体" w:hAnsi="宋体" w:eastAsia="宋体" w:cs="宋体"/>
          <w:spacing w:val="-3"/>
          <w:sz w:val="21"/>
          <w:szCs w:val="21"/>
          <w:highlight w:val="none"/>
        </w:rPr>
        <w:t>的雇用人员依法办理工</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伤保险。</w:t>
      </w:r>
    </w:p>
    <w:p w14:paraId="5D9A62AC">
      <w:pPr>
        <w:pStyle w:val="2"/>
        <w:spacing w:line="290" w:lineRule="auto"/>
        <w:rPr>
          <w:highlight w:val="none"/>
        </w:rPr>
      </w:pPr>
    </w:p>
    <w:p w14:paraId="7A2D608E">
      <w:pPr>
        <w:spacing w:before="69" w:line="305" w:lineRule="auto"/>
        <w:ind w:right="32"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18.2.2</w:t>
      </w:r>
      <w:r>
        <w:rPr>
          <w:rFonts w:ascii="Times New Roman" w:hAnsi="Times New Roman" w:eastAsia="Times New Roman" w:cs="Times New Roman"/>
          <w:spacing w:val="19"/>
          <w:sz w:val="21"/>
          <w:szCs w:val="21"/>
          <w:highlight w:val="none"/>
        </w:rPr>
        <w:t xml:space="preserve">   </w:t>
      </w:r>
      <w:r>
        <w:rPr>
          <w:rFonts w:ascii="宋体" w:hAnsi="宋体" w:eastAsia="宋体" w:cs="宋体"/>
          <w:sz w:val="21"/>
          <w:szCs w:val="21"/>
          <w:highlight w:val="none"/>
        </w:rPr>
        <w:t xml:space="preserve">承包人应依照法律规定为其履行合同雇用的全部人员办理工伤保险，缴纳工伤 </w:t>
      </w:r>
      <w:r>
        <w:rPr>
          <w:rFonts w:ascii="宋体" w:hAnsi="宋体" w:eastAsia="宋体" w:cs="宋体"/>
          <w:spacing w:val="-2"/>
          <w:sz w:val="21"/>
          <w:szCs w:val="21"/>
          <w:highlight w:val="none"/>
        </w:rPr>
        <w:t>保险费，并要求分包人及由承包人为履行合同聘请的第三方</w:t>
      </w:r>
      <w:r>
        <w:rPr>
          <w:rFonts w:ascii="宋体" w:hAnsi="宋体" w:eastAsia="宋体" w:cs="宋体"/>
          <w:spacing w:val="-3"/>
          <w:sz w:val="21"/>
          <w:szCs w:val="21"/>
          <w:highlight w:val="none"/>
        </w:rPr>
        <w:t>雇用的全部人员依法办理工伤保</w:t>
      </w:r>
      <w:r>
        <w:rPr>
          <w:rFonts w:ascii="宋体" w:hAnsi="宋体" w:eastAsia="宋体" w:cs="宋体"/>
          <w:sz w:val="21"/>
          <w:szCs w:val="21"/>
          <w:highlight w:val="none"/>
        </w:rPr>
        <w:t xml:space="preserve"> </w:t>
      </w:r>
      <w:r>
        <w:rPr>
          <w:rFonts w:ascii="宋体" w:hAnsi="宋体" w:eastAsia="宋体" w:cs="宋体"/>
          <w:spacing w:val="-13"/>
          <w:sz w:val="21"/>
          <w:szCs w:val="21"/>
          <w:highlight w:val="none"/>
        </w:rPr>
        <w:t>险。</w:t>
      </w:r>
    </w:p>
    <w:p w14:paraId="3B991BC2">
      <w:pPr>
        <w:pStyle w:val="2"/>
        <w:spacing w:line="269" w:lineRule="auto"/>
        <w:rPr>
          <w:highlight w:val="none"/>
        </w:rPr>
      </w:pPr>
    </w:p>
    <w:p w14:paraId="365B4D31">
      <w:pPr>
        <w:spacing w:before="69" w:line="302" w:lineRule="auto"/>
        <w:ind w:right="34" w:firstLine="430"/>
        <w:rPr>
          <w:rFonts w:ascii="宋体" w:hAnsi="宋体" w:eastAsia="宋体" w:cs="宋体"/>
          <w:sz w:val="21"/>
          <w:szCs w:val="21"/>
          <w:highlight w:val="none"/>
        </w:rPr>
      </w:pPr>
      <w:r>
        <w:rPr>
          <w:rFonts w:ascii="Times New Roman" w:hAnsi="Times New Roman" w:eastAsia="Times New Roman" w:cs="Times New Roman"/>
          <w:spacing w:val="5"/>
          <w:sz w:val="21"/>
          <w:szCs w:val="21"/>
          <w:highlight w:val="none"/>
        </w:rPr>
        <w:t>18.2.3</w:t>
      </w:r>
      <w:r>
        <w:rPr>
          <w:rFonts w:ascii="Times New Roman" w:hAnsi="Times New Roman" w:eastAsia="Times New Roman" w:cs="Times New Roman"/>
          <w:spacing w:val="23"/>
          <w:w w:val="101"/>
          <w:sz w:val="21"/>
          <w:szCs w:val="21"/>
          <w:highlight w:val="none"/>
        </w:rPr>
        <w:t xml:space="preserve">   </w:t>
      </w:r>
      <w:r>
        <w:rPr>
          <w:rFonts w:ascii="宋体" w:hAnsi="宋体" w:eastAsia="宋体" w:cs="宋体"/>
          <w:spacing w:val="5"/>
          <w:sz w:val="21"/>
          <w:szCs w:val="21"/>
          <w:highlight w:val="none"/>
        </w:rPr>
        <w:t>发包人和承包人可以为其施工现场的全部人员办理意外伤害保险并支付保险</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费，包括其员工及为履行合同聘请的第三方的人员，具体事项由</w:t>
      </w:r>
      <w:r>
        <w:rPr>
          <w:rFonts w:ascii="宋体" w:hAnsi="宋体" w:eastAsia="宋体" w:cs="宋体"/>
          <w:spacing w:val="-3"/>
          <w:sz w:val="21"/>
          <w:szCs w:val="21"/>
          <w:highlight w:val="none"/>
        </w:rPr>
        <w:t>合同当事人在专用合同条件</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约定。</w:t>
      </w:r>
    </w:p>
    <w:p w14:paraId="66E0F694">
      <w:pPr>
        <w:spacing w:line="302" w:lineRule="auto"/>
        <w:rPr>
          <w:rFonts w:ascii="宋体" w:hAnsi="宋体" w:eastAsia="宋体" w:cs="宋体"/>
          <w:sz w:val="21"/>
          <w:szCs w:val="21"/>
          <w:highlight w:val="none"/>
        </w:rPr>
        <w:sectPr>
          <w:footerReference r:id="rId141" w:type="default"/>
          <w:pgSz w:w="11910" w:h="16840"/>
          <w:pgMar w:top="400" w:right="1786" w:bottom="1238" w:left="1779" w:header="0" w:footer="1007" w:gutter="0"/>
          <w:cols w:space="720" w:num="1"/>
        </w:sectPr>
      </w:pPr>
    </w:p>
    <w:p w14:paraId="442DD657">
      <w:pPr>
        <w:pStyle w:val="2"/>
        <w:spacing w:line="260" w:lineRule="auto"/>
        <w:rPr>
          <w:highlight w:val="none"/>
        </w:rPr>
      </w:pPr>
    </w:p>
    <w:p w14:paraId="64E8F841">
      <w:pPr>
        <w:pStyle w:val="2"/>
        <w:spacing w:line="260" w:lineRule="auto"/>
        <w:rPr>
          <w:highlight w:val="none"/>
        </w:rPr>
      </w:pPr>
    </w:p>
    <w:p w14:paraId="40AB132C">
      <w:pPr>
        <w:pStyle w:val="2"/>
        <w:spacing w:line="260" w:lineRule="auto"/>
        <w:rPr>
          <w:highlight w:val="none"/>
        </w:rPr>
      </w:pPr>
    </w:p>
    <w:p w14:paraId="0F3110CC">
      <w:pPr>
        <w:pStyle w:val="2"/>
        <w:spacing w:line="260" w:lineRule="auto"/>
        <w:rPr>
          <w:highlight w:val="none"/>
        </w:rPr>
      </w:pPr>
    </w:p>
    <w:p w14:paraId="0CAFF44C">
      <w:pPr>
        <w:pStyle w:val="2"/>
        <w:spacing w:before="72" w:line="300" w:lineRule="exact"/>
        <w:rPr>
          <w:rFonts w:ascii="黑体" w:hAnsi="黑体" w:eastAsia="黑体" w:cs="黑体"/>
          <w:sz w:val="22"/>
          <w:szCs w:val="22"/>
          <w:highlight w:val="none"/>
        </w:rPr>
      </w:pPr>
      <w:bookmarkStart w:id="109" w:name="bookmark234"/>
      <w:bookmarkEnd w:id="109"/>
      <w:r>
        <w:rPr>
          <w:spacing w:val="-8"/>
          <w:position w:val="1"/>
          <w:sz w:val="22"/>
          <w:szCs w:val="22"/>
          <w:highlight w:val="none"/>
        </w:rPr>
        <w:t>18.3</w:t>
      </w:r>
      <w:r>
        <w:rPr>
          <w:spacing w:val="51"/>
          <w:position w:val="1"/>
          <w:sz w:val="22"/>
          <w:szCs w:val="22"/>
          <w:highlight w:val="none"/>
        </w:rPr>
        <w:t xml:space="preserve"> </w:t>
      </w:r>
      <w:r>
        <w:rPr>
          <w:rFonts w:ascii="黑体" w:hAnsi="黑体" w:eastAsia="黑体" w:cs="黑体"/>
          <w:spacing w:val="-8"/>
          <w:position w:val="1"/>
          <w:sz w:val="22"/>
          <w:szCs w:val="22"/>
          <w:highlight w:val="none"/>
        </w:rPr>
        <w:t>货物保险</w:t>
      </w:r>
    </w:p>
    <w:p w14:paraId="2E700BCE">
      <w:pPr>
        <w:spacing w:before="210" w:line="404" w:lineRule="auto"/>
        <w:ind w:right="36" w:firstLine="420"/>
        <w:rPr>
          <w:rFonts w:ascii="宋体" w:hAnsi="宋体" w:eastAsia="宋体" w:cs="宋体"/>
          <w:sz w:val="22"/>
          <w:szCs w:val="22"/>
          <w:highlight w:val="none"/>
        </w:rPr>
      </w:pPr>
      <w:r>
        <w:rPr>
          <w:rFonts w:ascii="宋体" w:hAnsi="宋体" w:eastAsia="宋体" w:cs="宋体"/>
          <w:spacing w:val="-12"/>
          <w:sz w:val="22"/>
          <w:szCs w:val="22"/>
          <w:highlight w:val="none"/>
        </w:rPr>
        <w:t>承包人应按照专用合同条件的约定为运抵现场</w:t>
      </w:r>
      <w:r>
        <w:rPr>
          <w:rFonts w:ascii="宋体" w:hAnsi="宋体" w:eastAsia="宋体" w:cs="宋体"/>
          <w:spacing w:val="-13"/>
          <w:sz w:val="22"/>
          <w:szCs w:val="22"/>
          <w:highlight w:val="none"/>
        </w:rPr>
        <w:t>的施工设备、材料、工程设备和临时工程</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等办理财产保险，保险期限自上述货物运抵现场至其不再为工程所需要为止。</w:t>
      </w:r>
    </w:p>
    <w:p w14:paraId="0D792430">
      <w:pPr>
        <w:spacing w:before="166" w:line="222" w:lineRule="auto"/>
        <w:rPr>
          <w:rFonts w:ascii="黑体" w:hAnsi="黑体" w:eastAsia="黑体" w:cs="黑体"/>
          <w:sz w:val="22"/>
          <w:szCs w:val="22"/>
          <w:highlight w:val="none"/>
        </w:rPr>
      </w:pPr>
      <w:r>
        <w:rPr>
          <w:rFonts w:ascii="黑体" w:hAnsi="黑体" w:eastAsia="黑体" w:cs="黑体"/>
          <w:spacing w:val="3"/>
          <w:sz w:val="22"/>
          <w:szCs w:val="22"/>
          <w:highlight w:val="none"/>
        </w:rPr>
        <w:t>18.4其他保险</w:t>
      </w:r>
    </w:p>
    <w:p w14:paraId="44A56DDD">
      <w:pPr>
        <w:spacing w:before="212" w:line="416" w:lineRule="auto"/>
        <w:ind w:right="30"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发包人应按照工程总承包模式所适用的法律法规</w:t>
      </w:r>
      <w:r>
        <w:rPr>
          <w:rFonts w:ascii="宋体" w:hAnsi="宋体" w:eastAsia="宋体" w:cs="宋体"/>
          <w:spacing w:val="-3"/>
          <w:sz w:val="21"/>
          <w:szCs w:val="21"/>
          <w:highlight w:val="none"/>
        </w:rPr>
        <w:t>和专用合同条件约定，投保其他保险并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保持保险有效，其投保费用发包人自行承担。承包人应按照工</w:t>
      </w:r>
      <w:r>
        <w:rPr>
          <w:rFonts w:ascii="宋体" w:hAnsi="宋体" w:eastAsia="宋体" w:cs="宋体"/>
          <w:spacing w:val="-3"/>
          <w:sz w:val="21"/>
          <w:szCs w:val="21"/>
          <w:highlight w:val="none"/>
        </w:rPr>
        <w:t>程总承包模式所适用法律法规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和专用合同条件约定投保相应保险并保持保险有效，其投保费</w:t>
      </w:r>
      <w:r>
        <w:rPr>
          <w:rFonts w:ascii="宋体" w:hAnsi="宋体" w:eastAsia="宋体" w:cs="宋体"/>
          <w:spacing w:val="-3"/>
          <w:sz w:val="21"/>
          <w:szCs w:val="21"/>
          <w:highlight w:val="none"/>
        </w:rPr>
        <w:t>用包含在合同价格中，但在合</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同执行过程中，新颁布适用的法律法规规定由承包人投保的强制保险，应根据本合同第13</w:t>
      </w:r>
      <w:r>
        <w:rPr>
          <w:rFonts w:ascii="宋体" w:hAnsi="宋体" w:eastAsia="宋体" w:cs="宋体"/>
          <w:spacing w:val="2"/>
          <w:sz w:val="21"/>
          <w:szCs w:val="21"/>
          <w:highlight w:val="none"/>
        </w:rPr>
        <w:t xml:space="preserve"> </w:t>
      </w:r>
      <w:r>
        <w:rPr>
          <w:rFonts w:ascii="宋体" w:hAnsi="宋体" w:eastAsia="宋体" w:cs="宋体"/>
          <w:spacing w:val="-3"/>
          <w:sz w:val="21"/>
          <w:szCs w:val="21"/>
          <w:highlight w:val="none"/>
        </w:rPr>
        <w:t>条[变更与调整]的约定增加合同价款。</w:t>
      </w:r>
    </w:p>
    <w:p w14:paraId="4F72C3E5">
      <w:pPr>
        <w:pStyle w:val="2"/>
        <w:spacing w:before="145" w:line="300" w:lineRule="exact"/>
        <w:rPr>
          <w:rFonts w:ascii="黑体" w:hAnsi="黑体" w:eastAsia="黑体" w:cs="黑体"/>
          <w:sz w:val="22"/>
          <w:szCs w:val="22"/>
          <w:highlight w:val="none"/>
        </w:rPr>
      </w:pPr>
      <w:r>
        <w:rPr>
          <w:spacing w:val="-9"/>
          <w:position w:val="1"/>
          <w:sz w:val="22"/>
          <w:szCs w:val="22"/>
          <w:highlight w:val="none"/>
        </w:rPr>
        <w:t>18.5</w:t>
      </w:r>
      <w:r>
        <w:rPr>
          <w:spacing w:val="56"/>
          <w:position w:val="1"/>
          <w:sz w:val="22"/>
          <w:szCs w:val="22"/>
          <w:highlight w:val="none"/>
        </w:rPr>
        <w:t xml:space="preserve"> </w:t>
      </w:r>
      <w:r>
        <w:rPr>
          <w:rFonts w:ascii="黑体" w:hAnsi="黑体" w:eastAsia="黑体" w:cs="黑体"/>
          <w:spacing w:val="-9"/>
          <w:position w:val="1"/>
          <w:sz w:val="22"/>
          <w:szCs w:val="22"/>
          <w:highlight w:val="none"/>
        </w:rPr>
        <w:t>对各项保险的一般要求</w:t>
      </w:r>
    </w:p>
    <w:p w14:paraId="3A16801E">
      <w:pPr>
        <w:spacing w:before="92"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18.5.1</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7"/>
          <w:sz w:val="22"/>
          <w:szCs w:val="22"/>
          <w:highlight w:val="none"/>
        </w:rPr>
        <w:t>持续保险</w:t>
      </w:r>
    </w:p>
    <w:p w14:paraId="32B9291E">
      <w:pPr>
        <w:pStyle w:val="2"/>
        <w:spacing w:line="380" w:lineRule="auto"/>
        <w:rPr>
          <w:highlight w:val="none"/>
        </w:rPr>
      </w:pPr>
    </w:p>
    <w:p w14:paraId="472DDBBA">
      <w:pPr>
        <w:spacing w:before="65" w:line="379" w:lineRule="auto"/>
        <w:ind w:right="12" w:firstLine="420"/>
        <w:rPr>
          <w:rFonts w:ascii="宋体" w:hAnsi="宋体" w:eastAsia="宋体" w:cs="宋体"/>
          <w:sz w:val="20"/>
          <w:szCs w:val="20"/>
          <w:highlight w:val="none"/>
        </w:rPr>
      </w:pPr>
      <w:r>
        <w:rPr>
          <w:rFonts w:ascii="宋体" w:hAnsi="宋体" w:eastAsia="宋体" w:cs="宋体"/>
          <w:spacing w:val="8"/>
          <w:sz w:val="20"/>
          <w:szCs w:val="20"/>
          <w:highlight w:val="none"/>
        </w:rPr>
        <w:t>合同当事人应与保险人保持联系，使保险人能够随时了解工程实施中的变动，并确保按</w:t>
      </w:r>
      <w:r>
        <w:rPr>
          <w:rFonts w:ascii="宋体" w:hAnsi="宋体" w:eastAsia="宋体" w:cs="宋体"/>
          <w:spacing w:val="6"/>
          <w:sz w:val="20"/>
          <w:szCs w:val="20"/>
          <w:highlight w:val="none"/>
        </w:rPr>
        <w:t xml:space="preserve"> </w:t>
      </w:r>
      <w:r>
        <w:rPr>
          <w:rFonts w:ascii="宋体" w:hAnsi="宋体" w:eastAsia="宋体" w:cs="宋体"/>
          <w:spacing w:val="7"/>
          <w:sz w:val="20"/>
          <w:szCs w:val="20"/>
          <w:highlight w:val="none"/>
        </w:rPr>
        <w:t>保险合同条款要求持续保险。</w:t>
      </w:r>
    </w:p>
    <w:p w14:paraId="6577084E">
      <w:pPr>
        <w:spacing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18.5.2</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7"/>
          <w:sz w:val="22"/>
          <w:szCs w:val="22"/>
          <w:highlight w:val="none"/>
        </w:rPr>
        <w:t>保险凭证</w:t>
      </w:r>
    </w:p>
    <w:p w14:paraId="1E1473B1">
      <w:pPr>
        <w:pStyle w:val="2"/>
        <w:spacing w:line="335" w:lineRule="auto"/>
        <w:rPr>
          <w:highlight w:val="none"/>
        </w:rPr>
      </w:pPr>
    </w:p>
    <w:p w14:paraId="6388337D">
      <w:pPr>
        <w:spacing w:before="72" w:line="219" w:lineRule="auto"/>
        <w:ind w:right="24"/>
        <w:jc w:val="right"/>
        <w:rPr>
          <w:rFonts w:ascii="宋体" w:hAnsi="宋体" w:eastAsia="宋体" w:cs="宋体"/>
          <w:sz w:val="22"/>
          <w:szCs w:val="22"/>
          <w:highlight w:val="none"/>
        </w:rPr>
      </w:pPr>
      <w:r>
        <w:rPr>
          <w:rFonts w:ascii="宋体" w:hAnsi="宋体" w:eastAsia="宋体" w:cs="宋体"/>
          <w:spacing w:val="-12"/>
          <w:sz w:val="22"/>
          <w:szCs w:val="22"/>
          <w:highlight w:val="none"/>
        </w:rPr>
        <w:t>合同当事人应及时向另一方当事人提交其已投保的各项保险的凭证和保险</w:t>
      </w:r>
      <w:r>
        <w:rPr>
          <w:rFonts w:ascii="宋体" w:hAnsi="宋体" w:eastAsia="宋体" w:cs="宋体"/>
          <w:spacing w:val="-13"/>
          <w:sz w:val="22"/>
          <w:szCs w:val="22"/>
          <w:highlight w:val="none"/>
        </w:rPr>
        <w:t>单复印件，保</w:t>
      </w:r>
    </w:p>
    <w:p w14:paraId="755077E6">
      <w:pPr>
        <w:spacing w:before="239" w:line="219" w:lineRule="auto"/>
        <w:rPr>
          <w:rFonts w:ascii="宋体" w:hAnsi="宋体" w:eastAsia="宋体" w:cs="宋体"/>
          <w:sz w:val="22"/>
          <w:szCs w:val="22"/>
          <w:highlight w:val="none"/>
        </w:rPr>
      </w:pPr>
      <w:r>
        <w:rPr>
          <w:rFonts w:ascii="宋体" w:hAnsi="宋体" w:eastAsia="宋体" w:cs="宋体"/>
          <w:spacing w:val="-11"/>
          <w:sz w:val="22"/>
          <w:szCs w:val="22"/>
          <w:highlight w:val="none"/>
        </w:rPr>
        <w:t>险单必须与专用合同条件约定的条件保持一致。</w:t>
      </w:r>
    </w:p>
    <w:p w14:paraId="5F5AD373">
      <w:pPr>
        <w:spacing w:before="89" w:line="219" w:lineRule="auto"/>
        <w:ind w:left="420"/>
        <w:rPr>
          <w:rFonts w:ascii="宋体" w:hAnsi="宋体" w:eastAsia="宋体" w:cs="宋体"/>
          <w:sz w:val="20"/>
          <w:szCs w:val="20"/>
          <w:highlight w:val="none"/>
        </w:rPr>
      </w:pPr>
      <w:r>
        <w:rPr>
          <w:rFonts w:ascii="Times New Roman" w:hAnsi="Times New Roman" w:eastAsia="Times New Roman" w:cs="Times New Roman"/>
          <w:spacing w:val="4"/>
          <w:sz w:val="20"/>
          <w:szCs w:val="20"/>
          <w:highlight w:val="none"/>
        </w:rPr>
        <w:t>18.5.3</w:t>
      </w:r>
      <w:r>
        <w:rPr>
          <w:rFonts w:ascii="Times New Roman" w:hAnsi="Times New Roman" w:eastAsia="Times New Roman" w:cs="Times New Roman"/>
          <w:spacing w:val="3"/>
          <w:sz w:val="20"/>
          <w:szCs w:val="20"/>
          <w:highlight w:val="none"/>
        </w:rPr>
        <w:t xml:space="preserve">     </w:t>
      </w:r>
      <w:r>
        <w:rPr>
          <w:rFonts w:ascii="宋体" w:hAnsi="宋体" w:eastAsia="宋体" w:cs="宋体"/>
          <w:spacing w:val="4"/>
          <w:sz w:val="20"/>
          <w:szCs w:val="20"/>
          <w:highlight w:val="none"/>
        </w:rPr>
        <w:t>未按约定投保的补救</w:t>
      </w:r>
    </w:p>
    <w:p w14:paraId="4AAB1AFC">
      <w:pPr>
        <w:pStyle w:val="2"/>
        <w:spacing w:line="359" w:lineRule="auto"/>
        <w:rPr>
          <w:highlight w:val="none"/>
        </w:rPr>
      </w:pPr>
    </w:p>
    <w:p w14:paraId="53122517">
      <w:pPr>
        <w:spacing w:before="72" w:line="411" w:lineRule="auto"/>
        <w:ind w:right="31" w:firstLine="420"/>
        <w:rPr>
          <w:rFonts w:ascii="宋体" w:hAnsi="宋体" w:eastAsia="宋体" w:cs="宋体"/>
          <w:sz w:val="22"/>
          <w:szCs w:val="22"/>
          <w:highlight w:val="none"/>
        </w:rPr>
      </w:pPr>
      <w:r>
        <w:rPr>
          <w:rFonts w:ascii="宋体" w:hAnsi="宋体" w:eastAsia="宋体" w:cs="宋体"/>
          <w:spacing w:val="-12"/>
          <w:sz w:val="22"/>
          <w:szCs w:val="22"/>
          <w:highlight w:val="none"/>
        </w:rPr>
        <w:t>负有投保义务的一方当事人未按合同约定办理保险，或</w:t>
      </w:r>
      <w:r>
        <w:rPr>
          <w:rFonts w:ascii="宋体" w:hAnsi="宋体" w:eastAsia="宋体" w:cs="宋体"/>
          <w:spacing w:val="-13"/>
          <w:sz w:val="22"/>
          <w:szCs w:val="22"/>
          <w:highlight w:val="none"/>
        </w:rPr>
        <w:t>未能使保险持续有效的，则另一</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方当事人可代为办理，所需费用由负有投保义务的</w:t>
      </w:r>
      <w:r>
        <w:rPr>
          <w:rFonts w:ascii="宋体" w:hAnsi="宋体" w:eastAsia="宋体" w:cs="宋体"/>
          <w:spacing w:val="-11"/>
          <w:sz w:val="22"/>
          <w:szCs w:val="22"/>
          <w:highlight w:val="none"/>
        </w:rPr>
        <w:t>一方当事人承担。</w:t>
      </w:r>
    </w:p>
    <w:p w14:paraId="2628BFCE">
      <w:pPr>
        <w:spacing w:line="219" w:lineRule="auto"/>
        <w:ind w:right="20"/>
        <w:jc w:val="right"/>
        <w:rPr>
          <w:rFonts w:ascii="宋体" w:hAnsi="宋体" w:eastAsia="宋体" w:cs="宋体"/>
          <w:sz w:val="22"/>
          <w:szCs w:val="22"/>
          <w:highlight w:val="none"/>
        </w:rPr>
      </w:pPr>
      <w:r>
        <w:rPr>
          <w:rFonts w:ascii="宋体" w:hAnsi="宋体" w:eastAsia="宋体" w:cs="宋体"/>
          <w:spacing w:val="-12"/>
          <w:sz w:val="22"/>
          <w:szCs w:val="22"/>
          <w:highlight w:val="none"/>
        </w:rPr>
        <w:t>负有投保义务的一方当事人未按合同约定办理某项保险，导致受益人未能得到足</w:t>
      </w:r>
      <w:r>
        <w:rPr>
          <w:rFonts w:ascii="宋体" w:hAnsi="宋体" w:eastAsia="宋体" w:cs="宋体"/>
          <w:spacing w:val="-13"/>
          <w:sz w:val="22"/>
          <w:szCs w:val="22"/>
          <w:highlight w:val="none"/>
        </w:rPr>
        <w:t>额赔偿</w:t>
      </w:r>
    </w:p>
    <w:p w14:paraId="2127E991">
      <w:pPr>
        <w:spacing w:before="209" w:line="219" w:lineRule="auto"/>
        <w:rPr>
          <w:rFonts w:ascii="宋体" w:hAnsi="宋体" w:eastAsia="宋体" w:cs="宋体"/>
          <w:sz w:val="22"/>
          <w:szCs w:val="22"/>
          <w:highlight w:val="none"/>
        </w:rPr>
      </w:pPr>
      <w:r>
        <w:rPr>
          <w:rFonts w:ascii="宋体" w:hAnsi="宋体" w:eastAsia="宋体" w:cs="宋体"/>
          <w:spacing w:val="-10"/>
          <w:sz w:val="22"/>
          <w:szCs w:val="22"/>
          <w:highlight w:val="none"/>
        </w:rPr>
        <w:t>的，由负有投保义务的一方当事人负责按照原应从该项保险得到的保险金数额进行补足。</w:t>
      </w:r>
    </w:p>
    <w:p w14:paraId="5AA445D7">
      <w:pPr>
        <w:spacing w:before="109" w:line="219" w:lineRule="auto"/>
        <w:ind w:left="420"/>
        <w:rPr>
          <w:rFonts w:ascii="宋体" w:hAnsi="宋体" w:eastAsia="宋体" w:cs="宋体"/>
          <w:sz w:val="21"/>
          <w:szCs w:val="21"/>
          <w:highlight w:val="none"/>
        </w:rPr>
      </w:pPr>
      <w:r>
        <w:rPr>
          <w:rFonts w:ascii="宋体" w:hAnsi="宋体" w:eastAsia="宋体" w:cs="宋体"/>
          <w:spacing w:val="7"/>
          <w:sz w:val="21"/>
          <w:szCs w:val="21"/>
          <w:highlight w:val="none"/>
        </w:rPr>
        <w:t>18.5.4通知义务</w:t>
      </w:r>
    </w:p>
    <w:p w14:paraId="5C84C748">
      <w:pPr>
        <w:pStyle w:val="2"/>
        <w:spacing w:line="380" w:lineRule="auto"/>
        <w:rPr>
          <w:highlight w:val="none"/>
        </w:rPr>
      </w:pPr>
    </w:p>
    <w:p w14:paraId="47837A76">
      <w:pPr>
        <w:spacing w:before="69" w:line="415" w:lineRule="auto"/>
        <w:ind w:right="33" w:firstLine="420"/>
        <w:rPr>
          <w:rFonts w:ascii="宋体" w:hAnsi="宋体" w:eastAsia="宋体" w:cs="宋体"/>
          <w:sz w:val="21"/>
          <w:szCs w:val="21"/>
          <w:highlight w:val="none"/>
        </w:rPr>
      </w:pPr>
      <w:r>
        <w:rPr>
          <w:rFonts w:ascii="宋体" w:hAnsi="宋体" w:eastAsia="宋体" w:cs="宋体"/>
          <w:spacing w:val="-2"/>
          <w:sz w:val="21"/>
          <w:szCs w:val="21"/>
          <w:highlight w:val="none"/>
        </w:rPr>
        <w:t>除专用合同条件另有约定外，任何一方当事人变更</w:t>
      </w:r>
      <w:r>
        <w:rPr>
          <w:rFonts w:ascii="宋体" w:hAnsi="宋体" w:eastAsia="宋体" w:cs="宋体"/>
          <w:spacing w:val="-3"/>
          <w:sz w:val="21"/>
          <w:szCs w:val="21"/>
          <w:highlight w:val="none"/>
        </w:rPr>
        <w:t>除工伤保险之外的保险合同时，应事</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先征得另一方当事人同意，并通知工程师。</w:t>
      </w:r>
    </w:p>
    <w:p w14:paraId="0F634C80">
      <w:pPr>
        <w:spacing w:before="13" w:line="408" w:lineRule="auto"/>
        <w:ind w:right="34" w:firstLine="420"/>
        <w:rPr>
          <w:rFonts w:ascii="宋体" w:hAnsi="宋体" w:eastAsia="宋体" w:cs="宋体"/>
          <w:sz w:val="21"/>
          <w:szCs w:val="21"/>
          <w:highlight w:val="none"/>
        </w:rPr>
      </w:pPr>
      <w:r>
        <w:rPr>
          <w:rFonts w:ascii="宋体" w:hAnsi="宋体" w:eastAsia="宋体" w:cs="宋体"/>
          <w:spacing w:val="-2"/>
          <w:sz w:val="21"/>
          <w:szCs w:val="21"/>
          <w:highlight w:val="none"/>
        </w:rPr>
        <w:t>保险事故发生时，投保人应按照保险合同规定的</w:t>
      </w:r>
      <w:r>
        <w:rPr>
          <w:rFonts w:ascii="宋体" w:hAnsi="宋体" w:eastAsia="宋体" w:cs="宋体"/>
          <w:spacing w:val="-3"/>
          <w:sz w:val="21"/>
          <w:szCs w:val="21"/>
          <w:highlight w:val="none"/>
        </w:rPr>
        <w:t>条件和期限及时向保险人报告。发包人</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和承包人应当在知道保险事故发生后及时通知对方。</w:t>
      </w:r>
    </w:p>
    <w:p w14:paraId="2BFC1597">
      <w:pPr>
        <w:spacing w:before="3" w:line="219"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双方按本条规定投保不减少双方在合同下的其他义务。</w:t>
      </w:r>
    </w:p>
    <w:p w14:paraId="5DD4D3EF">
      <w:pPr>
        <w:spacing w:line="219" w:lineRule="auto"/>
        <w:rPr>
          <w:rFonts w:ascii="宋体" w:hAnsi="宋体" w:eastAsia="宋体" w:cs="宋体"/>
          <w:sz w:val="22"/>
          <w:szCs w:val="22"/>
          <w:highlight w:val="none"/>
        </w:rPr>
        <w:sectPr>
          <w:footerReference r:id="rId142" w:type="default"/>
          <w:pgSz w:w="11910" w:h="16840"/>
          <w:pgMar w:top="400" w:right="1786" w:bottom="1238" w:left="1779" w:header="0" w:footer="1007" w:gutter="0"/>
          <w:cols w:space="720" w:num="1"/>
        </w:sectPr>
      </w:pPr>
    </w:p>
    <w:p w14:paraId="04376BEF">
      <w:pPr>
        <w:pStyle w:val="2"/>
        <w:spacing w:line="275" w:lineRule="auto"/>
        <w:rPr>
          <w:highlight w:val="none"/>
        </w:rPr>
      </w:pPr>
    </w:p>
    <w:p w14:paraId="15B86DE0">
      <w:pPr>
        <w:pStyle w:val="2"/>
        <w:spacing w:line="275" w:lineRule="auto"/>
        <w:rPr>
          <w:highlight w:val="none"/>
        </w:rPr>
      </w:pPr>
    </w:p>
    <w:p w14:paraId="052F442B">
      <w:pPr>
        <w:pStyle w:val="2"/>
        <w:spacing w:line="275" w:lineRule="auto"/>
        <w:rPr>
          <w:highlight w:val="none"/>
        </w:rPr>
      </w:pPr>
    </w:p>
    <w:p w14:paraId="6CA54BD3">
      <w:pPr>
        <w:pStyle w:val="2"/>
        <w:spacing w:line="276" w:lineRule="auto"/>
        <w:rPr>
          <w:highlight w:val="none"/>
        </w:rPr>
      </w:pPr>
    </w:p>
    <w:p w14:paraId="50C0761E">
      <w:pPr>
        <w:spacing w:before="91" w:line="222" w:lineRule="auto"/>
        <w:outlineLvl w:val="1"/>
        <w:rPr>
          <w:rFonts w:ascii="黑体" w:hAnsi="黑体" w:eastAsia="黑体" w:cs="黑体"/>
          <w:sz w:val="28"/>
          <w:szCs w:val="28"/>
          <w:highlight w:val="none"/>
        </w:rPr>
      </w:pPr>
      <w:bookmarkStart w:id="110" w:name="bookmark65"/>
      <w:bookmarkEnd w:id="110"/>
      <w:r>
        <w:rPr>
          <w:rFonts w:ascii="黑体" w:hAnsi="黑体" w:eastAsia="黑体" w:cs="黑体"/>
          <w:spacing w:val="49"/>
          <w:sz w:val="28"/>
          <w:szCs w:val="28"/>
          <w:highlight w:val="none"/>
        </w:rPr>
        <w:t>第19条索赔</w:t>
      </w:r>
    </w:p>
    <w:p w14:paraId="27809F5E">
      <w:pPr>
        <w:pStyle w:val="2"/>
        <w:spacing w:line="352" w:lineRule="auto"/>
        <w:rPr>
          <w:highlight w:val="none"/>
        </w:rPr>
      </w:pPr>
    </w:p>
    <w:p w14:paraId="11647FEE">
      <w:pPr>
        <w:pStyle w:val="2"/>
        <w:spacing w:before="62" w:line="259" w:lineRule="exact"/>
        <w:rPr>
          <w:rFonts w:ascii="黑体" w:hAnsi="黑体" w:eastAsia="黑体" w:cs="黑体"/>
          <w:sz w:val="19"/>
          <w:szCs w:val="19"/>
          <w:highlight w:val="none"/>
        </w:rPr>
      </w:pPr>
      <w:r>
        <w:rPr>
          <w:spacing w:val="9"/>
          <w:position w:val="1"/>
          <w:sz w:val="19"/>
          <w:szCs w:val="19"/>
          <w:highlight w:val="none"/>
        </w:rPr>
        <w:t>19.1</w:t>
      </w:r>
      <w:r>
        <w:rPr>
          <w:spacing w:val="22"/>
          <w:w w:val="101"/>
          <w:position w:val="1"/>
          <w:sz w:val="19"/>
          <w:szCs w:val="19"/>
          <w:highlight w:val="none"/>
        </w:rPr>
        <w:t xml:space="preserve">  </w:t>
      </w:r>
      <w:r>
        <w:rPr>
          <w:rFonts w:ascii="黑体" w:hAnsi="黑体" w:eastAsia="黑体" w:cs="黑体"/>
          <w:spacing w:val="9"/>
          <w:position w:val="1"/>
          <w:sz w:val="19"/>
          <w:szCs w:val="19"/>
          <w:highlight w:val="none"/>
        </w:rPr>
        <w:t>索赔的提出</w:t>
      </w:r>
    </w:p>
    <w:p w14:paraId="5646D19D">
      <w:pPr>
        <w:spacing w:before="225" w:line="439" w:lineRule="auto"/>
        <w:ind w:right="115" w:firstLine="440"/>
        <w:rPr>
          <w:rFonts w:ascii="宋体" w:hAnsi="宋体" w:eastAsia="宋体" w:cs="宋体"/>
          <w:sz w:val="20"/>
          <w:szCs w:val="20"/>
          <w:highlight w:val="none"/>
        </w:rPr>
      </w:pPr>
      <w:r>
        <w:rPr>
          <w:rFonts w:ascii="宋体" w:hAnsi="宋体" w:eastAsia="宋体" w:cs="宋体"/>
          <w:spacing w:val="15"/>
          <w:sz w:val="20"/>
          <w:szCs w:val="20"/>
          <w:highlight w:val="none"/>
        </w:rPr>
        <w:t>根据合同约定，任意一方认为有权得到追加/减少付款、延长缺陷责任期和(或)</w:t>
      </w:r>
      <w:r>
        <w:rPr>
          <w:rFonts w:ascii="宋体" w:hAnsi="宋体" w:eastAsia="宋体" w:cs="宋体"/>
          <w:spacing w:val="14"/>
          <w:sz w:val="20"/>
          <w:szCs w:val="20"/>
          <w:highlight w:val="none"/>
        </w:rPr>
        <w:t>延长</w:t>
      </w:r>
      <w:r>
        <w:rPr>
          <w:rFonts w:ascii="宋体" w:hAnsi="宋体" w:eastAsia="宋体" w:cs="宋体"/>
          <w:sz w:val="20"/>
          <w:szCs w:val="20"/>
          <w:highlight w:val="none"/>
        </w:rPr>
        <w:t xml:space="preserve"> </w:t>
      </w:r>
      <w:r>
        <w:rPr>
          <w:rFonts w:ascii="宋体" w:hAnsi="宋体" w:eastAsia="宋体" w:cs="宋体"/>
          <w:spacing w:val="7"/>
          <w:sz w:val="20"/>
          <w:szCs w:val="20"/>
          <w:highlight w:val="none"/>
        </w:rPr>
        <w:t>工期的，应按以下程序向对方提出索赔：</w:t>
      </w:r>
    </w:p>
    <w:p w14:paraId="2ACCD4A2">
      <w:pPr>
        <w:spacing w:line="339" w:lineRule="auto"/>
        <w:ind w:right="35" w:firstLine="520"/>
        <w:rPr>
          <w:rFonts w:ascii="宋体" w:hAnsi="宋体" w:eastAsia="宋体" w:cs="宋体"/>
          <w:sz w:val="22"/>
          <w:szCs w:val="22"/>
          <w:highlight w:val="none"/>
        </w:rPr>
      </w:pPr>
      <w:r>
        <w:rPr>
          <w:rFonts w:ascii="宋体" w:hAnsi="宋体" w:eastAsia="宋体" w:cs="宋体"/>
          <w:spacing w:val="-10"/>
          <w:sz w:val="22"/>
          <w:szCs w:val="22"/>
          <w:highlight w:val="none"/>
        </w:rPr>
        <w:t>(1)索赔方应在知道或应当知道索赔事件发生后28天内，向对方递交索赔意向通知书，</w:t>
      </w:r>
      <w:r>
        <w:rPr>
          <w:rFonts w:ascii="宋体" w:hAnsi="宋体" w:eastAsia="宋体" w:cs="宋体"/>
          <w:spacing w:val="18"/>
          <w:sz w:val="22"/>
          <w:szCs w:val="22"/>
          <w:highlight w:val="none"/>
        </w:rPr>
        <w:t xml:space="preserve"> </w:t>
      </w:r>
      <w:r>
        <w:rPr>
          <w:rFonts w:ascii="宋体" w:hAnsi="宋体" w:eastAsia="宋体" w:cs="宋体"/>
          <w:spacing w:val="-7"/>
          <w:sz w:val="22"/>
          <w:szCs w:val="22"/>
          <w:highlight w:val="none"/>
        </w:rPr>
        <w:t>并说明发生索赔事件的事由；索赔方未在前述28天内发出索赔意向通知书的，丧失要求追</w:t>
      </w:r>
      <w:r>
        <w:rPr>
          <w:rFonts w:ascii="宋体" w:hAnsi="宋体" w:eastAsia="宋体" w:cs="宋体"/>
          <w:spacing w:val="9"/>
          <w:sz w:val="22"/>
          <w:szCs w:val="22"/>
          <w:highlight w:val="none"/>
        </w:rPr>
        <w:t xml:space="preserve"> </w:t>
      </w:r>
      <w:r>
        <w:rPr>
          <w:rFonts w:ascii="宋体" w:hAnsi="宋体" w:eastAsia="宋体" w:cs="宋体"/>
          <w:spacing w:val="-2"/>
          <w:sz w:val="22"/>
          <w:szCs w:val="22"/>
          <w:highlight w:val="none"/>
        </w:rPr>
        <w:t>加/减少付款、延长缺陷责任期和(或)延</w:t>
      </w:r>
      <w:r>
        <w:rPr>
          <w:rFonts w:ascii="宋体" w:hAnsi="宋体" w:eastAsia="宋体" w:cs="宋体"/>
          <w:spacing w:val="-3"/>
          <w:sz w:val="22"/>
          <w:szCs w:val="22"/>
          <w:highlight w:val="none"/>
        </w:rPr>
        <w:t>长工期的权利；</w:t>
      </w:r>
    </w:p>
    <w:p w14:paraId="5726C50F">
      <w:pPr>
        <w:spacing w:before="235" w:line="349" w:lineRule="auto"/>
        <w:ind w:right="110" w:firstLine="520"/>
        <w:rPr>
          <w:rFonts w:ascii="宋体" w:hAnsi="宋体" w:eastAsia="宋体" w:cs="宋体"/>
          <w:sz w:val="21"/>
          <w:szCs w:val="21"/>
          <w:highlight w:val="none"/>
        </w:rPr>
      </w:pPr>
      <w:r>
        <w:rPr>
          <w:rFonts w:ascii="宋体" w:hAnsi="宋体" w:eastAsia="宋体" w:cs="宋体"/>
          <w:spacing w:val="3"/>
          <w:sz w:val="21"/>
          <w:szCs w:val="21"/>
          <w:highlight w:val="none"/>
        </w:rPr>
        <w:t>(2)索赔方应在发出索赔意向通知书后28天内，向对方正式递交索赔报告；索赔报告</w:t>
      </w:r>
      <w:r>
        <w:rPr>
          <w:rFonts w:ascii="宋体" w:hAnsi="宋体" w:eastAsia="宋体" w:cs="宋体"/>
          <w:spacing w:val="11"/>
          <w:sz w:val="21"/>
          <w:szCs w:val="21"/>
          <w:highlight w:val="none"/>
        </w:rPr>
        <w:t xml:space="preserve"> </w:t>
      </w:r>
      <w:r>
        <w:rPr>
          <w:rFonts w:ascii="宋体" w:hAnsi="宋体" w:eastAsia="宋体" w:cs="宋体"/>
          <w:spacing w:val="3"/>
          <w:sz w:val="21"/>
          <w:szCs w:val="21"/>
          <w:highlight w:val="none"/>
        </w:rPr>
        <w:t>应详细说明索赔理由以及要求追加的付款金额、延长缺陷责任期和(或)延长的工期</w:t>
      </w:r>
      <w:r>
        <w:rPr>
          <w:rFonts w:ascii="宋体" w:hAnsi="宋体" w:eastAsia="宋体" w:cs="宋体"/>
          <w:spacing w:val="2"/>
          <w:sz w:val="21"/>
          <w:szCs w:val="21"/>
          <w:highlight w:val="none"/>
        </w:rPr>
        <w:t>，并附</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必要的记录和证明材料；</w:t>
      </w:r>
    </w:p>
    <w:p w14:paraId="6C9C894F">
      <w:pPr>
        <w:spacing w:before="222" w:line="329" w:lineRule="auto"/>
        <w:ind w:right="114" w:firstLine="520"/>
        <w:rPr>
          <w:rFonts w:ascii="宋体" w:hAnsi="宋体" w:eastAsia="宋体" w:cs="宋体"/>
          <w:sz w:val="21"/>
          <w:szCs w:val="21"/>
          <w:highlight w:val="none"/>
        </w:rPr>
      </w:pPr>
      <w:r>
        <w:rPr>
          <w:rFonts w:ascii="宋体" w:hAnsi="宋体" w:eastAsia="宋体" w:cs="宋体"/>
          <w:spacing w:val="3"/>
          <w:sz w:val="21"/>
          <w:szCs w:val="21"/>
          <w:highlight w:val="none"/>
        </w:rPr>
        <w:t>(3)索赔事件具有持续影响的，索赔方应每月递交延续索赔通知，说明持续影响的实</w:t>
      </w:r>
      <w:r>
        <w:rPr>
          <w:rFonts w:ascii="宋体" w:hAnsi="宋体" w:eastAsia="宋体" w:cs="宋体"/>
          <w:spacing w:val="10"/>
          <w:sz w:val="21"/>
          <w:szCs w:val="21"/>
          <w:highlight w:val="none"/>
        </w:rPr>
        <w:t xml:space="preserve"> </w:t>
      </w:r>
      <w:r>
        <w:rPr>
          <w:rFonts w:ascii="宋体" w:hAnsi="宋体" w:eastAsia="宋体" w:cs="宋体"/>
          <w:spacing w:val="5"/>
          <w:sz w:val="21"/>
          <w:szCs w:val="21"/>
          <w:highlight w:val="none"/>
        </w:rPr>
        <w:t>际情况和记录，列出累计的追加付款金额、延长缺陷责任</w:t>
      </w:r>
      <w:r>
        <w:rPr>
          <w:rFonts w:ascii="宋体" w:hAnsi="宋体" w:eastAsia="宋体" w:cs="宋体"/>
          <w:spacing w:val="4"/>
          <w:sz w:val="21"/>
          <w:szCs w:val="21"/>
          <w:highlight w:val="none"/>
        </w:rPr>
        <w:t>期和(或)工期延长天数；</w:t>
      </w:r>
    </w:p>
    <w:p w14:paraId="4646449A">
      <w:pPr>
        <w:spacing w:before="229" w:line="321" w:lineRule="auto"/>
        <w:ind w:firstLine="520"/>
        <w:rPr>
          <w:rFonts w:ascii="宋体" w:hAnsi="宋体" w:eastAsia="宋体" w:cs="宋体"/>
          <w:sz w:val="21"/>
          <w:szCs w:val="21"/>
          <w:highlight w:val="none"/>
        </w:rPr>
      </w:pPr>
      <w:r>
        <w:rPr>
          <w:rFonts w:ascii="宋体" w:hAnsi="宋体" w:eastAsia="宋体" w:cs="宋体"/>
          <w:spacing w:val="4"/>
          <w:sz w:val="21"/>
          <w:szCs w:val="21"/>
          <w:highlight w:val="none"/>
        </w:rPr>
        <w:t>(4)在索赔事件影响结束后28天内，索赔方应向对方递交</w:t>
      </w:r>
      <w:r>
        <w:rPr>
          <w:rFonts w:ascii="宋体" w:hAnsi="宋体" w:eastAsia="宋体" w:cs="宋体"/>
          <w:spacing w:val="3"/>
          <w:sz w:val="21"/>
          <w:szCs w:val="21"/>
          <w:highlight w:val="none"/>
        </w:rPr>
        <w:t>最终索赔报告，说明最终要</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求索赔的追加付款金额、延长缺陷责任期和(或)延长</w:t>
      </w:r>
      <w:r>
        <w:rPr>
          <w:rFonts w:ascii="宋体" w:hAnsi="宋体" w:eastAsia="宋体" w:cs="宋体"/>
          <w:sz w:val="21"/>
          <w:szCs w:val="21"/>
          <w:highlight w:val="none"/>
        </w:rPr>
        <w:t>的工期，并附必要的记录和证明材料。</w:t>
      </w:r>
    </w:p>
    <w:p w14:paraId="1A280ED6">
      <w:pPr>
        <w:spacing w:before="230" w:line="355" w:lineRule="auto"/>
        <w:ind w:right="114" w:firstLine="520"/>
        <w:rPr>
          <w:rFonts w:ascii="宋体" w:hAnsi="宋体" w:eastAsia="宋体" w:cs="宋体"/>
          <w:sz w:val="21"/>
          <w:szCs w:val="21"/>
          <w:highlight w:val="none"/>
        </w:rPr>
      </w:pPr>
      <w:r>
        <w:rPr>
          <w:rFonts w:ascii="宋体" w:hAnsi="宋体" w:eastAsia="宋体" w:cs="宋体"/>
          <w:spacing w:val="3"/>
          <w:sz w:val="21"/>
          <w:szCs w:val="21"/>
          <w:highlight w:val="none"/>
        </w:rPr>
        <w:t>(5)承包人作为索赔方时，其索赔意向通知书、索赔报告及相关索赔文件应向工程师</w:t>
      </w:r>
      <w:r>
        <w:rPr>
          <w:rFonts w:ascii="宋体" w:hAnsi="宋体" w:eastAsia="宋体" w:cs="宋体"/>
          <w:spacing w:val="10"/>
          <w:sz w:val="21"/>
          <w:szCs w:val="21"/>
          <w:highlight w:val="none"/>
        </w:rPr>
        <w:t xml:space="preserve"> </w:t>
      </w:r>
      <w:r>
        <w:rPr>
          <w:rFonts w:ascii="宋体" w:hAnsi="宋体" w:eastAsia="宋体" w:cs="宋体"/>
          <w:spacing w:val="-2"/>
          <w:sz w:val="21"/>
          <w:szCs w:val="21"/>
          <w:highlight w:val="none"/>
        </w:rPr>
        <w:t>提出；发包人作为索赔方时，其索赔意向通知书、索赔报告及</w:t>
      </w:r>
      <w:r>
        <w:rPr>
          <w:rFonts w:ascii="宋体" w:hAnsi="宋体" w:eastAsia="宋体" w:cs="宋体"/>
          <w:spacing w:val="-3"/>
          <w:sz w:val="21"/>
          <w:szCs w:val="21"/>
          <w:highlight w:val="none"/>
        </w:rPr>
        <w:t>相关索赔文件可自行向承包人</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提出或由工程师向承包人提出。</w:t>
      </w:r>
    </w:p>
    <w:p w14:paraId="70533C60">
      <w:pPr>
        <w:pStyle w:val="2"/>
        <w:spacing w:line="277" w:lineRule="auto"/>
        <w:rPr>
          <w:highlight w:val="none"/>
        </w:rPr>
      </w:pPr>
    </w:p>
    <w:p w14:paraId="2F6B8DC0">
      <w:pPr>
        <w:pStyle w:val="2"/>
        <w:spacing w:before="71" w:line="300" w:lineRule="exact"/>
        <w:rPr>
          <w:rFonts w:ascii="黑体" w:hAnsi="黑体" w:eastAsia="黑体" w:cs="黑体"/>
          <w:sz w:val="22"/>
          <w:szCs w:val="22"/>
          <w:highlight w:val="none"/>
        </w:rPr>
      </w:pPr>
      <w:r>
        <w:rPr>
          <w:spacing w:val="-8"/>
          <w:position w:val="1"/>
          <w:sz w:val="22"/>
          <w:szCs w:val="22"/>
          <w:highlight w:val="none"/>
        </w:rPr>
        <w:t>19.2</w:t>
      </w:r>
      <w:r>
        <w:rPr>
          <w:spacing w:val="53"/>
          <w:position w:val="1"/>
          <w:sz w:val="22"/>
          <w:szCs w:val="22"/>
          <w:highlight w:val="none"/>
        </w:rPr>
        <w:t xml:space="preserve"> </w:t>
      </w:r>
      <w:r>
        <w:rPr>
          <w:rFonts w:ascii="黑体" w:hAnsi="黑体" w:eastAsia="黑体" w:cs="黑体"/>
          <w:spacing w:val="-8"/>
          <w:position w:val="1"/>
          <w:sz w:val="22"/>
          <w:szCs w:val="22"/>
          <w:highlight w:val="none"/>
        </w:rPr>
        <w:t>承包人索赔的处理程序</w:t>
      </w:r>
    </w:p>
    <w:p w14:paraId="4FF0ED62">
      <w:pPr>
        <w:spacing w:before="180" w:line="319" w:lineRule="auto"/>
        <w:ind w:right="115" w:firstLine="520"/>
        <w:rPr>
          <w:rFonts w:ascii="宋体" w:hAnsi="宋体" w:eastAsia="宋体" w:cs="宋体"/>
          <w:sz w:val="22"/>
          <w:szCs w:val="22"/>
          <w:highlight w:val="none"/>
        </w:rPr>
      </w:pPr>
      <w:r>
        <w:rPr>
          <w:rFonts w:ascii="宋体" w:hAnsi="宋体" w:eastAsia="宋体" w:cs="宋体"/>
          <w:spacing w:val="-6"/>
          <w:sz w:val="22"/>
          <w:szCs w:val="22"/>
          <w:highlight w:val="none"/>
        </w:rPr>
        <w:t>(1)工程师收到承包人提交的索赔报告后，应及时审</w:t>
      </w:r>
      <w:r>
        <w:rPr>
          <w:rFonts w:ascii="宋体" w:hAnsi="宋体" w:eastAsia="宋体" w:cs="宋体"/>
          <w:spacing w:val="-7"/>
          <w:sz w:val="22"/>
          <w:szCs w:val="22"/>
          <w:highlight w:val="none"/>
        </w:rPr>
        <w:t>查索赔报告的内容、查验承包人</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的记录和证明材料，必要时工程师可要求承包人</w:t>
      </w:r>
      <w:r>
        <w:rPr>
          <w:rFonts w:ascii="宋体" w:hAnsi="宋体" w:eastAsia="宋体" w:cs="宋体"/>
          <w:spacing w:val="-11"/>
          <w:sz w:val="22"/>
          <w:szCs w:val="22"/>
          <w:highlight w:val="none"/>
        </w:rPr>
        <w:t>提交全部原始记录副本。</w:t>
      </w:r>
    </w:p>
    <w:p w14:paraId="0F406F88">
      <w:pPr>
        <w:spacing w:before="228" w:line="367" w:lineRule="auto"/>
        <w:ind w:right="40" w:firstLine="520"/>
        <w:rPr>
          <w:rFonts w:ascii="宋体" w:hAnsi="宋体" w:eastAsia="宋体" w:cs="宋体"/>
          <w:sz w:val="21"/>
          <w:szCs w:val="21"/>
          <w:highlight w:val="none"/>
        </w:rPr>
      </w:pPr>
      <w:r>
        <w:rPr>
          <w:rFonts w:ascii="宋体" w:hAnsi="宋体" w:eastAsia="宋体" w:cs="宋体"/>
          <w:spacing w:val="10"/>
          <w:sz w:val="21"/>
          <w:szCs w:val="21"/>
          <w:highlight w:val="none"/>
        </w:rPr>
        <w:t>(2)工程师应按第3.6款[商定或确定]商定或确定追加的付款和(或)延长的工期，</w:t>
      </w:r>
      <w:r>
        <w:rPr>
          <w:rFonts w:ascii="宋体" w:hAnsi="宋体" w:eastAsia="宋体" w:cs="宋体"/>
          <w:spacing w:val="7"/>
          <w:sz w:val="21"/>
          <w:szCs w:val="21"/>
          <w:highlight w:val="none"/>
        </w:rPr>
        <w:t xml:space="preserve">  </w:t>
      </w:r>
      <w:r>
        <w:rPr>
          <w:rFonts w:ascii="宋体" w:hAnsi="宋体" w:eastAsia="宋体" w:cs="宋体"/>
          <w:sz w:val="21"/>
          <w:szCs w:val="21"/>
          <w:highlight w:val="none"/>
        </w:rPr>
        <w:t>并在收到上述索赔报告或有关索赔的进一步证明材料后</w:t>
      </w:r>
      <w:r>
        <w:rPr>
          <w:rFonts w:ascii="宋体" w:hAnsi="宋体" w:eastAsia="宋体" w:cs="宋体"/>
          <w:spacing w:val="-1"/>
          <w:sz w:val="21"/>
          <w:szCs w:val="21"/>
          <w:highlight w:val="none"/>
        </w:rPr>
        <w:t>及时书面告知发包人，并在42天内，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将发包人书面认可的索赔处理结果答复承包人。工程师在收到索赔</w:t>
      </w:r>
      <w:r>
        <w:rPr>
          <w:rFonts w:ascii="宋体" w:hAnsi="宋体" w:eastAsia="宋体" w:cs="宋体"/>
          <w:spacing w:val="-3"/>
          <w:sz w:val="21"/>
          <w:szCs w:val="21"/>
          <w:highlight w:val="none"/>
        </w:rPr>
        <w:t>报告或有关索赔的进一步</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证明材料后的42天内不予答复的，视为认可索赔。</w:t>
      </w:r>
    </w:p>
    <w:p w14:paraId="3FB3CBE2">
      <w:pPr>
        <w:spacing w:before="223" w:line="311" w:lineRule="auto"/>
        <w:ind w:right="93" w:firstLine="520"/>
        <w:rPr>
          <w:rFonts w:ascii="宋体" w:hAnsi="宋体" w:eastAsia="宋体" w:cs="宋体"/>
          <w:sz w:val="22"/>
          <w:szCs w:val="22"/>
          <w:highlight w:val="none"/>
        </w:rPr>
      </w:pPr>
      <w:r>
        <w:rPr>
          <w:rFonts w:ascii="宋体" w:hAnsi="宋体" w:eastAsia="宋体" w:cs="宋体"/>
          <w:spacing w:val="-6"/>
          <w:sz w:val="22"/>
          <w:szCs w:val="22"/>
          <w:highlight w:val="none"/>
        </w:rPr>
        <w:t>(3)承包人接受索赔处理结果的，发包人应在作出索赔处理结果答复后28天内完成支</w:t>
      </w:r>
      <w:r>
        <w:rPr>
          <w:rFonts w:ascii="宋体" w:hAnsi="宋体" w:eastAsia="宋体" w:cs="宋体"/>
          <w:spacing w:val="14"/>
          <w:sz w:val="22"/>
          <w:szCs w:val="22"/>
          <w:highlight w:val="none"/>
        </w:rPr>
        <w:t xml:space="preserve"> </w:t>
      </w:r>
      <w:r>
        <w:rPr>
          <w:rFonts w:ascii="宋体" w:hAnsi="宋体" w:eastAsia="宋体" w:cs="宋体"/>
          <w:spacing w:val="-6"/>
          <w:sz w:val="22"/>
          <w:szCs w:val="22"/>
          <w:highlight w:val="none"/>
        </w:rPr>
        <w:t>付。承包人不接受索赔处理结果的，按照第20条[争议解</w:t>
      </w:r>
      <w:r>
        <w:rPr>
          <w:rFonts w:ascii="宋体" w:hAnsi="宋体" w:eastAsia="宋体" w:cs="宋体"/>
          <w:spacing w:val="-7"/>
          <w:sz w:val="22"/>
          <w:szCs w:val="22"/>
          <w:highlight w:val="none"/>
        </w:rPr>
        <w:t>决]约定处理。</w:t>
      </w:r>
    </w:p>
    <w:p w14:paraId="0A0DADFA">
      <w:pPr>
        <w:pStyle w:val="2"/>
        <w:spacing w:line="313" w:lineRule="auto"/>
        <w:rPr>
          <w:highlight w:val="none"/>
        </w:rPr>
      </w:pPr>
    </w:p>
    <w:p w14:paraId="6D4A631B">
      <w:pPr>
        <w:spacing w:before="72" w:line="221" w:lineRule="auto"/>
        <w:rPr>
          <w:rFonts w:ascii="黑体" w:hAnsi="黑体" w:eastAsia="黑体" w:cs="黑体"/>
          <w:sz w:val="22"/>
          <w:szCs w:val="22"/>
          <w:highlight w:val="none"/>
        </w:rPr>
      </w:pPr>
      <w:r>
        <w:rPr>
          <w:rFonts w:ascii="黑体" w:hAnsi="黑体" w:eastAsia="黑体" w:cs="黑体"/>
          <w:spacing w:val="-2"/>
          <w:sz w:val="22"/>
          <w:szCs w:val="22"/>
          <w:highlight w:val="none"/>
        </w:rPr>
        <w:t>19.3发包人索赔的处理程序</w:t>
      </w:r>
    </w:p>
    <w:p w14:paraId="5125EA9F">
      <w:pPr>
        <w:spacing w:before="236" w:line="218" w:lineRule="auto"/>
        <w:ind w:left="520"/>
        <w:rPr>
          <w:rFonts w:ascii="宋体" w:hAnsi="宋体" w:eastAsia="宋体" w:cs="宋体"/>
          <w:sz w:val="20"/>
          <w:szCs w:val="20"/>
          <w:highlight w:val="none"/>
        </w:rPr>
      </w:pPr>
      <w:r>
        <w:rPr>
          <w:rFonts w:ascii="宋体" w:hAnsi="宋体" w:eastAsia="宋体" w:cs="宋体"/>
          <w:spacing w:val="13"/>
          <w:sz w:val="20"/>
          <w:szCs w:val="20"/>
          <w:highlight w:val="none"/>
        </w:rPr>
        <w:t>(1)承包人收到发包人提交的索赔报告后，应及时审查索赔报告的内</w:t>
      </w:r>
      <w:r>
        <w:rPr>
          <w:rFonts w:ascii="宋体" w:hAnsi="宋体" w:eastAsia="宋体" w:cs="宋体"/>
          <w:spacing w:val="12"/>
          <w:sz w:val="20"/>
          <w:szCs w:val="20"/>
          <w:highlight w:val="none"/>
        </w:rPr>
        <w:t>容、查验发包人</w:t>
      </w:r>
    </w:p>
    <w:p w14:paraId="3B403EE8">
      <w:pPr>
        <w:spacing w:line="218" w:lineRule="auto"/>
        <w:rPr>
          <w:rFonts w:ascii="宋体" w:hAnsi="宋体" w:eastAsia="宋体" w:cs="宋体"/>
          <w:sz w:val="20"/>
          <w:szCs w:val="20"/>
          <w:highlight w:val="none"/>
        </w:rPr>
        <w:sectPr>
          <w:footerReference r:id="rId143" w:type="default"/>
          <w:pgSz w:w="11910" w:h="16840"/>
          <w:pgMar w:top="400" w:right="1704" w:bottom="1228" w:left="1779" w:header="0" w:footer="1010" w:gutter="0"/>
          <w:cols w:space="720" w:num="1"/>
        </w:sectPr>
      </w:pPr>
    </w:p>
    <w:p w14:paraId="71B104BA">
      <w:pPr>
        <w:pStyle w:val="2"/>
        <w:spacing w:line="267" w:lineRule="auto"/>
        <w:rPr>
          <w:highlight w:val="none"/>
        </w:rPr>
      </w:pPr>
    </w:p>
    <w:p w14:paraId="79CEBAF9">
      <w:pPr>
        <w:pStyle w:val="2"/>
        <w:spacing w:line="267" w:lineRule="auto"/>
        <w:rPr>
          <w:highlight w:val="none"/>
        </w:rPr>
      </w:pPr>
    </w:p>
    <w:p w14:paraId="25EBD855">
      <w:pPr>
        <w:pStyle w:val="2"/>
        <w:spacing w:line="267" w:lineRule="auto"/>
        <w:rPr>
          <w:highlight w:val="none"/>
        </w:rPr>
      </w:pPr>
    </w:p>
    <w:p w14:paraId="5AEAB351">
      <w:pPr>
        <w:pStyle w:val="2"/>
        <w:spacing w:line="268" w:lineRule="auto"/>
        <w:rPr>
          <w:highlight w:val="none"/>
        </w:rPr>
      </w:pPr>
    </w:p>
    <w:p w14:paraId="04ABBA46">
      <w:pPr>
        <w:spacing w:before="72" w:line="219" w:lineRule="auto"/>
        <w:rPr>
          <w:rFonts w:ascii="宋体" w:hAnsi="宋体" w:eastAsia="宋体" w:cs="宋体"/>
          <w:sz w:val="22"/>
          <w:szCs w:val="22"/>
          <w:highlight w:val="none"/>
        </w:rPr>
      </w:pPr>
      <w:bookmarkStart w:id="111" w:name="bookmark235"/>
      <w:bookmarkEnd w:id="111"/>
      <w:r>
        <w:rPr>
          <w:rFonts w:ascii="宋体" w:hAnsi="宋体" w:eastAsia="宋体" w:cs="宋体"/>
          <w:spacing w:val="-16"/>
          <w:sz w:val="22"/>
          <w:szCs w:val="22"/>
          <w:highlight w:val="none"/>
        </w:rPr>
        <w:t>证明材料；</w:t>
      </w:r>
    </w:p>
    <w:p w14:paraId="56B439FC">
      <w:pPr>
        <w:spacing w:before="227" w:line="355" w:lineRule="auto"/>
        <w:ind w:right="76" w:firstLine="539"/>
        <w:rPr>
          <w:rFonts w:ascii="宋体" w:hAnsi="宋体" w:eastAsia="宋体" w:cs="宋体"/>
          <w:sz w:val="21"/>
          <w:szCs w:val="21"/>
          <w:highlight w:val="none"/>
        </w:rPr>
      </w:pPr>
      <w:r>
        <w:rPr>
          <w:rFonts w:ascii="宋体" w:hAnsi="宋体" w:eastAsia="宋体" w:cs="宋体"/>
          <w:spacing w:val="3"/>
          <w:sz w:val="21"/>
          <w:szCs w:val="21"/>
          <w:highlight w:val="none"/>
        </w:rPr>
        <w:t>(2)承包人应在收到上述索赔报告或有关索赔的进一步证明材料后42天内，将索赔处</w:t>
      </w:r>
      <w:r>
        <w:rPr>
          <w:rFonts w:ascii="宋体" w:hAnsi="宋体" w:eastAsia="宋体" w:cs="宋体"/>
          <w:spacing w:val="16"/>
          <w:sz w:val="21"/>
          <w:szCs w:val="21"/>
          <w:highlight w:val="none"/>
        </w:rPr>
        <w:t xml:space="preserve"> </w:t>
      </w:r>
      <w:r>
        <w:rPr>
          <w:rFonts w:ascii="宋体" w:hAnsi="宋体" w:eastAsia="宋体" w:cs="宋体"/>
          <w:spacing w:val="3"/>
          <w:sz w:val="21"/>
          <w:szCs w:val="21"/>
          <w:highlight w:val="none"/>
        </w:rPr>
        <w:t>理结果答复发包人。承包人在收到索赔通知书或有关索赔的进一步证明材料后的42天内不</w:t>
      </w:r>
      <w:r>
        <w:rPr>
          <w:rFonts w:ascii="宋体" w:hAnsi="宋体" w:eastAsia="宋体" w:cs="宋体"/>
          <w:spacing w:val="10"/>
          <w:sz w:val="21"/>
          <w:szCs w:val="21"/>
          <w:highlight w:val="none"/>
        </w:rPr>
        <w:t xml:space="preserve"> </w:t>
      </w:r>
      <w:r>
        <w:rPr>
          <w:rFonts w:ascii="宋体" w:hAnsi="宋体" w:eastAsia="宋体" w:cs="宋体"/>
          <w:spacing w:val="-4"/>
          <w:sz w:val="21"/>
          <w:szCs w:val="21"/>
          <w:highlight w:val="none"/>
        </w:rPr>
        <w:t>予答复的，视为认可索赔。</w:t>
      </w:r>
    </w:p>
    <w:p w14:paraId="738D6E8E">
      <w:pPr>
        <w:spacing w:before="238" w:line="313" w:lineRule="auto"/>
        <w:ind w:firstLine="539"/>
        <w:rPr>
          <w:rFonts w:ascii="宋体" w:hAnsi="宋体" w:eastAsia="宋体" w:cs="宋体"/>
          <w:sz w:val="21"/>
          <w:szCs w:val="21"/>
          <w:highlight w:val="none"/>
        </w:rPr>
      </w:pPr>
      <w:r>
        <w:rPr>
          <w:rFonts w:ascii="宋体" w:hAnsi="宋体" w:eastAsia="宋体" w:cs="宋体"/>
          <w:spacing w:val="3"/>
          <w:sz w:val="21"/>
          <w:szCs w:val="21"/>
          <w:highlight w:val="none"/>
        </w:rPr>
        <w:t>(3)发包人接受索赔处理结果的，发包人可从应支付给承包人的合同价款中扣除</w:t>
      </w:r>
      <w:r>
        <w:rPr>
          <w:rFonts w:ascii="宋体" w:hAnsi="宋体" w:eastAsia="宋体" w:cs="宋体"/>
          <w:spacing w:val="2"/>
          <w:sz w:val="21"/>
          <w:szCs w:val="21"/>
          <w:highlight w:val="none"/>
        </w:rPr>
        <w:t>赔付</w:t>
      </w:r>
      <w:r>
        <w:rPr>
          <w:rFonts w:ascii="宋体" w:hAnsi="宋体" w:eastAsia="宋体" w:cs="宋体"/>
          <w:sz w:val="21"/>
          <w:szCs w:val="21"/>
          <w:highlight w:val="none"/>
        </w:rPr>
        <w:t xml:space="preserve">  的金额或延长缺陷责任期；发包人不接受索赔处理结果的，按第20条[争议解决]约定处理。</w:t>
      </w:r>
    </w:p>
    <w:p w14:paraId="35A0927D">
      <w:pPr>
        <w:pStyle w:val="2"/>
        <w:spacing w:line="316" w:lineRule="auto"/>
        <w:rPr>
          <w:highlight w:val="none"/>
        </w:rPr>
      </w:pPr>
    </w:p>
    <w:p w14:paraId="2DF3AE68">
      <w:pPr>
        <w:spacing w:before="71" w:line="222" w:lineRule="auto"/>
        <w:rPr>
          <w:rFonts w:ascii="黑体" w:hAnsi="黑体" w:eastAsia="黑体" w:cs="黑体"/>
          <w:sz w:val="22"/>
          <w:szCs w:val="22"/>
          <w:highlight w:val="none"/>
        </w:rPr>
      </w:pPr>
      <w:r>
        <w:rPr>
          <w:rFonts w:ascii="黑体" w:hAnsi="黑体" w:eastAsia="黑体" w:cs="黑体"/>
          <w:sz w:val="22"/>
          <w:szCs w:val="22"/>
          <w:highlight w:val="none"/>
        </w:rPr>
        <w:t>19.4提出索赔的期限</w:t>
      </w:r>
    </w:p>
    <w:p w14:paraId="33A428EC">
      <w:pPr>
        <w:spacing w:before="215" w:line="311" w:lineRule="auto"/>
        <w:ind w:right="59" w:firstLine="539"/>
        <w:rPr>
          <w:rFonts w:ascii="宋体" w:hAnsi="宋体" w:eastAsia="宋体" w:cs="宋体"/>
          <w:sz w:val="22"/>
          <w:szCs w:val="22"/>
          <w:highlight w:val="none"/>
        </w:rPr>
      </w:pPr>
      <w:r>
        <w:rPr>
          <w:rFonts w:ascii="宋体" w:hAnsi="宋体" w:eastAsia="宋体" w:cs="宋体"/>
          <w:spacing w:val="-5"/>
          <w:sz w:val="22"/>
          <w:szCs w:val="22"/>
          <w:highlight w:val="none"/>
        </w:rPr>
        <w:t>(1)承包人按第14.5款[竣工结算]约定接收竣工付款证书后，</w:t>
      </w:r>
      <w:r>
        <w:rPr>
          <w:rFonts w:ascii="宋体" w:hAnsi="宋体" w:eastAsia="宋体" w:cs="宋体"/>
          <w:spacing w:val="-6"/>
          <w:sz w:val="22"/>
          <w:szCs w:val="22"/>
          <w:highlight w:val="none"/>
        </w:rPr>
        <w:t>应被认为已无权再提出</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在合同工程接收证书颁发前所发生的任何索赔。</w:t>
      </w:r>
    </w:p>
    <w:p w14:paraId="4D293615">
      <w:pPr>
        <w:spacing w:before="228" w:line="316" w:lineRule="auto"/>
        <w:ind w:right="56" w:firstLine="539"/>
        <w:rPr>
          <w:rFonts w:ascii="宋体" w:hAnsi="宋体" w:eastAsia="宋体" w:cs="宋体"/>
          <w:sz w:val="21"/>
          <w:szCs w:val="21"/>
          <w:highlight w:val="none"/>
        </w:rPr>
      </w:pPr>
      <w:r>
        <w:rPr>
          <w:rFonts w:ascii="宋体" w:hAnsi="宋体" w:eastAsia="宋体" w:cs="宋体"/>
          <w:spacing w:val="4"/>
          <w:sz w:val="21"/>
          <w:szCs w:val="21"/>
          <w:highlight w:val="none"/>
        </w:rPr>
        <w:t>(2)承包人按第14.7款[最终结清]提交的最终结清申请单中</w:t>
      </w:r>
      <w:r>
        <w:rPr>
          <w:rFonts w:ascii="宋体" w:hAnsi="宋体" w:eastAsia="宋体" w:cs="宋体"/>
          <w:spacing w:val="3"/>
          <w:sz w:val="21"/>
          <w:szCs w:val="21"/>
          <w:highlight w:val="none"/>
        </w:rPr>
        <w:t>，只限于提出工程接收证</w:t>
      </w:r>
      <w:r>
        <w:rPr>
          <w:rFonts w:ascii="宋体" w:hAnsi="宋体" w:eastAsia="宋体" w:cs="宋体"/>
          <w:sz w:val="21"/>
          <w:szCs w:val="21"/>
          <w:highlight w:val="none"/>
        </w:rPr>
        <w:t xml:space="preserve"> 书颁发后发生的索赔。提出索赔的期限均自接受最终结清</w:t>
      </w:r>
      <w:r>
        <w:rPr>
          <w:rFonts w:ascii="宋体" w:hAnsi="宋体" w:eastAsia="宋体" w:cs="宋体"/>
          <w:spacing w:val="-1"/>
          <w:sz w:val="21"/>
          <w:szCs w:val="21"/>
          <w:highlight w:val="none"/>
        </w:rPr>
        <w:t>证书时终止。</w:t>
      </w:r>
    </w:p>
    <w:p w14:paraId="7F0976BB">
      <w:pPr>
        <w:spacing w:before="323" w:line="222" w:lineRule="auto"/>
        <w:outlineLvl w:val="1"/>
        <w:rPr>
          <w:rFonts w:ascii="黑体" w:hAnsi="黑体" w:eastAsia="黑体" w:cs="黑体"/>
          <w:sz w:val="28"/>
          <w:szCs w:val="28"/>
          <w:highlight w:val="none"/>
        </w:rPr>
      </w:pPr>
      <w:bookmarkStart w:id="112" w:name="bookmark66"/>
      <w:bookmarkEnd w:id="112"/>
      <w:r>
        <w:rPr>
          <w:rFonts w:ascii="黑体" w:hAnsi="黑体" w:eastAsia="黑体" w:cs="黑体"/>
          <w:spacing w:val="39"/>
          <w:sz w:val="28"/>
          <w:szCs w:val="28"/>
          <w:highlight w:val="none"/>
        </w:rPr>
        <w:t>第20条争议解决</w:t>
      </w:r>
    </w:p>
    <w:p w14:paraId="1BC47C8D">
      <w:pPr>
        <w:pStyle w:val="2"/>
        <w:spacing w:line="309" w:lineRule="auto"/>
        <w:rPr>
          <w:highlight w:val="none"/>
        </w:rPr>
      </w:pPr>
    </w:p>
    <w:p w14:paraId="31DDB9C3">
      <w:pPr>
        <w:pStyle w:val="2"/>
        <w:spacing w:before="72" w:line="300" w:lineRule="exact"/>
        <w:rPr>
          <w:rFonts w:ascii="黑体" w:hAnsi="黑体" w:eastAsia="黑体" w:cs="黑体"/>
          <w:sz w:val="22"/>
          <w:szCs w:val="22"/>
          <w:highlight w:val="none"/>
        </w:rPr>
      </w:pPr>
      <w:r>
        <w:rPr>
          <w:spacing w:val="-2"/>
          <w:position w:val="1"/>
          <w:sz w:val="22"/>
          <w:szCs w:val="22"/>
          <w:highlight w:val="none"/>
        </w:rPr>
        <w:t>20.1</w:t>
      </w:r>
      <w:r>
        <w:rPr>
          <w:spacing w:val="37"/>
          <w:position w:val="1"/>
          <w:sz w:val="22"/>
          <w:szCs w:val="22"/>
          <w:highlight w:val="none"/>
        </w:rPr>
        <w:t xml:space="preserve"> </w:t>
      </w:r>
      <w:r>
        <w:rPr>
          <w:rFonts w:ascii="黑体" w:hAnsi="黑体" w:eastAsia="黑体" w:cs="黑体"/>
          <w:spacing w:val="-2"/>
          <w:position w:val="1"/>
          <w:sz w:val="22"/>
          <w:szCs w:val="22"/>
          <w:highlight w:val="none"/>
        </w:rPr>
        <w:t>和解</w:t>
      </w:r>
    </w:p>
    <w:p w14:paraId="4BB6521D">
      <w:pPr>
        <w:spacing w:before="220" w:line="433" w:lineRule="auto"/>
        <w:ind w:right="90" w:firstLine="430"/>
        <w:rPr>
          <w:rFonts w:ascii="宋体" w:hAnsi="宋体" w:eastAsia="宋体" w:cs="宋体"/>
          <w:sz w:val="21"/>
          <w:szCs w:val="21"/>
          <w:highlight w:val="none"/>
        </w:rPr>
      </w:pPr>
      <w:r>
        <w:rPr>
          <w:rFonts w:ascii="宋体" w:hAnsi="宋体" w:eastAsia="宋体" w:cs="宋体"/>
          <w:spacing w:val="-2"/>
          <w:sz w:val="21"/>
          <w:szCs w:val="21"/>
          <w:highlight w:val="none"/>
        </w:rPr>
        <w:t>合同当事人可以就争议自行和解，自行和解达成协议的经双方签</w:t>
      </w:r>
      <w:r>
        <w:rPr>
          <w:rFonts w:ascii="宋体" w:hAnsi="宋体" w:eastAsia="宋体" w:cs="宋体"/>
          <w:spacing w:val="-3"/>
          <w:sz w:val="21"/>
          <w:szCs w:val="21"/>
          <w:highlight w:val="none"/>
        </w:rPr>
        <w:t>字并盖章后作为合同补</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充文件，双方均应遵照执行。</w:t>
      </w:r>
    </w:p>
    <w:p w14:paraId="44DB9DD3">
      <w:pPr>
        <w:pStyle w:val="2"/>
        <w:spacing w:before="105" w:line="300" w:lineRule="exact"/>
        <w:rPr>
          <w:rFonts w:ascii="黑体" w:hAnsi="黑体" w:eastAsia="黑体" w:cs="黑体"/>
          <w:sz w:val="22"/>
          <w:szCs w:val="22"/>
          <w:highlight w:val="none"/>
        </w:rPr>
      </w:pPr>
      <w:r>
        <w:rPr>
          <w:spacing w:val="-2"/>
          <w:position w:val="1"/>
          <w:sz w:val="22"/>
          <w:szCs w:val="22"/>
          <w:highlight w:val="none"/>
        </w:rPr>
        <w:t>20.2</w:t>
      </w:r>
      <w:r>
        <w:rPr>
          <w:spacing w:val="37"/>
          <w:position w:val="1"/>
          <w:sz w:val="22"/>
          <w:szCs w:val="22"/>
          <w:highlight w:val="none"/>
        </w:rPr>
        <w:t xml:space="preserve"> </w:t>
      </w:r>
      <w:r>
        <w:rPr>
          <w:rFonts w:ascii="黑体" w:hAnsi="黑体" w:eastAsia="黑体" w:cs="黑体"/>
          <w:spacing w:val="-2"/>
          <w:position w:val="1"/>
          <w:sz w:val="22"/>
          <w:szCs w:val="22"/>
          <w:highlight w:val="none"/>
        </w:rPr>
        <w:t>调解</w:t>
      </w:r>
    </w:p>
    <w:p w14:paraId="093067CC">
      <w:pPr>
        <w:spacing w:before="190" w:line="421" w:lineRule="auto"/>
        <w:ind w:right="98" w:firstLine="430"/>
        <w:rPr>
          <w:rFonts w:ascii="宋体" w:hAnsi="宋体" w:eastAsia="宋体" w:cs="宋体"/>
          <w:sz w:val="22"/>
          <w:szCs w:val="22"/>
          <w:highlight w:val="none"/>
        </w:rPr>
      </w:pPr>
      <w:r>
        <w:rPr>
          <w:rFonts w:ascii="宋体" w:hAnsi="宋体" w:eastAsia="宋体" w:cs="宋体"/>
          <w:spacing w:val="-12"/>
          <w:sz w:val="22"/>
          <w:szCs w:val="22"/>
          <w:highlight w:val="none"/>
        </w:rPr>
        <w:t>合同当事人可以就争议请求建设行政主管部门</w:t>
      </w:r>
      <w:r>
        <w:rPr>
          <w:rFonts w:ascii="宋体" w:hAnsi="宋体" w:eastAsia="宋体" w:cs="宋体"/>
          <w:spacing w:val="-13"/>
          <w:sz w:val="22"/>
          <w:szCs w:val="22"/>
          <w:highlight w:val="none"/>
        </w:rPr>
        <w:t>、行业协会或其他第三方进行调解，调解</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达成协议的，经双方签字盖章后作为合同补充文件，双方均应遵照执行。</w:t>
      </w:r>
    </w:p>
    <w:p w14:paraId="2B313711">
      <w:pPr>
        <w:spacing w:before="135" w:line="222" w:lineRule="auto"/>
        <w:rPr>
          <w:rFonts w:ascii="黑体" w:hAnsi="黑体" w:eastAsia="黑体" w:cs="黑体"/>
          <w:sz w:val="22"/>
          <w:szCs w:val="22"/>
          <w:highlight w:val="none"/>
        </w:rPr>
      </w:pPr>
      <w:r>
        <w:rPr>
          <w:rFonts w:ascii="黑体" w:hAnsi="黑体" w:eastAsia="黑体" w:cs="黑体"/>
          <w:spacing w:val="4"/>
          <w:sz w:val="22"/>
          <w:szCs w:val="22"/>
          <w:highlight w:val="none"/>
        </w:rPr>
        <w:t>20.3争议评审</w:t>
      </w:r>
    </w:p>
    <w:p w14:paraId="43076C7A">
      <w:pPr>
        <w:spacing w:before="187" w:line="361" w:lineRule="auto"/>
        <w:ind w:right="86" w:firstLine="430"/>
        <w:rPr>
          <w:rFonts w:ascii="宋体" w:hAnsi="宋体" w:eastAsia="宋体" w:cs="宋体"/>
          <w:sz w:val="22"/>
          <w:szCs w:val="22"/>
          <w:highlight w:val="none"/>
        </w:rPr>
      </w:pPr>
      <w:r>
        <w:rPr>
          <w:rFonts w:ascii="宋体" w:hAnsi="宋体" w:eastAsia="宋体" w:cs="宋体"/>
          <w:spacing w:val="-12"/>
          <w:sz w:val="22"/>
          <w:szCs w:val="22"/>
          <w:highlight w:val="none"/>
        </w:rPr>
        <w:t>合同当事人在专用合同条件中约定采取争议评审方式及评审规则解决争</w:t>
      </w:r>
      <w:r>
        <w:rPr>
          <w:rFonts w:ascii="宋体" w:hAnsi="宋体" w:eastAsia="宋体" w:cs="宋体"/>
          <w:spacing w:val="-13"/>
          <w:sz w:val="22"/>
          <w:szCs w:val="22"/>
          <w:highlight w:val="none"/>
        </w:rPr>
        <w:t>议的，按下列约</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定执行：</w:t>
      </w:r>
    </w:p>
    <w:p w14:paraId="3523E244">
      <w:pPr>
        <w:spacing w:line="219" w:lineRule="auto"/>
        <w:ind w:left="43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20.3.1</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5"/>
          <w:sz w:val="22"/>
          <w:szCs w:val="22"/>
          <w:highlight w:val="none"/>
        </w:rPr>
        <w:t>争议评审小组的确定</w:t>
      </w:r>
    </w:p>
    <w:p w14:paraId="7E40A570">
      <w:pPr>
        <w:pStyle w:val="2"/>
        <w:spacing w:line="347" w:lineRule="auto"/>
        <w:rPr>
          <w:highlight w:val="none"/>
        </w:rPr>
      </w:pPr>
    </w:p>
    <w:p w14:paraId="712BFAEE">
      <w:pPr>
        <w:spacing w:before="68" w:line="425" w:lineRule="auto"/>
        <w:ind w:right="96"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合同当事人可以共同选择一名或三名争议评审员</w:t>
      </w:r>
      <w:r>
        <w:rPr>
          <w:rFonts w:ascii="宋体" w:hAnsi="宋体" w:eastAsia="宋体" w:cs="宋体"/>
          <w:spacing w:val="-3"/>
          <w:sz w:val="21"/>
          <w:szCs w:val="21"/>
          <w:highlight w:val="none"/>
        </w:rPr>
        <w:t>，组成争议评审小组。如专用合同条件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未对成员人数进行约定，则应由三名成员组成。除专用合同条件另有约定外，合同当事</w:t>
      </w:r>
      <w:r>
        <w:rPr>
          <w:rFonts w:ascii="宋体" w:hAnsi="宋体" w:eastAsia="宋体" w:cs="宋体"/>
          <w:spacing w:val="-3"/>
          <w:sz w:val="21"/>
          <w:szCs w:val="21"/>
          <w:highlight w:val="none"/>
        </w:rPr>
        <w:t>人应</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当自合同订立后28天内，或者争议发生后14天内，选定争议评审员。</w:t>
      </w:r>
    </w:p>
    <w:p w14:paraId="662F1863">
      <w:pPr>
        <w:spacing w:before="2" w:line="463" w:lineRule="auto"/>
        <w:ind w:right="45" w:firstLine="430"/>
        <w:rPr>
          <w:rFonts w:ascii="宋体" w:hAnsi="宋体" w:eastAsia="宋体" w:cs="宋体"/>
          <w:sz w:val="20"/>
          <w:szCs w:val="20"/>
          <w:highlight w:val="none"/>
        </w:rPr>
      </w:pPr>
      <w:r>
        <w:rPr>
          <w:rFonts w:ascii="宋体" w:hAnsi="宋体" w:eastAsia="宋体" w:cs="宋体"/>
          <w:spacing w:val="8"/>
          <w:sz w:val="20"/>
          <w:szCs w:val="20"/>
          <w:highlight w:val="none"/>
        </w:rPr>
        <w:t>选择一名争议评审员的，由合同当事人共同确定；选择</w:t>
      </w:r>
      <w:r>
        <w:rPr>
          <w:rFonts w:ascii="宋体" w:hAnsi="宋体" w:eastAsia="宋体" w:cs="宋体"/>
          <w:spacing w:val="7"/>
          <w:sz w:val="20"/>
          <w:szCs w:val="20"/>
          <w:highlight w:val="none"/>
        </w:rPr>
        <w:t>三名争议评审员的，各自选定一</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名，第三名成员由合同当事人共同确定或由合同当事人委托已选定的争议评审员共同确定，</w:t>
      </w:r>
    </w:p>
    <w:p w14:paraId="150AFFED">
      <w:pPr>
        <w:spacing w:line="463" w:lineRule="auto"/>
        <w:rPr>
          <w:rFonts w:ascii="宋体" w:hAnsi="宋体" w:eastAsia="宋体" w:cs="宋体"/>
          <w:sz w:val="20"/>
          <w:szCs w:val="20"/>
          <w:highlight w:val="none"/>
        </w:rPr>
        <w:sectPr>
          <w:footerReference r:id="rId144" w:type="default"/>
          <w:pgSz w:w="11910" w:h="16840"/>
          <w:pgMar w:top="400" w:right="1724" w:bottom="1238" w:left="1769" w:header="0" w:footer="1007" w:gutter="0"/>
          <w:cols w:space="720" w:num="1"/>
        </w:sectPr>
      </w:pPr>
    </w:p>
    <w:p w14:paraId="3B2BC40A">
      <w:pPr>
        <w:pStyle w:val="2"/>
        <w:spacing w:line="276" w:lineRule="auto"/>
        <w:rPr>
          <w:highlight w:val="none"/>
        </w:rPr>
      </w:pPr>
    </w:p>
    <w:p w14:paraId="1CFA4C8A">
      <w:pPr>
        <w:pStyle w:val="2"/>
        <w:spacing w:line="276" w:lineRule="auto"/>
        <w:rPr>
          <w:highlight w:val="none"/>
        </w:rPr>
      </w:pPr>
    </w:p>
    <w:p w14:paraId="27605AAD">
      <w:pPr>
        <w:pStyle w:val="2"/>
        <w:spacing w:line="277" w:lineRule="auto"/>
        <w:rPr>
          <w:highlight w:val="none"/>
        </w:rPr>
      </w:pPr>
    </w:p>
    <w:p w14:paraId="1BB71B01">
      <w:pPr>
        <w:pStyle w:val="2"/>
        <w:spacing w:line="277" w:lineRule="auto"/>
        <w:rPr>
          <w:highlight w:val="none"/>
        </w:rPr>
      </w:pPr>
    </w:p>
    <w:p w14:paraId="0AD359CC">
      <w:pPr>
        <w:spacing w:before="65" w:line="434" w:lineRule="auto"/>
        <w:ind w:right="61"/>
        <w:rPr>
          <w:rFonts w:ascii="宋体" w:hAnsi="宋体" w:eastAsia="宋体" w:cs="宋体"/>
          <w:sz w:val="20"/>
          <w:szCs w:val="20"/>
          <w:highlight w:val="none"/>
        </w:rPr>
      </w:pPr>
      <w:bookmarkStart w:id="113" w:name="bookmark236"/>
      <w:bookmarkEnd w:id="113"/>
      <w:r>
        <w:rPr>
          <w:rFonts w:ascii="宋体" w:hAnsi="宋体" w:eastAsia="宋体" w:cs="宋体"/>
          <w:spacing w:val="8"/>
          <w:sz w:val="20"/>
          <w:szCs w:val="20"/>
          <w:highlight w:val="none"/>
        </w:rPr>
        <w:t>为首席争议评审员。争议评审员为一人且合同当事人未能达成一致的，或争议评审员</w:t>
      </w:r>
      <w:r>
        <w:rPr>
          <w:rFonts w:ascii="宋体" w:hAnsi="宋体" w:eastAsia="宋体" w:cs="宋体"/>
          <w:spacing w:val="7"/>
          <w:sz w:val="20"/>
          <w:szCs w:val="20"/>
          <w:highlight w:val="none"/>
        </w:rPr>
        <w:t>为三人</w:t>
      </w:r>
      <w:r>
        <w:rPr>
          <w:rFonts w:ascii="宋体" w:hAnsi="宋体" w:eastAsia="宋体" w:cs="宋体"/>
          <w:sz w:val="20"/>
          <w:szCs w:val="20"/>
          <w:highlight w:val="none"/>
        </w:rPr>
        <w:t xml:space="preserve"> </w:t>
      </w:r>
      <w:r>
        <w:rPr>
          <w:rFonts w:ascii="宋体" w:hAnsi="宋体" w:eastAsia="宋体" w:cs="宋体"/>
          <w:spacing w:val="10"/>
          <w:sz w:val="20"/>
          <w:szCs w:val="20"/>
          <w:highlight w:val="none"/>
        </w:rPr>
        <w:t>且合同当事人就首席争议评审员未能达成一致的，由专用合同条件约定的评审机构指定。</w:t>
      </w:r>
    </w:p>
    <w:p w14:paraId="5A128CE9">
      <w:pPr>
        <w:spacing w:line="219" w:lineRule="auto"/>
        <w:ind w:left="420"/>
        <w:rPr>
          <w:rFonts w:ascii="宋体" w:hAnsi="宋体" w:eastAsia="宋体" w:cs="宋体"/>
          <w:sz w:val="21"/>
          <w:szCs w:val="21"/>
          <w:highlight w:val="none"/>
        </w:rPr>
      </w:pPr>
      <w:r>
        <w:rPr>
          <w:rFonts w:ascii="宋体" w:hAnsi="宋体" w:eastAsia="宋体" w:cs="宋体"/>
          <w:sz w:val="21"/>
          <w:szCs w:val="21"/>
          <w:highlight w:val="none"/>
        </w:rPr>
        <w:t>除专用合同条件另有约定外，争议评审员报酬由发包人和承包人各承担一</w:t>
      </w:r>
      <w:r>
        <w:rPr>
          <w:rFonts w:ascii="宋体" w:hAnsi="宋体" w:eastAsia="宋体" w:cs="宋体"/>
          <w:spacing w:val="-1"/>
          <w:sz w:val="21"/>
          <w:szCs w:val="21"/>
          <w:highlight w:val="none"/>
        </w:rPr>
        <w:t>半。</w:t>
      </w:r>
    </w:p>
    <w:p w14:paraId="1CA20AA6">
      <w:pPr>
        <w:spacing w:before="101"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20.3.2</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5"/>
          <w:sz w:val="22"/>
          <w:szCs w:val="22"/>
          <w:highlight w:val="none"/>
        </w:rPr>
        <w:t>争议的避免</w:t>
      </w:r>
    </w:p>
    <w:p w14:paraId="1DA709C8">
      <w:pPr>
        <w:pStyle w:val="2"/>
        <w:spacing w:line="377" w:lineRule="auto"/>
        <w:rPr>
          <w:highlight w:val="none"/>
        </w:rPr>
      </w:pPr>
    </w:p>
    <w:p w14:paraId="1CFE6B46">
      <w:pPr>
        <w:spacing w:before="68" w:line="397" w:lineRule="auto"/>
        <w:ind w:right="61" w:firstLine="420"/>
        <w:rPr>
          <w:rFonts w:ascii="宋体" w:hAnsi="宋体" w:eastAsia="宋体" w:cs="宋体"/>
          <w:sz w:val="21"/>
          <w:szCs w:val="21"/>
          <w:highlight w:val="none"/>
        </w:rPr>
      </w:pPr>
      <w:r>
        <w:rPr>
          <w:rFonts w:ascii="宋体" w:hAnsi="宋体" w:eastAsia="宋体" w:cs="宋体"/>
          <w:spacing w:val="-2"/>
          <w:sz w:val="21"/>
          <w:szCs w:val="21"/>
          <w:highlight w:val="none"/>
        </w:rPr>
        <w:t>合同当事人协商一致，可以共同书面请求争议评审小组，就合同履行过</w:t>
      </w:r>
      <w:r>
        <w:rPr>
          <w:rFonts w:ascii="宋体" w:hAnsi="宋体" w:eastAsia="宋体" w:cs="宋体"/>
          <w:spacing w:val="-3"/>
          <w:sz w:val="21"/>
          <w:szCs w:val="21"/>
          <w:highlight w:val="none"/>
        </w:rPr>
        <w:t>程中可能出现争</w:t>
      </w:r>
      <w:r>
        <w:rPr>
          <w:rFonts w:ascii="宋体" w:hAnsi="宋体" w:eastAsia="宋体" w:cs="宋体"/>
          <w:sz w:val="21"/>
          <w:szCs w:val="21"/>
          <w:highlight w:val="none"/>
        </w:rPr>
        <w:t xml:space="preserve"> 议的情况提供协助或进行非正式讨论，争议</w:t>
      </w:r>
      <w:r>
        <w:rPr>
          <w:rFonts w:ascii="宋体" w:hAnsi="宋体" w:eastAsia="宋体" w:cs="宋体"/>
          <w:spacing w:val="-1"/>
          <w:sz w:val="21"/>
          <w:szCs w:val="21"/>
          <w:highlight w:val="none"/>
        </w:rPr>
        <w:t>评审小组应给出公正的意见或建议。</w:t>
      </w:r>
    </w:p>
    <w:p w14:paraId="2770709F">
      <w:pPr>
        <w:spacing w:before="6" w:line="411" w:lineRule="auto"/>
        <w:ind w:right="51" w:firstLine="420"/>
        <w:rPr>
          <w:rFonts w:ascii="宋体" w:hAnsi="宋体" w:eastAsia="宋体" w:cs="宋体"/>
          <w:sz w:val="22"/>
          <w:szCs w:val="22"/>
          <w:highlight w:val="none"/>
        </w:rPr>
      </w:pPr>
      <w:r>
        <w:rPr>
          <w:rFonts w:ascii="宋体" w:hAnsi="宋体" w:eastAsia="宋体" w:cs="宋体"/>
          <w:spacing w:val="-12"/>
          <w:sz w:val="22"/>
          <w:szCs w:val="22"/>
          <w:highlight w:val="none"/>
        </w:rPr>
        <w:t>此类协助或非正式讨论可在任何会议、施工现场视察或其他场合进行，并且除专用合同</w:t>
      </w:r>
      <w:r>
        <w:rPr>
          <w:rFonts w:ascii="宋体" w:hAnsi="宋体" w:eastAsia="宋体" w:cs="宋体"/>
          <w:spacing w:val="3"/>
          <w:sz w:val="22"/>
          <w:szCs w:val="22"/>
          <w:highlight w:val="none"/>
        </w:rPr>
        <w:t xml:space="preserve"> </w:t>
      </w:r>
      <w:r>
        <w:rPr>
          <w:rFonts w:ascii="宋体" w:hAnsi="宋体" w:eastAsia="宋体" w:cs="宋体"/>
          <w:spacing w:val="-11"/>
          <w:sz w:val="22"/>
          <w:szCs w:val="22"/>
          <w:highlight w:val="none"/>
        </w:rPr>
        <w:t>条件另有约定外，发包人和承包人均应出席。</w:t>
      </w:r>
    </w:p>
    <w:p w14:paraId="501BBEAF">
      <w:pPr>
        <w:spacing w:before="2" w:line="369" w:lineRule="auto"/>
        <w:ind w:right="56" w:firstLine="420"/>
        <w:jc w:val="both"/>
        <w:rPr>
          <w:rFonts w:ascii="宋体" w:hAnsi="宋体" w:eastAsia="宋体" w:cs="宋体"/>
          <w:sz w:val="22"/>
          <w:szCs w:val="22"/>
          <w:highlight w:val="none"/>
        </w:rPr>
      </w:pPr>
      <w:r>
        <w:rPr>
          <w:rFonts w:ascii="宋体" w:hAnsi="宋体" w:eastAsia="宋体" w:cs="宋体"/>
          <w:spacing w:val="-12"/>
          <w:sz w:val="22"/>
          <w:szCs w:val="22"/>
          <w:highlight w:val="none"/>
        </w:rPr>
        <w:t>争议评审小组在此类非正式讨论上给出的任何意见或建议，无论是口头</w:t>
      </w:r>
      <w:r>
        <w:rPr>
          <w:rFonts w:ascii="宋体" w:hAnsi="宋体" w:eastAsia="宋体" w:cs="宋体"/>
          <w:spacing w:val="-13"/>
          <w:sz w:val="22"/>
          <w:szCs w:val="22"/>
          <w:highlight w:val="none"/>
        </w:rPr>
        <w:t>还是书面的，对</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发包人和承包人不具有约束力，争议评审小组在之后的争议评审程序或决定中也不受此类意</w:t>
      </w:r>
      <w:r>
        <w:rPr>
          <w:rFonts w:ascii="宋体" w:hAnsi="宋体" w:eastAsia="宋体" w:cs="宋体"/>
          <w:spacing w:val="2"/>
          <w:sz w:val="22"/>
          <w:szCs w:val="22"/>
          <w:highlight w:val="none"/>
        </w:rPr>
        <w:t xml:space="preserve"> </w:t>
      </w:r>
      <w:r>
        <w:rPr>
          <w:rFonts w:ascii="宋体" w:hAnsi="宋体" w:eastAsia="宋体" w:cs="宋体"/>
          <w:spacing w:val="-14"/>
          <w:sz w:val="22"/>
          <w:szCs w:val="22"/>
          <w:highlight w:val="none"/>
        </w:rPr>
        <w:t>见或建议的约束。</w:t>
      </w:r>
    </w:p>
    <w:p w14:paraId="1FEBB290">
      <w:pPr>
        <w:spacing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20.3.3</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5"/>
          <w:sz w:val="22"/>
          <w:szCs w:val="22"/>
          <w:highlight w:val="none"/>
        </w:rPr>
        <w:t>争议评审小组的决定</w:t>
      </w:r>
    </w:p>
    <w:p w14:paraId="71605996">
      <w:pPr>
        <w:pStyle w:val="2"/>
        <w:spacing w:line="342" w:lineRule="auto"/>
        <w:rPr>
          <w:highlight w:val="none"/>
        </w:rPr>
      </w:pPr>
    </w:p>
    <w:p w14:paraId="7ECCCF5B">
      <w:pPr>
        <w:spacing w:before="73" w:line="383" w:lineRule="auto"/>
        <w:ind w:right="37" w:firstLine="420"/>
        <w:jc w:val="both"/>
        <w:rPr>
          <w:rFonts w:ascii="宋体" w:hAnsi="宋体" w:eastAsia="宋体" w:cs="宋体"/>
          <w:sz w:val="22"/>
          <w:szCs w:val="22"/>
          <w:highlight w:val="none"/>
        </w:rPr>
      </w:pPr>
      <w:r>
        <w:rPr>
          <w:rFonts w:ascii="宋体" w:hAnsi="宋体" w:eastAsia="宋体" w:cs="宋体"/>
          <w:spacing w:val="-13"/>
          <w:sz w:val="22"/>
          <w:szCs w:val="22"/>
          <w:highlight w:val="none"/>
        </w:rPr>
        <w:t>合同当事人可在任何时间将与合同有关的任何争议共同提请争议评</w:t>
      </w:r>
      <w:r>
        <w:rPr>
          <w:rFonts w:ascii="宋体" w:hAnsi="宋体" w:eastAsia="宋体" w:cs="宋体"/>
          <w:spacing w:val="-14"/>
          <w:sz w:val="22"/>
          <w:szCs w:val="22"/>
          <w:highlight w:val="none"/>
        </w:rPr>
        <w:t>审小组进行评审。争</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议评审小组应秉持客观、公正原则，充分听取合同当事人的意见，依据相关法律、规</w:t>
      </w:r>
      <w:r>
        <w:rPr>
          <w:rFonts w:ascii="宋体" w:hAnsi="宋体" w:eastAsia="宋体" w:cs="宋体"/>
          <w:spacing w:val="-13"/>
          <w:sz w:val="22"/>
          <w:szCs w:val="22"/>
          <w:highlight w:val="none"/>
        </w:rPr>
        <w:t>范、标</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准、案例经验及商业惯例等，自收到争议评审申</w:t>
      </w:r>
      <w:r>
        <w:rPr>
          <w:rFonts w:ascii="宋体" w:hAnsi="宋体" w:eastAsia="宋体" w:cs="宋体"/>
          <w:spacing w:val="-7"/>
          <w:sz w:val="22"/>
          <w:szCs w:val="22"/>
          <w:highlight w:val="none"/>
        </w:rPr>
        <w:t>请报告后14天或争议评审小组建议并经双</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方同意的其他期限内作出书面决定，并说明理由。</w:t>
      </w:r>
      <w:r>
        <w:rPr>
          <w:rFonts w:ascii="宋体" w:hAnsi="宋体" w:eastAsia="宋体" w:cs="宋体"/>
          <w:spacing w:val="-12"/>
          <w:sz w:val="22"/>
          <w:szCs w:val="22"/>
          <w:highlight w:val="none"/>
        </w:rPr>
        <w:t>合同当事人可以在专用合同条件中对本项</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事项另行约定。</w:t>
      </w:r>
    </w:p>
    <w:p w14:paraId="30102A9A">
      <w:pPr>
        <w:spacing w:line="219" w:lineRule="auto"/>
        <w:ind w:left="420"/>
        <w:rPr>
          <w:rFonts w:ascii="宋体" w:hAnsi="宋体" w:eastAsia="宋体" w:cs="宋体"/>
          <w:sz w:val="22"/>
          <w:szCs w:val="22"/>
          <w:highlight w:val="none"/>
        </w:rPr>
      </w:pPr>
      <w:r>
        <w:rPr>
          <w:rFonts w:ascii="宋体" w:hAnsi="宋体" w:eastAsia="宋体" w:cs="宋体"/>
          <w:spacing w:val="-1"/>
          <w:sz w:val="22"/>
          <w:szCs w:val="22"/>
          <w:highlight w:val="none"/>
        </w:rPr>
        <w:t>20.3.4争议评审小组决定的效力</w:t>
      </w:r>
    </w:p>
    <w:p w14:paraId="30C52E51">
      <w:pPr>
        <w:pStyle w:val="2"/>
        <w:spacing w:line="346" w:lineRule="auto"/>
        <w:rPr>
          <w:highlight w:val="none"/>
        </w:rPr>
      </w:pPr>
    </w:p>
    <w:p w14:paraId="744FF495">
      <w:pPr>
        <w:spacing w:before="69" w:line="427" w:lineRule="auto"/>
        <w:ind w:right="61" w:firstLine="420"/>
        <w:rPr>
          <w:rFonts w:ascii="宋体" w:hAnsi="宋体" w:eastAsia="宋体" w:cs="宋体"/>
          <w:sz w:val="21"/>
          <w:szCs w:val="21"/>
          <w:highlight w:val="none"/>
        </w:rPr>
      </w:pPr>
      <w:r>
        <w:rPr>
          <w:rFonts w:ascii="宋体" w:hAnsi="宋体" w:eastAsia="宋体" w:cs="宋体"/>
          <w:spacing w:val="-2"/>
          <w:sz w:val="21"/>
          <w:szCs w:val="21"/>
          <w:highlight w:val="none"/>
        </w:rPr>
        <w:t>争议评审小组作出的书面决定经合同当事人签字确认后，对双方具有约束</w:t>
      </w:r>
      <w:r>
        <w:rPr>
          <w:rFonts w:ascii="宋体" w:hAnsi="宋体" w:eastAsia="宋体" w:cs="宋体"/>
          <w:spacing w:val="-3"/>
          <w:sz w:val="21"/>
          <w:szCs w:val="21"/>
          <w:highlight w:val="none"/>
        </w:rPr>
        <w:t>力，双方应遵</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照执行。</w:t>
      </w:r>
    </w:p>
    <w:p w14:paraId="142ED41C">
      <w:pPr>
        <w:spacing w:line="403" w:lineRule="auto"/>
        <w:ind w:right="61" w:firstLine="420"/>
        <w:rPr>
          <w:rFonts w:ascii="宋体" w:hAnsi="宋体" w:eastAsia="宋体" w:cs="宋体"/>
          <w:sz w:val="22"/>
          <w:szCs w:val="22"/>
          <w:highlight w:val="none"/>
        </w:rPr>
      </w:pPr>
      <w:r>
        <w:rPr>
          <w:rFonts w:ascii="宋体" w:hAnsi="宋体" w:eastAsia="宋体" w:cs="宋体"/>
          <w:spacing w:val="-12"/>
          <w:sz w:val="22"/>
          <w:szCs w:val="22"/>
          <w:highlight w:val="none"/>
        </w:rPr>
        <w:t>任何一方当事人不接受争议评审小组决定或不履行争议评审小组决定的</w:t>
      </w:r>
      <w:r>
        <w:rPr>
          <w:rFonts w:ascii="宋体" w:hAnsi="宋体" w:eastAsia="宋体" w:cs="宋体"/>
          <w:spacing w:val="-13"/>
          <w:sz w:val="22"/>
          <w:szCs w:val="22"/>
          <w:highlight w:val="none"/>
        </w:rPr>
        <w:t>，双方可选择采</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用其他争议解决方式。</w:t>
      </w:r>
    </w:p>
    <w:p w14:paraId="22261138">
      <w:pPr>
        <w:spacing w:before="1" w:line="395" w:lineRule="auto"/>
        <w:ind w:firstLine="420"/>
        <w:rPr>
          <w:rFonts w:ascii="宋体" w:hAnsi="宋体" w:eastAsia="宋体" w:cs="宋体"/>
          <w:sz w:val="22"/>
          <w:szCs w:val="22"/>
          <w:highlight w:val="none"/>
        </w:rPr>
      </w:pPr>
      <w:r>
        <w:rPr>
          <w:rFonts w:ascii="宋体" w:hAnsi="宋体" w:eastAsia="宋体" w:cs="宋体"/>
          <w:spacing w:val="-11"/>
          <w:sz w:val="22"/>
          <w:szCs w:val="22"/>
          <w:highlight w:val="none"/>
        </w:rPr>
        <w:t>任何一方当事人不接受争议评审小组的决定，并不影响暂时执行争议评审小组的决定，</w:t>
      </w:r>
      <w:r>
        <w:rPr>
          <w:rFonts w:ascii="宋体" w:hAnsi="宋体" w:eastAsia="宋体" w:cs="宋体"/>
          <w:spacing w:val="17"/>
          <w:sz w:val="22"/>
          <w:szCs w:val="22"/>
          <w:highlight w:val="none"/>
        </w:rPr>
        <w:t xml:space="preserve"> </w:t>
      </w:r>
      <w:r>
        <w:rPr>
          <w:rFonts w:ascii="宋体" w:hAnsi="宋体" w:eastAsia="宋体" w:cs="宋体"/>
          <w:spacing w:val="-10"/>
          <w:sz w:val="22"/>
          <w:szCs w:val="22"/>
          <w:highlight w:val="none"/>
        </w:rPr>
        <w:t>直到在后续的采用其他争议解决方式中对争议评审小组的决定进行了改变。</w:t>
      </w:r>
    </w:p>
    <w:p w14:paraId="0FBDF6A4">
      <w:pPr>
        <w:pStyle w:val="2"/>
        <w:spacing w:before="125" w:line="300" w:lineRule="exact"/>
        <w:rPr>
          <w:rFonts w:ascii="黑体" w:hAnsi="黑体" w:eastAsia="黑体" w:cs="黑体"/>
          <w:sz w:val="22"/>
          <w:szCs w:val="22"/>
          <w:highlight w:val="none"/>
        </w:rPr>
      </w:pPr>
      <w:r>
        <w:rPr>
          <w:spacing w:val="-5"/>
          <w:position w:val="1"/>
          <w:sz w:val="22"/>
          <w:szCs w:val="22"/>
          <w:highlight w:val="none"/>
        </w:rPr>
        <w:t>20.4</w:t>
      </w:r>
      <w:r>
        <w:rPr>
          <w:spacing w:val="30"/>
          <w:position w:val="1"/>
          <w:sz w:val="22"/>
          <w:szCs w:val="22"/>
          <w:highlight w:val="none"/>
        </w:rPr>
        <w:t xml:space="preserve"> </w:t>
      </w:r>
      <w:r>
        <w:rPr>
          <w:rFonts w:ascii="黑体" w:hAnsi="黑体" w:eastAsia="黑体" w:cs="黑体"/>
          <w:spacing w:val="-5"/>
          <w:position w:val="1"/>
          <w:sz w:val="22"/>
          <w:szCs w:val="22"/>
          <w:highlight w:val="none"/>
        </w:rPr>
        <w:t>仲裁或诉讼</w:t>
      </w:r>
    </w:p>
    <w:p w14:paraId="5E518754">
      <w:pPr>
        <w:spacing w:before="231" w:line="369" w:lineRule="auto"/>
        <w:ind w:right="61" w:firstLine="420"/>
        <w:rPr>
          <w:rFonts w:ascii="宋体" w:hAnsi="宋体" w:eastAsia="宋体" w:cs="宋体"/>
          <w:sz w:val="21"/>
          <w:szCs w:val="21"/>
          <w:highlight w:val="none"/>
        </w:rPr>
      </w:pPr>
      <w:r>
        <w:rPr>
          <w:rFonts w:ascii="宋体" w:hAnsi="宋体" w:eastAsia="宋体" w:cs="宋体"/>
          <w:spacing w:val="-2"/>
          <w:sz w:val="21"/>
          <w:szCs w:val="21"/>
          <w:highlight w:val="none"/>
        </w:rPr>
        <w:t>因合同及合同有关事项产生的争议，合同当事人可以在专用合同条件中</w:t>
      </w:r>
      <w:r>
        <w:rPr>
          <w:rFonts w:ascii="宋体" w:hAnsi="宋体" w:eastAsia="宋体" w:cs="宋体"/>
          <w:spacing w:val="-3"/>
          <w:sz w:val="21"/>
          <w:szCs w:val="21"/>
          <w:highlight w:val="none"/>
        </w:rPr>
        <w:t>约定以下一种方</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式解决争议：</w:t>
      </w:r>
    </w:p>
    <w:p w14:paraId="4A381CD4">
      <w:pPr>
        <w:spacing w:before="1" w:line="218"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(1)向约定的仲裁委员会申请仲裁；</w:t>
      </w:r>
    </w:p>
    <w:p w14:paraId="32BFE6F8">
      <w:pPr>
        <w:spacing w:line="218" w:lineRule="auto"/>
        <w:rPr>
          <w:rFonts w:ascii="宋体" w:hAnsi="宋体" w:eastAsia="宋体" w:cs="宋体"/>
          <w:sz w:val="20"/>
          <w:szCs w:val="20"/>
          <w:highlight w:val="none"/>
        </w:rPr>
        <w:sectPr>
          <w:footerReference r:id="rId145" w:type="default"/>
          <w:pgSz w:w="11910" w:h="16840"/>
          <w:pgMar w:top="400" w:right="1749" w:bottom="1228" w:left="1779" w:header="0" w:footer="1009" w:gutter="0"/>
          <w:cols w:space="720" w:num="1"/>
        </w:sectPr>
      </w:pPr>
    </w:p>
    <w:p w14:paraId="2D5AC873">
      <w:pPr>
        <w:pStyle w:val="2"/>
        <w:spacing w:line="246" w:lineRule="auto"/>
        <w:rPr>
          <w:highlight w:val="none"/>
        </w:rPr>
      </w:pPr>
    </w:p>
    <w:p w14:paraId="1CCBB05F">
      <w:pPr>
        <w:pStyle w:val="2"/>
        <w:spacing w:line="246" w:lineRule="auto"/>
        <w:rPr>
          <w:highlight w:val="none"/>
        </w:rPr>
      </w:pPr>
    </w:p>
    <w:p w14:paraId="6B29805C">
      <w:pPr>
        <w:pStyle w:val="2"/>
        <w:spacing w:line="246" w:lineRule="auto"/>
        <w:rPr>
          <w:highlight w:val="none"/>
        </w:rPr>
      </w:pPr>
    </w:p>
    <w:p w14:paraId="569BBAF7">
      <w:pPr>
        <w:pStyle w:val="2"/>
        <w:spacing w:line="247" w:lineRule="auto"/>
        <w:rPr>
          <w:highlight w:val="none"/>
        </w:rPr>
      </w:pPr>
    </w:p>
    <w:p w14:paraId="2FF0D4E3">
      <w:pPr>
        <w:spacing w:before="65" w:line="219" w:lineRule="auto"/>
        <w:ind w:left="520"/>
        <w:rPr>
          <w:rFonts w:ascii="宋体" w:hAnsi="宋体" w:eastAsia="宋体" w:cs="宋体"/>
          <w:sz w:val="20"/>
          <w:szCs w:val="20"/>
          <w:highlight w:val="none"/>
        </w:rPr>
      </w:pPr>
      <w:bookmarkStart w:id="114" w:name="bookmark237"/>
      <w:bookmarkEnd w:id="114"/>
      <w:r>
        <w:rPr>
          <w:rFonts w:ascii="宋体" w:hAnsi="宋体" w:eastAsia="宋体" w:cs="宋体"/>
          <w:spacing w:val="14"/>
          <w:sz w:val="20"/>
          <w:szCs w:val="20"/>
          <w:highlight w:val="none"/>
        </w:rPr>
        <w:t>(2)向有管辖权的人民法院起诉。</w:t>
      </w:r>
    </w:p>
    <w:p w14:paraId="23659B68">
      <w:pPr>
        <w:pStyle w:val="2"/>
        <w:spacing w:line="319" w:lineRule="auto"/>
        <w:rPr>
          <w:highlight w:val="none"/>
        </w:rPr>
      </w:pPr>
    </w:p>
    <w:p w14:paraId="3B031FA2">
      <w:pPr>
        <w:pStyle w:val="2"/>
        <w:spacing w:before="72" w:line="300" w:lineRule="exact"/>
        <w:rPr>
          <w:rFonts w:ascii="黑体" w:hAnsi="黑体" w:eastAsia="黑体" w:cs="黑体"/>
          <w:sz w:val="22"/>
          <w:szCs w:val="22"/>
          <w:highlight w:val="none"/>
        </w:rPr>
      </w:pPr>
      <w:r>
        <w:rPr>
          <w:spacing w:val="-5"/>
          <w:position w:val="1"/>
          <w:sz w:val="22"/>
          <w:szCs w:val="22"/>
          <w:highlight w:val="none"/>
        </w:rPr>
        <w:t>20.5</w:t>
      </w:r>
      <w:r>
        <w:rPr>
          <w:spacing w:val="27"/>
          <w:position w:val="1"/>
          <w:sz w:val="22"/>
          <w:szCs w:val="22"/>
          <w:highlight w:val="none"/>
        </w:rPr>
        <w:t xml:space="preserve"> </w:t>
      </w:r>
      <w:r>
        <w:rPr>
          <w:rFonts w:ascii="黑体" w:hAnsi="黑体" w:eastAsia="黑体" w:cs="黑体"/>
          <w:spacing w:val="-5"/>
          <w:position w:val="1"/>
          <w:sz w:val="22"/>
          <w:szCs w:val="22"/>
          <w:highlight w:val="none"/>
        </w:rPr>
        <w:t>争议解决条款效力</w:t>
      </w:r>
    </w:p>
    <w:p w14:paraId="7C9BA9EA">
      <w:pPr>
        <w:spacing w:before="211" w:line="405" w:lineRule="auto"/>
        <w:ind w:right="26" w:firstLine="420"/>
        <w:rPr>
          <w:rFonts w:ascii="宋体" w:hAnsi="宋体" w:eastAsia="宋体" w:cs="宋体"/>
          <w:sz w:val="22"/>
          <w:szCs w:val="22"/>
          <w:highlight w:val="none"/>
        </w:rPr>
      </w:pPr>
      <w:r>
        <w:rPr>
          <w:rFonts w:ascii="宋体" w:hAnsi="宋体" w:eastAsia="宋体" w:cs="宋体"/>
          <w:spacing w:val="-12"/>
          <w:sz w:val="22"/>
          <w:szCs w:val="22"/>
          <w:highlight w:val="none"/>
        </w:rPr>
        <w:t>合同有关争议解决的条款独立存在，合同的不生效、无效、被撤销或</w:t>
      </w:r>
      <w:r>
        <w:rPr>
          <w:rFonts w:ascii="宋体" w:hAnsi="宋体" w:eastAsia="宋体" w:cs="宋体"/>
          <w:spacing w:val="-13"/>
          <w:sz w:val="22"/>
          <w:szCs w:val="22"/>
          <w:highlight w:val="none"/>
        </w:rPr>
        <w:t>者终止的，不影响</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合同中有关争议解决条款的效力。</w:t>
      </w:r>
    </w:p>
    <w:p w14:paraId="02221EF0">
      <w:pPr>
        <w:pStyle w:val="2"/>
        <w:spacing w:line="251" w:lineRule="auto"/>
        <w:rPr>
          <w:highlight w:val="none"/>
        </w:rPr>
      </w:pPr>
    </w:p>
    <w:p w14:paraId="12F245EB">
      <w:pPr>
        <w:pStyle w:val="2"/>
        <w:spacing w:line="251" w:lineRule="auto"/>
        <w:rPr>
          <w:highlight w:val="none"/>
        </w:rPr>
      </w:pPr>
    </w:p>
    <w:p w14:paraId="15530514">
      <w:pPr>
        <w:pStyle w:val="2"/>
        <w:spacing w:line="251" w:lineRule="auto"/>
        <w:rPr>
          <w:highlight w:val="none"/>
        </w:rPr>
      </w:pPr>
    </w:p>
    <w:p w14:paraId="524DAC66">
      <w:pPr>
        <w:pStyle w:val="2"/>
        <w:spacing w:line="251" w:lineRule="auto"/>
        <w:rPr>
          <w:highlight w:val="none"/>
        </w:rPr>
      </w:pPr>
    </w:p>
    <w:p w14:paraId="1AA89DE0">
      <w:pPr>
        <w:pStyle w:val="2"/>
        <w:spacing w:line="251" w:lineRule="auto"/>
        <w:rPr>
          <w:highlight w:val="none"/>
        </w:rPr>
      </w:pPr>
    </w:p>
    <w:p w14:paraId="71DB866B">
      <w:pPr>
        <w:pStyle w:val="2"/>
        <w:spacing w:line="251" w:lineRule="auto"/>
        <w:rPr>
          <w:highlight w:val="none"/>
        </w:rPr>
      </w:pPr>
    </w:p>
    <w:p w14:paraId="4F9AD413">
      <w:pPr>
        <w:pStyle w:val="2"/>
        <w:spacing w:line="251" w:lineRule="auto"/>
        <w:rPr>
          <w:highlight w:val="none"/>
        </w:rPr>
      </w:pPr>
    </w:p>
    <w:p w14:paraId="2E8D0652">
      <w:pPr>
        <w:pStyle w:val="2"/>
        <w:spacing w:line="251" w:lineRule="auto"/>
        <w:rPr>
          <w:highlight w:val="none"/>
        </w:rPr>
      </w:pPr>
    </w:p>
    <w:p w14:paraId="105677B9">
      <w:pPr>
        <w:pStyle w:val="2"/>
        <w:spacing w:line="251" w:lineRule="auto"/>
        <w:rPr>
          <w:highlight w:val="none"/>
        </w:rPr>
      </w:pPr>
    </w:p>
    <w:p w14:paraId="70AF5EAD">
      <w:pPr>
        <w:pStyle w:val="2"/>
        <w:spacing w:line="251" w:lineRule="auto"/>
        <w:rPr>
          <w:highlight w:val="none"/>
        </w:rPr>
      </w:pPr>
    </w:p>
    <w:p w14:paraId="020264D4">
      <w:pPr>
        <w:pStyle w:val="2"/>
        <w:spacing w:line="251" w:lineRule="auto"/>
        <w:rPr>
          <w:highlight w:val="none"/>
        </w:rPr>
      </w:pPr>
    </w:p>
    <w:p w14:paraId="3ADED7FB">
      <w:pPr>
        <w:pStyle w:val="2"/>
        <w:spacing w:line="251" w:lineRule="auto"/>
        <w:rPr>
          <w:highlight w:val="none"/>
        </w:rPr>
      </w:pPr>
    </w:p>
    <w:p w14:paraId="07138B41">
      <w:pPr>
        <w:pStyle w:val="2"/>
        <w:spacing w:line="251" w:lineRule="auto"/>
        <w:rPr>
          <w:highlight w:val="none"/>
        </w:rPr>
      </w:pPr>
    </w:p>
    <w:p w14:paraId="10BEB309">
      <w:pPr>
        <w:pStyle w:val="2"/>
        <w:spacing w:line="251" w:lineRule="auto"/>
        <w:rPr>
          <w:highlight w:val="none"/>
        </w:rPr>
      </w:pPr>
    </w:p>
    <w:p w14:paraId="11B867D8">
      <w:pPr>
        <w:pStyle w:val="2"/>
        <w:spacing w:line="251" w:lineRule="auto"/>
        <w:rPr>
          <w:highlight w:val="none"/>
        </w:rPr>
      </w:pPr>
    </w:p>
    <w:p w14:paraId="03DC2123">
      <w:pPr>
        <w:pStyle w:val="2"/>
        <w:spacing w:line="251" w:lineRule="auto"/>
        <w:rPr>
          <w:highlight w:val="none"/>
        </w:rPr>
      </w:pPr>
    </w:p>
    <w:p w14:paraId="2A607FE4">
      <w:pPr>
        <w:pStyle w:val="2"/>
        <w:spacing w:line="252" w:lineRule="auto"/>
        <w:rPr>
          <w:highlight w:val="none"/>
        </w:rPr>
      </w:pPr>
    </w:p>
    <w:p w14:paraId="58642DDB">
      <w:pPr>
        <w:pStyle w:val="2"/>
        <w:spacing w:line="252" w:lineRule="auto"/>
        <w:rPr>
          <w:highlight w:val="none"/>
        </w:rPr>
      </w:pPr>
    </w:p>
    <w:p w14:paraId="406BBEDC">
      <w:pPr>
        <w:pStyle w:val="2"/>
        <w:spacing w:line="252" w:lineRule="auto"/>
        <w:rPr>
          <w:highlight w:val="none"/>
        </w:rPr>
      </w:pPr>
    </w:p>
    <w:p w14:paraId="5AB88C58">
      <w:pPr>
        <w:spacing w:before="94" w:line="222" w:lineRule="auto"/>
        <w:ind w:left="2800"/>
        <w:outlineLvl w:val="1"/>
        <w:rPr>
          <w:rFonts w:ascii="黑体" w:hAnsi="黑体" w:eastAsia="黑体" w:cs="黑体"/>
          <w:sz w:val="29"/>
          <w:szCs w:val="29"/>
          <w:highlight w:val="none"/>
        </w:rPr>
      </w:pPr>
      <w:bookmarkStart w:id="115" w:name="bookmark67"/>
      <w:bookmarkEnd w:id="115"/>
      <w:r>
        <w:rPr>
          <w:rFonts w:ascii="黑体" w:hAnsi="黑体" w:eastAsia="黑体" w:cs="黑体"/>
          <w:spacing w:val="11"/>
          <w:sz w:val="29"/>
          <w:szCs w:val="29"/>
          <w:highlight w:val="none"/>
        </w:rPr>
        <w:t>第三节专用合同条件</w:t>
      </w:r>
    </w:p>
    <w:p w14:paraId="24663654">
      <w:pPr>
        <w:spacing w:before="284" w:line="223" w:lineRule="auto"/>
        <w:ind w:left="3310"/>
        <w:rPr>
          <w:rFonts w:ascii="黑体" w:hAnsi="黑体" w:eastAsia="黑体" w:cs="黑体"/>
          <w:sz w:val="29"/>
          <w:szCs w:val="29"/>
          <w:highlight w:val="none"/>
        </w:rPr>
      </w:pPr>
      <w:r>
        <w:rPr>
          <w:rFonts w:ascii="黑体" w:hAnsi="黑体" w:eastAsia="黑体" w:cs="黑体"/>
          <w:spacing w:val="-3"/>
          <w:sz w:val="29"/>
          <w:szCs w:val="29"/>
          <w:highlight w:val="none"/>
        </w:rPr>
        <w:t>专用合同条件</w:t>
      </w:r>
    </w:p>
    <w:p w14:paraId="3924D6C2">
      <w:pPr>
        <w:pStyle w:val="2"/>
        <w:spacing w:line="289" w:lineRule="auto"/>
        <w:rPr>
          <w:highlight w:val="none"/>
        </w:rPr>
      </w:pPr>
    </w:p>
    <w:p w14:paraId="5ADA8011">
      <w:pPr>
        <w:spacing w:before="84" w:line="221" w:lineRule="auto"/>
        <w:outlineLvl w:val="1"/>
        <w:rPr>
          <w:rFonts w:ascii="黑体" w:hAnsi="黑体" w:eastAsia="黑体" w:cs="黑体"/>
          <w:sz w:val="26"/>
          <w:szCs w:val="26"/>
          <w:highlight w:val="none"/>
        </w:rPr>
      </w:pPr>
      <w:bookmarkStart w:id="116" w:name="bookmark68"/>
      <w:bookmarkEnd w:id="116"/>
      <w:r>
        <w:rPr>
          <w:rFonts w:ascii="黑体" w:hAnsi="黑体" w:eastAsia="黑体" w:cs="黑体"/>
          <w:spacing w:val="-12"/>
          <w:sz w:val="26"/>
          <w:szCs w:val="26"/>
          <w:highlight w:val="none"/>
        </w:rPr>
        <w:t>第</w:t>
      </w:r>
      <w:r>
        <w:rPr>
          <w:rFonts w:ascii="黑体" w:hAnsi="黑体" w:eastAsia="黑体" w:cs="黑体"/>
          <w:spacing w:val="26"/>
          <w:sz w:val="26"/>
          <w:szCs w:val="26"/>
          <w:highlight w:val="none"/>
        </w:rPr>
        <w:t xml:space="preserve"> </w:t>
      </w:r>
      <w:r>
        <w:rPr>
          <w:rFonts w:ascii="黑体" w:hAnsi="黑体" w:eastAsia="黑体" w:cs="黑体"/>
          <w:spacing w:val="-12"/>
          <w:sz w:val="26"/>
          <w:szCs w:val="26"/>
          <w:highlight w:val="none"/>
        </w:rPr>
        <w:t>1</w:t>
      </w:r>
      <w:r>
        <w:rPr>
          <w:rFonts w:ascii="黑体" w:hAnsi="黑体" w:eastAsia="黑体" w:cs="黑体"/>
          <w:spacing w:val="-63"/>
          <w:sz w:val="26"/>
          <w:szCs w:val="26"/>
          <w:highlight w:val="none"/>
        </w:rPr>
        <w:t xml:space="preserve"> </w:t>
      </w:r>
      <w:r>
        <w:rPr>
          <w:rFonts w:ascii="黑体" w:hAnsi="黑体" w:eastAsia="黑体" w:cs="黑体"/>
          <w:spacing w:val="-12"/>
          <w:sz w:val="26"/>
          <w:szCs w:val="26"/>
          <w:highlight w:val="none"/>
        </w:rPr>
        <w:t>条</w:t>
      </w:r>
      <w:r>
        <w:rPr>
          <w:rFonts w:ascii="黑体" w:hAnsi="黑体" w:eastAsia="黑体" w:cs="黑体"/>
          <w:spacing w:val="-52"/>
          <w:sz w:val="26"/>
          <w:szCs w:val="26"/>
          <w:highlight w:val="none"/>
        </w:rPr>
        <w:t xml:space="preserve"> </w:t>
      </w:r>
      <w:r>
        <w:rPr>
          <w:rFonts w:ascii="黑体" w:hAnsi="黑体" w:eastAsia="黑体" w:cs="黑体"/>
          <w:spacing w:val="-12"/>
          <w:sz w:val="26"/>
          <w:szCs w:val="26"/>
          <w:highlight w:val="none"/>
        </w:rPr>
        <w:t>一</w:t>
      </w:r>
      <w:r>
        <w:rPr>
          <w:rFonts w:ascii="黑体" w:hAnsi="黑体" w:eastAsia="黑体" w:cs="黑体"/>
          <w:spacing w:val="-57"/>
          <w:sz w:val="26"/>
          <w:szCs w:val="26"/>
          <w:highlight w:val="none"/>
        </w:rPr>
        <w:t xml:space="preserve"> </w:t>
      </w:r>
      <w:r>
        <w:rPr>
          <w:rFonts w:ascii="黑体" w:hAnsi="黑体" w:eastAsia="黑体" w:cs="黑体"/>
          <w:spacing w:val="-12"/>
          <w:sz w:val="26"/>
          <w:szCs w:val="26"/>
          <w:highlight w:val="none"/>
        </w:rPr>
        <w:t>般</w:t>
      </w:r>
      <w:r>
        <w:rPr>
          <w:rFonts w:ascii="黑体" w:hAnsi="黑体" w:eastAsia="黑体" w:cs="黑体"/>
          <w:spacing w:val="-51"/>
          <w:sz w:val="26"/>
          <w:szCs w:val="26"/>
          <w:highlight w:val="none"/>
        </w:rPr>
        <w:t xml:space="preserve"> </w:t>
      </w:r>
      <w:r>
        <w:rPr>
          <w:rFonts w:ascii="黑体" w:hAnsi="黑体" w:eastAsia="黑体" w:cs="黑体"/>
          <w:spacing w:val="-12"/>
          <w:sz w:val="26"/>
          <w:szCs w:val="26"/>
          <w:highlight w:val="none"/>
        </w:rPr>
        <w:t>约</w:t>
      </w:r>
      <w:r>
        <w:rPr>
          <w:rFonts w:ascii="黑体" w:hAnsi="黑体" w:eastAsia="黑体" w:cs="黑体"/>
          <w:spacing w:val="-59"/>
          <w:sz w:val="26"/>
          <w:szCs w:val="26"/>
          <w:highlight w:val="none"/>
        </w:rPr>
        <w:t xml:space="preserve"> </w:t>
      </w:r>
      <w:r>
        <w:rPr>
          <w:rFonts w:ascii="黑体" w:hAnsi="黑体" w:eastAsia="黑体" w:cs="黑体"/>
          <w:spacing w:val="-12"/>
          <w:sz w:val="26"/>
          <w:szCs w:val="26"/>
          <w:highlight w:val="none"/>
        </w:rPr>
        <w:t>定</w:t>
      </w:r>
    </w:p>
    <w:p w14:paraId="5AB791C1">
      <w:pPr>
        <w:pStyle w:val="2"/>
        <w:spacing w:line="355" w:lineRule="auto"/>
        <w:rPr>
          <w:highlight w:val="none"/>
        </w:rPr>
      </w:pPr>
    </w:p>
    <w:p w14:paraId="32849521">
      <w:pPr>
        <w:pStyle w:val="2"/>
        <w:spacing w:before="72" w:line="222" w:lineRule="auto"/>
        <w:rPr>
          <w:rFonts w:ascii="黑体" w:hAnsi="黑体" w:eastAsia="黑体" w:cs="黑体"/>
          <w:sz w:val="22"/>
          <w:szCs w:val="22"/>
          <w:highlight w:val="none"/>
        </w:rPr>
      </w:pPr>
      <w:r>
        <w:rPr>
          <w:spacing w:val="-7"/>
          <w:sz w:val="22"/>
          <w:szCs w:val="22"/>
          <w:highlight w:val="none"/>
        </w:rPr>
        <w:t xml:space="preserve">1.1  </w:t>
      </w:r>
      <w:r>
        <w:rPr>
          <w:rFonts w:ascii="黑体" w:hAnsi="黑体" w:eastAsia="黑体" w:cs="黑体"/>
          <w:spacing w:val="-7"/>
          <w:sz w:val="22"/>
          <w:szCs w:val="22"/>
          <w:highlight w:val="none"/>
        </w:rPr>
        <w:t>词语定义和解释</w:t>
      </w:r>
    </w:p>
    <w:p w14:paraId="1B7B2115">
      <w:pPr>
        <w:spacing w:before="208" w:line="221" w:lineRule="auto"/>
        <w:ind w:left="420"/>
        <w:rPr>
          <w:rFonts w:ascii="宋体" w:hAnsi="宋体" w:eastAsia="宋体" w:cs="宋体"/>
          <w:sz w:val="20"/>
          <w:szCs w:val="20"/>
          <w:highlight w:val="none"/>
        </w:rPr>
      </w:pPr>
      <w:r>
        <w:rPr>
          <w:rFonts w:ascii="宋体" w:hAnsi="宋体" w:eastAsia="宋体" w:cs="宋体"/>
          <w:sz w:val="20"/>
          <w:szCs w:val="20"/>
          <w:highlight w:val="none"/>
        </w:rPr>
        <w:t>1.1.1</w:t>
      </w:r>
      <w:r>
        <w:rPr>
          <w:rFonts w:ascii="宋体" w:hAnsi="宋体" w:eastAsia="宋体" w:cs="宋体"/>
          <w:spacing w:val="46"/>
          <w:sz w:val="20"/>
          <w:szCs w:val="20"/>
          <w:highlight w:val="none"/>
        </w:rPr>
        <w:t xml:space="preserve"> </w:t>
      </w:r>
      <w:r>
        <w:rPr>
          <w:rFonts w:ascii="宋体" w:hAnsi="宋体" w:eastAsia="宋体" w:cs="宋体"/>
          <w:sz w:val="20"/>
          <w:szCs w:val="20"/>
          <w:highlight w:val="none"/>
        </w:rPr>
        <w:t>合同</w:t>
      </w:r>
    </w:p>
    <w:p w14:paraId="4BBDD033">
      <w:pPr>
        <w:spacing w:before="239" w:line="219" w:lineRule="auto"/>
        <w:ind w:left="610"/>
        <w:rPr>
          <w:rFonts w:ascii="Times New Roman" w:hAnsi="Times New Roman" w:eastAsia="Times New Roman" w:cs="Times New Roman"/>
          <w:sz w:val="10"/>
          <w:szCs w:val="10"/>
          <w:highlight w:val="none"/>
        </w:rPr>
      </w:pPr>
      <w:r>
        <w:rPr>
          <w:rFonts w:ascii="宋体" w:hAnsi="宋体" w:eastAsia="宋体" w:cs="宋体"/>
          <w:spacing w:val="-5"/>
          <w:sz w:val="23"/>
          <w:szCs w:val="23"/>
          <w:highlight w:val="none"/>
        </w:rPr>
        <w:t>1.1.1.10其他合同文件：</w:t>
      </w:r>
      <w:r>
        <w:rPr>
          <w:rFonts w:ascii="宋体" w:hAnsi="宋体" w:eastAsia="宋体" w:cs="宋体"/>
          <w:spacing w:val="1"/>
          <w:sz w:val="23"/>
          <w:szCs w:val="23"/>
          <w:highlight w:val="none"/>
          <w:u w:val="single" w:color="auto"/>
        </w:rPr>
        <w:t xml:space="preserve">                    </w:t>
      </w:r>
      <w:r>
        <w:rPr>
          <w:rFonts w:ascii="宋体" w:hAnsi="宋体" w:eastAsia="宋体" w:cs="宋体"/>
          <w:sz w:val="23"/>
          <w:szCs w:val="23"/>
          <w:highlight w:val="none"/>
          <w:u w:val="single" w:color="auto"/>
        </w:rPr>
        <w:t xml:space="preserve">    </w:t>
      </w:r>
      <w:r>
        <w:rPr>
          <w:rFonts w:ascii="宋体" w:hAnsi="宋体" w:eastAsia="宋体" w:cs="宋体"/>
          <w:spacing w:val="-104"/>
          <w:sz w:val="23"/>
          <w:szCs w:val="23"/>
          <w:highlight w:val="none"/>
        </w:rPr>
        <w:t xml:space="preserve"> </w:t>
      </w:r>
      <w:r>
        <w:rPr>
          <w:rFonts w:ascii="Times New Roman" w:hAnsi="Times New Roman" w:eastAsia="Times New Roman" w:cs="Times New Roman"/>
          <w:spacing w:val="-5"/>
          <w:sz w:val="10"/>
          <w:szCs w:val="10"/>
          <w:highlight w:val="none"/>
        </w:rPr>
        <w:t>_o</w:t>
      </w:r>
    </w:p>
    <w:p w14:paraId="7D491604">
      <w:pPr>
        <w:spacing w:before="206" w:line="220" w:lineRule="auto"/>
        <w:ind w:left="420"/>
        <w:rPr>
          <w:rFonts w:ascii="宋体" w:hAnsi="宋体" w:eastAsia="宋体" w:cs="宋体"/>
          <w:sz w:val="20"/>
          <w:szCs w:val="20"/>
          <w:highlight w:val="none"/>
        </w:rPr>
      </w:pPr>
      <w:r>
        <w:rPr>
          <w:rFonts w:ascii="Times New Roman" w:hAnsi="Times New Roman" w:eastAsia="Times New Roman" w:cs="Times New Roman"/>
          <w:spacing w:val="1"/>
          <w:sz w:val="20"/>
          <w:szCs w:val="20"/>
          <w:highlight w:val="none"/>
        </w:rPr>
        <w:t xml:space="preserve">1.1.3     </w:t>
      </w:r>
      <w:r>
        <w:rPr>
          <w:rFonts w:ascii="宋体" w:hAnsi="宋体" w:eastAsia="宋体" w:cs="宋体"/>
          <w:spacing w:val="1"/>
          <w:sz w:val="20"/>
          <w:szCs w:val="20"/>
          <w:highlight w:val="none"/>
        </w:rPr>
        <w:t>工程和设备</w:t>
      </w:r>
    </w:p>
    <w:p w14:paraId="23AD3E31">
      <w:pPr>
        <w:spacing w:before="262" w:line="221" w:lineRule="auto"/>
        <w:ind w:left="610"/>
        <w:rPr>
          <w:rFonts w:ascii="Times New Roman" w:hAnsi="Times New Roman" w:eastAsia="Times New Roman" w:cs="Times New Roman"/>
          <w:sz w:val="9"/>
          <w:szCs w:val="9"/>
          <w:highlight w:val="none"/>
        </w:rPr>
      </w:pPr>
      <w:r>
        <w:rPr>
          <w:rFonts w:ascii="宋体" w:hAnsi="宋体" w:eastAsia="宋体" w:cs="宋体"/>
          <w:spacing w:val="11"/>
          <w:sz w:val="19"/>
          <w:szCs w:val="19"/>
          <w:highlight w:val="none"/>
        </w:rPr>
        <w:t>1.</w:t>
      </w:r>
      <w:r>
        <w:rPr>
          <w:rFonts w:ascii="宋体" w:hAnsi="宋体" w:eastAsia="宋体" w:cs="宋体"/>
          <w:spacing w:val="-49"/>
          <w:sz w:val="19"/>
          <w:szCs w:val="19"/>
          <w:highlight w:val="none"/>
        </w:rPr>
        <w:t xml:space="preserve"> </w:t>
      </w:r>
      <w:r>
        <w:rPr>
          <w:rFonts w:ascii="宋体" w:hAnsi="宋体" w:eastAsia="宋体" w:cs="宋体"/>
          <w:spacing w:val="11"/>
          <w:sz w:val="19"/>
          <w:szCs w:val="19"/>
          <w:highlight w:val="none"/>
        </w:rPr>
        <w:t xml:space="preserve">1.3.5单位/区段工程的范围： </w:t>
      </w:r>
      <w:r>
        <w:rPr>
          <w:rFonts w:ascii="宋体" w:hAnsi="宋体" w:eastAsia="宋体" w:cs="宋体"/>
          <w:spacing w:val="1"/>
          <w:sz w:val="19"/>
          <w:szCs w:val="19"/>
          <w:highlight w:val="none"/>
          <w:u w:val="single" w:color="auto"/>
        </w:rPr>
        <w:t xml:space="preserve">                       </w:t>
      </w:r>
      <w:r>
        <w:rPr>
          <w:rFonts w:ascii="宋体" w:hAnsi="宋体" w:eastAsia="宋体" w:cs="宋体"/>
          <w:spacing w:val="-83"/>
          <w:sz w:val="19"/>
          <w:szCs w:val="19"/>
          <w:highlight w:val="none"/>
        </w:rPr>
        <w:t xml:space="preserve"> </w:t>
      </w:r>
      <w:r>
        <w:rPr>
          <w:rFonts w:ascii="Times New Roman" w:hAnsi="Times New Roman" w:eastAsia="Times New Roman" w:cs="Times New Roman"/>
          <w:spacing w:val="10"/>
          <w:position w:val="-2"/>
          <w:sz w:val="9"/>
          <w:szCs w:val="9"/>
          <w:highlight w:val="none"/>
        </w:rPr>
        <w:t>_o</w:t>
      </w:r>
    </w:p>
    <w:p w14:paraId="0213DADA">
      <w:pPr>
        <w:spacing w:before="233" w:line="219" w:lineRule="auto"/>
        <w:ind w:left="610"/>
        <w:rPr>
          <w:rFonts w:ascii="Times New Roman" w:hAnsi="Times New Roman" w:eastAsia="Times New Roman" w:cs="Times New Roman"/>
          <w:sz w:val="9"/>
          <w:szCs w:val="9"/>
          <w:highlight w:val="none"/>
        </w:rPr>
      </w:pPr>
      <w:r>
        <w:rPr>
          <w:rFonts w:ascii="宋体" w:hAnsi="宋体" w:eastAsia="宋体" w:cs="宋体"/>
          <w:sz w:val="21"/>
          <w:szCs w:val="21"/>
          <w:highlight w:val="none"/>
        </w:rPr>
        <w:t>1.1.3.9作为施工场所组成部分的其他场所包</w:t>
      </w:r>
      <w:r>
        <w:rPr>
          <w:rFonts w:ascii="宋体" w:hAnsi="宋体" w:eastAsia="宋体" w:cs="宋体"/>
          <w:spacing w:val="-1"/>
          <w:sz w:val="21"/>
          <w:szCs w:val="21"/>
          <w:highlight w:val="none"/>
        </w:rPr>
        <w:t xml:space="preserve">括： </w:t>
      </w:r>
      <w:r>
        <w:rPr>
          <w:rFonts w:ascii="宋体" w:hAnsi="宋体" w:eastAsia="宋体" w:cs="宋体"/>
          <w:spacing w:val="16"/>
          <w:sz w:val="21"/>
          <w:szCs w:val="21"/>
          <w:highlight w:val="none"/>
          <w:u w:val="single" w:color="auto"/>
        </w:rPr>
        <w:t xml:space="preserve">      </w:t>
      </w:r>
      <w:r>
        <w:rPr>
          <w:rFonts w:ascii="Times New Roman" w:hAnsi="Times New Roman" w:eastAsia="Times New Roman" w:cs="Times New Roman"/>
          <w:spacing w:val="-1"/>
          <w:position w:val="1"/>
          <w:sz w:val="9"/>
          <w:szCs w:val="9"/>
          <w:highlight w:val="none"/>
        </w:rPr>
        <w:t>_o</w:t>
      </w:r>
    </w:p>
    <w:p w14:paraId="3F2F3436">
      <w:pPr>
        <w:spacing w:before="261" w:line="221" w:lineRule="auto"/>
        <w:ind w:left="610"/>
        <w:rPr>
          <w:rFonts w:ascii="Times New Roman" w:hAnsi="Times New Roman" w:eastAsia="Times New Roman" w:cs="Times New Roman"/>
          <w:sz w:val="7"/>
          <w:szCs w:val="7"/>
          <w:highlight w:val="none"/>
        </w:rPr>
      </w:pPr>
      <w:r>
        <w:rPr>
          <w:highlight w:val="none"/>
        </w:rPr>
        <w:fldChar w:fldCharType="begin"/>
      </w:r>
      <w:r>
        <w:rPr>
          <w:highlight w:val="none"/>
        </w:rPr>
        <w:instrText xml:space="preserve"> HYPERLINK "1.1.3.10" </w:instrText>
      </w:r>
      <w:r>
        <w:rPr>
          <w:highlight w:val="none"/>
        </w:rPr>
        <w:fldChar w:fldCharType="separate"/>
      </w:r>
      <w:r>
        <w:rPr>
          <w:rFonts w:ascii="Times New Roman" w:hAnsi="Times New Roman" w:eastAsia="Times New Roman" w:cs="Times New Roman"/>
          <w:spacing w:val="3"/>
          <w:sz w:val="20"/>
          <w:szCs w:val="20"/>
          <w:highlight w:val="none"/>
        </w:rPr>
        <w:t>1.1.3.10</w:t>
      </w:r>
      <w:r>
        <w:rPr>
          <w:rFonts w:ascii="Times New Roman" w:hAnsi="Times New Roman" w:eastAsia="Times New Roman" w:cs="Times New Roman"/>
          <w:spacing w:val="3"/>
          <w:sz w:val="20"/>
          <w:szCs w:val="20"/>
          <w:highlight w:val="none"/>
        </w:rPr>
        <w:fldChar w:fldCharType="end"/>
      </w:r>
      <w:r>
        <w:rPr>
          <w:rFonts w:ascii="Times New Roman" w:hAnsi="Times New Roman" w:eastAsia="Times New Roman" w:cs="Times New Roman"/>
          <w:spacing w:val="2"/>
          <w:sz w:val="20"/>
          <w:szCs w:val="20"/>
          <w:highlight w:val="none"/>
        </w:rPr>
        <w:t xml:space="preserve">      </w:t>
      </w:r>
      <w:r>
        <w:rPr>
          <w:rFonts w:ascii="宋体" w:hAnsi="宋体" w:eastAsia="宋体" w:cs="宋体"/>
          <w:spacing w:val="3"/>
          <w:sz w:val="20"/>
          <w:szCs w:val="20"/>
          <w:highlight w:val="none"/>
        </w:rPr>
        <w:t>永久占地包括</w:t>
      </w:r>
      <w:r>
        <w:rPr>
          <w:rFonts w:ascii="宋体" w:hAnsi="宋体" w:eastAsia="宋体" w:cs="宋体"/>
          <w:spacing w:val="-54"/>
          <w:sz w:val="20"/>
          <w:szCs w:val="20"/>
          <w:highlight w:val="none"/>
        </w:rPr>
        <w:t xml:space="preserve"> </w:t>
      </w:r>
      <w:r>
        <w:rPr>
          <w:rFonts w:ascii="宋体" w:hAnsi="宋体" w:eastAsia="宋体" w:cs="宋体"/>
          <w:spacing w:val="3"/>
          <w:sz w:val="20"/>
          <w:szCs w:val="20"/>
          <w:highlight w:val="none"/>
        </w:rPr>
        <w:t>：</w:t>
      </w:r>
      <w:r>
        <w:rPr>
          <w:rFonts w:ascii="宋体" w:hAnsi="宋体" w:eastAsia="宋体" w:cs="宋体"/>
          <w:spacing w:val="3"/>
          <w:sz w:val="20"/>
          <w:szCs w:val="20"/>
          <w:highlight w:val="none"/>
          <w:u w:val="single" w:color="auto"/>
        </w:rPr>
        <w:t xml:space="preserve">                           </w:t>
      </w:r>
      <w:r>
        <w:rPr>
          <w:rFonts w:ascii="宋体" w:hAnsi="宋体" w:eastAsia="宋体" w:cs="宋体"/>
          <w:spacing w:val="-90"/>
          <w:sz w:val="20"/>
          <w:szCs w:val="20"/>
          <w:highlight w:val="none"/>
        </w:rPr>
        <w:t xml:space="preserve"> </w:t>
      </w:r>
      <w:r>
        <w:rPr>
          <w:rFonts w:ascii="Times New Roman" w:hAnsi="Times New Roman" w:eastAsia="Times New Roman" w:cs="Times New Roman"/>
          <w:spacing w:val="3"/>
          <w:position w:val="3"/>
          <w:sz w:val="7"/>
          <w:szCs w:val="7"/>
          <w:highlight w:val="none"/>
        </w:rPr>
        <w:t>_o</w:t>
      </w:r>
    </w:p>
    <w:p w14:paraId="4457A4B1">
      <w:pPr>
        <w:spacing w:before="177" w:line="212" w:lineRule="auto"/>
        <w:ind w:left="610"/>
        <w:rPr>
          <w:rFonts w:ascii="Times New Roman" w:hAnsi="Times New Roman" w:eastAsia="Times New Roman" w:cs="Times New Roman"/>
          <w:sz w:val="20"/>
          <w:szCs w:val="20"/>
          <w:highlight w:val="none"/>
        </w:rPr>
      </w:pPr>
      <w:r>
        <w:rPr>
          <w:highlight w:val="none"/>
        </w:rPr>
        <w:fldChar w:fldCharType="begin"/>
      </w:r>
      <w:r>
        <w:rPr>
          <w:highlight w:val="none"/>
        </w:rPr>
        <w:instrText xml:space="preserve"> HYPERLINK "1.1.3.11" </w:instrText>
      </w:r>
      <w:r>
        <w:rPr>
          <w:highlight w:val="none"/>
        </w:rPr>
        <w:fldChar w:fldCharType="separate"/>
      </w:r>
      <w:r>
        <w:rPr>
          <w:rFonts w:ascii="Times New Roman" w:hAnsi="Times New Roman" w:eastAsia="Times New Roman" w:cs="Times New Roman"/>
          <w:spacing w:val="-4"/>
          <w:sz w:val="20"/>
          <w:szCs w:val="20"/>
          <w:highlight w:val="none"/>
        </w:rPr>
        <w:t>1.1.3.11</w:t>
      </w:r>
      <w:r>
        <w:rPr>
          <w:rFonts w:ascii="Times New Roman" w:hAnsi="Times New Roman" w:eastAsia="Times New Roman" w:cs="Times New Roman"/>
          <w:spacing w:val="-4"/>
          <w:sz w:val="20"/>
          <w:szCs w:val="20"/>
          <w:highlight w:val="none"/>
        </w:rPr>
        <w:fldChar w:fldCharType="end"/>
      </w:r>
      <w:r>
        <w:rPr>
          <w:rFonts w:ascii="Times New Roman" w:hAnsi="Times New Roman" w:eastAsia="Times New Roman" w:cs="Times New Roman"/>
          <w:spacing w:val="-4"/>
          <w:sz w:val="20"/>
          <w:szCs w:val="20"/>
          <w:highlight w:val="none"/>
        </w:rPr>
        <w:t xml:space="preserve">      </w:t>
      </w:r>
      <w:r>
        <w:rPr>
          <w:rFonts w:ascii="宋体" w:hAnsi="宋体" w:eastAsia="宋体" w:cs="宋体"/>
          <w:spacing w:val="-4"/>
          <w:sz w:val="20"/>
          <w:szCs w:val="20"/>
          <w:highlight w:val="none"/>
        </w:rPr>
        <w:t>临时占地包括：</w:t>
      </w:r>
      <w:r>
        <w:rPr>
          <w:rFonts w:ascii="宋体" w:hAnsi="宋体" w:eastAsia="宋体" w:cs="宋体"/>
          <w:spacing w:val="-32"/>
          <w:sz w:val="20"/>
          <w:szCs w:val="20"/>
          <w:highlight w:val="none"/>
        </w:rPr>
        <w:t xml:space="preserve"> </w:t>
      </w:r>
      <w:r>
        <w:rPr>
          <w:rFonts w:ascii="宋体" w:hAnsi="宋体" w:eastAsia="宋体" w:cs="宋体"/>
          <w:spacing w:val="2"/>
          <w:sz w:val="20"/>
          <w:szCs w:val="20"/>
          <w:highlight w:val="none"/>
          <w:u w:val="single" w:color="auto"/>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89"/>
          <w:sz w:val="20"/>
          <w:szCs w:val="20"/>
          <w:highlight w:val="none"/>
        </w:rPr>
        <w:t xml:space="preserve"> </w:t>
      </w:r>
      <w:r>
        <w:rPr>
          <w:rFonts w:ascii="Times New Roman" w:hAnsi="Times New Roman" w:eastAsia="Times New Roman" w:cs="Times New Roman"/>
          <w:spacing w:val="-4"/>
          <w:sz w:val="20"/>
          <w:szCs w:val="20"/>
          <w:highlight w:val="none"/>
        </w:rPr>
        <w:t>_o</w:t>
      </w:r>
    </w:p>
    <w:p w14:paraId="4D0EC145">
      <w:pPr>
        <w:pStyle w:val="2"/>
        <w:spacing w:line="358" w:lineRule="auto"/>
        <w:rPr>
          <w:highlight w:val="none"/>
        </w:rPr>
      </w:pPr>
    </w:p>
    <w:p w14:paraId="30957486">
      <w:pPr>
        <w:pStyle w:val="2"/>
        <w:spacing w:before="72" w:line="222" w:lineRule="auto"/>
        <w:rPr>
          <w:rFonts w:ascii="黑体" w:hAnsi="黑体" w:eastAsia="黑体" w:cs="黑体"/>
          <w:sz w:val="22"/>
          <w:szCs w:val="22"/>
          <w:highlight w:val="none"/>
        </w:rPr>
      </w:pPr>
      <w:r>
        <w:rPr>
          <w:spacing w:val="-6"/>
          <w:sz w:val="22"/>
          <w:szCs w:val="22"/>
          <w:highlight w:val="none"/>
        </w:rPr>
        <w:t xml:space="preserve">1.2  </w:t>
      </w:r>
      <w:r>
        <w:rPr>
          <w:rFonts w:ascii="黑体" w:hAnsi="黑体" w:eastAsia="黑体" w:cs="黑体"/>
          <w:spacing w:val="-6"/>
          <w:sz w:val="22"/>
          <w:szCs w:val="22"/>
          <w:highlight w:val="none"/>
        </w:rPr>
        <w:t>语言文字</w:t>
      </w:r>
    </w:p>
    <w:p w14:paraId="1498FB65">
      <w:pPr>
        <w:spacing w:before="235" w:line="219" w:lineRule="auto"/>
        <w:ind w:left="460"/>
        <w:rPr>
          <w:rFonts w:ascii="宋体" w:hAnsi="宋体" w:eastAsia="宋体" w:cs="宋体"/>
          <w:sz w:val="20"/>
          <w:szCs w:val="20"/>
          <w:highlight w:val="none"/>
        </w:rPr>
      </w:pPr>
      <w:r>
        <w:rPr>
          <w:rFonts w:ascii="宋体" w:hAnsi="宋体" w:eastAsia="宋体" w:cs="宋体"/>
          <w:spacing w:val="5"/>
          <w:sz w:val="20"/>
          <w:szCs w:val="20"/>
          <w:highlight w:val="none"/>
        </w:rPr>
        <w:t>本合同除使用汉语外，还使用</w:t>
      </w:r>
      <w:r>
        <w:rPr>
          <w:rFonts w:ascii="宋体" w:hAnsi="宋体" w:eastAsia="宋体" w:cs="宋体"/>
          <w:spacing w:val="5"/>
          <w:sz w:val="20"/>
          <w:szCs w:val="20"/>
          <w:highlight w:val="none"/>
          <w:u w:val="single" w:color="auto"/>
        </w:rPr>
        <w:t xml:space="preserve">                    </w:t>
      </w:r>
      <w:r>
        <w:rPr>
          <w:rFonts w:ascii="宋体" w:hAnsi="宋体" w:eastAsia="宋体" w:cs="宋体"/>
          <w:spacing w:val="-82"/>
          <w:sz w:val="20"/>
          <w:szCs w:val="20"/>
          <w:highlight w:val="none"/>
        </w:rPr>
        <w:t xml:space="preserve"> </w:t>
      </w:r>
      <w:r>
        <w:rPr>
          <w:rFonts w:ascii="宋体" w:hAnsi="宋体" w:eastAsia="宋体" w:cs="宋体"/>
          <w:spacing w:val="5"/>
          <w:sz w:val="20"/>
          <w:szCs w:val="20"/>
          <w:highlight w:val="none"/>
        </w:rPr>
        <w:t>语言。</w:t>
      </w:r>
    </w:p>
    <w:p w14:paraId="3ECF21A3">
      <w:pPr>
        <w:spacing w:line="219" w:lineRule="auto"/>
        <w:rPr>
          <w:rFonts w:ascii="宋体" w:hAnsi="宋体" w:eastAsia="宋体" w:cs="宋体"/>
          <w:sz w:val="20"/>
          <w:szCs w:val="20"/>
          <w:highlight w:val="none"/>
        </w:rPr>
        <w:sectPr>
          <w:footerReference r:id="rId146" w:type="default"/>
          <w:pgSz w:w="11910" w:h="16840"/>
          <w:pgMar w:top="400" w:right="1786" w:bottom="1169" w:left="1779" w:header="0" w:footer="1028" w:gutter="0"/>
          <w:cols w:space="720" w:num="1"/>
        </w:sectPr>
      </w:pPr>
    </w:p>
    <w:p w14:paraId="7553A0A4">
      <w:pPr>
        <w:pStyle w:val="2"/>
        <w:spacing w:line="277" w:lineRule="auto"/>
        <w:rPr>
          <w:highlight w:val="none"/>
        </w:rPr>
      </w:pPr>
    </w:p>
    <w:p w14:paraId="5432C10D">
      <w:pPr>
        <w:pStyle w:val="2"/>
        <w:spacing w:line="277" w:lineRule="auto"/>
        <w:rPr>
          <w:highlight w:val="none"/>
        </w:rPr>
      </w:pPr>
    </w:p>
    <w:p w14:paraId="34A34778">
      <w:pPr>
        <w:pStyle w:val="2"/>
        <w:spacing w:line="277" w:lineRule="auto"/>
        <w:rPr>
          <w:highlight w:val="none"/>
        </w:rPr>
      </w:pPr>
    </w:p>
    <w:p w14:paraId="09B7C3B9">
      <w:pPr>
        <w:pStyle w:val="2"/>
        <w:spacing w:line="278" w:lineRule="auto"/>
        <w:rPr>
          <w:highlight w:val="none"/>
        </w:rPr>
      </w:pPr>
    </w:p>
    <w:p w14:paraId="00D52297">
      <w:pPr>
        <w:spacing w:before="62" w:line="222" w:lineRule="auto"/>
        <w:rPr>
          <w:rFonts w:ascii="黑体" w:hAnsi="黑体" w:eastAsia="黑体" w:cs="黑体"/>
          <w:sz w:val="19"/>
          <w:szCs w:val="19"/>
          <w:highlight w:val="none"/>
        </w:rPr>
      </w:pPr>
      <w:bookmarkStart w:id="117" w:name="bookmark238"/>
      <w:bookmarkEnd w:id="117"/>
      <w:r>
        <w:rPr>
          <w:rFonts w:ascii="黑体" w:hAnsi="黑体" w:eastAsia="黑体" w:cs="黑体"/>
          <w:spacing w:val="-10"/>
          <w:sz w:val="19"/>
          <w:szCs w:val="19"/>
          <w:highlight w:val="none"/>
        </w:rPr>
        <w:t>1</w:t>
      </w:r>
      <w:r>
        <w:rPr>
          <w:rFonts w:ascii="黑体" w:hAnsi="黑体" w:eastAsia="黑体" w:cs="黑体"/>
          <w:spacing w:val="-35"/>
          <w:sz w:val="19"/>
          <w:szCs w:val="19"/>
          <w:highlight w:val="none"/>
        </w:rPr>
        <w:t xml:space="preserve"> </w:t>
      </w:r>
      <w:r>
        <w:rPr>
          <w:rFonts w:ascii="黑体" w:hAnsi="黑体" w:eastAsia="黑体" w:cs="黑体"/>
          <w:spacing w:val="-10"/>
          <w:sz w:val="19"/>
          <w:szCs w:val="19"/>
          <w:highlight w:val="none"/>
        </w:rPr>
        <w:t>.</w:t>
      </w:r>
      <w:r>
        <w:rPr>
          <w:rFonts w:ascii="黑体" w:hAnsi="黑体" w:eastAsia="黑体" w:cs="黑体"/>
          <w:spacing w:val="-42"/>
          <w:sz w:val="19"/>
          <w:szCs w:val="19"/>
          <w:highlight w:val="none"/>
        </w:rPr>
        <w:t xml:space="preserve"> </w:t>
      </w:r>
      <w:r>
        <w:rPr>
          <w:rFonts w:ascii="黑体" w:hAnsi="黑体" w:eastAsia="黑体" w:cs="黑体"/>
          <w:spacing w:val="-10"/>
          <w:sz w:val="19"/>
          <w:szCs w:val="19"/>
          <w:highlight w:val="none"/>
        </w:rPr>
        <w:t>3</w:t>
      </w:r>
      <w:r>
        <w:rPr>
          <w:rFonts w:ascii="黑体" w:hAnsi="黑体" w:eastAsia="黑体" w:cs="黑体"/>
          <w:spacing w:val="-41"/>
          <w:sz w:val="19"/>
          <w:szCs w:val="19"/>
          <w:highlight w:val="none"/>
        </w:rPr>
        <w:t xml:space="preserve"> </w:t>
      </w:r>
      <w:r>
        <w:rPr>
          <w:rFonts w:ascii="黑体" w:hAnsi="黑体" w:eastAsia="黑体" w:cs="黑体"/>
          <w:spacing w:val="-10"/>
          <w:sz w:val="19"/>
          <w:szCs w:val="19"/>
          <w:highlight w:val="none"/>
        </w:rPr>
        <w:t>法</w:t>
      </w:r>
      <w:r>
        <w:rPr>
          <w:rFonts w:ascii="黑体" w:hAnsi="黑体" w:eastAsia="黑体" w:cs="黑体"/>
          <w:spacing w:val="-42"/>
          <w:sz w:val="19"/>
          <w:szCs w:val="19"/>
          <w:highlight w:val="none"/>
        </w:rPr>
        <w:t xml:space="preserve"> </w:t>
      </w:r>
      <w:r>
        <w:rPr>
          <w:rFonts w:ascii="黑体" w:hAnsi="黑体" w:eastAsia="黑体" w:cs="黑体"/>
          <w:spacing w:val="-10"/>
          <w:sz w:val="19"/>
          <w:szCs w:val="19"/>
          <w:highlight w:val="none"/>
        </w:rPr>
        <w:t>律</w:t>
      </w:r>
    </w:p>
    <w:p w14:paraId="23DEBC60">
      <w:pPr>
        <w:spacing w:before="232" w:line="219" w:lineRule="auto"/>
        <w:ind w:left="430"/>
        <w:rPr>
          <w:sz w:val="22"/>
          <w:szCs w:val="22"/>
          <w:highlight w:val="none"/>
        </w:rPr>
      </w:pPr>
      <w:r>
        <w:rPr>
          <w:rFonts w:ascii="宋体" w:hAnsi="宋体" w:eastAsia="宋体" w:cs="宋体"/>
          <w:spacing w:val="-10"/>
          <w:sz w:val="22"/>
          <w:szCs w:val="22"/>
          <w:highlight w:val="none"/>
        </w:rPr>
        <w:t>适用于合同的其他规范性文件：</w:t>
      </w:r>
      <w:r>
        <w:rPr>
          <w:rFonts w:ascii="宋体" w:hAnsi="宋体" w:eastAsia="宋体" w:cs="宋体"/>
          <w:spacing w:val="5"/>
          <w:sz w:val="22"/>
          <w:szCs w:val="22"/>
          <w:highlight w:val="none"/>
          <w:u w:val="single" w:color="auto"/>
        </w:rPr>
        <w:t xml:space="preserve">                    </w:t>
      </w:r>
      <w:r>
        <w:rPr>
          <w:position w:val="2"/>
          <w:sz w:val="22"/>
          <w:szCs w:val="22"/>
          <w:highlight w:val="none"/>
        </w:rPr>
        <w:drawing>
          <wp:inline distT="0" distB="0" distL="0" distR="0">
            <wp:extent cx="37465" cy="2794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314"/>
                    <a:stretch>
                      <a:fillRect/>
                    </a:stretch>
                  </pic:blipFill>
                  <pic:spPr>
                    <a:xfrm>
                      <a:off x="0" y="0"/>
                      <a:ext cx="38078" cy="28551"/>
                    </a:xfrm>
                    <a:prstGeom prst="rect">
                      <a:avLst/>
                    </a:prstGeom>
                  </pic:spPr>
                </pic:pic>
              </a:graphicData>
            </a:graphic>
          </wp:inline>
        </w:drawing>
      </w:r>
    </w:p>
    <w:p w14:paraId="7D0EAFC7">
      <w:pPr>
        <w:pStyle w:val="2"/>
        <w:spacing w:line="306" w:lineRule="auto"/>
        <w:rPr>
          <w:highlight w:val="none"/>
        </w:rPr>
      </w:pPr>
    </w:p>
    <w:p w14:paraId="34EFDB04">
      <w:pPr>
        <w:spacing w:before="71" w:line="223" w:lineRule="auto"/>
        <w:rPr>
          <w:rFonts w:ascii="黑体" w:hAnsi="黑体" w:eastAsia="黑体" w:cs="黑体"/>
          <w:sz w:val="22"/>
          <w:szCs w:val="22"/>
          <w:highlight w:val="none"/>
        </w:rPr>
      </w:pPr>
      <w:r>
        <w:rPr>
          <w:rFonts w:ascii="黑体" w:hAnsi="黑体" w:eastAsia="黑体" w:cs="黑体"/>
          <w:spacing w:val="5"/>
          <w:sz w:val="22"/>
          <w:szCs w:val="22"/>
          <w:highlight w:val="none"/>
        </w:rPr>
        <w:t>1.4标准和规范</w:t>
      </w:r>
    </w:p>
    <w:p w14:paraId="790F9B89">
      <w:pPr>
        <w:pStyle w:val="2"/>
        <w:spacing w:before="212" w:line="219" w:lineRule="auto"/>
        <w:ind w:left="430"/>
        <w:rPr>
          <w:sz w:val="6"/>
          <w:szCs w:val="6"/>
          <w:highlight w:val="none"/>
        </w:rPr>
      </w:pPr>
      <w:r>
        <w:rPr>
          <w:rFonts w:ascii="Times New Roman" w:hAnsi="Times New Roman" w:eastAsia="Times New Roman" w:cs="Times New Roman"/>
          <w:sz w:val="22"/>
          <w:szCs w:val="22"/>
          <w:highlight w:val="none"/>
        </w:rPr>
        <w:t xml:space="preserve">1.4.1   </w:t>
      </w:r>
      <w:r>
        <w:rPr>
          <w:rFonts w:ascii="宋体" w:hAnsi="宋体" w:eastAsia="宋体" w:cs="宋体"/>
          <w:sz w:val="22"/>
          <w:szCs w:val="22"/>
          <w:highlight w:val="none"/>
        </w:rPr>
        <w:t>适用于本合同的标准、规范(名称)包括：</w:t>
      </w:r>
      <w:r>
        <w:rPr>
          <w:rFonts w:ascii="宋体" w:hAnsi="宋体" w:eastAsia="宋体" w:cs="宋体"/>
          <w:spacing w:val="-46"/>
          <w:sz w:val="22"/>
          <w:szCs w:val="22"/>
          <w:highlight w:val="none"/>
        </w:rPr>
        <w:t xml:space="preserve"> </w:t>
      </w:r>
      <w:r>
        <w:rPr>
          <w:rFonts w:ascii="宋体" w:hAnsi="宋体" w:eastAsia="宋体" w:cs="宋体"/>
          <w:spacing w:val="7"/>
          <w:sz w:val="22"/>
          <w:szCs w:val="22"/>
          <w:highlight w:val="none"/>
          <w:u w:val="single" w:color="auto"/>
        </w:rPr>
        <w:t xml:space="preserve">         </w:t>
      </w:r>
      <w:r>
        <w:rPr>
          <w:rFonts w:ascii="宋体" w:hAnsi="宋体" w:eastAsia="宋体" w:cs="宋体"/>
          <w:spacing w:val="-93"/>
          <w:sz w:val="22"/>
          <w:szCs w:val="22"/>
          <w:highlight w:val="none"/>
        </w:rPr>
        <w:t xml:space="preserve"> </w:t>
      </w:r>
      <w:r>
        <w:rPr>
          <w:position w:val="1"/>
          <w:sz w:val="6"/>
          <w:szCs w:val="6"/>
          <w:highlight w:val="none"/>
        </w:rPr>
        <w:t>o</w:t>
      </w:r>
    </w:p>
    <w:p w14:paraId="49FA8591">
      <w:pPr>
        <w:spacing w:before="248" w:line="219" w:lineRule="auto"/>
        <w:ind w:right="4"/>
        <w:jc w:val="right"/>
        <w:rPr>
          <w:rFonts w:ascii="宋体" w:hAnsi="宋体" w:eastAsia="宋体" w:cs="宋体"/>
          <w:sz w:val="20"/>
          <w:szCs w:val="20"/>
          <w:highlight w:val="none"/>
        </w:rPr>
      </w:pPr>
      <w:r>
        <w:rPr>
          <w:rFonts w:ascii="Times New Roman" w:hAnsi="Times New Roman" w:eastAsia="Times New Roman" w:cs="Times New Roman"/>
          <w:spacing w:val="8"/>
          <w:sz w:val="20"/>
          <w:szCs w:val="20"/>
          <w:highlight w:val="none"/>
        </w:rPr>
        <w:t xml:space="preserve">1.4.2    </w:t>
      </w:r>
      <w:r>
        <w:rPr>
          <w:rFonts w:ascii="宋体" w:hAnsi="宋体" w:eastAsia="宋体" w:cs="宋体"/>
          <w:spacing w:val="8"/>
          <w:sz w:val="20"/>
          <w:szCs w:val="20"/>
          <w:highlight w:val="none"/>
        </w:rPr>
        <w:t>发包人提供的国外标准、规范的名称：</w:t>
      </w:r>
      <w:r>
        <w:rPr>
          <w:rFonts w:ascii="宋体" w:hAnsi="宋体" w:eastAsia="宋体" w:cs="宋体"/>
          <w:spacing w:val="-75"/>
          <w:sz w:val="20"/>
          <w:szCs w:val="20"/>
          <w:highlight w:val="none"/>
        </w:rPr>
        <w:t xml:space="preserve"> </w:t>
      </w:r>
      <w:r>
        <w:rPr>
          <w:rFonts w:ascii="宋体" w:hAnsi="宋体" w:eastAsia="宋体" w:cs="宋体"/>
          <w:spacing w:val="6"/>
          <w:sz w:val="20"/>
          <w:szCs w:val="20"/>
          <w:highlight w:val="none"/>
          <w:u w:val="single" w:color="auto"/>
        </w:rPr>
        <w:t xml:space="preserve">          </w:t>
      </w:r>
      <w:r>
        <w:rPr>
          <w:rFonts w:ascii="宋体" w:hAnsi="宋体" w:eastAsia="宋体" w:cs="宋体"/>
          <w:spacing w:val="-80"/>
          <w:sz w:val="20"/>
          <w:szCs w:val="20"/>
          <w:highlight w:val="none"/>
        </w:rPr>
        <w:t xml:space="preserve"> </w:t>
      </w:r>
      <w:r>
        <w:rPr>
          <w:rFonts w:ascii="宋体" w:hAnsi="宋体" w:eastAsia="宋体" w:cs="宋体"/>
          <w:spacing w:val="8"/>
          <w:sz w:val="20"/>
          <w:szCs w:val="20"/>
          <w:highlight w:val="none"/>
        </w:rPr>
        <w:t>;发包人提供的国外标准、规</w:t>
      </w:r>
    </w:p>
    <w:p w14:paraId="59FD2138">
      <w:pPr>
        <w:spacing w:before="213" w:line="221" w:lineRule="auto"/>
        <w:rPr>
          <w:rFonts w:ascii="Times New Roman" w:hAnsi="Times New Roman" w:eastAsia="Times New Roman" w:cs="Times New Roman"/>
          <w:sz w:val="9"/>
          <w:szCs w:val="9"/>
          <w:highlight w:val="none"/>
        </w:rPr>
      </w:pPr>
      <w:r>
        <w:rPr>
          <w:rFonts w:ascii="宋体" w:hAnsi="宋体" w:eastAsia="宋体" w:cs="宋体"/>
          <w:spacing w:val="5"/>
          <w:sz w:val="20"/>
          <w:szCs w:val="20"/>
          <w:highlight w:val="none"/>
        </w:rPr>
        <w:t>范的份数：</w:t>
      </w:r>
      <w:r>
        <w:rPr>
          <w:rFonts w:ascii="宋体" w:hAnsi="宋体" w:eastAsia="宋体" w:cs="宋体"/>
          <w:spacing w:val="-21"/>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95"/>
          <w:sz w:val="20"/>
          <w:szCs w:val="20"/>
          <w:highlight w:val="none"/>
        </w:rPr>
        <w:t xml:space="preserve"> </w:t>
      </w:r>
      <w:r>
        <w:rPr>
          <w:rFonts w:ascii="宋体" w:hAnsi="宋体" w:eastAsia="宋体" w:cs="宋体"/>
          <w:spacing w:val="5"/>
          <w:sz w:val="20"/>
          <w:szCs w:val="20"/>
          <w:highlight w:val="none"/>
        </w:rPr>
        <w:t>;发包人提供的国外标准、规范的时间：</w:t>
      </w:r>
      <w:r>
        <w:rPr>
          <w:rFonts w:ascii="宋体" w:hAnsi="宋体" w:eastAsia="宋体" w:cs="宋体"/>
          <w:spacing w:val="30"/>
          <w:sz w:val="20"/>
          <w:szCs w:val="20"/>
          <w:highlight w:val="none"/>
        </w:rPr>
        <w:t xml:space="preserve"> </w:t>
      </w:r>
      <w:r>
        <w:rPr>
          <w:rFonts w:ascii="宋体" w:hAnsi="宋体" w:eastAsia="宋体" w:cs="宋体"/>
          <w:spacing w:val="6"/>
          <w:sz w:val="20"/>
          <w:szCs w:val="20"/>
          <w:highlight w:val="none"/>
          <w:u w:val="single" w:color="auto"/>
        </w:rPr>
        <w:t xml:space="preserve">             </w:t>
      </w:r>
      <w:r>
        <w:rPr>
          <w:rFonts w:ascii="宋体" w:hAnsi="宋体" w:eastAsia="宋体" w:cs="宋体"/>
          <w:spacing w:val="-88"/>
          <w:sz w:val="20"/>
          <w:szCs w:val="20"/>
          <w:highlight w:val="none"/>
        </w:rPr>
        <w:t xml:space="preserve"> </w:t>
      </w:r>
      <w:r>
        <w:rPr>
          <w:rFonts w:ascii="Times New Roman" w:hAnsi="Times New Roman" w:eastAsia="Times New Roman" w:cs="Times New Roman"/>
          <w:spacing w:val="5"/>
          <w:position w:val="-3"/>
          <w:sz w:val="9"/>
          <w:szCs w:val="9"/>
          <w:highlight w:val="none"/>
        </w:rPr>
        <w:t>0</w:t>
      </w:r>
    </w:p>
    <w:p w14:paraId="0304B517">
      <w:pPr>
        <w:spacing w:before="262" w:line="220" w:lineRule="auto"/>
        <w:ind w:left="430"/>
        <w:rPr>
          <w:rFonts w:ascii="宋体" w:hAnsi="宋体" w:eastAsia="宋体" w:cs="宋体"/>
          <w:sz w:val="20"/>
          <w:szCs w:val="20"/>
          <w:highlight w:val="none"/>
        </w:rPr>
      </w:pPr>
      <w:r>
        <w:rPr>
          <w:rFonts w:ascii="宋体" w:hAnsi="宋体" w:eastAsia="宋体" w:cs="宋体"/>
          <w:spacing w:val="6"/>
          <w:sz w:val="20"/>
          <w:szCs w:val="20"/>
          <w:highlight w:val="none"/>
        </w:rPr>
        <w:t>1.4.3没有成文规范、标准规定的约定：</w:t>
      </w:r>
      <w:r>
        <w:rPr>
          <w:rFonts w:ascii="宋体" w:hAnsi="宋体" w:eastAsia="宋体" w:cs="宋体"/>
          <w:spacing w:val="68"/>
          <w:sz w:val="20"/>
          <w:szCs w:val="20"/>
          <w:highlight w:val="none"/>
        </w:rPr>
        <w:t xml:space="preserve"> </w:t>
      </w:r>
      <w:r>
        <w:rPr>
          <w:rFonts w:ascii="宋体" w:hAnsi="宋体" w:eastAsia="宋体" w:cs="宋体"/>
          <w:sz w:val="20"/>
          <w:szCs w:val="20"/>
          <w:highlight w:val="none"/>
          <w:u w:val="single" w:color="auto"/>
        </w:rPr>
        <w:t xml:space="preserve">               </w:t>
      </w:r>
    </w:p>
    <w:p w14:paraId="7D511FEB">
      <w:pPr>
        <w:spacing w:before="222" w:line="219" w:lineRule="auto"/>
        <w:ind w:left="4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1.4.4</w:t>
      </w:r>
      <w:r>
        <w:rPr>
          <w:rFonts w:ascii="Times New Roman" w:hAnsi="Times New Roman" w:eastAsia="Times New Roman" w:cs="Times New Roman"/>
          <w:spacing w:val="17"/>
          <w:sz w:val="22"/>
          <w:szCs w:val="22"/>
          <w:highlight w:val="none"/>
        </w:rPr>
        <w:t xml:space="preserve">   </w:t>
      </w:r>
      <w:r>
        <w:rPr>
          <w:rFonts w:ascii="宋体" w:hAnsi="宋体" w:eastAsia="宋体" w:cs="宋体"/>
          <w:spacing w:val="-9"/>
          <w:sz w:val="22"/>
          <w:szCs w:val="22"/>
          <w:highlight w:val="none"/>
        </w:rPr>
        <w:t>发包人对于工程的技术标准、功能要求：</w:t>
      </w:r>
      <w:r>
        <w:rPr>
          <w:rFonts w:ascii="宋体" w:hAnsi="宋体" w:eastAsia="宋体" w:cs="宋体"/>
          <w:sz w:val="22"/>
          <w:szCs w:val="22"/>
          <w:highlight w:val="none"/>
          <w:u w:val="single" w:color="auto"/>
        </w:rPr>
        <w:t xml:space="preserve">        </w:t>
      </w:r>
    </w:p>
    <w:p w14:paraId="45F5DA5A">
      <w:pPr>
        <w:pStyle w:val="2"/>
        <w:spacing w:line="293" w:lineRule="auto"/>
        <w:rPr>
          <w:highlight w:val="none"/>
        </w:rPr>
      </w:pPr>
    </w:p>
    <w:p w14:paraId="520A6379">
      <w:pPr>
        <w:spacing w:before="72" w:line="221" w:lineRule="auto"/>
        <w:rPr>
          <w:rFonts w:ascii="黑体" w:hAnsi="黑体" w:eastAsia="黑体" w:cs="黑体"/>
          <w:sz w:val="22"/>
          <w:szCs w:val="22"/>
          <w:highlight w:val="none"/>
        </w:rPr>
      </w:pPr>
      <w:r>
        <w:rPr>
          <w:rFonts w:ascii="黑体" w:hAnsi="黑体" w:eastAsia="黑体" w:cs="黑体"/>
          <w:spacing w:val="-2"/>
          <w:sz w:val="22"/>
          <w:szCs w:val="22"/>
          <w:highlight w:val="none"/>
        </w:rPr>
        <w:t>1.5合同文件的优先顺序</w:t>
      </w:r>
    </w:p>
    <w:p w14:paraId="18A5DFFE">
      <w:pPr>
        <w:spacing w:before="228" w:line="184" w:lineRule="auto"/>
        <w:ind w:left="430"/>
        <w:rPr>
          <w:rFonts w:ascii="宋体" w:hAnsi="宋体" w:eastAsia="宋体" w:cs="宋体"/>
          <w:sz w:val="20"/>
          <w:szCs w:val="20"/>
          <w:highlight w:val="none"/>
        </w:rPr>
      </w:pPr>
      <w:r>
        <w:rPr>
          <w:highlight w:val="none"/>
        </w:rPr>
        <w:pict>
          <v:shape id="_x0000_s1029" o:spid="_x0000_s1029" o:spt="202" type="#_x0000_t202" style="position:absolute;left:0pt;margin-left:289.5pt;margin-top:16.8pt;height:4.4pt;width:3.65pt;z-index:251667456;mso-width-relative:page;mso-height-relative:page;" filled="f" stroked="f" coordsize="21600,21600">
            <v:path/>
            <v:fill on="f" focussize="0,0"/>
            <v:stroke on="f"/>
            <v:imagedata o:title=""/>
            <o:lock v:ext="edit" aspectratio="f"/>
            <v:textbox inset="0mm,0mm,0mm,0mm">
              <w:txbxContent>
                <w:p w14:paraId="3E64E22E">
                  <w:pPr>
                    <w:spacing w:before="20" w:line="47" w:lineRule="exact"/>
                    <w:ind w:left="20"/>
                    <w:rPr>
                      <w:rFonts w:ascii="Times New Roman" w:hAnsi="Times New Roman" w:eastAsia="Times New Roman" w:cs="Times New Roman"/>
                      <w:sz w:val="7"/>
                      <w:szCs w:val="7"/>
                    </w:rPr>
                  </w:pPr>
                  <w:r>
                    <w:rPr>
                      <w:rFonts w:ascii="Times New Roman" w:hAnsi="Times New Roman" w:eastAsia="Times New Roman" w:cs="Times New Roman"/>
                      <w:sz w:val="7"/>
                      <w:szCs w:val="7"/>
                    </w:rPr>
                    <w:t>o</w:t>
                  </w:r>
                </w:p>
              </w:txbxContent>
            </v:textbox>
          </v:shape>
        </w:pict>
      </w:r>
      <w:r>
        <w:rPr>
          <w:rFonts w:ascii="宋体" w:hAnsi="宋体" w:eastAsia="宋体" w:cs="宋体"/>
          <w:spacing w:val="-1"/>
          <w:sz w:val="20"/>
          <w:szCs w:val="20"/>
          <w:highlight w:val="none"/>
        </w:rPr>
        <w:t xml:space="preserve">合同文件组成及优先顺序为： </w:t>
      </w:r>
      <w:r>
        <w:rPr>
          <w:rFonts w:ascii="宋体" w:hAnsi="宋体" w:eastAsia="宋体" w:cs="宋体"/>
          <w:spacing w:val="-1"/>
          <w:sz w:val="20"/>
          <w:szCs w:val="20"/>
          <w:highlight w:val="none"/>
          <w:u w:val="single" w:color="auto"/>
        </w:rPr>
        <w:t xml:space="preserve">      </w:t>
      </w:r>
      <w:r>
        <w:rPr>
          <w:rFonts w:ascii="宋体" w:hAnsi="宋体" w:eastAsia="宋体" w:cs="宋体"/>
          <w:spacing w:val="-2"/>
          <w:sz w:val="20"/>
          <w:szCs w:val="20"/>
          <w:highlight w:val="none"/>
          <w:u w:val="single" w:color="auto"/>
        </w:rPr>
        <w:t xml:space="preserve">                     </w:t>
      </w:r>
    </w:p>
    <w:p w14:paraId="1A17DA3B">
      <w:pPr>
        <w:pStyle w:val="2"/>
        <w:spacing w:line="346" w:lineRule="auto"/>
        <w:rPr>
          <w:highlight w:val="none"/>
        </w:rPr>
      </w:pPr>
    </w:p>
    <w:p w14:paraId="5878E113">
      <w:pPr>
        <w:spacing w:before="72" w:line="222" w:lineRule="auto"/>
        <w:rPr>
          <w:rFonts w:ascii="黑体" w:hAnsi="黑体" w:eastAsia="黑体" w:cs="黑体"/>
          <w:sz w:val="22"/>
          <w:szCs w:val="22"/>
          <w:highlight w:val="none"/>
        </w:rPr>
      </w:pPr>
      <w:r>
        <w:rPr>
          <w:rFonts w:ascii="黑体" w:hAnsi="黑体" w:eastAsia="黑体" w:cs="黑体"/>
          <w:spacing w:val="-2"/>
          <w:sz w:val="22"/>
          <w:szCs w:val="22"/>
          <w:highlight w:val="none"/>
        </w:rPr>
        <w:t>1.6文件的提供和照管</w:t>
      </w:r>
    </w:p>
    <w:p w14:paraId="6CBF47E9">
      <w:pPr>
        <w:spacing w:before="215"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1.6.1</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7"/>
          <w:sz w:val="22"/>
          <w:szCs w:val="22"/>
          <w:highlight w:val="none"/>
        </w:rPr>
        <w:t>发包人文件的提供</w:t>
      </w:r>
    </w:p>
    <w:p w14:paraId="00D1ED96">
      <w:pPr>
        <w:spacing w:before="259" w:line="184" w:lineRule="auto"/>
        <w:ind w:left="430"/>
        <w:rPr>
          <w:rFonts w:ascii="宋体" w:hAnsi="宋体" w:eastAsia="宋体" w:cs="宋体"/>
          <w:sz w:val="20"/>
          <w:szCs w:val="20"/>
          <w:highlight w:val="none"/>
        </w:rPr>
      </w:pPr>
      <w:r>
        <w:rPr>
          <w:highlight w:val="none"/>
        </w:rPr>
        <w:pict>
          <v:shape id="_x0000_s1030" o:spid="_x0000_s1030" o:spt="202" type="#_x0000_t202" style="position:absolute;left:0pt;margin-left:300pt;margin-top:17.35pt;height:5.25pt;width:5.4pt;z-index:251665408;mso-width-relative:page;mso-height-relative:page;" filled="f" stroked="f" coordsize="21600,21600">
            <v:path/>
            <v:fill on="f" focussize="0,0"/>
            <v:stroke on="f"/>
            <v:imagedata o:title=""/>
            <o:lock v:ext="edit" aspectratio="f"/>
            <v:textbox inset="0mm,0mm,0mm,0mm">
              <w:txbxContent>
                <w:p w14:paraId="1DCA3C0F">
                  <w:pPr>
                    <w:pStyle w:val="2"/>
                    <w:tabs>
                      <w:tab w:val="left" w:pos="54"/>
                    </w:tabs>
                    <w:spacing w:before="20" w:line="156" w:lineRule="auto"/>
                    <w:ind w:left="20"/>
                    <w:rPr>
                      <w:sz w:val="6"/>
                      <w:szCs w:val="6"/>
                    </w:rPr>
                  </w:pPr>
                  <w:r>
                    <w:rPr>
                      <w:sz w:val="6"/>
                      <w:szCs w:val="6"/>
                      <w:u w:val="dotted" w:color="auto"/>
                    </w:rPr>
                    <w:tab/>
                  </w:r>
                  <w:r>
                    <w:rPr>
                      <w:spacing w:val="-15"/>
                      <w:sz w:val="6"/>
                      <w:szCs w:val="6"/>
                    </w:rPr>
                    <w:t xml:space="preserve"> </w:t>
                  </w:r>
                  <w:r>
                    <w:rPr>
                      <w:sz w:val="6"/>
                      <w:szCs w:val="6"/>
                    </w:rPr>
                    <w:t>o</w:t>
                  </w:r>
                </w:p>
              </w:txbxContent>
            </v:textbox>
          </v:shape>
        </w:pict>
      </w:r>
      <w:r>
        <w:rPr>
          <w:rFonts w:ascii="宋体" w:hAnsi="宋体" w:eastAsia="宋体" w:cs="宋体"/>
          <w:spacing w:val="2"/>
          <w:sz w:val="20"/>
          <w:szCs w:val="20"/>
          <w:highlight w:val="none"/>
        </w:rPr>
        <w:t>发包人文件的提供期限、名称、数量和形式：</w:t>
      </w:r>
      <w:r>
        <w:rPr>
          <w:rFonts w:ascii="宋体" w:hAnsi="宋体" w:eastAsia="宋体" w:cs="宋体"/>
          <w:spacing w:val="68"/>
          <w:sz w:val="20"/>
          <w:szCs w:val="20"/>
          <w:highlight w:val="none"/>
        </w:rPr>
        <w:t xml:space="preserve"> </w:t>
      </w:r>
      <w:r>
        <w:rPr>
          <w:rFonts w:ascii="宋体" w:hAnsi="宋体" w:eastAsia="宋体" w:cs="宋体"/>
          <w:sz w:val="20"/>
          <w:szCs w:val="20"/>
          <w:highlight w:val="none"/>
          <w:u w:val="single" w:color="auto"/>
        </w:rPr>
        <w:t xml:space="preserve">              </w:t>
      </w:r>
    </w:p>
    <w:p w14:paraId="230C317D">
      <w:pPr>
        <w:spacing w:before="221" w:line="219" w:lineRule="auto"/>
        <w:ind w:left="430"/>
        <w:rPr>
          <w:rFonts w:ascii="宋体" w:hAnsi="宋体" w:eastAsia="宋体" w:cs="宋体"/>
          <w:sz w:val="22"/>
          <w:szCs w:val="22"/>
          <w:highlight w:val="none"/>
        </w:rPr>
      </w:pPr>
      <w:r>
        <w:rPr>
          <w:rFonts w:ascii="宋体" w:hAnsi="宋体" w:eastAsia="宋体" w:cs="宋体"/>
          <w:spacing w:val="-2"/>
          <w:sz w:val="22"/>
          <w:szCs w:val="22"/>
          <w:highlight w:val="none"/>
        </w:rPr>
        <w:t>1.6.2承包人文件的提供</w:t>
      </w:r>
    </w:p>
    <w:p w14:paraId="7D3BA333">
      <w:pPr>
        <w:spacing w:before="279" w:line="184" w:lineRule="auto"/>
        <w:ind w:left="430"/>
        <w:rPr>
          <w:rFonts w:ascii="宋体" w:hAnsi="宋体" w:eastAsia="宋体" w:cs="宋体"/>
          <w:sz w:val="20"/>
          <w:szCs w:val="20"/>
          <w:highlight w:val="none"/>
        </w:rPr>
      </w:pPr>
      <w:r>
        <w:rPr>
          <w:highlight w:val="none"/>
        </w:rPr>
        <w:pict>
          <v:shape id="_x0000_s1031" o:spid="_x0000_s1031" o:spt="202" type="#_x0000_t202" style="position:absolute;left:0pt;margin-left:411pt;margin-top:17.15pt;height:5.2pt;width:3.65pt;z-index:251666432;mso-width-relative:page;mso-height-relative:page;" filled="f" stroked="f" coordsize="21600,21600">
            <v:path/>
            <v:fill on="f" focussize="0,0"/>
            <v:stroke on="f"/>
            <v:imagedata o:title=""/>
            <o:lock v:ext="edit" aspectratio="f"/>
            <v:textbox inset="0mm,0mm,0mm,0mm">
              <w:txbxContent>
                <w:p w14:paraId="7C983EFF">
                  <w:pPr>
                    <w:spacing w:before="20" w:line="188" w:lineRule="auto"/>
                    <w:ind w:left="20"/>
                    <w:rPr>
                      <w:rFonts w:ascii="Times New Roman" w:hAnsi="Times New Roman" w:eastAsia="Times New Roman" w:cs="Times New Roman"/>
                      <w:sz w:val="7"/>
                      <w:szCs w:val="7"/>
                    </w:rPr>
                  </w:pPr>
                  <w:r>
                    <w:rPr>
                      <w:rFonts w:ascii="Times New Roman" w:hAnsi="Times New Roman" w:eastAsia="Times New Roman" w:cs="Times New Roman"/>
                      <w:sz w:val="7"/>
                      <w:szCs w:val="7"/>
                    </w:rPr>
                    <w:t>0</w:t>
                  </w:r>
                </w:p>
              </w:txbxContent>
            </v:textbox>
          </v:shape>
        </w:pict>
      </w:r>
      <w:r>
        <w:rPr>
          <w:rFonts w:ascii="宋体" w:hAnsi="宋体" w:eastAsia="宋体" w:cs="宋体"/>
          <w:sz w:val="20"/>
          <w:szCs w:val="20"/>
          <w:highlight w:val="none"/>
        </w:rPr>
        <w:t>承包人文件的内容、提供期限、名称、数量和形式：</w:t>
      </w:r>
      <w:r>
        <w:rPr>
          <w:rFonts w:ascii="宋体" w:hAnsi="宋体" w:eastAsia="宋体" w:cs="宋体"/>
          <w:spacing w:val="-71"/>
          <w:sz w:val="20"/>
          <w:szCs w:val="20"/>
          <w:highlight w:val="none"/>
        </w:rPr>
        <w:t xml:space="preserve"> </w:t>
      </w:r>
      <w:r>
        <w:rPr>
          <w:rFonts w:ascii="宋体" w:hAnsi="宋体" w:eastAsia="宋体" w:cs="宋体"/>
          <w:sz w:val="20"/>
          <w:szCs w:val="20"/>
          <w:highlight w:val="none"/>
          <w:u w:val="single" w:color="auto"/>
        </w:rPr>
        <w:t xml:space="preserve">                                </w:t>
      </w:r>
    </w:p>
    <w:p w14:paraId="267EC09E">
      <w:pPr>
        <w:spacing w:before="232" w:line="219" w:lineRule="auto"/>
        <w:ind w:left="430"/>
        <w:rPr>
          <w:rFonts w:ascii="宋体" w:hAnsi="宋体" w:eastAsia="宋体" w:cs="宋体"/>
          <w:sz w:val="22"/>
          <w:szCs w:val="22"/>
          <w:highlight w:val="none"/>
        </w:rPr>
      </w:pPr>
      <w:r>
        <w:rPr>
          <w:rFonts w:ascii="宋体" w:hAnsi="宋体" w:eastAsia="宋体" w:cs="宋体"/>
          <w:spacing w:val="1"/>
          <w:sz w:val="22"/>
          <w:szCs w:val="22"/>
          <w:highlight w:val="none"/>
        </w:rPr>
        <w:t>1.6.4文件的照管</w:t>
      </w:r>
    </w:p>
    <w:p w14:paraId="32605419">
      <w:pPr>
        <w:spacing w:before="239" w:line="219" w:lineRule="auto"/>
        <w:ind w:left="430"/>
        <w:rPr>
          <w:rFonts w:ascii="宋体" w:hAnsi="宋体" w:eastAsia="宋体" w:cs="宋体"/>
          <w:sz w:val="22"/>
          <w:szCs w:val="22"/>
          <w:highlight w:val="none"/>
        </w:rPr>
      </w:pPr>
      <w:r>
        <w:rPr>
          <w:rFonts w:ascii="宋体" w:hAnsi="宋体" w:eastAsia="宋体" w:cs="宋体"/>
          <w:spacing w:val="-19"/>
          <w:sz w:val="22"/>
          <w:szCs w:val="22"/>
          <w:highlight w:val="none"/>
        </w:rPr>
        <w:t>关于现场文件准备的约定：</w:t>
      </w:r>
      <w:r>
        <w:rPr>
          <w:rFonts w:ascii="宋体" w:hAnsi="宋体" w:eastAsia="宋体" w:cs="宋体"/>
          <w:sz w:val="22"/>
          <w:szCs w:val="22"/>
          <w:highlight w:val="none"/>
          <w:u w:val="single" w:color="auto"/>
        </w:rPr>
        <w:t xml:space="preserve">                          </w:t>
      </w:r>
    </w:p>
    <w:p w14:paraId="6C098DAC">
      <w:pPr>
        <w:pStyle w:val="2"/>
        <w:spacing w:line="283" w:lineRule="auto"/>
        <w:rPr>
          <w:highlight w:val="none"/>
        </w:rPr>
      </w:pPr>
    </w:p>
    <w:p w14:paraId="59A48878">
      <w:pPr>
        <w:spacing w:before="72" w:line="221" w:lineRule="auto"/>
        <w:rPr>
          <w:rFonts w:ascii="黑体" w:hAnsi="黑体" w:eastAsia="黑体" w:cs="黑体"/>
          <w:sz w:val="22"/>
          <w:szCs w:val="22"/>
          <w:highlight w:val="none"/>
        </w:rPr>
      </w:pPr>
      <w:r>
        <w:rPr>
          <w:rFonts w:ascii="黑体" w:hAnsi="黑体" w:eastAsia="黑体" w:cs="黑体"/>
          <w:spacing w:val="11"/>
          <w:sz w:val="22"/>
          <w:szCs w:val="22"/>
          <w:highlight w:val="none"/>
        </w:rPr>
        <w:t>1.7联络</w:t>
      </w:r>
    </w:p>
    <w:p w14:paraId="78414C1A">
      <w:pPr>
        <w:spacing w:before="113" w:line="219" w:lineRule="auto"/>
        <w:jc w:val="right"/>
        <w:rPr>
          <w:rFonts w:ascii="Times New Roman" w:hAnsi="Times New Roman" w:eastAsia="Times New Roman" w:cs="Times New Roman"/>
          <w:sz w:val="22"/>
          <w:szCs w:val="22"/>
          <w:highlight w:val="none"/>
        </w:rPr>
      </w:pPr>
      <w:r>
        <w:rPr>
          <w:rFonts w:ascii="Times New Roman" w:hAnsi="Times New Roman" w:eastAsia="Times New Roman" w:cs="Times New Roman"/>
          <w:spacing w:val="-10"/>
          <w:sz w:val="22"/>
          <w:szCs w:val="22"/>
          <w:highlight w:val="none"/>
        </w:rPr>
        <w:t>1.</w:t>
      </w:r>
      <w:r>
        <w:rPr>
          <w:rFonts w:ascii="Times New Roman" w:hAnsi="Times New Roman" w:eastAsia="Times New Roman" w:cs="Times New Roman"/>
          <w:spacing w:val="-9"/>
          <w:sz w:val="22"/>
          <w:szCs w:val="22"/>
          <w:highlight w:val="none"/>
        </w:rPr>
        <w:t>7.2</w:t>
      </w:r>
      <w:r>
        <w:rPr>
          <w:rFonts w:ascii="Times New Roman" w:hAnsi="Times New Roman" w:eastAsia="Times New Roman" w:cs="Times New Roman"/>
          <w:spacing w:val="13"/>
          <w:w w:val="101"/>
          <w:sz w:val="22"/>
          <w:szCs w:val="22"/>
          <w:highlight w:val="none"/>
        </w:rPr>
        <w:t xml:space="preserve">   </w:t>
      </w:r>
      <w:r>
        <w:rPr>
          <w:rFonts w:ascii="宋体" w:hAnsi="宋体" w:eastAsia="宋体" w:cs="宋体"/>
          <w:spacing w:val="-9"/>
          <w:sz w:val="22"/>
          <w:szCs w:val="22"/>
          <w:highlight w:val="none"/>
        </w:rPr>
        <w:t>发包人指定的送达方式(包括电</w:t>
      </w:r>
      <w:r>
        <w:rPr>
          <w:rFonts w:ascii="宋体" w:hAnsi="宋体" w:eastAsia="宋体" w:cs="宋体"/>
          <w:spacing w:val="-10"/>
          <w:sz w:val="22"/>
          <w:szCs w:val="22"/>
          <w:highlight w:val="none"/>
        </w:rPr>
        <w:t>子传输方式):</w:t>
      </w:r>
      <w:r>
        <w:rPr>
          <w:rFonts w:ascii="宋体" w:hAnsi="宋体" w:eastAsia="宋体" w:cs="宋体"/>
          <w:spacing w:val="-33"/>
          <w:sz w:val="22"/>
          <w:szCs w:val="22"/>
          <w:highlight w:val="none"/>
        </w:rPr>
        <w:t xml:space="preserve"> </w:t>
      </w:r>
      <w:r>
        <w:rPr>
          <w:rFonts w:ascii="宋体" w:hAnsi="宋体" w:eastAsia="宋体" w:cs="宋体"/>
          <w:sz w:val="22"/>
          <w:szCs w:val="22"/>
          <w:highlight w:val="none"/>
          <w:u w:val="single" w:color="auto"/>
        </w:rPr>
        <w:t xml:space="preserve">                           </w:t>
      </w:r>
      <w:r>
        <w:rPr>
          <w:rFonts w:ascii="宋体" w:hAnsi="宋体" w:eastAsia="宋体" w:cs="宋体"/>
          <w:spacing w:val="-91"/>
          <w:sz w:val="22"/>
          <w:szCs w:val="22"/>
          <w:highlight w:val="none"/>
        </w:rPr>
        <w:t xml:space="preserve"> </w:t>
      </w:r>
      <w:r>
        <w:rPr>
          <w:rFonts w:ascii="Times New Roman" w:hAnsi="Times New Roman" w:eastAsia="Times New Roman" w:cs="Times New Roman"/>
          <w:spacing w:val="-8"/>
          <w:sz w:val="22"/>
          <w:szCs w:val="22"/>
          <w:highlight w:val="none"/>
        </w:rPr>
        <w:t>o</w:t>
      </w:r>
    </w:p>
    <w:p w14:paraId="04B04A21">
      <w:pPr>
        <w:pStyle w:val="2"/>
        <w:spacing w:line="272" w:lineRule="auto"/>
        <w:rPr>
          <w:highlight w:val="none"/>
        </w:rPr>
      </w:pPr>
    </w:p>
    <w:p w14:paraId="3407B245">
      <w:pPr>
        <w:spacing w:before="72" w:line="220"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发包人的送达地址：</w:t>
      </w:r>
      <w:r>
        <w:rPr>
          <w:rFonts w:ascii="宋体" w:hAnsi="宋体" w:eastAsia="宋体" w:cs="宋体"/>
          <w:spacing w:val="-11"/>
          <w:sz w:val="22"/>
          <w:szCs w:val="22"/>
          <w:highlight w:val="none"/>
          <w:u w:val="single" w:color="auto"/>
        </w:rPr>
        <w:t xml:space="preserve">                          </w:t>
      </w:r>
      <w:r>
        <w:rPr>
          <w:rFonts w:ascii="宋体" w:hAnsi="宋体" w:eastAsia="宋体" w:cs="宋体"/>
          <w:spacing w:val="-12"/>
          <w:sz w:val="22"/>
          <w:szCs w:val="22"/>
          <w:highlight w:val="none"/>
          <w:u w:val="single" w:color="auto"/>
        </w:rPr>
        <w:t xml:space="preserve">        </w:t>
      </w:r>
    </w:p>
    <w:p w14:paraId="482DDE83">
      <w:pPr>
        <w:spacing w:before="176" w:line="219" w:lineRule="auto"/>
        <w:ind w:left="430"/>
        <w:rPr>
          <w:sz w:val="22"/>
          <w:szCs w:val="22"/>
          <w:highlight w:val="none"/>
        </w:rPr>
      </w:pPr>
      <w:r>
        <w:rPr>
          <w:rFonts w:ascii="宋体" w:hAnsi="宋体" w:eastAsia="宋体" w:cs="宋体"/>
          <w:spacing w:val="-6"/>
          <w:sz w:val="22"/>
          <w:szCs w:val="22"/>
          <w:highlight w:val="none"/>
        </w:rPr>
        <w:t xml:space="preserve">承包人指定的送达方式(包括电子传输方式): </w:t>
      </w:r>
      <w:r>
        <w:rPr>
          <w:rFonts w:ascii="宋体" w:hAnsi="宋体" w:eastAsia="宋体" w:cs="宋体"/>
          <w:spacing w:val="-6"/>
          <w:sz w:val="22"/>
          <w:szCs w:val="22"/>
          <w:highlight w:val="none"/>
          <w:u w:val="single" w:color="auto"/>
        </w:rPr>
        <w:t xml:space="preserve">        </w:t>
      </w:r>
      <w:r>
        <w:rPr>
          <w:rFonts w:ascii="宋体" w:hAnsi="宋体" w:eastAsia="宋体" w:cs="宋体"/>
          <w:spacing w:val="-7"/>
          <w:sz w:val="22"/>
          <w:szCs w:val="22"/>
          <w:highlight w:val="none"/>
          <w:u w:val="single" w:color="auto"/>
        </w:rPr>
        <w:t xml:space="preserve">                          </w:t>
      </w:r>
      <w:r>
        <w:rPr>
          <w:sz w:val="22"/>
          <w:szCs w:val="22"/>
          <w:highlight w:val="none"/>
        </w:rPr>
        <w:drawing>
          <wp:inline distT="0" distB="0" distL="0" distR="0">
            <wp:extent cx="44450" cy="3746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315"/>
                    <a:stretch>
                      <a:fillRect/>
                    </a:stretch>
                  </pic:blipFill>
                  <pic:spPr>
                    <a:xfrm>
                      <a:off x="0" y="0"/>
                      <a:ext cx="44469" cy="38068"/>
                    </a:xfrm>
                    <a:prstGeom prst="rect">
                      <a:avLst/>
                    </a:prstGeom>
                  </pic:spPr>
                </pic:pic>
              </a:graphicData>
            </a:graphic>
          </wp:inline>
        </w:drawing>
      </w:r>
    </w:p>
    <w:p w14:paraId="32E85E6A">
      <w:pPr>
        <w:spacing w:before="269" w:line="219" w:lineRule="auto"/>
        <w:ind w:left="430"/>
        <w:rPr>
          <w:rFonts w:ascii="宋体" w:hAnsi="宋体" w:eastAsia="宋体" w:cs="宋体"/>
          <w:sz w:val="20"/>
          <w:szCs w:val="20"/>
          <w:highlight w:val="none"/>
        </w:rPr>
      </w:pPr>
      <w:r>
        <w:rPr>
          <w:rFonts w:ascii="宋体" w:hAnsi="宋体" w:eastAsia="宋体" w:cs="宋体"/>
          <w:spacing w:val="-1"/>
          <w:sz w:val="20"/>
          <w:szCs w:val="20"/>
          <w:highlight w:val="none"/>
        </w:rPr>
        <w:t xml:space="preserve">承包人的送达地址： </w:t>
      </w:r>
      <w:r>
        <w:rPr>
          <w:rFonts w:ascii="宋体" w:hAnsi="宋体" w:eastAsia="宋体" w:cs="宋体"/>
          <w:spacing w:val="-1"/>
          <w:sz w:val="20"/>
          <w:szCs w:val="20"/>
          <w:highlight w:val="none"/>
          <w:u w:val="single" w:color="auto"/>
        </w:rPr>
        <w:t xml:space="preserve">                                  </w:t>
      </w:r>
    </w:p>
    <w:p w14:paraId="355930D5">
      <w:pPr>
        <w:pStyle w:val="2"/>
        <w:spacing w:line="260" w:lineRule="auto"/>
        <w:rPr>
          <w:highlight w:val="none"/>
        </w:rPr>
      </w:pPr>
    </w:p>
    <w:p w14:paraId="31053CD6">
      <w:pPr>
        <w:pStyle w:val="2"/>
        <w:spacing w:before="72" w:line="300" w:lineRule="exact"/>
        <w:rPr>
          <w:rFonts w:ascii="黑体" w:hAnsi="黑体" w:eastAsia="黑体" w:cs="黑体"/>
          <w:sz w:val="22"/>
          <w:szCs w:val="22"/>
          <w:highlight w:val="none"/>
        </w:rPr>
      </w:pPr>
      <w:r>
        <w:rPr>
          <w:spacing w:val="-5"/>
          <w:position w:val="1"/>
          <w:sz w:val="22"/>
          <w:szCs w:val="22"/>
          <w:highlight w:val="none"/>
        </w:rPr>
        <w:t>1.10</w:t>
      </w:r>
      <w:r>
        <w:rPr>
          <w:spacing w:val="48"/>
          <w:w w:val="101"/>
          <w:position w:val="1"/>
          <w:sz w:val="22"/>
          <w:szCs w:val="22"/>
          <w:highlight w:val="none"/>
        </w:rPr>
        <w:t xml:space="preserve"> </w:t>
      </w:r>
      <w:r>
        <w:rPr>
          <w:rFonts w:ascii="黑体" w:hAnsi="黑体" w:eastAsia="黑体" w:cs="黑体"/>
          <w:spacing w:val="-5"/>
          <w:position w:val="1"/>
          <w:sz w:val="22"/>
          <w:szCs w:val="22"/>
          <w:highlight w:val="none"/>
        </w:rPr>
        <w:t>知识产权</w:t>
      </w:r>
    </w:p>
    <w:p w14:paraId="25BEB0A1">
      <w:pPr>
        <w:spacing w:before="219" w:line="317" w:lineRule="auto"/>
        <w:ind w:right="44" w:firstLine="43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 xml:space="preserve">1.10.1   </w:t>
      </w:r>
      <w:r>
        <w:rPr>
          <w:rFonts w:ascii="宋体" w:hAnsi="宋体" w:eastAsia="宋体" w:cs="宋体"/>
          <w:spacing w:val="3"/>
          <w:sz w:val="22"/>
          <w:szCs w:val="22"/>
          <w:highlight w:val="none"/>
        </w:rPr>
        <w:t>由发包人(或以发包人名义)编制的《发包人要求》和其他文件的</w:t>
      </w:r>
      <w:r>
        <w:rPr>
          <w:rFonts w:ascii="宋体" w:hAnsi="宋体" w:eastAsia="宋体" w:cs="宋体"/>
          <w:spacing w:val="2"/>
          <w:sz w:val="22"/>
          <w:szCs w:val="22"/>
          <w:highlight w:val="none"/>
        </w:rPr>
        <w:t>著作权归</w:t>
      </w:r>
      <w:r>
        <w:rPr>
          <w:rFonts w:ascii="宋体" w:hAnsi="宋体" w:eastAsia="宋体" w:cs="宋体"/>
          <w:sz w:val="22"/>
          <w:szCs w:val="22"/>
          <w:highlight w:val="none"/>
        </w:rPr>
        <w:t xml:space="preserve"> </w:t>
      </w:r>
      <w:r>
        <w:rPr>
          <w:rFonts w:ascii="宋体" w:hAnsi="宋体" w:eastAsia="宋体" w:cs="宋体"/>
          <w:spacing w:val="-5"/>
          <w:sz w:val="22"/>
          <w:szCs w:val="22"/>
          <w:highlight w:val="none"/>
        </w:rPr>
        <w:t>属：</w:t>
      </w:r>
      <w:r>
        <w:rPr>
          <w:rFonts w:ascii="宋体" w:hAnsi="宋体" w:eastAsia="宋体" w:cs="宋体"/>
          <w:sz w:val="22"/>
          <w:szCs w:val="22"/>
          <w:highlight w:val="none"/>
          <w:u w:val="single" w:color="auto"/>
        </w:rPr>
        <w:t xml:space="preserve">                </w:t>
      </w:r>
    </w:p>
    <w:p w14:paraId="480B70DC">
      <w:pPr>
        <w:spacing w:before="214" w:line="336" w:lineRule="auto"/>
        <w:ind w:right="52" w:firstLine="430"/>
        <w:rPr>
          <w:rFonts w:ascii="宋体" w:hAnsi="宋体" w:eastAsia="宋体" w:cs="宋体"/>
          <w:sz w:val="20"/>
          <w:szCs w:val="20"/>
          <w:highlight w:val="none"/>
        </w:rPr>
      </w:pPr>
      <w:r>
        <w:rPr>
          <w:rFonts w:ascii="Times New Roman" w:hAnsi="Times New Roman" w:eastAsia="Times New Roman" w:cs="Times New Roman"/>
          <w:spacing w:val="13"/>
          <w:sz w:val="20"/>
          <w:szCs w:val="20"/>
          <w:highlight w:val="none"/>
        </w:rPr>
        <w:t xml:space="preserve">1.10.2    </w:t>
      </w:r>
      <w:r>
        <w:rPr>
          <w:rFonts w:ascii="宋体" w:hAnsi="宋体" w:eastAsia="宋体" w:cs="宋体"/>
          <w:spacing w:val="13"/>
          <w:sz w:val="20"/>
          <w:szCs w:val="20"/>
          <w:highlight w:val="none"/>
        </w:rPr>
        <w:t>由承包人(或以承包人名义)为实施工程所编制的文件、承包人完成的</w:t>
      </w:r>
      <w:r>
        <w:rPr>
          <w:rFonts w:ascii="宋体" w:hAnsi="宋体" w:eastAsia="宋体" w:cs="宋体"/>
          <w:spacing w:val="12"/>
          <w:sz w:val="20"/>
          <w:szCs w:val="20"/>
          <w:highlight w:val="none"/>
        </w:rPr>
        <w:t>设计工</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作成果和建造完成的建筑物的知识产权归属：</w:t>
      </w:r>
      <w:r>
        <w:rPr>
          <w:rFonts w:ascii="宋体" w:hAnsi="宋体" w:eastAsia="宋体" w:cs="宋体"/>
          <w:spacing w:val="-71"/>
          <w:sz w:val="20"/>
          <w:szCs w:val="20"/>
          <w:highlight w:val="none"/>
        </w:rPr>
        <w:t xml:space="preserve"> </w:t>
      </w:r>
      <w:r>
        <w:rPr>
          <w:rFonts w:ascii="宋体" w:hAnsi="宋体" w:eastAsia="宋体" w:cs="宋体"/>
          <w:sz w:val="20"/>
          <w:szCs w:val="20"/>
          <w:highlight w:val="none"/>
          <w:u w:val="single" w:color="auto"/>
        </w:rPr>
        <w:t xml:space="preserve">                        </w:t>
      </w:r>
    </w:p>
    <w:p w14:paraId="690F813E">
      <w:pPr>
        <w:spacing w:line="336" w:lineRule="auto"/>
        <w:rPr>
          <w:rFonts w:ascii="宋体" w:hAnsi="宋体" w:eastAsia="宋体" w:cs="宋体"/>
          <w:sz w:val="20"/>
          <w:szCs w:val="20"/>
          <w:highlight w:val="none"/>
        </w:rPr>
        <w:sectPr>
          <w:footerReference r:id="rId147" w:type="default"/>
          <w:pgSz w:w="11910" w:h="16840"/>
          <w:pgMar w:top="400" w:right="1786" w:bottom="1169" w:left="1769" w:header="0" w:footer="1028" w:gutter="0"/>
          <w:cols w:space="720" w:num="1"/>
        </w:sectPr>
      </w:pPr>
    </w:p>
    <w:p w14:paraId="6743B956">
      <w:pPr>
        <w:pStyle w:val="2"/>
        <w:spacing w:line="270" w:lineRule="auto"/>
        <w:rPr>
          <w:highlight w:val="none"/>
        </w:rPr>
      </w:pPr>
    </w:p>
    <w:p w14:paraId="31FFCAF9">
      <w:pPr>
        <w:pStyle w:val="2"/>
        <w:spacing w:line="270" w:lineRule="auto"/>
        <w:rPr>
          <w:highlight w:val="none"/>
        </w:rPr>
      </w:pPr>
    </w:p>
    <w:p w14:paraId="6E5AD176">
      <w:pPr>
        <w:pStyle w:val="2"/>
        <w:spacing w:line="270" w:lineRule="auto"/>
        <w:rPr>
          <w:highlight w:val="none"/>
        </w:rPr>
      </w:pPr>
    </w:p>
    <w:p w14:paraId="507A89E2">
      <w:pPr>
        <w:pStyle w:val="2"/>
        <w:spacing w:line="270" w:lineRule="auto"/>
        <w:rPr>
          <w:highlight w:val="none"/>
        </w:rPr>
      </w:pPr>
    </w:p>
    <w:p w14:paraId="478602D1">
      <w:pPr>
        <w:spacing w:before="72" w:line="424" w:lineRule="auto"/>
        <w:ind w:right="14" w:firstLine="410"/>
        <w:rPr>
          <w:rFonts w:ascii="宋体" w:hAnsi="宋体" w:eastAsia="宋体" w:cs="宋体"/>
          <w:sz w:val="22"/>
          <w:szCs w:val="22"/>
          <w:highlight w:val="none"/>
        </w:rPr>
      </w:pPr>
      <w:bookmarkStart w:id="118" w:name="bookmark239"/>
      <w:bookmarkEnd w:id="118"/>
      <w:r>
        <w:rPr>
          <w:rFonts w:ascii="Times New Roman" w:hAnsi="Times New Roman" w:eastAsia="Times New Roman" w:cs="Times New Roman"/>
          <w:spacing w:val="4"/>
          <w:sz w:val="22"/>
          <w:szCs w:val="22"/>
          <w:highlight w:val="none"/>
        </w:rPr>
        <w:t xml:space="preserve">1.10.4   </w:t>
      </w:r>
      <w:r>
        <w:rPr>
          <w:rFonts w:ascii="宋体" w:hAnsi="宋体" w:eastAsia="宋体" w:cs="宋体"/>
          <w:spacing w:val="4"/>
          <w:sz w:val="22"/>
          <w:szCs w:val="22"/>
          <w:highlight w:val="none"/>
        </w:rPr>
        <w:t>承包人在投标文件中采用的专利、专有技术、技术秘密的使用费的承</w:t>
      </w:r>
      <w:r>
        <w:rPr>
          <w:rFonts w:ascii="宋体" w:hAnsi="宋体" w:eastAsia="宋体" w:cs="宋体"/>
          <w:spacing w:val="3"/>
          <w:sz w:val="22"/>
          <w:szCs w:val="22"/>
          <w:highlight w:val="none"/>
        </w:rPr>
        <w:t>担方</w:t>
      </w:r>
      <w:r>
        <w:rPr>
          <w:rFonts w:ascii="宋体" w:hAnsi="宋体" w:eastAsia="宋体" w:cs="宋体"/>
          <w:sz w:val="22"/>
          <w:szCs w:val="22"/>
          <w:highlight w:val="none"/>
        </w:rPr>
        <w:t xml:space="preserve"> </w:t>
      </w:r>
      <w:r>
        <w:rPr>
          <w:rFonts w:ascii="宋体" w:hAnsi="宋体" w:eastAsia="宋体" w:cs="宋体"/>
          <w:spacing w:val="-8"/>
          <w:w w:val="51"/>
          <w:sz w:val="22"/>
          <w:szCs w:val="22"/>
          <w:highlight w:val="none"/>
        </w:rPr>
        <w:t>式</w:t>
      </w:r>
      <w:r>
        <w:rPr>
          <w:rFonts w:ascii="宋体" w:hAnsi="宋体" w:eastAsia="宋体" w:cs="宋体"/>
          <w:spacing w:val="-95"/>
          <w:sz w:val="22"/>
          <w:szCs w:val="22"/>
          <w:highlight w:val="none"/>
        </w:rPr>
        <w:t xml:space="preserve"> </w:t>
      </w:r>
      <w:r>
        <w:rPr>
          <w:rFonts w:ascii="宋体" w:hAnsi="宋体" w:eastAsia="宋体" w:cs="宋体"/>
          <w:sz w:val="22"/>
          <w:szCs w:val="22"/>
          <w:highlight w:val="none"/>
          <w:u w:val="single" w:color="auto"/>
        </w:rPr>
        <w:t xml:space="preserve">                   </w:t>
      </w:r>
    </w:p>
    <w:p w14:paraId="7BFA7C34">
      <w:pPr>
        <w:pStyle w:val="2"/>
        <w:spacing w:before="107" w:line="221" w:lineRule="auto"/>
        <w:rPr>
          <w:rFonts w:ascii="黑体" w:hAnsi="黑体" w:eastAsia="黑体" w:cs="黑体"/>
          <w:sz w:val="22"/>
          <w:szCs w:val="22"/>
          <w:highlight w:val="none"/>
        </w:rPr>
      </w:pPr>
      <w:r>
        <w:rPr>
          <w:spacing w:val="-7"/>
          <w:sz w:val="22"/>
          <w:szCs w:val="22"/>
          <w:highlight w:val="none"/>
        </w:rPr>
        <w:t>1.11</w:t>
      </w:r>
      <w:r>
        <w:rPr>
          <w:spacing w:val="56"/>
          <w:w w:val="101"/>
          <w:sz w:val="22"/>
          <w:szCs w:val="22"/>
          <w:highlight w:val="none"/>
        </w:rPr>
        <w:t xml:space="preserve"> </w:t>
      </w:r>
      <w:r>
        <w:rPr>
          <w:rFonts w:ascii="黑体" w:hAnsi="黑体" w:eastAsia="黑体" w:cs="黑体"/>
          <w:spacing w:val="-7"/>
          <w:sz w:val="22"/>
          <w:szCs w:val="22"/>
          <w:highlight w:val="none"/>
        </w:rPr>
        <w:t>保密</w:t>
      </w:r>
    </w:p>
    <w:p w14:paraId="5AB43209">
      <w:pPr>
        <w:spacing w:before="221" w:line="216" w:lineRule="auto"/>
        <w:ind w:left="410"/>
        <w:rPr>
          <w:rFonts w:ascii="宋体" w:hAnsi="宋体" w:eastAsia="宋体" w:cs="宋体"/>
          <w:sz w:val="22"/>
          <w:szCs w:val="22"/>
          <w:highlight w:val="none"/>
        </w:rPr>
      </w:pPr>
      <w:r>
        <w:rPr>
          <w:rFonts w:ascii="宋体" w:hAnsi="宋体" w:eastAsia="宋体" w:cs="宋体"/>
          <w:spacing w:val="1"/>
          <w:sz w:val="22"/>
          <w:szCs w:val="22"/>
          <w:highlight w:val="none"/>
        </w:rPr>
        <w:t>双方订立的商业保密协议(名称):</w:t>
      </w:r>
      <w:r>
        <w:rPr>
          <w:rFonts w:ascii="宋体" w:hAnsi="宋体" w:eastAsia="宋体" w:cs="宋体"/>
          <w:spacing w:val="-39"/>
          <w:sz w:val="22"/>
          <w:szCs w:val="22"/>
          <w:highlight w:val="none"/>
        </w:rPr>
        <w:t xml:space="preserve"> </w:t>
      </w:r>
      <w:r>
        <w:rPr>
          <w:rFonts w:ascii="宋体" w:hAnsi="宋体" w:eastAsia="宋体" w:cs="宋体"/>
          <w:spacing w:val="1"/>
          <w:sz w:val="22"/>
          <w:szCs w:val="22"/>
          <w:highlight w:val="none"/>
          <w:u w:val="single" w:color="auto"/>
        </w:rPr>
        <w:t xml:space="preserve">             </w:t>
      </w:r>
      <w:r>
        <w:rPr>
          <w:rFonts w:ascii="宋体" w:hAnsi="宋体" w:eastAsia="宋体" w:cs="宋体"/>
          <w:spacing w:val="1"/>
          <w:sz w:val="22"/>
          <w:szCs w:val="22"/>
          <w:highlight w:val="none"/>
        </w:rPr>
        <w:t>,作为本合同附件。</w:t>
      </w:r>
    </w:p>
    <w:p w14:paraId="706E1E3B">
      <w:pPr>
        <w:spacing w:before="212" w:line="216" w:lineRule="auto"/>
        <w:ind w:left="410"/>
        <w:rPr>
          <w:rFonts w:ascii="宋体" w:hAnsi="宋体" w:eastAsia="宋体" w:cs="宋体"/>
          <w:sz w:val="22"/>
          <w:szCs w:val="22"/>
          <w:highlight w:val="none"/>
        </w:rPr>
      </w:pPr>
      <w:r>
        <w:rPr>
          <w:rFonts w:ascii="宋体" w:hAnsi="宋体" w:eastAsia="宋体" w:cs="宋体"/>
          <w:spacing w:val="2"/>
          <w:sz w:val="22"/>
          <w:szCs w:val="22"/>
          <w:highlight w:val="none"/>
        </w:rPr>
        <w:t>双方订立的技术保密协议(名称):</w:t>
      </w:r>
      <w:r>
        <w:rPr>
          <w:rFonts w:ascii="宋体" w:hAnsi="宋体" w:eastAsia="宋体" w:cs="宋体"/>
          <w:spacing w:val="-17"/>
          <w:sz w:val="22"/>
          <w:szCs w:val="22"/>
          <w:highlight w:val="none"/>
        </w:rPr>
        <w:t xml:space="preserve"> </w:t>
      </w:r>
      <w:r>
        <w:rPr>
          <w:rFonts w:ascii="宋体" w:hAnsi="宋体" w:eastAsia="宋体" w:cs="宋体"/>
          <w:spacing w:val="9"/>
          <w:sz w:val="22"/>
          <w:szCs w:val="22"/>
          <w:highlight w:val="none"/>
          <w:u w:val="single" w:color="auto"/>
        </w:rPr>
        <w:t xml:space="preserve">           </w:t>
      </w:r>
      <w:r>
        <w:rPr>
          <w:rFonts w:ascii="宋体" w:hAnsi="宋体" w:eastAsia="宋体" w:cs="宋体"/>
          <w:spacing w:val="2"/>
          <w:sz w:val="22"/>
          <w:szCs w:val="22"/>
          <w:highlight w:val="none"/>
        </w:rPr>
        <w:t>,作为本合同附件。</w:t>
      </w:r>
    </w:p>
    <w:p w14:paraId="5CEB2BCD">
      <w:pPr>
        <w:pStyle w:val="2"/>
        <w:spacing w:line="299" w:lineRule="auto"/>
        <w:rPr>
          <w:highlight w:val="none"/>
        </w:rPr>
      </w:pPr>
    </w:p>
    <w:p w14:paraId="025C7C06">
      <w:pPr>
        <w:pStyle w:val="2"/>
        <w:spacing w:before="62" w:line="259" w:lineRule="exact"/>
        <w:rPr>
          <w:rFonts w:ascii="黑体" w:hAnsi="黑体" w:eastAsia="黑体" w:cs="黑体"/>
          <w:sz w:val="19"/>
          <w:szCs w:val="19"/>
          <w:highlight w:val="none"/>
        </w:rPr>
      </w:pPr>
      <w:r>
        <w:rPr>
          <w:spacing w:val="7"/>
          <w:position w:val="1"/>
          <w:sz w:val="19"/>
          <w:szCs w:val="19"/>
          <w:highlight w:val="none"/>
        </w:rPr>
        <w:t xml:space="preserve">1.13   </w:t>
      </w:r>
      <w:r>
        <w:rPr>
          <w:rFonts w:ascii="黑体" w:hAnsi="黑体" w:eastAsia="黑体" w:cs="黑体"/>
          <w:spacing w:val="7"/>
          <w:position w:val="1"/>
          <w:sz w:val="19"/>
          <w:szCs w:val="19"/>
          <w:highlight w:val="none"/>
        </w:rPr>
        <w:t>责任限制</w:t>
      </w:r>
    </w:p>
    <w:p w14:paraId="2AF7B5EF">
      <w:pPr>
        <w:pStyle w:val="2"/>
        <w:spacing w:before="236" w:line="241" w:lineRule="auto"/>
        <w:ind w:left="410"/>
        <w:rPr>
          <w:sz w:val="7"/>
          <w:szCs w:val="7"/>
          <w:highlight w:val="none"/>
        </w:rPr>
      </w:pPr>
      <w:r>
        <w:rPr>
          <w:rFonts w:ascii="宋体" w:hAnsi="宋体" w:eastAsia="宋体" w:cs="宋体"/>
          <w:spacing w:val="-1"/>
          <w:highlight w:val="none"/>
        </w:rPr>
        <w:t>承包人对发包人赔偿责任的最高限额为</w:t>
      </w:r>
      <w:r>
        <w:rPr>
          <w:rFonts w:ascii="宋体" w:hAnsi="宋体" w:eastAsia="宋体" w:cs="宋体"/>
          <w:spacing w:val="-72"/>
          <w:highlight w:val="none"/>
        </w:rPr>
        <w:t xml:space="preserve"> </w:t>
      </w:r>
      <w:r>
        <w:rPr>
          <w:rFonts w:ascii="宋体" w:hAnsi="宋体" w:eastAsia="宋体" w:cs="宋体"/>
          <w:spacing w:val="-1"/>
          <w:highlight w:val="none"/>
          <w:u w:val="single" w:color="auto"/>
        </w:rPr>
        <w:t xml:space="preserve">                </w:t>
      </w:r>
      <w:r>
        <w:rPr>
          <w:spacing w:val="-1"/>
          <w:position w:val="-4"/>
          <w:sz w:val="7"/>
          <w:szCs w:val="7"/>
          <w:highlight w:val="none"/>
        </w:rPr>
        <w:t>0</w:t>
      </w:r>
    </w:p>
    <w:p w14:paraId="05769707">
      <w:pPr>
        <w:pStyle w:val="2"/>
        <w:spacing w:line="272" w:lineRule="auto"/>
        <w:rPr>
          <w:highlight w:val="none"/>
        </w:rPr>
      </w:pPr>
    </w:p>
    <w:p w14:paraId="0699C291">
      <w:pPr>
        <w:pStyle w:val="2"/>
        <w:spacing w:before="72" w:line="222" w:lineRule="auto"/>
        <w:rPr>
          <w:rFonts w:ascii="黑体" w:hAnsi="黑体" w:eastAsia="黑体" w:cs="黑体"/>
          <w:sz w:val="22"/>
          <w:szCs w:val="22"/>
          <w:highlight w:val="none"/>
        </w:rPr>
      </w:pPr>
      <w:r>
        <w:rPr>
          <w:spacing w:val="-8"/>
          <w:sz w:val="22"/>
          <w:szCs w:val="22"/>
          <w:highlight w:val="none"/>
        </w:rPr>
        <w:t>1.14</w:t>
      </w:r>
      <w:r>
        <w:rPr>
          <w:spacing w:val="47"/>
          <w:w w:val="101"/>
          <w:sz w:val="22"/>
          <w:szCs w:val="22"/>
          <w:highlight w:val="none"/>
        </w:rPr>
        <w:t xml:space="preserve"> </w:t>
      </w:r>
      <w:r>
        <w:rPr>
          <w:rFonts w:ascii="黑体" w:hAnsi="黑体" w:eastAsia="黑体" w:cs="黑体"/>
          <w:spacing w:val="-8"/>
          <w:sz w:val="22"/>
          <w:szCs w:val="22"/>
          <w:highlight w:val="none"/>
        </w:rPr>
        <w:t>建筑信息模型技术的应用</w:t>
      </w:r>
    </w:p>
    <w:p w14:paraId="1A8DF342">
      <w:pPr>
        <w:spacing w:before="226" w:line="202" w:lineRule="auto"/>
        <w:ind w:left="410"/>
        <w:rPr>
          <w:rFonts w:ascii="宋体" w:hAnsi="宋体" w:eastAsia="宋体" w:cs="宋体"/>
          <w:sz w:val="21"/>
          <w:szCs w:val="21"/>
          <w:highlight w:val="none"/>
        </w:rPr>
      </w:pPr>
      <w:r>
        <w:rPr>
          <w:rFonts w:ascii="宋体" w:hAnsi="宋体" w:eastAsia="宋体" w:cs="宋体"/>
          <w:spacing w:val="-11"/>
          <w:sz w:val="21"/>
          <w:szCs w:val="21"/>
          <w:highlight w:val="none"/>
        </w:rPr>
        <w:t>关于建筑信息模型技术的开发、使用、存储、传输、交付及费用约定如下：</w:t>
      </w:r>
      <w:r>
        <w:rPr>
          <w:rFonts w:ascii="宋体" w:hAnsi="宋体" w:eastAsia="宋体" w:cs="宋体"/>
          <w:spacing w:val="-11"/>
          <w:sz w:val="21"/>
          <w:szCs w:val="21"/>
          <w:highlight w:val="none"/>
          <w:u w:val="single" w:color="auto"/>
        </w:rPr>
        <w:t xml:space="preserve">  </w:t>
      </w:r>
      <w:r>
        <w:rPr>
          <w:rFonts w:ascii="宋体" w:hAnsi="宋体" w:eastAsia="宋体" w:cs="宋体"/>
          <w:spacing w:val="-12"/>
          <w:sz w:val="21"/>
          <w:szCs w:val="21"/>
          <w:highlight w:val="none"/>
          <w:u w:val="single" w:color="auto"/>
        </w:rPr>
        <w:t xml:space="preserve">           </w:t>
      </w:r>
    </w:p>
    <w:p w14:paraId="33A8B392">
      <w:pPr>
        <w:spacing w:line="18" w:lineRule="exact"/>
        <w:ind w:left="8200"/>
        <w:rPr>
          <w:rFonts w:ascii="宋体" w:hAnsi="宋体" w:eastAsia="宋体" w:cs="宋体"/>
          <w:sz w:val="10"/>
          <w:szCs w:val="10"/>
          <w:highlight w:val="none"/>
        </w:rPr>
      </w:pPr>
      <w:r>
        <w:rPr>
          <w:rFonts w:ascii="宋体" w:hAnsi="宋体" w:eastAsia="宋体" w:cs="宋体"/>
          <w:position w:val="1"/>
          <w:sz w:val="10"/>
          <w:szCs w:val="10"/>
          <w:highlight w:val="none"/>
        </w:rPr>
        <w:t>_</w:t>
      </w:r>
    </w:p>
    <w:p w14:paraId="6E747505">
      <w:pPr>
        <w:pStyle w:val="2"/>
        <w:spacing w:line="260" w:lineRule="auto"/>
        <w:rPr>
          <w:highlight w:val="none"/>
        </w:rPr>
      </w:pPr>
    </w:p>
    <w:p w14:paraId="4A6FE59B">
      <w:pPr>
        <w:spacing w:before="92" w:line="221" w:lineRule="auto"/>
        <w:outlineLvl w:val="1"/>
        <w:rPr>
          <w:rFonts w:ascii="黑体" w:hAnsi="黑体" w:eastAsia="黑体" w:cs="黑体"/>
          <w:sz w:val="28"/>
          <w:szCs w:val="28"/>
          <w:highlight w:val="none"/>
        </w:rPr>
      </w:pPr>
      <w:bookmarkStart w:id="119" w:name="bookmark69"/>
      <w:bookmarkEnd w:id="119"/>
      <w:r>
        <w:rPr>
          <w:rFonts w:ascii="黑体" w:hAnsi="黑体" w:eastAsia="黑体" w:cs="黑体"/>
          <w:spacing w:val="50"/>
          <w:sz w:val="28"/>
          <w:szCs w:val="28"/>
          <w:highlight w:val="none"/>
        </w:rPr>
        <w:t>第2条发包人</w:t>
      </w:r>
    </w:p>
    <w:p w14:paraId="3B90D25C">
      <w:pPr>
        <w:pStyle w:val="2"/>
        <w:spacing w:line="339" w:lineRule="auto"/>
        <w:rPr>
          <w:highlight w:val="none"/>
        </w:rPr>
      </w:pPr>
    </w:p>
    <w:p w14:paraId="3DECE918">
      <w:pPr>
        <w:pStyle w:val="2"/>
        <w:spacing w:before="72" w:line="222" w:lineRule="auto"/>
        <w:rPr>
          <w:rFonts w:ascii="黑体" w:hAnsi="黑体" w:eastAsia="黑体" w:cs="黑体"/>
          <w:sz w:val="22"/>
          <w:szCs w:val="22"/>
          <w:highlight w:val="none"/>
        </w:rPr>
      </w:pPr>
      <w:r>
        <w:rPr>
          <w:spacing w:val="-7"/>
          <w:sz w:val="22"/>
          <w:szCs w:val="22"/>
          <w:highlight w:val="none"/>
        </w:rPr>
        <w:t>2.2</w:t>
      </w:r>
      <w:r>
        <w:rPr>
          <w:spacing w:val="58"/>
          <w:sz w:val="22"/>
          <w:szCs w:val="22"/>
          <w:highlight w:val="none"/>
        </w:rPr>
        <w:t xml:space="preserve"> </w:t>
      </w:r>
      <w:r>
        <w:rPr>
          <w:rFonts w:ascii="黑体" w:hAnsi="黑体" w:eastAsia="黑体" w:cs="黑体"/>
          <w:spacing w:val="-7"/>
          <w:sz w:val="22"/>
          <w:szCs w:val="22"/>
          <w:highlight w:val="none"/>
        </w:rPr>
        <w:t>提供施工现场和工作条件</w:t>
      </w:r>
    </w:p>
    <w:p w14:paraId="672F3062">
      <w:pPr>
        <w:spacing w:before="195" w:line="219" w:lineRule="auto"/>
        <w:ind w:left="41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2.2.1</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5"/>
          <w:sz w:val="22"/>
          <w:szCs w:val="22"/>
          <w:highlight w:val="none"/>
        </w:rPr>
        <w:t>提供施工现场</w:t>
      </w:r>
    </w:p>
    <w:p w14:paraId="1609E4FC">
      <w:pPr>
        <w:spacing w:before="241" w:line="184" w:lineRule="auto"/>
        <w:ind w:left="410"/>
        <w:rPr>
          <w:rFonts w:ascii="宋体" w:hAnsi="宋体" w:eastAsia="宋体" w:cs="宋体"/>
          <w:sz w:val="24"/>
          <w:szCs w:val="24"/>
          <w:highlight w:val="none"/>
        </w:rPr>
      </w:pPr>
      <w:r>
        <w:rPr>
          <w:highlight w:val="none"/>
        </w:rPr>
        <w:pict>
          <v:shape id="_x0000_s1032" o:spid="_x0000_s1032" o:spt="202" type="#_x0000_t202" style="position:absolute;left:0pt;margin-left:282pt;margin-top:17.15pt;height:5.2pt;width:3.65pt;z-index:251670528;mso-width-relative:page;mso-height-relative:page;" filled="f" stroked="f" coordsize="21600,21600">
            <v:path/>
            <v:fill on="f" focussize="0,0"/>
            <v:stroke on="f"/>
            <v:imagedata o:title=""/>
            <o:lock v:ext="edit" aspectratio="f"/>
            <v:textbox inset="0mm,0mm,0mm,0mm">
              <w:txbxContent>
                <w:p w14:paraId="1DE33B62">
                  <w:pPr>
                    <w:spacing w:before="20" w:line="188" w:lineRule="auto"/>
                    <w:ind w:left="20"/>
                    <w:rPr>
                      <w:rFonts w:ascii="Times New Roman" w:hAnsi="Times New Roman" w:eastAsia="Times New Roman" w:cs="Times New Roman"/>
                      <w:sz w:val="7"/>
                      <w:szCs w:val="7"/>
                    </w:rPr>
                  </w:pPr>
                  <w:r>
                    <w:rPr>
                      <w:rFonts w:ascii="Times New Roman" w:hAnsi="Times New Roman" w:eastAsia="Times New Roman" w:cs="Times New Roman"/>
                      <w:sz w:val="7"/>
                      <w:szCs w:val="7"/>
                    </w:rPr>
                    <w:t>0</w:t>
                  </w:r>
                </w:p>
              </w:txbxContent>
            </v:textbox>
          </v:shape>
        </w:pict>
      </w:r>
      <w:r>
        <w:rPr>
          <w:rFonts w:ascii="宋体" w:hAnsi="宋体" w:eastAsia="宋体" w:cs="宋体"/>
          <w:spacing w:val="-24"/>
          <w:w w:val="97"/>
          <w:sz w:val="24"/>
          <w:szCs w:val="24"/>
          <w:highlight w:val="none"/>
        </w:rPr>
        <w:t>关于发包人提供施工现场的范围和期限：</w:t>
      </w:r>
      <w:r>
        <w:rPr>
          <w:rFonts w:ascii="宋体" w:hAnsi="宋体" w:eastAsia="宋体" w:cs="宋体"/>
          <w:sz w:val="24"/>
          <w:szCs w:val="24"/>
          <w:highlight w:val="none"/>
          <w:u w:val="single" w:color="auto"/>
        </w:rPr>
        <w:t xml:space="preserve">             </w:t>
      </w:r>
    </w:p>
    <w:p w14:paraId="7D4741DD">
      <w:pPr>
        <w:spacing w:before="229" w:line="219" w:lineRule="auto"/>
        <w:ind w:left="41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2.2.2</w:t>
      </w:r>
      <w:r>
        <w:rPr>
          <w:rFonts w:ascii="Times New Roman" w:hAnsi="Times New Roman" w:eastAsia="Times New Roman" w:cs="Times New Roman"/>
          <w:spacing w:val="12"/>
          <w:sz w:val="22"/>
          <w:szCs w:val="22"/>
          <w:highlight w:val="none"/>
        </w:rPr>
        <w:t xml:space="preserve">   </w:t>
      </w:r>
      <w:r>
        <w:rPr>
          <w:rFonts w:ascii="宋体" w:hAnsi="宋体" w:eastAsia="宋体" w:cs="宋体"/>
          <w:spacing w:val="-5"/>
          <w:sz w:val="22"/>
          <w:szCs w:val="22"/>
          <w:highlight w:val="none"/>
        </w:rPr>
        <w:t>提供工作条件</w:t>
      </w:r>
    </w:p>
    <w:p w14:paraId="684DDA71">
      <w:pPr>
        <w:spacing w:before="220" w:line="184" w:lineRule="auto"/>
        <w:ind w:left="410"/>
        <w:rPr>
          <w:rFonts w:ascii="宋体" w:hAnsi="宋体" w:eastAsia="宋体" w:cs="宋体"/>
          <w:sz w:val="21"/>
          <w:szCs w:val="21"/>
          <w:highlight w:val="none"/>
        </w:rPr>
      </w:pPr>
      <w:r>
        <w:rPr>
          <w:highlight w:val="none"/>
        </w:rPr>
        <w:pict>
          <v:shape id="_x0000_s1033" o:spid="_x0000_s1033" o:spt="202" type="#_x0000_t202" style="position:absolute;left:0pt;margin-left:282pt;margin-top:16.55pt;height:6.55pt;width:5.05pt;z-index:251672576;mso-width-relative:page;mso-height-relative:page;" filled="f" stroked="f" coordsize="21600,21600">
            <v:path/>
            <v:fill on="f" focussize="0,0"/>
            <v:stroke on="f"/>
            <v:imagedata o:title=""/>
            <o:lock v:ext="edit" aspectratio="f"/>
            <v:textbox inset="0mm,0mm,0mm,0mm">
              <w:txbxContent>
                <w:p w14:paraId="4CE4AB02">
                  <w:pPr>
                    <w:spacing w:before="19" w:line="239" w:lineRule="auto"/>
                    <w:ind w:left="20"/>
                    <w:rPr>
                      <w:rFonts w:ascii="宋体" w:hAnsi="宋体" w:eastAsia="宋体" w:cs="宋体"/>
                      <w:sz w:val="7"/>
                      <w:szCs w:val="7"/>
                    </w:rPr>
                  </w:pPr>
                  <w:r>
                    <w:rPr>
                      <w:rFonts w:ascii="宋体" w:hAnsi="宋体" w:eastAsia="宋体" w:cs="宋体"/>
                      <w:sz w:val="7"/>
                      <w:szCs w:val="7"/>
                    </w:rPr>
                    <w:t>□</w:t>
                  </w:r>
                </w:p>
              </w:txbxContent>
            </v:textbox>
          </v:shape>
        </w:pict>
      </w:r>
      <w:r>
        <w:rPr>
          <w:rFonts w:ascii="宋体" w:hAnsi="宋体" w:eastAsia="宋体" w:cs="宋体"/>
          <w:spacing w:val="-1"/>
          <w:sz w:val="21"/>
          <w:szCs w:val="21"/>
          <w:highlight w:val="none"/>
        </w:rPr>
        <w:t>关于发包人应负责提供的工作条件包括：</w:t>
      </w:r>
      <w:r>
        <w:rPr>
          <w:rFonts w:ascii="宋体" w:hAnsi="宋体" w:eastAsia="宋体" w:cs="宋体"/>
          <w:spacing w:val="-68"/>
          <w:sz w:val="21"/>
          <w:szCs w:val="21"/>
          <w:highlight w:val="none"/>
        </w:rPr>
        <w:t xml:space="preserve"> </w:t>
      </w:r>
      <w:r>
        <w:rPr>
          <w:rFonts w:ascii="宋体" w:hAnsi="宋体" w:eastAsia="宋体" w:cs="宋体"/>
          <w:sz w:val="21"/>
          <w:szCs w:val="21"/>
          <w:highlight w:val="none"/>
          <w:u w:val="single" w:color="auto"/>
        </w:rPr>
        <w:t xml:space="preserve">               </w:t>
      </w:r>
    </w:p>
    <w:p w14:paraId="360055F5">
      <w:pPr>
        <w:pStyle w:val="2"/>
        <w:spacing w:line="355" w:lineRule="auto"/>
        <w:rPr>
          <w:highlight w:val="none"/>
        </w:rPr>
      </w:pPr>
    </w:p>
    <w:p w14:paraId="78F2E0FA">
      <w:pPr>
        <w:spacing w:before="72" w:line="221" w:lineRule="auto"/>
        <w:rPr>
          <w:rFonts w:ascii="黑体" w:hAnsi="黑体" w:eastAsia="黑体" w:cs="黑体"/>
          <w:sz w:val="22"/>
          <w:szCs w:val="22"/>
          <w:highlight w:val="none"/>
        </w:rPr>
      </w:pPr>
      <w:r>
        <w:rPr>
          <w:rFonts w:ascii="黑体" w:hAnsi="黑体" w:eastAsia="黑体" w:cs="黑体"/>
          <w:spacing w:val="4"/>
          <w:sz w:val="22"/>
          <w:szCs w:val="22"/>
          <w:highlight w:val="none"/>
        </w:rPr>
        <w:t>2.3提供基础资料</w:t>
      </w:r>
    </w:p>
    <w:p w14:paraId="308A16DE">
      <w:pPr>
        <w:spacing w:before="219" w:line="184" w:lineRule="auto"/>
        <w:ind w:left="410"/>
        <w:rPr>
          <w:rFonts w:ascii="宋体" w:hAnsi="宋体" w:eastAsia="宋体" w:cs="宋体"/>
          <w:sz w:val="24"/>
          <w:szCs w:val="24"/>
          <w:highlight w:val="none"/>
        </w:rPr>
      </w:pPr>
      <w:r>
        <w:rPr>
          <w:highlight w:val="none"/>
        </w:rPr>
        <w:pict>
          <v:shape id="_x0000_s1034" o:spid="_x0000_s1034" o:spt="202" type="#_x0000_t202" style="position:absolute;left:0pt;margin-left:282pt;margin-top:16.55pt;height:5.2pt;width:3.65pt;z-index:251669504;mso-width-relative:page;mso-height-relative:page;" filled="f" stroked="f" coordsize="21600,21600">
            <v:path/>
            <v:fill on="f" focussize="0,0"/>
            <v:stroke on="f"/>
            <v:imagedata o:title=""/>
            <o:lock v:ext="edit" aspectratio="f"/>
            <v:textbox inset="0mm,0mm,0mm,0mm">
              <w:txbxContent>
                <w:p w14:paraId="426D2AAE">
                  <w:pPr>
                    <w:spacing w:before="20" w:line="188" w:lineRule="auto"/>
                    <w:ind w:left="20"/>
                    <w:rPr>
                      <w:rFonts w:ascii="Times New Roman" w:hAnsi="Times New Roman" w:eastAsia="Times New Roman" w:cs="Times New Roman"/>
                      <w:sz w:val="7"/>
                      <w:szCs w:val="7"/>
                    </w:rPr>
                  </w:pPr>
                  <w:r>
                    <w:rPr>
                      <w:rFonts w:ascii="Times New Roman" w:hAnsi="Times New Roman" w:eastAsia="Times New Roman" w:cs="Times New Roman"/>
                      <w:sz w:val="7"/>
                      <w:szCs w:val="7"/>
                    </w:rPr>
                    <w:t>0</w:t>
                  </w:r>
                </w:p>
              </w:txbxContent>
            </v:textbox>
          </v:shape>
        </w:pict>
      </w:r>
      <w:r>
        <w:rPr>
          <w:rFonts w:ascii="宋体" w:hAnsi="宋体" w:eastAsia="宋体" w:cs="宋体"/>
          <w:spacing w:val="-24"/>
          <w:w w:val="97"/>
          <w:sz w:val="24"/>
          <w:szCs w:val="24"/>
          <w:highlight w:val="none"/>
        </w:rPr>
        <w:t>关于发包人应提供的基础资料的范围和期限：</w:t>
      </w:r>
      <w:r>
        <w:rPr>
          <w:rFonts w:ascii="宋体" w:hAnsi="宋体" w:eastAsia="宋体" w:cs="宋体"/>
          <w:spacing w:val="1"/>
          <w:sz w:val="24"/>
          <w:szCs w:val="24"/>
          <w:highlight w:val="none"/>
          <w:u w:val="single" w:color="auto"/>
        </w:rPr>
        <w:t xml:space="preserve">         </w:t>
      </w:r>
    </w:p>
    <w:p w14:paraId="5C9F805A">
      <w:pPr>
        <w:pStyle w:val="2"/>
        <w:spacing w:line="286" w:lineRule="auto"/>
        <w:rPr>
          <w:highlight w:val="none"/>
        </w:rPr>
      </w:pPr>
    </w:p>
    <w:p w14:paraId="1FAE98E5">
      <w:pPr>
        <w:pStyle w:val="2"/>
        <w:spacing w:before="72" w:line="300" w:lineRule="exact"/>
        <w:rPr>
          <w:rFonts w:ascii="黑体" w:hAnsi="黑体" w:eastAsia="黑体" w:cs="黑体"/>
          <w:sz w:val="22"/>
          <w:szCs w:val="22"/>
          <w:highlight w:val="none"/>
        </w:rPr>
      </w:pPr>
      <w:r>
        <w:rPr>
          <w:spacing w:val="-5"/>
          <w:position w:val="1"/>
          <w:sz w:val="22"/>
          <w:szCs w:val="22"/>
          <w:highlight w:val="none"/>
        </w:rPr>
        <w:t xml:space="preserve">2.5  </w:t>
      </w:r>
      <w:r>
        <w:rPr>
          <w:rFonts w:ascii="黑体" w:hAnsi="黑体" w:eastAsia="黑体" w:cs="黑体"/>
          <w:spacing w:val="-5"/>
          <w:position w:val="1"/>
          <w:sz w:val="22"/>
          <w:szCs w:val="22"/>
          <w:highlight w:val="none"/>
        </w:rPr>
        <w:t>支付合同价款</w:t>
      </w:r>
    </w:p>
    <w:p w14:paraId="07A4A3CF">
      <w:pPr>
        <w:spacing w:before="210" w:line="184" w:lineRule="auto"/>
        <w:ind w:left="410"/>
        <w:rPr>
          <w:rFonts w:ascii="宋体" w:hAnsi="宋体" w:eastAsia="宋体" w:cs="宋体"/>
          <w:sz w:val="22"/>
          <w:szCs w:val="22"/>
          <w:highlight w:val="none"/>
        </w:rPr>
      </w:pPr>
      <w:r>
        <w:rPr>
          <w:highlight w:val="none"/>
        </w:rPr>
        <w:pict>
          <v:shape id="_x0000_s1035" o:spid="_x0000_s1035" o:spt="202" type="#_x0000_t202" style="position:absolute;left:0pt;margin-left:282pt;margin-top:17.75pt;height:6.4pt;width:134.1pt;z-index:251668480;mso-width-relative:page;mso-height-relative:page;" filled="f" stroked="f" coordsize="21600,21600">
            <v:path/>
            <v:fill on="f" focussize="0,0"/>
            <v:stroke on="f"/>
            <v:imagedata o:title=""/>
            <o:lock v:ext="edit" aspectratio="f"/>
            <v:textbox inset="0mm,0mm,0mm,0mm">
              <w:txbxContent>
                <w:p w14:paraId="2C40117F">
                  <w:pPr>
                    <w:pStyle w:val="2"/>
                    <w:tabs>
                      <w:tab w:val="left" w:pos="2548"/>
                    </w:tabs>
                    <w:spacing w:before="20" w:line="156" w:lineRule="auto"/>
                    <w:ind w:left="20"/>
                    <w:rPr>
                      <w:sz w:val="9"/>
                      <w:szCs w:val="9"/>
                    </w:rPr>
                  </w:pPr>
                  <w:r>
                    <w:rPr>
                      <w:sz w:val="9"/>
                      <w:szCs w:val="9"/>
                      <w:u w:val="single" w:color="auto"/>
                    </w:rPr>
                    <w:tab/>
                  </w:r>
                  <w:r>
                    <w:rPr>
                      <w:spacing w:val="-15"/>
                      <w:sz w:val="9"/>
                      <w:szCs w:val="9"/>
                    </w:rPr>
                    <w:t xml:space="preserve"> </w:t>
                  </w:r>
                  <w:r>
                    <w:rPr>
                      <w:spacing w:val="1"/>
                      <w:sz w:val="9"/>
                      <w:szCs w:val="9"/>
                      <w:u w:val="dotted" w:color="auto"/>
                    </w:rPr>
                    <w:t xml:space="preserve">  </w:t>
                  </w:r>
                  <w:r>
                    <w:rPr>
                      <w:spacing w:val="-23"/>
                      <w:sz w:val="9"/>
                      <w:szCs w:val="9"/>
                    </w:rPr>
                    <w:t xml:space="preserve"> </w:t>
                  </w:r>
                  <w:r>
                    <w:rPr>
                      <w:sz w:val="9"/>
                      <w:szCs w:val="9"/>
                    </w:rPr>
                    <w:t>o</w:t>
                  </w:r>
                </w:p>
              </w:txbxContent>
            </v:textbox>
          </v:shape>
        </w:pict>
      </w:r>
      <w:r>
        <w:rPr>
          <w:rFonts w:ascii="Times New Roman" w:hAnsi="Times New Roman" w:eastAsia="Times New Roman" w:cs="Times New Roman"/>
          <w:spacing w:val="-7"/>
          <w:sz w:val="22"/>
          <w:szCs w:val="22"/>
          <w:highlight w:val="none"/>
        </w:rPr>
        <w:t xml:space="preserve">2.5.2   </w:t>
      </w:r>
      <w:r>
        <w:rPr>
          <w:rFonts w:ascii="宋体" w:hAnsi="宋体" w:eastAsia="宋体" w:cs="宋体"/>
          <w:spacing w:val="-7"/>
          <w:sz w:val="22"/>
          <w:szCs w:val="22"/>
          <w:highlight w:val="none"/>
        </w:rPr>
        <w:t>发包人提供资金来源证明及资金安排的</w:t>
      </w:r>
      <w:r>
        <w:rPr>
          <w:rFonts w:ascii="宋体" w:hAnsi="宋体" w:eastAsia="宋体" w:cs="宋体"/>
          <w:spacing w:val="-8"/>
          <w:sz w:val="22"/>
          <w:szCs w:val="22"/>
          <w:highlight w:val="none"/>
        </w:rPr>
        <w:t>期限要求：</w:t>
      </w:r>
    </w:p>
    <w:p w14:paraId="7959B5C1">
      <w:pPr>
        <w:pStyle w:val="2"/>
        <w:spacing w:before="261" w:line="212" w:lineRule="auto"/>
        <w:jc w:val="right"/>
        <w:rPr>
          <w:sz w:val="20"/>
          <w:szCs w:val="20"/>
          <w:highlight w:val="none"/>
        </w:rPr>
      </w:pPr>
      <w:r>
        <w:rPr>
          <w:rFonts w:ascii="Times New Roman" w:hAnsi="Times New Roman" w:eastAsia="Times New Roman" w:cs="Times New Roman"/>
          <w:spacing w:val="6"/>
          <w:sz w:val="20"/>
          <w:szCs w:val="20"/>
          <w:highlight w:val="none"/>
        </w:rPr>
        <w:t xml:space="preserve">2.5.3    </w:t>
      </w:r>
      <w:r>
        <w:rPr>
          <w:rFonts w:ascii="宋体" w:hAnsi="宋体" w:eastAsia="宋体" w:cs="宋体"/>
          <w:spacing w:val="6"/>
          <w:sz w:val="20"/>
          <w:szCs w:val="20"/>
          <w:highlight w:val="none"/>
        </w:rPr>
        <w:t xml:space="preserve">发包人提供支付担保的形式、期限、金额(或比例): </w:t>
      </w:r>
      <w:r>
        <w:rPr>
          <w:rFonts w:ascii="宋体" w:hAnsi="宋体" w:eastAsia="宋体" w:cs="宋体"/>
          <w:spacing w:val="6"/>
          <w:sz w:val="20"/>
          <w:szCs w:val="20"/>
          <w:highlight w:val="none"/>
          <w:u w:val="single" w:color="auto"/>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90"/>
          <w:sz w:val="20"/>
          <w:szCs w:val="20"/>
          <w:highlight w:val="none"/>
        </w:rPr>
        <w:t xml:space="preserve"> </w:t>
      </w:r>
      <w:r>
        <w:rPr>
          <w:spacing w:val="5"/>
          <w:sz w:val="20"/>
          <w:szCs w:val="20"/>
          <w:highlight w:val="none"/>
        </w:rPr>
        <w:t>_o</w:t>
      </w:r>
    </w:p>
    <w:p w14:paraId="0AA6B2FF">
      <w:pPr>
        <w:pStyle w:val="2"/>
        <w:spacing w:line="335" w:lineRule="auto"/>
        <w:rPr>
          <w:highlight w:val="none"/>
        </w:rPr>
      </w:pPr>
    </w:p>
    <w:p w14:paraId="62584DF1">
      <w:pPr>
        <w:spacing w:before="72" w:line="221" w:lineRule="auto"/>
        <w:rPr>
          <w:rFonts w:ascii="黑体" w:hAnsi="黑体" w:eastAsia="黑体" w:cs="黑体"/>
          <w:sz w:val="22"/>
          <w:szCs w:val="22"/>
          <w:highlight w:val="none"/>
        </w:rPr>
      </w:pPr>
      <w:r>
        <w:rPr>
          <w:rFonts w:ascii="黑体" w:hAnsi="黑体" w:eastAsia="黑体" w:cs="黑体"/>
          <w:spacing w:val="6"/>
          <w:sz w:val="22"/>
          <w:szCs w:val="22"/>
          <w:highlight w:val="none"/>
        </w:rPr>
        <w:t>2.7其他义务</w:t>
      </w:r>
    </w:p>
    <w:p w14:paraId="0576678E">
      <w:pPr>
        <w:spacing w:before="229" w:line="219" w:lineRule="auto"/>
        <w:ind w:left="410"/>
        <w:rPr>
          <w:rFonts w:ascii="宋体" w:hAnsi="宋体" w:eastAsia="宋体" w:cs="宋体"/>
          <w:sz w:val="22"/>
          <w:szCs w:val="22"/>
          <w:highlight w:val="none"/>
        </w:rPr>
      </w:pPr>
      <w:r>
        <w:rPr>
          <w:rFonts w:ascii="宋体" w:hAnsi="宋体" w:eastAsia="宋体" w:cs="宋体"/>
          <w:spacing w:val="-6"/>
          <w:sz w:val="22"/>
          <w:szCs w:val="22"/>
          <w:highlight w:val="none"/>
        </w:rPr>
        <w:t>发包人应履行的其他义务：</w:t>
      </w:r>
      <w:r>
        <w:rPr>
          <w:rFonts w:ascii="宋体" w:hAnsi="宋体" w:eastAsia="宋体" w:cs="宋体"/>
          <w:spacing w:val="-6"/>
          <w:sz w:val="22"/>
          <w:szCs w:val="22"/>
          <w:highlight w:val="none"/>
          <w:u w:val="single" w:color="auto"/>
        </w:rPr>
        <w:t xml:space="preserve">                   </w:t>
      </w:r>
      <w:r>
        <w:rPr>
          <w:rFonts w:ascii="宋体" w:hAnsi="宋体" w:eastAsia="宋体" w:cs="宋体"/>
          <w:spacing w:val="-7"/>
          <w:sz w:val="22"/>
          <w:szCs w:val="22"/>
          <w:highlight w:val="none"/>
          <w:u w:val="single" w:color="auto"/>
        </w:rPr>
        <w:t xml:space="preserve">        </w:t>
      </w:r>
    </w:p>
    <w:p w14:paraId="3A18A4A6">
      <w:pPr>
        <w:spacing w:before="308" w:line="221" w:lineRule="auto"/>
        <w:outlineLvl w:val="1"/>
        <w:rPr>
          <w:rFonts w:ascii="黑体" w:hAnsi="黑体" w:eastAsia="黑体" w:cs="黑体"/>
          <w:sz w:val="28"/>
          <w:szCs w:val="28"/>
          <w:highlight w:val="none"/>
        </w:rPr>
      </w:pPr>
      <w:bookmarkStart w:id="120" w:name="bookmark70"/>
      <w:bookmarkEnd w:id="120"/>
      <w:r>
        <w:rPr>
          <w:rFonts w:ascii="黑体" w:hAnsi="黑体" w:eastAsia="黑体" w:cs="黑体"/>
          <w:spacing w:val="36"/>
          <w:sz w:val="28"/>
          <w:szCs w:val="28"/>
          <w:highlight w:val="none"/>
        </w:rPr>
        <w:t>第3条发包人的管理</w:t>
      </w:r>
    </w:p>
    <w:p w14:paraId="5D605D2A">
      <w:pPr>
        <w:pStyle w:val="2"/>
        <w:spacing w:line="319" w:lineRule="auto"/>
        <w:rPr>
          <w:highlight w:val="none"/>
        </w:rPr>
      </w:pPr>
    </w:p>
    <w:p w14:paraId="30B2CC86">
      <w:pPr>
        <w:pStyle w:val="2"/>
        <w:spacing w:before="73" w:line="300" w:lineRule="exact"/>
        <w:rPr>
          <w:rFonts w:ascii="黑体" w:hAnsi="黑体" w:eastAsia="黑体" w:cs="黑体"/>
          <w:sz w:val="22"/>
          <w:szCs w:val="22"/>
          <w:highlight w:val="none"/>
        </w:rPr>
      </w:pPr>
      <w:r>
        <w:rPr>
          <w:spacing w:val="-6"/>
          <w:position w:val="1"/>
          <w:sz w:val="22"/>
          <w:szCs w:val="22"/>
          <w:highlight w:val="none"/>
        </w:rPr>
        <w:t>3.1</w:t>
      </w:r>
      <w:r>
        <w:rPr>
          <w:spacing w:val="56"/>
          <w:w w:val="101"/>
          <w:position w:val="1"/>
          <w:sz w:val="22"/>
          <w:szCs w:val="22"/>
          <w:highlight w:val="none"/>
        </w:rPr>
        <w:t xml:space="preserve"> </w:t>
      </w:r>
      <w:r>
        <w:rPr>
          <w:rFonts w:ascii="黑体" w:hAnsi="黑体" w:eastAsia="黑体" w:cs="黑体"/>
          <w:spacing w:val="-6"/>
          <w:position w:val="1"/>
          <w:sz w:val="22"/>
          <w:szCs w:val="22"/>
          <w:highlight w:val="none"/>
        </w:rPr>
        <w:t>发包人代表</w:t>
      </w:r>
    </w:p>
    <w:p w14:paraId="08054DFC">
      <w:pPr>
        <w:spacing w:before="221" w:line="184" w:lineRule="auto"/>
        <w:ind w:left="410"/>
        <w:rPr>
          <w:rFonts w:ascii="宋体" w:hAnsi="宋体" w:eastAsia="宋体" w:cs="宋体"/>
          <w:sz w:val="20"/>
          <w:szCs w:val="20"/>
          <w:highlight w:val="none"/>
        </w:rPr>
      </w:pPr>
      <w:r>
        <w:rPr>
          <w:highlight w:val="none"/>
        </w:rPr>
        <w:pict>
          <v:shape id="_x0000_s1036" o:spid="_x0000_s1036" o:spt="202" type="#_x0000_t202" style="position:absolute;left:0pt;margin-left:289pt;margin-top:16.6pt;height:5.45pt;width:3.4pt;z-index:251671552;mso-width-relative:page;mso-height-relative:page;" filled="f" stroked="f" coordsize="21600,21600">
            <v:path/>
            <v:fill on="f" focussize="0,0"/>
            <v:stroke on="f"/>
            <v:imagedata o:title=""/>
            <o:lock v:ext="edit" aspectratio="f"/>
            <v:textbox inset="0mm,0mm,0mm,0mm">
              <w:txbxContent>
                <w:p w14:paraId="133CD33D">
                  <w:pPr>
                    <w:spacing w:before="20" w:line="68" w:lineRule="exact"/>
                    <w:ind w:right="2"/>
                    <w:jc w:val="right"/>
                    <w:rPr>
                      <w:rFonts w:ascii="宋体" w:hAnsi="宋体" w:eastAsia="宋体" w:cs="宋体"/>
                      <w:sz w:val="9"/>
                      <w:szCs w:val="9"/>
                    </w:rPr>
                  </w:pPr>
                  <w:r>
                    <w:rPr>
                      <w:rFonts w:ascii="宋体" w:hAnsi="宋体" w:eastAsia="宋体" w:cs="宋体"/>
                      <w:sz w:val="9"/>
                      <w:szCs w:val="9"/>
                    </w:rPr>
                    <w:t>;</w:t>
                  </w:r>
                </w:p>
              </w:txbxContent>
            </v:textbox>
          </v:shape>
        </w:pict>
      </w:r>
      <w:r>
        <w:rPr>
          <w:rFonts w:ascii="宋体" w:hAnsi="宋体" w:eastAsia="宋体" w:cs="宋体"/>
          <w:spacing w:val="-1"/>
          <w:sz w:val="20"/>
          <w:szCs w:val="20"/>
          <w:highlight w:val="none"/>
        </w:rPr>
        <w:t xml:space="preserve">发包人代表的姓名： </w:t>
      </w:r>
      <w:r>
        <w:rPr>
          <w:rFonts w:ascii="宋体" w:hAnsi="宋体" w:eastAsia="宋体" w:cs="宋体"/>
          <w:spacing w:val="-1"/>
          <w:sz w:val="20"/>
          <w:szCs w:val="20"/>
          <w:highlight w:val="none"/>
          <w:u w:val="single" w:color="auto"/>
        </w:rPr>
        <w:t xml:space="preserve">                                   </w:t>
      </w:r>
    </w:p>
    <w:p w14:paraId="60E1CA49">
      <w:pPr>
        <w:spacing w:line="184" w:lineRule="auto"/>
        <w:rPr>
          <w:rFonts w:ascii="宋体" w:hAnsi="宋体" w:eastAsia="宋体" w:cs="宋体"/>
          <w:sz w:val="20"/>
          <w:szCs w:val="20"/>
          <w:highlight w:val="none"/>
        </w:rPr>
        <w:sectPr>
          <w:footerReference r:id="rId148" w:type="default"/>
          <w:pgSz w:w="11910" w:h="16840"/>
          <w:pgMar w:top="400" w:right="1786" w:bottom="1238" w:left="1779" w:header="0" w:footer="1007" w:gutter="0"/>
          <w:cols w:space="720" w:num="1"/>
        </w:sectPr>
      </w:pPr>
    </w:p>
    <w:p w14:paraId="746A6755">
      <w:pPr>
        <w:pStyle w:val="2"/>
        <w:spacing w:line="275" w:lineRule="auto"/>
        <w:rPr>
          <w:highlight w:val="none"/>
        </w:rPr>
      </w:pPr>
    </w:p>
    <w:p w14:paraId="3CEF3337">
      <w:pPr>
        <w:pStyle w:val="2"/>
        <w:spacing w:line="275" w:lineRule="auto"/>
        <w:rPr>
          <w:highlight w:val="none"/>
        </w:rPr>
      </w:pPr>
    </w:p>
    <w:p w14:paraId="5314DB80">
      <w:pPr>
        <w:pStyle w:val="2"/>
        <w:spacing w:line="275" w:lineRule="auto"/>
        <w:rPr>
          <w:highlight w:val="none"/>
        </w:rPr>
      </w:pPr>
    </w:p>
    <w:p w14:paraId="46EBD84C">
      <w:pPr>
        <w:pStyle w:val="2"/>
        <w:spacing w:line="275" w:lineRule="auto"/>
        <w:rPr>
          <w:highlight w:val="none"/>
        </w:rPr>
      </w:pPr>
    </w:p>
    <w:p w14:paraId="485957DA">
      <w:pPr>
        <w:spacing w:before="72" w:line="219" w:lineRule="auto"/>
        <w:ind w:left="420"/>
        <w:rPr>
          <w:rFonts w:ascii="宋体" w:hAnsi="宋体" w:eastAsia="宋体" w:cs="宋体"/>
          <w:sz w:val="22"/>
          <w:szCs w:val="22"/>
          <w:highlight w:val="none"/>
        </w:rPr>
      </w:pPr>
      <w:bookmarkStart w:id="121" w:name="bookmark240"/>
      <w:bookmarkEnd w:id="121"/>
      <w:r>
        <w:rPr>
          <w:rFonts w:ascii="宋体" w:hAnsi="宋体" w:eastAsia="宋体" w:cs="宋体"/>
          <w:spacing w:val="-16"/>
          <w:sz w:val="22"/>
          <w:szCs w:val="22"/>
          <w:highlight w:val="none"/>
        </w:rPr>
        <w:t>发包人代表的身份证号：</w:t>
      </w:r>
      <w:r>
        <w:rPr>
          <w:rFonts w:ascii="宋体" w:hAnsi="宋体" w:eastAsia="宋体" w:cs="宋体"/>
          <w:spacing w:val="2"/>
          <w:sz w:val="22"/>
          <w:szCs w:val="22"/>
          <w:highlight w:val="none"/>
          <w:u w:val="single" w:color="auto"/>
        </w:rPr>
        <w:t xml:space="preserve">                            </w:t>
      </w:r>
      <w:r>
        <w:rPr>
          <w:rFonts w:ascii="宋体" w:hAnsi="宋体" w:eastAsia="宋体" w:cs="宋体"/>
          <w:spacing w:val="-76"/>
          <w:sz w:val="22"/>
          <w:szCs w:val="22"/>
          <w:highlight w:val="none"/>
        </w:rPr>
        <w:t xml:space="preserve"> </w:t>
      </w:r>
      <w:r>
        <w:rPr>
          <w:rFonts w:ascii="宋体" w:hAnsi="宋体" w:eastAsia="宋体" w:cs="宋体"/>
          <w:spacing w:val="-16"/>
          <w:sz w:val="22"/>
          <w:szCs w:val="22"/>
          <w:highlight w:val="none"/>
        </w:rPr>
        <w:t>:</w:t>
      </w:r>
    </w:p>
    <w:p w14:paraId="617AAAE4">
      <w:pPr>
        <w:spacing w:before="228" w:line="219" w:lineRule="auto"/>
        <w:ind w:left="420"/>
        <w:rPr>
          <w:rFonts w:ascii="宋体" w:hAnsi="宋体" w:eastAsia="宋体" w:cs="宋体"/>
          <w:sz w:val="20"/>
          <w:szCs w:val="20"/>
          <w:highlight w:val="none"/>
        </w:rPr>
      </w:pPr>
      <w:r>
        <w:rPr>
          <w:rFonts w:ascii="宋体" w:hAnsi="宋体" w:eastAsia="宋体" w:cs="宋体"/>
          <w:spacing w:val="1"/>
          <w:sz w:val="20"/>
          <w:szCs w:val="20"/>
          <w:highlight w:val="none"/>
        </w:rPr>
        <w:t>发包人代表的职务：</w:t>
      </w:r>
      <w:r>
        <w:rPr>
          <w:rFonts w:ascii="宋体" w:hAnsi="宋体" w:eastAsia="宋体" w:cs="宋体"/>
          <w:spacing w:val="1"/>
          <w:sz w:val="20"/>
          <w:szCs w:val="20"/>
          <w:highlight w:val="none"/>
          <w:u w:val="single" w:color="auto"/>
        </w:rPr>
        <w:t xml:space="preserve">                   </w:t>
      </w:r>
      <w:r>
        <w:rPr>
          <w:rFonts w:ascii="宋体" w:hAnsi="宋体" w:eastAsia="宋体" w:cs="宋体"/>
          <w:sz w:val="20"/>
          <w:szCs w:val="20"/>
          <w:highlight w:val="none"/>
          <w:u w:val="single" w:color="auto"/>
        </w:rPr>
        <w:t xml:space="preserve">                </w:t>
      </w:r>
      <w:r>
        <w:rPr>
          <w:rFonts w:ascii="宋体" w:hAnsi="宋体" w:eastAsia="宋体" w:cs="宋体"/>
          <w:spacing w:val="-60"/>
          <w:sz w:val="20"/>
          <w:szCs w:val="20"/>
          <w:highlight w:val="none"/>
        </w:rPr>
        <w:t xml:space="preserve"> </w:t>
      </w:r>
      <w:r>
        <w:rPr>
          <w:rFonts w:ascii="宋体" w:hAnsi="宋体" w:eastAsia="宋体" w:cs="宋体"/>
          <w:sz w:val="20"/>
          <w:szCs w:val="20"/>
          <w:highlight w:val="none"/>
        </w:rPr>
        <w:t>:</w:t>
      </w:r>
    </w:p>
    <w:p w14:paraId="4D436D1F">
      <w:pPr>
        <w:spacing w:before="213" w:line="219" w:lineRule="auto"/>
        <w:ind w:left="420"/>
        <w:rPr>
          <w:rFonts w:ascii="宋体" w:hAnsi="宋体" w:eastAsia="宋体" w:cs="宋体"/>
          <w:sz w:val="22"/>
          <w:szCs w:val="22"/>
          <w:highlight w:val="none"/>
        </w:rPr>
      </w:pPr>
      <w:r>
        <w:rPr>
          <w:rFonts w:ascii="宋体" w:hAnsi="宋体" w:eastAsia="宋体" w:cs="宋体"/>
          <w:spacing w:val="-8"/>
          <w:sz w:val="22"/>
          <w:szCs w:val="22"/>
          <w:highlight w:val="none"/>
        </w:rPr>
        <w:t>发包人代表的联系电话：</w:t>
      </w:r>
      <w:r>
        <w:rPr>
          <w:rFonts w:ascii="宋体" w:hAnsi="宋体" w:eastAsia="宋体" w:cs="宋体"/>
          <w:spacing w:val="3"/>
          <w:sz w:val="22"/>
          <w:szCs w:val="22"/>
          <w:highlight w:val="none"/>
          <w:u w:val="single" w:color="auto"/>
        </w:rPr>
        <w:t xml:space="preserve">                           </w:t>
      </w:r>
      <w:r>
        <w:rPr>
          <w:rFonts w:ascii="宋体" w:hAnsi="宋体" w:eastAsia="宋体" w:cs="宋体"/>
          <w:spacing w:val="-87"/>
          <w:sz w:val="22"/>
          <w:szCs w:val="22"/>
          <w:highlight w:val="none"/>
        </w:rPr>
        <w:t xml:space="preserve"> </w:t>
      </w:r>
      <w:r>
        <w:rPr>
          <w:rFonts w:ascii="宋体" w:hAnsi="宋体" w:eastAsia="宋体" w:cs="宋体"/>
          <w:spacing w:val="-8"/>
          <w:sz w:val="22"/>
          <w:szCs w:val="22"/>
          <w:highlight w:val="none"/>
        </w:rPr>
        <w:t>;</w:t>
      </w:r>
    </w:p>
    <w:p w14:paraId="2F0DFEA1">
      <w:pPr>
        <w:spacing w:before="218" w:line="219" w:lineRule="auto"/>
        <w:ind w:left="420"/>
        <w:rPr>
          <w:rFonts w:ascii="宋体" w:hAnsi="宋体" w:eastAsia="宋体" w:cs="宋体"/>
          <w:sz w:val="21"/>
          <w:szCs w:val="21"/>
          <w:highlight w:val="none"/>
        </w:rPr>
      </w:pPr>
      <w:r>
        <w:rPr>
          <w:rFonts w:ascii="宋体" w:hAnsi="宋体" w:eastAsia="宋体" w:cs="宋体"/>
          <w:spacing w:val="-8"/>
          <w:sz w:val="21"/>
          <w:szCs w:val="21"/>
          <w:highlight w:val="none"/>
        </w:rPr>
        <w:t>发包人代表的电子邮箱：</w:t>
      </w:r>
      <w:r>
        <w:rPr>
          <w:rFonts w:ascii="宋体" w:hAnsi="宋体" w:eastAsia="宋体" w:cs="宋体"/>
          <w:sz w:val="21"/>
          <w:szCs w:val="21"/>
          <w:highlight w:val="none"/>
          <w:u w:val="single" w:color="auto"/>
        </w:rPr>
        <w:t xml:space="preserve">                              </w:t>
      </w:r>
    </w:p>
    <w:p w14:paraId="2969AACD">
      <w:pPr>
        <w:spacing w:before="220" w:line="219" w:lineRule="auto"/>
        <w:ind w:left="420"/>
        <w:rPr>
          <w:rFonts w:ascii="宋体" w:hAnsi="宋体" w:eastAsia="宋体" w:cs="宋体"/>
          <w:sz w:val="21"/>
          <w:szCs w:val="21"/>
          <w:highlight w:val="none"/>
        </w:rPr>
      </w:pPr>
      <w:r>
        <w:rPr>
          <w:rFonts w:ascii="宋体" w:hAnsi="宋体" w:eastAsia="宋体" w:cs="宋体"/>
          <w:spacing w:val="1"/>
          <w:sz w:val="21"/>
          <w:szCs w:val="21"/>
          <w:highlight w:val="none"/>
        </w:rPr>
        <w:t>发包人代表的通信地址：</w:t>
      </w:r>
      <w:r>
        <w:rPr>
          <w:rFonts w:ascii="宋体" w:hAnsi="宋体" w:eastAsia="宋体" w:cs="宋体"/>
          <w:spacing w:val="1"/>
          <w:sz w:val="21"/>
          <w:szCs w:val="21"/>
          <w:highlight w:val="none"/>
          <w:u w:val="single" w:color="auto"/>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85"/>
          <w:sz w:val="21"/>
          <w:szCs w:val="21"/>
          <w:highlight w:val="none"/>
        </w:rPr>
        <w:t xml:space="preserve"> </w:t>
      </w:r>
      <w:r>
        <w:rPr>
          <w:rFonts w:ascii="宋体" w:hAnsi="宋体" w:eastAsia="宋体" w:cs="宋体"/>
          <w:sz w:val="21"/>
          <w:szCs w:val="21"/>
          <w:highlight w:val="none"/>
        </w:rPr>
        <w:t>;</w:t>
      </w:r>
    </w:p>
    <w:p w14:paraId="07182088">
      <w:pPr>
        <w:spacing w:before="221" w:line="219" w:lineRule="auto"/>
        <w:ind w:left="420"/>
        <w:rPr>
          <w:rFonts w:ascii="宋体" w:hAnsi="宋体" w:eastAsia="宋体" w:cs="宋体"/>
          <w:sz w:val="21"/>
          <w:szCs w:val="21"/>
          <w:highlight w:val="none"/>
        </w:rPr>
      </w:pPr>
      <w:r>
        <w:rPr>
          <w:rFonts w:ascii="宋体" w:hAnsi="宋体" w:eastAsia="宋体" w:cs="宋体"/>
          <w:spacing w:val="-1"/>
          <w:sz w:val="21"/>
          <w:szCs w:val="21"/>
          <w:highlight w:val="none"/>
        </w:rPr>
        <w:t>发包人对发包人代表的授权范围如下：</w:t>
      </w:r>
      <w:r>
        <w:rPr>
          <w:rFonts w:ascii="宋体" w:hAnsi="宋体" w:eastAsia="宋体" w:cs="宋体"/>
          <w:spacing w:val="-79"/>
          <w:sz w:val="21"/>
          <w:szCs w:val="21"/>
          <w:highlight w:val="none"/>
        </w:rPr>
        <w:t xml:space="preserve"> </w:t>
      </w:r>
      <w:r>
        <w:rPr>
          <w:rFonts w:ascii="宋体" w:hAnsi="宋体" w:eastAsia="宋体" w:cs="宋体"/>
          <w:sz w:val="21"/>
          <w:szCs w:val="21"/>
          <w:highlight w:val="none"/>
          <w:u w:val="single" w:color="auto"/>
        </w:rPr>
        <w:t xml:space="preserve">                  </w:t>
      </w:r>
    </w:p>
    <w:p w14:paraId="5167FBE9">
      <w:pPr>
        <w:spacing w:before="231" w:line="219" w:lineRule="auto"/>
        <w:ind w:left="420"/>
        <w:rPr>
          <w:rFonts w:ascii="宋体" w:hAnsi="宋体" w:eastAsia="宋体" w:cs="宋体"/>
          <w:sz w:val="21"/>
          <w:szCs w:val="21"/>
          <w:highlight w:val="none"/>
        </w:rPr>
      </w:pPr>
      <w:r>
        <w:rPr>
          <w:rFonts w:ascii="宋体" w:hAnsi="宋体" w:eastAsia="宋体" w:cs="宋体"/>
          <w:sz w:val="21"/>
          <w:szCs w:val="21"/>
          <w:highlight w:val="none"/>
        </w:rPr>
        <w:t>发包人代表的职责：</w:t>
      </w:r>
      <w:r>
        <w:rPr>
          <w:rFonts w:ascii="宋体" w:hAnsi="宋体" w:eastAsia="宋体" w:cs="宋体"/>
          <w:spacing w:val="-85"/>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82"/>
          <w:sz w:val="21"/>
          <w:szCs w:val="21"/>
          <w:highlight w:val="none"/>
        </w:rPr>
        <w:t xml:space="preserve"> </w:t>
      </w:r>
      <w:r>
        <w:rPr>
          <w:rFonts w:ascii="宋体" w:hAnsi="宋体" w:eastAsia="宋体" w:cs="宋体"/>
          <w:sz w:val="21"/>
          <w:szCs w:val="21"/>
          <w:highlight w:val="none"/>
        </w:rPr>
        <w:t>◎</w:t>
      </w:r>
    </w:p>
    <w:p w14:paraId="65CD1C78">
      <w:pPr>
        <w:pStyle w:val="2"/>
        <w:spacing w:line="276" w:lineRule="auto"/>
        <w:rPr>
          <w:highlight w:val="none"/>
        </w:rPr>
      </w:pPr>
    </w:p>
    <w:p w14:paraId="0DBCAC6B">
      <w:pPr>
        <w:pStyle w:val="2"/>
        <w:spacing w:before="72" w:line="300" w:lineRule="exact"/>
        <w:rPr>
          <w:rFonts w:ascii="黑体" w:hAnsi="黑体" w:eastAsia="黑体" w:cs="黑体"/>
          <w:sz w:val="22"/>
          <w:szCs w:val="22"/>
          <w:highlight w:val="none"/>
        </w:rPr>
      </w:pPr>
      <w:r>
        <w:rPr>
          <w:spacing w:val="-5"/>
          <w:position w:val="1"/>
          <w:sz w:val="22"/>
          <w:szCs w:val="22"/>
          <w:highlight w:val="none"/>
        </w:rPr>
        <w:t xml:space="preserve">3.2  </w:t>
      </w:r>
      <w:r>
        <w:rPr>
          <w:rFonts w:ascii="黑体" w:hAnsi="黑体" w:eastAsia="黑体" w:cs="黑体"/>
          <w:spacing w:val="-5"/>
          <w:position w:val="1"/>
          <w:sz w:val="22"/>
          <w:szCs w:val="22"/>
          <w:highlight w:val="none"/>
        </w:rPr>
        <w:t>发包人人员</w:t>
      </w:r>
    </w:p>
    <w:p w14:paraId="674D8CB9">
      <w:pPr>
        <w:spacing w:before="231" w:line="219" w:lineRule="auto"/>
        <w:ind w:left="420"/>
        <w:rPr>
          <w:rFonts w:ascii="宋体" w:hAnsi="宋体" w:eastAsia="宋体" w:cs="宋体"/>
          <w:sz w:val="21"/>
          <w:szCs w:val="21"/>
          <w:highlight w:val="none"/>
        </w:rPr>
      </w:pPr>
      <w:r>
        <w:rPr>
          <w:rFonts w:ascii="宋体" w:hAnsi="宋体" w:eastAsia="宋体" w:cs="宋体"/>
          <w:sz w:val="21"/>
          <w:szCs w:val="21"/>
          <w:highlight w:val="none"/>
        </w:rPr>
        <w:t>发包人人员姓名：</w:t>
      </w:r>
      <w:r>
        <w:rPr>
          <w:rFonts w:ascii="宋体" w:hAnsi="宋体" w:eastAsia="宋体" w:cs="宋体"/>
          <w:sz w:val="21"/>
          <w:szCs w:val="21"/>
          <w:highlight w:val="none"/>
          <w:u w:val="single" w:color="auto"/>
        </w:rPr>
        <w:t xml:space="preserve">                                    </w:t>
      </w:r>
    </w:p>
    <w:p w14:paraId="7434AAA9">
      <w:pPr>
        <w:spacing w:before="120" w:line="91" w:lineRule="exact"/>
        <w:ind w:left="5790"/>
        <w:rPr>
          <w:rFonts w:ascii="宋体" w:hAnsi="宋体" w:eastAsia="宋体" w:cs="宋体"/>
          <w:sz w:val="12"/>
          <w:szCs w:val="12"/>
          <w:highlight w:val="none"/>
        </w:rPr>
      </w:pPr>
      <w:r>
        <w:rPr>
          <w:rFonts w:ascii="宋体" w:hAnsi="宋体" w:eastAsia="宋体" w:cs="宋体"/>
          <w:spacing w:val="-8"/>
          <w:position w:val="1"/>
          <w:sz w:val="12"/>
          <w:szCs w:val="12"/>
          <w:highlight w:val="none"/>
        </w:rPr>
        <w:t>_;</w:t>
      </w:r>
    </w:p>
    <w:p w14:paraId="091A8A18">
      <w:pPr>
        <w:spacing w:before="20" w:line="219" w:lineRule="auto"/>
        <w:ind w:left="420"/>
        <w:rPr>
          <w:rFonts w:ascii="宋体" w:hAnsi="宋体" w:eastAsia="宋体" w:cs="宋体"/>
          <w:sz w:val="21"/>
          <w:szCs w:val="21"/>
          <w:highlight w:val="none"/>
        </w:rPr>
      </w:pPr>
      <w:r>
        <w:rPr>
          <w:rFonts w:ascii="宋体" w:hAnsi="宋体" w:eastAsia="宋体" w:cs="宋体"/>
          <w:sz w:val="21"/>
          <w:szCs w:val="21"/>
          <w:highlight w:val="none"/>
        </w:rPr>
        <w:t>发包人人员职务：</w:t>
      </w:r>
      <w:r>
        <w:rPr>
          <w:rFonts w:ascii="宋体" w:hAnsi="宋体" w:eastAsia="宋体" w:cs="宋体"/>
          <w:sz w:val="21"/>
          <w:szCs w:val="21"/>
          <w:highlight w:val="none"/>
          <w:u w:val="single" w:color="auto"/>
        </w:rPr>
        <w:t xml:space="preserve">                                    </w:t>
      </w:r>
    </w:p>
    <w:p w14:paraId="0CF62501">
      <w:pPr>
        <w:spacing w:before="114" w:line="98" w:lineRule="exact"/>
        <w:ind w:left="5790"/>
        <w:rPr>
          <w:rFonts w:ascii="宋体" w:hAnsi="宋体" w:eastAsia="宋体" w:cs="宋体"/>
          <w:sz w:val="13"/>
          <w:szCs w:val="13"/>
          <w:highlight w:val="none"/>
        </w:rPr>
      </w:pPr>
      <w:r>
        <w:rPr>
          <w:rFonts w:ascii="宋体" w:hAnsi="宋体" w:eastAsia="宋体" w:cs="宋体"/>
          <w:spacing w:val="-14"/>
          <w:w w:val="89"/>
          <w:position w:val="1"/>
          <w:sz w:val="13"/>
          <w:szCs w:val="13"/>
          <w:highlight w:val="none"/>
        </w:rPr>
        <w:t>_</w:t>
      </w:r>
      <w:r>
        <w:rPr>
          <w:rFonts w:ascii="宋体" w:hAnsi="宋体" w:eastAsia="宋体" w:cs="宋体"/>
          <w:position w:val="1"/>
          <w:sz w:val="13"/>
          <w:szCs w:val="13"/>
          <w:highlight w:val="none"/>
        </w:rPr>
        <w:t>;</w:t>
      </w:r>
    </w:p>
    <w:p w14:paraId="5A116FF0">
      <w:pPr>
        <w:spacing w:before="20" w:line="220" w:lineRule="auto"/>
        <w:ind w:left="420"/>
        <w:rPr>
          <w:rFonts w:ascii="宋体" w:hAnsi="宋体" w:eastAsia="宋体" w:cs="宋体"/>
          <w:sz w:val="21"/>
          <w:szCs w:val="21"/>
          <w:highlight w:val="none"/>
        </w:rPr>
      </w:pPr>
      <w:r>
        <w:rPr>
          <w:rFonts w:ascii="宋体" w:hAnsi="宋体" w:eastAsia="宋体" w:cs="宋体"/>
          <w:sz w:val="21"/>
          <w:szCs w:val="21"/>
          <w:highlight w:val="none"/>
        </w:rPr>
        <w:t>发包人人员职责：</w:t>
      </w:r>
      <w:r>
        <w:rPr>
          <w:rFonts w:ascii="宋体" w:hAnsi="宋体" w:eastAsia="宋体" w:cs="宋体"/>
          <w:sz w:val="21"/>
          <w:szCs w:val="21"/>
          <w:highlight w:val="none"/>
          <w:u w:val="single" w:color="auto"/>
        </w:rPr>
        <w:t xml:space="preserve">                                    </w:t>
      </w:r>
    </w:p>
    <w:p w14:paraId="015F0F99">
      <w:pPr>
        <w:pStyle w:val="2"/>
        <w:spacing w:line="265" w:lineRule="auto"/>
        <w:rPr>
          <w:highlight w:val="none"/>
        </w:rPr>
      </w:pPr>
    </w:p>
    <w:p w14:paraId="522AB10F">
      <w:pPr>
        <w:pStyle w:val="2"/>
        <w:spacing w:before="72" w:line="300" w:lineRule="exact"/>
        <w:rPr>
          <w:rFonts w:ascii="黑体" w:hAnsi="黑体" w:eastAsia="黑体" w:cs="黑体"/>
          <w:sz w:val="22"/>
          <w:szCs w:val="22"/>
          <w:highlight w:val="none"/>
        </w:rPr>
      </w:pPr>
      <w:r>
        <w:rPr>
          <w:spacing w:val="-2"/>
          <w:position w:val="1"/>
          <w:sz w:val="22"/>
          <w:szCs w:val="22"/>
          <w:highlight w:val="none"/>
        </w:rPr>
        <w:t xml:space="preserve">3.3  </w:t>
      </w:r>
      <w:r>
        <w:rPr>
          <w:rFonts w:ascii="黑体" w:hAnsi="黑体" w:eastAsia="黑体" w:cs="黑体"/>
          <w:spacing w:val="-2"/>
          <w:position w:val="1"/>
          <w:sz w:val="22"/>
          <w:szCs w:val="22"/>
          <w:highlight w:val="none"/>
        </w:rPr>
        <w:t>工程师</w:t>
      </w:r>
    </w:p>
    <w:p w14:paraId="724D2FD5">
      <w:pPr>
        <w:spacing w:before="140" w:line="219" w:lineRule="auto"/>
        <w:ind w:right="23"/>
        <w:jc w:val="right"/>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3.3.1    </w:t>
      </w:r>
      <w:r>
        <w:rPr>
          <w:rFonts w:ascii="宋体" w:hAnsi="宋体" w:eastAsia="宋体" w:cs="宋体"/>
          <w:spacing w:val="6"/>
          <w:sz w:val="20"/>
          <w:szCs w:val="20"/>
          <w:highlight w:val="none"/>
        </w:rPr>
        <w:t>工程师名称：</w:t>
      </w:r>
      <w:r>
        <w:rPr>
          <w:rFonts w:ascii="宋体" w:hAnsi="宋体" w:eastAsia="宋体" w:cs="宋体"/>
          <w:spacing w:val="-51"/>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95"/>
          <w:sz w:val="20"/>
          <w:szCs w:val="20"/>
          <w:highlight w:val="none"/>
        </w:rPr>
        <w:t xml:space="preserve"> </w:t>
      </w:r>
      <w:r>
        <w:rPr>
          <w:rFonts w:ascii="宋体" w:hAnsi="宋体" w:eastAsia="宋体" w:cs="宋体"/>
          <w:spacing w:val="6"/>
          <w:sz w:val="20"/>
          <w:szCs w:val="20"/>
          <w:highlight w:val="none"/>
        </w:rPr>
        <w:t>;工程师监督管理范围、内容：</w:t>
      </w:r>
      <w:r>
        <w:rPr>
          <w:rFonts w:ascii="宋体" w:hAnsi="宋体" w:eastAsia="宋体" w:cs="宋体"/>
          <w:spacing w:val="-80"/>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91"/>
          <w:sz w:val="20"/>
          <w:szCs w:val="20"/>
          <w:highlight w:val="none"/>
        </w:rPr>
        <w:t xml:space="preserve"> </w:t>
      </w:r>
      <w:r>
        <w:rPr>
          <w:rFonts w:ascii="宋体" w:hAnsi="宋体" w:eastAsia="宋体" w:cs="宋体"/>
          <w:spacing w:val="6"/>
          <w:sz w:val="20"/>
          <w:szCs w:val="20"/>
          <w:highlight w:val="none"/>
        </w:rPr>
        <w:t>;</w:t>
      </w:r>
    </w:p>
    <w:p w14:paraId="3EF309AB">
      <w:pPr>
        <w:pStyle w:val="2"/>
        <w:spacing w:line="295" w:lineRule="auto"/>
        <w:rPr>
          <w:highlight w:val="none"/>
        </w:rPr>
      </w:pPr>
    </w:p>
    <w:p w14:paraId="21A5A7AC">
      <w:pPr>
        <w:spacing w:before="66" w:line="219" w:lineRule="auto"/>
        <w:rPr>
          <w:rFonts w:ascii="宋体" w:hAnsi="宋体" w:eastAsia="宋体" w:cs="宋体"/>
          <w:sz w:val="20"/>
          <w:szCs w:val="20"/>
          <w:highlight w:val="none"/>
        </w:rPr>
      </w:pPr>
      <w:r>
        <w:rPr>
          <w:rFonts w:ascii="宋体" w:hAnsi="宋体" w:eastAsia="宋体" w:cs="宋体"/>
          <w:sz w:val="20"/>
          <w:szCs w:val="20"/>
          <w:highlight w:val="none"/>
        </w:rPr>
        <w:t>工程师权限：</w:t>
      </w:r>
      <w:r>
        <w:rPr>
          <w:rFonts w:ascii="宋体" w:hAnsi="宋体" w:eastAsia="宋体" w:cs="宋体"/>
          <w:spacing w:val="-20"/>
          <w:sz w:val="20"/>
          <w:szCs w:val="20"/>
          <w:highlight w:val="none"/>
        </w:rPr>
        <w:t xml:space="preserve"> </w:t>
      </w:r>
      <w:r>
        <w:rPr>
          <w:rFonts w:ascii="宋体" w:hAnsi="宋体" w:eastAsia="宋体" w:cs="宋体"/>
          <w:sz w:val="20"/>
          <w:szCs w:val="20"/>
          <w:highlight w:val="none"/>
          <w:u w:val="single" w:color="auto"/>
        </w:rPr>
        <w:t xml:space="preserve">                       </w:t>
      </w:r>
    </w:p>
    <w:p w14:paraId="6F832D43">
      <w:pPr>
        <w:pStyle w:val="2"/>
        <w:spacing w:line="249" w:lineRule="auto"/>
        <w:rPr>
          <w:highlight w:val="none"/>
        </w:rPr>
      </w:pPr>
    </w:p>
    <w:p w14:paraId="35AF869C">
      <w:pPr>
        <w:pStyle w:val="2"/>
        <w:spacing w:before="72" w:line="300" w:lineRule="exact"/>
        <w:rPr>
          <w:rFonts w:ascii="黑体" w:hAnsi="黑体" w:eastAsia="黑体" w:cs="黑体"/>
          <w:sz w:val="22"/>
          <w:szCs w:val="22"/>
          <w:highlight w:val="none"/>
        </w:rPr>
      </w:pPr>
      <w:r>
        <w:rPr>
          <w:spacing w:val="-8"/>
          <w:position w:val="1"/>
          <w:sz w:val="22"/>
          <w:szCs w:val="22"/>
          <w:highlight w:val="none"/>
        </w:rPr>
        <w:t>3.6</w:t>
      </w:r>
      <w:r>
        <w:rPr>
          <w:spacing w:val="9"/>
          <w:position w:val="1"/>
          <w:sz w:val="22"/>
          <w:szCs w:val="22"/>
          <w:highlight w:val="none"/>
        </w:rPr>
        <w:t xml:space="preserve">  </w:t>
      </w:r>
      <w:r>
        <w:rPr>
          <w:rFonts w:ascii="黑体" w:hAnsi="黑体" w:eastAsia="黑体" w:cs="黑体"/>
          <w:spacing w:val="-8"/>
          <w:position w:val="1"/>
          <w:sz w:val="22"/>
          <w:szCs w:val="22"/>
          <w:highlight w:val="none"/>
        </w:rPr>
        <w:t>商定或确定</w:t>
      </w:r>
    </w:p>
    <w:p w14:paraId="1EB08D68">
      <w:pPr>
        <w:spacing w:before="211" w:line="186"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3.6.2   </w:t>
      </w:r>
      <w:r>
        <w:rPr>
          <w:rFonts w:ascii="宋体" w:hAnsi="宋体" w:eastAsia="宋体" w:cs="宋体"/>
          <w:spacing w:val="-5"/>
          <w:sz w:val="22"/>
          <w:szCs w:val="22"/>
          <w:highlight w:val="none"/>
        </w:rPr>
        <w:t>关于商定时间限制的具体约定：</w:t>
      </w:r>
      <w:r>
        <w:rPr>
          <w:rFonts w:ascii="宋体" w:hAnsi="宋体" w:eastAsia="宋体" w:cs="宋体"/>
          <w:spacing w:val="-5"/>
          <w:sz w:val="22"/>
          <w:szCs w:val="22"/>
          <w:highlight w:val="none"/>
          <w:u w:val="single" w:color="auto"/>
        </w:rPr>
        <w:t xml:space="preserve">               </w:t>
      </w:r>
      <w:r>
        <w:rPr>
          <w:rFonts w:ascii="宋体" w:hAnsi="宋体" w:eastAsia="宋体" w:cs="宋体"/>
          <w:spacing w:val="-6"/>
          <w:sz w:val="22"/>
          <w:szCs w:val="22"/>
          <w:highlight w:val="none"/>
          <w:u w:val="single" w:color="auto"/>
        </w:rPr>
        <w:t xml:space="preserve">  </w:t>
      </w:r>
    </w:p>
    <w:p w14:paraId="626A453A">
      <w:pPr>
        <w:spacing w:before="17" w:line="16" w:lineRule="exact"/>
        <w:ind w:left="5790"/>
        <w:rPr>
          <w:rFonts w:ascii="宋体" w:hAnsi="宋体" w:eastAsia="宋体" w:cs="宋体"/>
          <w:sz w:val="9"/>
          <w:szCs w:val="9"/>
          <w:highlight w:val="none"/>
        </w:rPr>
      </w:pPr>
      <w:r>
        <w:rPr>
          <w:rFonts w:ascii="宋体" w:hAnsi="宋体" w:eastAsia="宋体" w:cs="宋体"/>
          <w:position w:val="1"/>
          <w:sz w:val="9"/>
          <w:szCs w:val="9"/>
          <w:highlight w:val="none"/>
        </w:rPr>
        <w:t>_</w:t>
      </w:r>
    </w:p>
    <w:p w14:paraId="552AD996">
      <w:pPr>
        <w:spacing w:before="234" w:line="482" w:lineRule="auto"/>
        <w:ind w:right="29" w:firstLine="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3.6.3    </w:t>
      </w:r>
      <w:r>
        <w:rPr>
          <w:rFonts w:ascii="宋体" w:hAnsi="宋体" w:eastAsia="宋体" w:cs="宋体"/>
          <w:spacing w:val="6"/>
          <w:sz w:val="20"/>
          <w:szCs w:val="20"/>
          <w:highlight w:val="none"/>
        </w:rPr>
        <w:t>关于商定或确定效力的具体约定：</w:t>
      </w:r>
      <w:r>
        <w:rPr>
          <w:rFonts w:ascii="宋体" w:hAnsi="宋体" w:eastAsia="宋体" w:cs="宋体"/>
          <w:spacing w:val="87"/>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75"/>
          <w:sz w:val="20"/>
          <w:szCs w:val="20"/>
          <w:highlight w:val="none"/>
        </w:rPr>
        <w:t xml:space="preserve"> </w:t>
      </w:r>
      <w:r>
        <w:rPr>
          <w:rFonts w:ascii="宋体" w:hAnsi="宋体" w:eastAsia="宋体" w:cs="宋体"/>
          <w:spacing w:val="6"/>
          <w:sz w:val="20"/>
          <w:szCs w:val="20"/>
          <w:highlight w:val="none"/>
        </w:rPr>
        <w:t>;关于对工程师的确定提出</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异议的具体约定：</w:t>
      </w:r>
      <w:r>
        <w:rPr>
          <w:rFonts w:ascii="宋体" w:hAnsi="宋体" w:eastAsia="宋体" w:cs="宋体"/>
          <w:sz w:val="20"/>
          <w:szCs w:val="20"/>
          <w:highlight w:val="none"/>
          <w:u w:val="single" w:color="auto"/>
        </w:rPr>
        <w:t xml:space="preserve">                   </w:t>
      </w:r>
    </w:p>
    <w:p w14:paraId="5F83BC04">
      <w:pPr>
        <w:spacing w:before="65" w:line="222" w:lineRule="auto"/>
        <w:rPr>
          <w:rFonts w:ascii="黑体" w:hAnsi="黑体" w:eastAsia="黑体" w:cs="黑体"/>
          <w:sz w:val="22"/>
          <w:szCs w:val="22"/>
          <w:highlight w:val="none"/>
        </w:rPr>
      </w:pPr>
      <w:r>
        <w:rPr>
          <w:rFonts w:ascii="黑体" w:hAnsi="黑体" w:eastAsia="黑体" w:cs="黑体"/>
          <w:spacing w:val="15"/>
          <w:sz w:val="22"/>
          <w:szCs w:val="22"/>
          <w:highlight w:val="none"/>
        </w:rPr>
        <w:t>3.7会议</w:t>
      </w:r>
    </w:p>
    <w:p w14:paraId="1290554A">
      <w:pPr>
        <w:spacing w:before="236" w:line="219" w:lineRule="auto"/>
        <w:ind w:left="420"/>
        <w:rPr>
          <w:rFonts w:ascii="宋体" w:hAnsi="宋体" w:eastAsia="宋体" w:cs="宋体"/>
          <w:sz w:val="10"/>
          <w:szCs w:val="10"/>
          <w:highlight w:val="none"/>
        </w:rPr>
      </w:pPr>
      <w:r>
        <w:rPr>
          <w:rFonts w:ascii="宋体" w:hAnsi="宋体" w:eastAsia="宋体" w:cs="宋体"/>
          <w:spacing w:val="-1"/>
          <w:sz w:val="22"/>
          <w:szCs w:val="22"/>
          <w:highlight w:val="none"/>
        </w:rPr>
        <w:t>3.7.1关于召开会议的具体约定：</w:t>
      </w:r>
      <w:r>
        <w:rPr>
          <w:rFonts w:ascii="宋体" w:hAnsi="宋体" w:eastAsia="宋体" w:cs="宋体"/>
          <w:spacing w:val="-1"/>
          <w:sz w:val="22"/>
          <w:szCs w:val="22"/>
          <w:highlight w:val="none"/>
          <w:u w:val="single" w:color="auto"/>
        </w:rPr>
        <w:t xml:space="preserve">                    </w:t>
      </w:r>
      <w:r>
        <w:rPr>
          <w:rFonts w:ascii="宋体" w:hAnsi="宋体" w:eastAsia="宋体" w:cs="宋体"/>
          <w:spacing w:val="-94"/>
          <w:sz w:val="22"/>
          <w:szCs w:val="22"/>
          <w:highlight w:val="none"/>
        </w:rPr>
        <w:t xml:space="preserve"> </w:t>
      </w:r>
      <w:r>
        <w:rPr>
          <w:rFonts w:ascii="宋体" w:hAnsi="宋体" w:eastAsia="宋体" w:cs="宋体"/>
          <w:spacing w:val="-1"/>
          <w:sz w:val="10"/>
          <w:szCs w:val="10"/>
          <w:highlight w:val="none"/>
        </w:rPr>
        <w:t>_</w:t>
      </w:r>
    </w:p>
    <w:p w14:paraId="6C728989">
      <w:pPr>
        <w:spacing w:before="199" w:line="219" w:lineRule="auto"/>
        <w:ind w:left="420"/>
        <w:rPr>
          <w:rFonts w:ascii="宋体" w:hAnsi="宋体" w:eastAsia="宋体" w:cs="宋体"/>
          <w:sz w:val="7"/>
          <w:szCs w:val="7"/>
          <w:highlight w:val="none"/>
        </w:rPr>
      </w:pPr>
      <w:r>
        <w:rPr>
          <w:rFonts w:ascii="宋体" w:hAnsi="宋体" w:eastAsia="宋体" w:cs="宋体"/>
          <w:spacing w:val="-23"/>
          <w:sz w:val="24"/>
          <w:szCs w:val="24"/>
          <w:highlight w:val="none"/>
        </w:rPr>
        <w:t>3.7.2关于保存和提供会议纪要的具体约定：</w:t>
      </w:r>
      <w:r>
        <w:rPr>
          <w:rFonts w:ascii="宋体" w:hAnsi="宋体" w:eastAsia="宋体" w:cs="宋体"/>
          <w:spacing w:val="12"/>
          <w:sz w:val="24"/>
          <w:szCs w:val="24"/>
          <w:highlight w:val="none"/>
          <w:u w:val="single" w:color="auto"/>
        </w:rPr>
        <w:t xml:space="preserve">        </w:t>
      </w:r>
      <w:r>
        <w:rPr>
          <w:rFonts w:ascii="宋体" w:hAnsi="宋体" w:eastAsia="宋体" w:cs="宋体"/>
          <w:spacing w:val="-86"/>
          <w:sz w:val="24"/>
          <w:szCs w:val="24"/>
          <w:highlight w:val="none"/>
        </w:rPr>
        <w:t xml:space="preserve"> </w:t>
      </w:r>
      <w:r>
        <w:rPr>
          <w:rFonts w:ascii="宋体" w:hAnsi="宋体" w:eastAsia="宋体" w:cs="宋体"/>
          <w:spacing w:val="14"/>
          <w:position w:val="2"/>
          <w:sz w:val="7"/>
          <w:szCs w:val="7"/>
          <w:highlight w:val="none"/>
        </w:rPr>
        <w:t>□</w:t>
      </w:r>
    </w:p>
    <w:p w14:paraId="242686EB">
      <w:pPr>
        <w:spacing w:before="307" w:line="222" w:lineRule="auto"/>
        <w:outlineLvl w:val="1"/>
        <w:rPr>
          <w:rFonts w:ascii="黑体" w:hAnsi="黑体" w:eastAsia="黑体" w:cs="黑体"/>
          <w:sz w:val="28"/>
          <w:szCs w:val="28"/>
          <w:highlight w:val="none"/>
        </w:rPr>
      </w:pPr>
      <w:bookmarkStart w:id="122" w:name="bookmark71"/>
      <w:bookmarkEnd w:id="122"/>
      <w:r>
        <w:rPr>
          <w:rFonts w:ascii="黑体" w:hAnsi="黑体" w:eastAsia="黑体" w:cs="黑体"/>
          <w:spacing w:val="-8"/>
          <w:sz w:val="28"/>
          <w:szCs w:val="28"/>
          <w:highlight w:val="none"/>
        </w:rPr>
        <w:t>第</w:t>
      </w:r>
      <w:r>
        <w:rPr>
          <w:rFonts w:ascii="黑体" w:hAnsi="黑体" w:eastAsia="黑体" w:cs="黑体"/>
          <w:spacing w:val="-70"/>
          <w:sz w:val="28"/>
          <w:szCs w:val="28"/>
          <w:highlight w:val="none"/>
        </w:rPr>
        <w:t xml:space="preserve"> </w:t>
      </w:r>
      <w:r>
        <w:rPr>
          <w:rFonts w:ascii="黑体" w:hAnsi="黑体" w:eastAsia="黑体" w:cs="黑体"/>
          <w:spacing w:val="-8"/>
          <w:sz w:val="28"/>
          <w:szCs w:val="28"/>
          <w:highlight w:val="none"/>
        </w:rPr>
        <w:t>4</w:t>
      </w:r>
      <w:r>
        <w:rPr>
          <w:rFonts w:ascii="黑体" w:hAnsi="黑体" w:eastAsia="黑体" w:cs="黑体"/>
          <w:spacing w:val="-63"/>
          <w:sz w:val="28"/>
          <w:szCs w:val="28"/>
          <w:highlight w:val="none"/>
        </w:rPr>
        <w:t xml:space="preserve"> </w:t>
      </w:r>
      <w:r>
        <w:rPr>
          <w:rFonts w:ascii="黑体" w:hAnsi="黑体" w:eastAsia="黑体" w:cs="黑体"/>
          <w:spacing w:val="-8"/>
          <w:sz w:val="28"/>
          <w:szCs w:val="28"/>
          <w:highlight w:val="none"/>
        </w:rPr>
        <w:t>条</w:t>
      </w:r>
      <w:r>
        <w:rPr>
          <w:rFonts w:ascii="黑体" w:hAnsi="黑体" w:eastAsia="黑体" w:cs="黑体"/>
          <w:spacing w:val="-66"/>
          <w:sz w:val="28"/>
          <w:szCs w:val="28"/>
          <w:highlight w:val="none"/>
        </w:rPr>
        <w:t xml:space="preserve"> </w:t>
      </w:r>
      <w:r>
        <w:rPr>
          <w:rFonts w:ascii="黑体" w:hAnsi="黑体" w:eastAsia="黑体" w:cs="黑体"/>
          <w:spacing w:val="-8"/>
          <w:sz w:val="28"/>
          <w:szCs w:val="28"/>
          <w:highlight w:val="none"/>
        </w:rPr>
        <w:t>承</w:t>
      </w:r>
      <w:r>
        <w:rPr>
          <w:rFonts w:ascii="黑体" w:hAnsi="黑体" w:eastAsia="黑体" w:cs="黑体"/>
          <w:spacing w:val="-66"/>
          <w:sz w:val="28"/>
          <w:szCs w:val="28"/>
          <w:highlight w:val="none"/>
        </w:rPr>
        <w:t xml:space="preserve"> </w:t>
      </w:r>
      <w:r>
        <w:rPr>
          <w:rFonts w:ascii="黑体" w:hAnsi="黑体" w:eastAsia="黑体" w:cs="黑体"/>
          <w:spacing w:val="-8"/>
          <w:sz w:val="28"/>
          <w:szCs w:val="28"/>
          <w:highlight w:val="none"/>
        </w:rPr>
        <w:t>包</w:t>
      </w:r>
      <w:r>
        <w:rPr>
          <w:rFonts w:ascii="黑体" w:hAnsi="黑体" w:eastAsia="黑体" w:cs="黑体"/>
          <w:spacing w:val="-60"/>
          <w:sz w:val="28"/>
          <w:szCs w:val="28"/>
          <w:highlight w:val="none"/>
        </w:rPr>
        <w:t xml:space="preserve"> </w:t>
      </w:r>
      <w:r>
        <w:rPr>
          <w:rFonts w:ascii="黑体" w:hAnsi="黑体" w:eastAsia="黑体" w:cs="黑体"/>
          <w:spacing w:val="-8"/>
          <w:sz w:val="28"/>
          <w:szCs w:val="28"/>
          <w:highlight w:val="none"/>
        </w:rPr>
        <w:t>人</w:t>
      </w:r>
    </w:p>
    <w:p w14:paraId="4B3FE1A5">
      <w:pPr>
        <w:pStyle w:val="2"/>
        <w:spacing w:line="365" w:lineRule="auto"/>
        <w:rPr>
          <w:highlight w:val="none"/>
        </w:rPr>
      </w:pPr>
    </w:p>
    <w:p w14:paraId="0F198C2A">
      <w:pPr>
        <w:pStyle w:val="2"/>
        <w:spacing w:before="62" w:line="221" w:lineRule="auto"/>
        <w:rPr>
          <w:rFonts w:ascii="黑体" w:hAnsi="黑体" w:eastAsia="黑体" w:cs="黑体"/>
          <w:sz w:val="19"/>
          <w:szCs w:val="19"/>
          <w:highlight w:val="none"/>
        </w:rPr>
      </w:pPr>
      <w:r>
        <w:rPr>
          <w:spacing w:val="14"/>
          <w:sz w:val="19"/>
          <w:szCs w:val="19"/>
          <w:highlight w:val="none"/>
        </w:rPr>
        <w:t>4.1</w:t>
      </w:r>
      <w:r>
        <w:rPr>
          <w:spacing w:val="3"/>
          <w:sz w:val="19"/>
          <w:szCs w:val="19"/>
          <w:highlight w:val="none"/>
        </w:rPr>
        <w:t xml:space="preserve">   </w:t>
      </w:r>
      <w:r>
        <w:rPr>
          <w:rFonts w:ascii="黑体" w:hAnsi="黑体" w:eastAsia="黑体" w:cs="黑体"/>
          <w:spacing w:val="14"/>
          <w:sz w:val="19"/>
          <w:szCs w:val="19"/>
          <w:highlight w:val="none"/>
        </w:rPr>
        <w:t>承包人的一般义务</w:t>
      </w:r>
    </w:p>
    <w:p w14:paraId="2DE3AF76">
      <w:pPr>
        <w:spacing w:before="235" w:line="203" w:lineRule="auto"/>
        <w:ind w:left="420"/>
        <w:rPr>
          <w:rFonts w:ascii="宋体" w:hAnsi="宋体" w:eastAsia="宋体" w:cs="宋体"/>
          <w:sz w:val="21"/>
          <w:szCs w:val="21"/>
          <w:highlight w:val="none"/>
        </w:rPr>
      </w:pPr>
      <w:r>
        <w:rPr>
          <w:rFonts w:ascii="宋体" w:hAnsi="宋体" w:eastAsia="宋体" w:cs="宋体"/>
          <w:sz w:val="21"/>
          <w:szCs w:val="21"/>
          <w:highlight w:val="none"/>
        </w:rPr>
        <w:t>承包人应履行的其他义务：</w:t>
      </w:r>
      <w:r>
        <w:rPr>
          <w:rFonts w:ascii="宋体" w:hAnsi="宋体" w:eastAsia="宋体" w:cs="宋体"/>
          <w:sz w:val="21"/>
          <w:szCs w:val="21"/>
          <w:highlight w:val="none"/>
          <w:u w:val="single" w:color="auto"/>
        </w:rPr>
        <w:t xml:space="preserve">                            </w:t>
      </w:r>
    </w:p>
    <w:p w14:paraId="178F9C6F">
      <w:pPr>
        <w:spacing w:line="10" w:lineRule="exact"/>
        <w:ind w:left="5790"/>
        <w:rPr>
          <w:rFonts w:ascii="宋体" w:hAnsi="宋体" w:eastAsia="宋体" w:cs="宋体"/>
          <w:sz w:val="6"/>
          <w:szCs w:val="6"/>
          <w:highlight w:val="none"/>
        </w:rPr>
      </w:pPr>
      <w:r>
        <w:rPr>
          <w:rFonts w:ascii="宋体" w:hAnsi="宋体" w:eastAsia="宋体" w:cs="宋体"/>
          <w:position w:val="1"/>
          <w:sz w:val="6"/>
          <w:szCs w:val="6"/>
          <w:highlight w:val="none"/>
        </w:rPr>
        <w:t>_</w:t>
      </w:r>
    </w:p>
    <w:p w14:paraId="106009EF">
      <w:pPr>
        <w:pStyle w:val="2"/>
        <w:spacing w:line="343" w:lineRule="auto"/>
        <w:rPr>
          <w:highlight w:val="none"/>
        </w:rPr>
      </w:pPr>
    </w:p>
    <w:p w14:paraId="3BAD9736">
      <w:pPr>
        <w:pStyle w:val="2"/>
        <w:spacing w:before="62" w:line="222" w:lineRule="auto"/>
        <w:rPr>
          <w:rFonts w:ascii="黑体" w:hAnsi="黑体" w:eastAsia="黑体" w:cs="黑体"/>
          <w:sz w:val="19"/>
          <w:szCs w:val="19"/>
          <w:highlight w:val="none"/>
        </w:rPr>
      </w:pPr>
      <w:r>
        <w:rPr>
          <w:spacing w:val="10"/>
          <w:sz w:val="19"/>
          <w:szCs w:val="19"/>
          <w:highlight w:val="none"/>
        </w:rPr>
        <w:t>4.2</w:t>
      </w:r>
      <w:r>
        <w:rPr>
          <w:spacing w:val="4"/>
          <w:sz w:val="19"/>
          <w:szCs w:val="19"/>
          <w:highlight w:val="none"/>
        </w:rPr>
        <w:t xml:space="preserve">   </w:t>
      </w:r>
      <w:r>
        <w:rPr>
          <w:rFonts w:ascii="黑体" w:hAnsi="黑体" w:eastAsia="黑体" w:cs="黑体"/>
          <w:spacing w:val="10"/>
          <w:sz w:val="19"/>
          <w:szCs w:val="19"/>
          <w:highlight w:val="none"/>
        </w:rPr>
        <w:t>履约担保</w:t>
      </w:r>
    </w:p>
    <w:p w14:paraId="1E5BBDC2">
      <w:pPr>
        <w:spacing w:before="242" w:line="219" w:lineRule="auto"/>
        <w:ind w:left="420"/>
        <w:rPr>
          <w:rFonts w:ascii="Times New Roman" w:hAnsi="Times New Roman" w:eastAsia="Times New Roman" w:cs="Times New Roman"/>
          <w:sz w:val="20"/>
          <w:szCs w:val="20"/>
          <w:highlight w:val="none"/>
        </w:rPr>
      </w:pPr>
      <w:r>
        <w:rPr>
          <w:rFonts w:ascii="宋体" w:hAnsi="宋体" w:eastAsia="宋体" w:cs="宋体"/>
          <w:spacing w:val="-3"/>
          <w:sz w:val="20"/>
          <w:szCs w:val="20"/>
          <w:highlight w:val="none"/>
        </w:rPr>
        <w:t>承包人是否提供履约担保：</w:t>
      </w:r>
      <w:r>
        <w:rPr>
          <w:rFonts w:ascii="宋体" w:hAnsi="宋体" w:eastAsia="宋体" w:cs="宋体"/>
          <w:spacing w:val="58"/>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78"/>
          <w:sz w:val="20"/>
          <w:szCs w:val="20"/>
          <w:highlight w:val="none"/>
        </w:rPr>
        <w:t xml:space="preserve"> </w:t>
      </w:r>
      <w:r>
        <w:rPr>
          <w:rFonts w:ascii="Times New Roman" w:hAnsi="Times New Roman" w:eastAsia="Times New Roman" w:cs="Times New Roman"/>
          <w:spacing w:val="-3"/>
          <w:sz w:val="20"/>
          <w:szCs w:val="20"/>
          <w:highlight w:val="none"/>
        </w:rPr>
        <w:t>0</w:t>
      </w:r>
    </w:p>
    <w:p w14:paraId="403DDA28">
      <w:pPr>
        <w:spacing w:line="219" w:lineRule="auto"/>
        <w:rPr>
          <w:rFonts w:ascii="Times New Roman" w:hAnsi="Times New Roman" w:eastAsia="Times New Roman" w:cs="Times New Roman"/>
          <w:sz w:val="20"/>
          <w:szCs w:val="20"/>
          <w:highlight w:val="none"/>
        </w:rPr>
        <w:sectPr>
          <w:footerReference r:id="rId149" w:type="default"/>
          <w:pgSz w:w="11910" w:h="16840"/>
          <w:pgMar w:top="400" w:right="1786" w:bottom="1169" w:left="1769" w:header="0" w:footer="1028" w:gutter="0"/>
          <w:cols w:space="720" w:num="1"/>
        </w:sectPr>
      </w:pPr>
    </w:p>
    <w:p w14:paraId="14C2F0DE">
      <w:pPr>
        <w:pStyle w:val="2"/>
        <w:spacing w:line="270" w:lineRule="auto"/>
        <w:rPr>
          <w:highlight w:val="none"/>
        </w:rPr>
      </w:pPr>
    </w:p>
    <w:p w14:paraId="6C891501">
      <w:pPr>
        <w:pStyle w:val="2"/>
        <w:spacing w:line="271" w:lineRule="auto"/>
        <w:rPr>
          <w:highlight w:val="none"/>
        </w:rPr>
      </w:pPr>
    </w:p>
    <w:p w14:paraId="3B7BA769">
      <w:pPr>
        <w:pStyle w:val="2"/>
        <w:spacing w:line="271" w:lineRule="auto"/>
        <w:rPr>
          <w:highlight w:val="none"/>
        </w:rPr>
      </w:pPr>
    </w:p>
    <w:p w14:paraId="2C859416">
      <w:pPr>
        <w:pStyle w:val="2"/>
        <w:spacing w:line="271" w:lineRule="auto"/>
        <w:rPr>
          <w:highlight w:val="none"/>
        </w:rPr>
      </w:pPr>
    </w:p>
    <w:p w14:paraId="5061D0BD">
      <w:pPr>
        <w:pStyle w:val="2"/>
        <w:spacing w:before="68" w:line="215" w:lineRule="auto"/>
        <w:ind w:left="420"/>
        <w:rPr>
          <w:sz w:val="9"/>
          <w:szCs w:val="9"/>
          <w:highlight w:val="none"/>
        </w:rPr>
      </w:pPr>
      <w:bookmarkStart w:id="123" w:name="bookmark241"/>
      <w:bookmarkEnd w:id="123"/>
      <w:r>
        <w:rPr>
          <w:rFonts w:ascii="宋体" w:hAnsi="宋体" w:eastAsia="宋体" w:cs="宋体"/>
          <w:spacing w:val="-8"/>
          <w:highlight w:val="none"/>
        </w:rPr>
        <w:t>履约担保的方式、金额及期限：</w:t>
      </w:r>
      <w:r>
        <w:rPr>
          <w:rFonts w:ascii="宋体" w:hAnsi="宋体" w:eastAsia="宋体" w:cs="宋体"/>
          <w:highlight w:val="none"/>
          <w:u w:val="single" w:color="auto"/>
        </w:rPr>
        <w:t xml:space="preserve">                        </w:t>
      </w:r>
      <w:r>
        <w:rPr>
          <w:rFonts w:ascii="宋体" w:hAnsi="宋体" w:eastAsia="宋体" w:cs="宋体"/>
          <w:spacing w:val="-81"/>
          <w:highlight w:val="none"/>
        </w:rPr>
        <w:t xml:space="preserve"> </w:t>
      </w:r>
      <w:r>
        <w:rPr>
          <w:spacing w:val="-8"/>
          <w:position w:val="-2"/>
          <w:sz w:val="9"/>
          <w:szCs w:val="9"/>
          <w:highlight w:val="none"/>
        </w:rPr>
        <w:t>_o</w:t>
      </w:r>
    </w:p>
    <w:p w14:paraId="00BDEED4">
      <w:pPr>
        <w:pStyle w:val="2"/>
        <w:spacing w:line="282" w:lineRule="auto"/>
        <w:rPr>
          <w:highlight w:val="none"/>
        </w:rPr>
      </w:pPr>
    </w:p>
    <w:p w14:paraId="2C81700F">
      <w:pPr>
        <w:pStyle w:val="2"/>
        <w:spacing w:before="71" w:line="300" w:lineRule="exact"/>
        <w:rPr>
          <w:rFonts w:ascii="黑体" w:hAnsi="黑体" w:eastAsia="黑体" w:cs="黑体"/>
          <w:sz w:val="22"/>
          <w:szCs w:val="22"/>
          <w:highlight w:val="none"/>
        </w:rPr>
      </w:pPr>
      <w:r>
        <w:rPr>
          <w:spacing w:val="-8"/>
          <w:position w:val="1"/>
          <w:sz w:val="22"/>
          <w:szCs w:val="22"/>
          <w:highlight w:val="none"/>
        </w:rPr>
        <w:t>4.3</w:t>
      </w:r>
      <w:r>
        <w:rPr>
          <w:spacing w:val="66"/>
          <w:position w:val="1"/>
          <w:sz w:val="22"/>
          <w:szCs w:val="22"/>
          <w:highlight w:val="none"/>
        </w:rPr>
        <w:t xml:space="preserve"> </w:t>
      </w:r>
      <w:r>
        <w:rPr>
          <w:rFonts w:ascii="黑体" w:hAnsi="黑体" w:eastAsia="黑体" w:cs="黑体"/>
          <w:spacing w:val="-8"/>
          <w:position w:val="1"/>
          <w:sz w:val="22"/>
          <w:szCs w:val="22"/>
          <w:highlight w:val="none"/>
        </w:rPr>
        <w:t>工程总承包项目经理</w:t>
      </w:r>
    </w:p>
    <w:p w14:paraId="7215F8BF">
      <w:pPr>
        <w:spacing w:before="219" w:line="354" w:lineRule="auto"/>
        <w:ind w:left="420" w:right="250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4.3.1   </w:t>
      </w:r>
      <w:r>
        <w:rPr>
          <w:rFonts w:ascii="宋体" w:hAnsi="宋体" w:eastAsia="宋体" w:cs="宋体"/>
          <w:spacing w:val="-6"/>
          <w:sz w:val="22"/>
          <w:szCs w:val="22"/>
          <w:highlight w:val="none"/>
        </w:rPr>
        <w:t>工程总承包项目经理姓名：</w:t>
      </w:r>
      <w:r>
        <w:rPr>
          <w:rFonts w:ascii="宋体" w:hAnsi="宋体" w:eastAsia="宋体" w:cs="宋体"/>
          <w:spacing w:val="-6"/>
          <w:sz w:val="22"/>
          <w:szCs w:val="22"/>
          <w:highlight w:val="none"/>
          <w:u w:val="single" w:color="auto"/>
        </w:rPr>
        <w:t xml:space="preserve">                  </w:t>
      </w:r>
      <w:r>
        <w:rPr>
          <w:rFonts w:ascii="宋体" w:hAnsi="宋体" w:eastAsia="宋体" w:cs="宋体"/>
          <w:spacing w:val="-7"/>
          <w:sz w:val="22"/>
          <w:szCs w:val="22"/>
          <w:highlight w:val="none"/>
          <w:u w:val="single" w:color="auto"/>
        </w:rPr>
        <w:t xml:space="preserve">   </w:t>
      </w:r>
      <w:r>
        <w:rPr>
          <w:rFonts w:ascii="宋体" w:hAnsi="宋体" w:eastAsia="宋体" w:cs="宋体"/>
          <w:spacing w:val="-100"/>
          <w:sz w:val="22"/>
          <w:szCs w:val="22"/>
          <w:highlight w:val="none"/>
        </w:rPr>
        <w:t xml:space="preserve"> </w:t>
      </w:r>
      <w:r>
        <w:rPr>
          <w:rFonts w:ascii="宋体" w:hAnsi="宋体" w:eastAsia="宋体" w:cs="宋体"/>
          <w:spacing w:val="-7"/>
          <w:position w:val="-1"/>
          <w:sz w:val="13"/>
          <w:szCs w:val="13"/>
          <w:highlight w:val="none"/>
        </w:rPr>
        <w:t>_;</w:t>
      </w:r>
      <w:r>
        <w:rPr>
          <w:rFonts w:ascii="宋体" w:hAnsi="宋体" w:eastAsia="宋体" w:cs="宋体"/>
          <w:position w:val="-1"/>
          <w:sz w:val="13"/>
          <w:szCs w:val="13"/>
          <w:highlight w:val="none"/>
        </w:rPr>
        <w:t xml:space="preserve"> </w:t>
      </w:r>
      <w:r>
        <w:rPr>
          <w:rFonts w:ascii="宋体" w:hAnsi="宋体" w:eastAsia="宋体" w:cs="宋体"/>
          <w:spacing w:val="-7"/>
          <w:sz w:val="22"/>
          <w:szCs w:val="22"/>
          <w:highlight w:val="none"/>
        </w:rPr>
        <w:t>执业资格或职称类型：</w:t>
      </w:r>
      <w:r>
        <w:rPr>
          <w:rFonts w:ascii="宋体" w:hAnsi="宋体" w:eastAsia="宋体" w:cs="宋体"/>
          <w:spacing w:val="-7"/>
          <w:sz w:val="22"/>
          <w:szCs w:val="22"/>
          <w:highlight w:val="none"/>
          <w:u w:val="single" w:color="auto"/>
        </w:rPr>
        <w:t xml:space="preserve">                              </w:t>
      </w:r>
      <w:r>
        <w:rPr>
          <w:rFonts w:ascii="宋体" w:hAnsi="宋体" w:eastAsia="宋体" w:cs="宋体"/>
          <w:spacing w:val="-78"/>
          <w:sz w:val="22"/>
          <w:szCs w:val="22"/>
          <w:highlight w:val="none"/>
        </w:rPr>
        <w:t xml:space="preserve"> </w:t>
      </w:r>
      <w:r>
        <w:rPr>
          <w:rFonts w:ascii="宋体" w:hAnsi="宋体" w:eastAsia="宋体" w:cs="宋体"/>
          <w:spacing w:val="-7"/>
          <w:sz w:val="22"/>
          <w:szCs w:val="22"/>
          <w:highlight w:val="none"/>
        </w:rPr>
        <w:t>;</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执业资格证或职称证号码：</w:t>
      </w:r>
      <w:r>
        <w:rPr>
          <w:rFonts w:ascii="宋体" w:hAnsi="宋体" w:eastAsia="宋体" w:cs="宋体"/>
          <w:spacing w:val="-7"/>
          <w:sz w:val="22"/>
          <w:szCs w:val="22"/>
          <w:highlight w:val="none"/>
          <w:u w:val="single" w:color="auto"/>
        </w:rPr>
        <w:t xml:space="preserve">                         </w:t>
      </w:r>
      <w:r>
        <w:rPr>
          <w:rFonts w:ascii="宋体" w:hAnsi="宋体" w:eastAsia="宋体" w:cs="宋体"/>
          <w:spacing w:val="-8"/>
          <w:sz w:val="22"/>
          <w:szCs w:val="22"/>
          <w:highlight w:val="none"/>
          <w:u w:val="single" w:color="auto"/>
        </w:rPr>
        <w:t xml:space="preserve"> </w:t>
      </w:r>
      <w:r>
        <w:rPr>
          <w:rFonts w:ascii="宋体" w:hAnsi="宋体" w:eastAsia="宋体" w:cs="宋体"/>
          <w:spacing w:val="-90"/>
          <w:sz w:val="22"/>
          <w:szCs w:val="22"/>
          <w:highlight w:val="none"/>
        </w:rPr>
        <w:t xml:space="preserve"> </w:t>
      </w:r>
      <w:r>
        <w:rPr>
          <w:rFonts w:ascii="宋体" w:hAnsi="宋体" w:eastAsia="宋体" w:cs="宋体"/>
          <w:spacing w:val="-8"/>
          <w:sz w:val="22"/>
          <w:szCs w:val="22"/>
          <w:highlight w:val="none"/>
        </w:rPr>
        <w:t>;</w:t>
      </w:r>
      <w:r>
        <w:rPr>
          <w:rFonts w:ascii="宋体" w:hAnsi="宋体" w:eastAsia="宋体" w:cs="宋体"/>
          <w:sz w:val="22"/>
          <w:szCs w:val="22"/>
          <w:highlight w:val="none"/>
        </w:rPr>
        <w:t xml:space="preserve"> </w:t>
      </w:r>
      <w:r>
        <w:rPr>
          <w:rFonts w:ascii="宋体" w:hAnsi="宋体" w:eastAsia="宋体" w:cs="宋体"/>
          <w:spacing w:val="-27"/>
          <w:sz w:val="22"/>
          <w:szCs w:val="22"/>
          <w:highlight w:val="none"/>
        </w:rPr>
        <w:t>联系电话：</w:t>
      </w:r>
      <w:r>
        <w:rPr>
          <w:rFonts w:ascii="宋体" w:hAnsi="宋体" w:eastAsia="宋体" w:cs="宋体"/>
          <w:spacing w:val="1"/>
          <w:sz w:val="22"/>
          <w:szCs w:val="22"/>
          <w:highlight w:val="none"/>
          <w:u w:val="single" w:color="auto"/>
        </w:rPr>
        <w:t xml:space="preserve">                                       </w:t>
      </w:r>
      <w:r>
        <w:rPr>
          <w:rFonts w:ascii="宋体" w:hAnsi="宋体" w:eastAsia="宋体" w:cs="宋体"/>
          <w:spacing w:val="-89"/>
          <w:sz w:val="22"/>
          <w:szCs w:val="22"/>
          <w:highlight w:val="none"/>
        </w:rPr>
        <w:t xml:space="preserve"> </w:t>
      </w:r>
      <w:r>
        <w:rPr>
          <w:rFonts w:ascii="宋体" w:hAnsi="宋体" w:eastAsia="宋体" w:cs="宋体"/>
          <w:spacing w:val="-27"/>
          <w:sz w:val="22"/>
          <w:szCs w:val="22"/>
          <w:highlight w:val="none"/>
        </w:rPr>
        <w:t>:</w:t>
      </w:r>
    </w:p>
    <w:p w14:paraId="4524C182">
      <w:pPr>
        <w:spacing w:before="204" w:line="220"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电子邮箱：</w:t>
      </w:r>
      <w:r>
        <w:rPr>
          <w:rFonts w:ascii="宋体" w:hAnsi="宋体" w:eastAsia="宋体" w:cs="宋体"/>
          <w:sz w:val="22"/>
          <w:szCs w:val="22"/>
          <w:highlight w:val="none"/>
          <w:u w:val="single" w:color="auto"/>
        </w:rPr>
        <w:t xml:space="preserve">                                       </w:t>
      </w:r>
    </w:p>
    <w:p w14:paraId="68D96F3E">
      <w:pPr>
        <w:spacing w:before="207" w:line="219" w:lineRule="auto"/>
        <w:ind w:left="420"/>
        <w:rPr>
          <w:rFonts w:ascii="宋体" w:hAnsi="宋体" w:eastAsia="宋体" w:cs="宋体"/>
          <w:sz w:val="22"/>
          <w:szCs w:val="22"/>
          <w:highlight w:val="none"/>
        </w:rPr>
      </w:pPr>
      <w:r>
        <w:rPr>
          <w:rFonts w:ascii="宋体" w:hAnsi="宋体" w:eastAsia="宋体" w:cs="宋体"/>
          <w:spacing w:val="-24"/>
          <w:w w:val="97"/>
          <w:sz w:val="22"/>
          <w:szCs w:val="22"/>
          <w:highlight w:val="none"/>
        </w:rPr>
        <w:t>通信地址：</w:t>
      </w:r>
      <w:r>
        <w:rPr>
          <w:rFonts w:ascii="宋体" w:hAnsi="宋体" w:eastAsia="宋体" w:cs="宋体"/>
          <w:sz w:val="22"/>
          <w:szCs w:val="22"/>
          <w:highlight w:val="none"/>
          <w:u w:val="single" w:color="auto"/>
        </w:rPr>
        <w:t xml:space="preserve">                                        </w:t>
      </w:r>
    </w:p>
    <w:p w14:paraId="2769D7BF">
      <w:pPr>
        <w:spacing w:before="268" w:line="407" w:lineRule="auto"/>
        <w:ind w:right="49" w:firstLine="420"/>
        <w:rPr>
          <w:rFonts w:ascii="宋体" w:hAnsi="宋体" w:eastAsia="宋体" w:cs="宋体"/>
          <w:sz w:val="21"/>
          <w:szCs w:val="21"/>
          <w:highlight w:val="none"/>
        </w:rPr>
      </w:pPr>
      <w:r>
        <w:rPr>
          <w:rFonts w:ascii="宋体" w:hAnsi="宋体" w:eastAsia="宋体" w:cs="宋体"/>
          <w:spacing w:val="3"/>
          <w:sz w:val="21"/>
          <w:szCs w:val="21"/>
          <w:highlight w:val="none"/>
        </w:rPr>
        <w:t>承包人未提交劳动合同，以及没有为工程总承包项目经理缴纳社会保险证明的违约责</w:t>
      </w:r>
      <w:r>
        <w:rPr>
          <w:rFonts w:ascii="宋体" w:hAnsi="宋体" w:eastAsia="宋体" w:cs="宋体"/>
          <w:spacing w:val="2"/>
          <w:sz w:val="21"/>
          <w:szCs w:val="21"/>
          <w:highlight w:val="none"/>
        </w:rPr>
        <w:t xml:space="preserve"> </w:t>
      </w:r>
      <w:r>
        <w:rPr>
          <w:rFonts w:ascii="宋体" w:hAnsi="宋体" w:eastAsia="宋体" w:cs="宋体"/>
          <w:sz w:val="21"/>
          <w:szCs w:val="21"/>
          <w:highlight w:val="none"/>
        </w:rPr>
        <w:t>任：</w:t>
      </w:r>
      <w:r>
        <w:rPr>
          <w:rFonts w:ascii="宋体" w:hAnsi="宋体" w:eastAsia="宋体" w:cs="宋体"/>
          <w:sz w:val="21"/>
          <w:szCs w:val="21"/>
          <w:highlight w:val="none"/>
          <w:u w:val="single" w:color="auto"/>
        </w:rPr>
        <w:t xml:space="preserve">                             </w:t>
      </w:r>
    </w:p>
    <w:p w14:paraId="4CA6A824">
      <w:pPr>
        <w:spacing w:before="45" w:line="364" w:lineRule="auto"/>
        <w:ind w:left="420" w:right="273"/>
        <w:rPr>
          <w:rFonts w:ascii="宋体" w:hAnsi="宋体" w:eastAsia="宋体" w:cs="宋体"/>
          <w:sz w:val="21"/>
          <w:szCs w:val="21"/>
          <w:highlight w:val="none"/>
        </w:rPr>
      </w:pPr>
      <w:r>
        <w:rPr>
          <w:rFonts w:ascii="Times New Roman" w:hAnsi="Times New Roman" w:eastAsia="Times New Roman" w:cs="Times New Roman"/>
          <w:spacing w:val="-8"/>
          <w:sz w:val="22"/>
          <w:szCs w:val="22"/>
          <w:highlight w:val="none"/>
        </w:rPr>
        <w:t xml:space="preserve">4.3.2   </w:t>
      </w:r>
      <w:r>
        <w:rPr>
          <w:rFonts w:ascii="宋体" w:hAnsi="宋体" w:eastAsia="宋体" w:cs="宋体"/>
          <w:spacing w:val="-8"/>
          <w:sz w:val="22"/>
          <w:szCs w:val="22"/>
          <w:highlight w:val="none"/>
        </w:rPr>
        <w:t>工程总承包项目经理每月在现场的时间要求：</w:t>
      </w:r>
      <w:r>
        <w:rPr>
          <w:rFonts w:ascii="宋体" w:hAnsi="宋体" w:eastAsia="宋体" w:cs="宋体"/>
          <w:spacing w:val="-8"/>
          <w:sz w:val="22"/>
          <w:szCs w:val="22"/>
          <w:highlight w:val="none"/>
          <w:u w:val="single" w:color="auto"/>
        </w:rPr>
        <w:t xml:space="preserve">             </w:t>
      </w:r>
      <w:r>
        <w:rPr>
          <w:rFonts w:ascii="宋体" w:hAnsi="宋体" w:eastAsia="宋体" w:cs="宋体"/>
          <w:spacing w:val="-9"/>
          <w:sz w:val="22"/>
          <w:szCs w:val="22"/>
          <w:highlight w:val="none"/>
          <w:u w:val="single" w:color="auto"/>
        </w:rPr>
        <w:t xml:space="preserve">           </w:t>
      </w:r>
      <w:r>
        <w:rPr>
          <w:position w:val="-1"/>
          <w:sz w:val="22"/>
          <w:szCs w:val="22"/>
          <w:highlight w:val="none"/>
        </w:rPr>
        <w:drawing>
          <wp:inline distT="0" distB="0" distL="0" distR="0">
            <wp:extent cx="279400" cy="25400"/>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316"/>
                    <a:stretch>
                      <a:fillRect/>
                    </a:stretch>
                  </pic:blipFill>
                  <pic:spPr>
                    <a:xfrm>
                      <a:off x="0" y="0"/>
                      <a:ext cx="279447" cy="25450"/>
                    </a:xfrm>
                    <a:prstGeom prst="rect">
                      <a:avLst/>
                    </a:prstGeom>
                  </pic:spPr>
                </pic:pic>
              </a:graphicData>
            </a:graphic>
          </wp:inline>
        </w:drawing>
      </w:r>
      <w:r>
        <w:rPr>
          <w:rFonts w:ascii="宋体" w:hAnsi="宋体" w:eastAsia="宋体" w:cs="宋体"/>
          <w:sz w:val="22"/>
          <w:szCs w:val="22"/>
          <w:highlight w:val="none"/>
        </w:rPr>
        <w:t xml:space="preserve"> </w:t>
      </w:r>
      <w:r>
        <w:rPr>
          <w:rFonts w:ascii="宋体" w:hAnsi="宋体" w:eastAsia="宋体" w:cs="宋体"/>
          <w:spacing w:val="-1"/>
          <w:sz w:val="21"/>
          <w:szCs w:val="21"/>
          <w:highlight w:val="none"/>
        </w:rPr>
        <w:t>工程总承包项目经理未经批准擅自离开施工现场的违约责任：</w:t>
      </w:r>
      <w:r>
        <w:rPr>
          <w:rFonts w:ascii="宋体" w:hAnsi="宋体" w:eastAsia="宋体" w:cs="宋体"/>
          <w:spacing w:val="-59"/>
          <w:sz w:val="21"/>
          <w:szCs w:val="21"/>
          <w:highlight w:val="none"/>
        </w:rPr>
        <w:t xml:space="preserve"> </w:t>
      </w:r>
      <w:r>
        <w:rPr>
          <w:rFonts w:ascii="宋体" w:hAnsi="宋体" w:eastAsia="宋体" w:cs="宋体"/>
          <w:sz w:val="21"/>
          <w:szCs w:val="21"/>
          <w:highlight w:val="none"/>
          <w:u w:val="single" w:color="auto"/>
        </w:rPr>
        <w:t xml:space="preserve">                   </w:t>
      </w:r>
    </w:p>
    <w:p w14:paraId="0EAD0BCB">
      <w:pPr>
        <w:spacing w:before="112" w:line="184" w:lineRule="auto"/>
        <w:ind w:left="420"/>
        <w:rPr>
          <w:rFonts w:ascii="宋体" w:hAnsi="宋体" w:eastAsia="宋体" w:cs="宋体"/>
          <w:sz w:val="20"/>
          <w:szCs w:val="20"/>
          <w:highlight w:val="none"/>
        </w:rPr>
      </w:pPr>
      <w:r>
        <w:rPr>
          <w:highlight w:val="none"/>
        </w:rPr>
        <w:pict>
          <v:shape id="_x0000_s1037" o:spid="_x0000_s1037" o:spt="202" type="#_x0000_t202" style="position:absolute;left:0pt;margin-left:399pt;margin-top:9.45pt;height:5.25pt;width:5.4pt;z-index:251673600;mso-width-relative:page;mso-height-relative:page;" filled="f" stroked="f" coordsize="21600,21600">
            <v:path/>
            <v:fill on="f" focussize="0,0"/>
            <v:stroke on="f"/>
            <v:imagedata o:title=""/>
            <o:lock v:ext="edit" aspectratio="f"/>
            <v:textbox inset="0mm,0mm,0mm,0mm">
              <w:txbxContent>
                <w:p w14:paraId="7B589CBC">
                  <w:pPr>
                    <w:pStyle w:val="2"/>
                    <w:tabs>
                      <w:tab w:val="left" w:pos="54"/>
                    </w:tabs>
                    <w:spacing w:before="20" w:line="156" w:lineRule="auto"/>
                    <w:ind w:left="20"/>
                    <w:rPr>
                      <w:sz w:val="6"/>
                      <w:szCs w:val="6"/>
                    </w:rPr>
                  </w:pPr>
                  <w:r>
                    <w:rPr>
                      <w:sz w:val="6"/>
                      <w:szCs w:val="6"/>
                      <w:u w:val="dotted" w:color="auto"/>
                    </w:rPr>
                    <w:tab/>
                  </w:r>
                  <w:r>
                    <w:rPr>
                      <w:spacing w:val="-15"/>
                      <w:sz w:val="6"/>
                      <w:szCs w:val="6"/>
                    </w:rPr>
                    <w:t xml:space="preserve"> </w:t>
                  </w:r>
                  <w:r>
                    <w:rPr>
                      <w:sz w:val="6"/>
                      <w:szCs w:val="6"/>
                    </w:rPr>
                    <w:t>o</w:t>
                  </w:r>
                </w:p>
              </w:txbxContent>
            </v:textbox>
          </v:shape>
        </w:pict>
      </w:r>
      <w:r>
        <w:rPr>
          <w:rFonts w:ascii="Times New Roman" w:hAnsi="Times New Roman" w:eastAsia="Times New Roman" w:cs="Times New Roman"/>
          <w:sz w:val="20"/>
          <w:szCs w:val="20"/>
          <w:highlight w:val="none"/>
        </w:rPr>
        <w:t xml:space="preserve">4.3.3    </w:t>
      </w:r>
      <w:r>
        <w:rPr>
          <w:rFonts w:ascii="宋体" w:hAnsi="宋体" w:eastAsia="宋体" w:cs="宋体"/>
          <w:sz w:val="20"/>
          <w:szCs w:val="20"/>
          <w:highlight w:val="none"/>
        </w:rPr>
        <w:t>承包人对工程总承包项目经理的授权范围：</w:t>
      </w:r>
      <w:r>
        <w:rPr>
          <w:rFonts w:ascii="宋体" w:hAnsi="宋体" w:eastAsia="宋体" w:cs="宋体"/>
          <w:spacing w:val="-81"/>
          <w:sz w:val="20"/>
          <w:szCs w:val="20"/>
          <w:highlight w:val="none"/>
        </w:rPr>
        <w:t xml:space="preserve"> </w:t>
      </w:r>
      <w:r>
        <w:rPr>
          <w:rFonts w:ascii="宋体" w:hAnsi="宋体" w:eastAsia="宋体" w:cs="宋体"/>
          <w:sz w:val="20"/>
          <w:szCs w:val="20"/>
          <w:highlight w:val="none"/>
          <w:u w:val="single" w:color="auto"/>
        </w:rPr>
        <w:t xml:space="preserve">                                </w:t>
      </w:r>
    </w:p>
    <w:p w14:paraId="3356CB03">
      <w:pPr>
        <w:pStyle w:val="2"/>
        <w:spacing w:before="242" w:line="219" w:lineRule="auto"/>
        <w:ind w:left="420"/>
        <w:rPr>
          <w:sz w:val="6"/>
          <w:szCs w:val="6"/>
          <w:highlight w:val="none"/>
        </w:rPr>
      </w:pPr>
      <w:r>
        <w:rPr>
          <w:rFonts w:ascii="宋体" w:hAnsi="宋体" w:eastAsia="宋体" w:cs="宋体"/>
          <w:spacing w:val="-21"/>
          <w:sz w:val="24"/>
          <w:szCs w:val="24"/>
          <w:highlight w:val="none"/>
        </w:rPr>
        <w:t>4.3.4承包人擅自更换工程总承包项目经理的违约责任：</w:t>
      </w:r>
      <w:r>
        <w:rPr>
          <w:rFonts w:ascii="宋体" w:hAnsi="宋体" w:eastAsia="宋体" w:cs="宋体"/>
          <w:spacing w:val="-21"/>
          <w:sz w:val="24"/>
          <w:szCs w:val="24"/>
          <w:highlight w:val="none"/>
          <w:u w:val="single" w:color="auto"/>
        </w:rPr>
        <w:t xml:space="preserve">            </w:t>
      </w:r>
      <w:r>
        <w:rPr>
          <w:rFonts w:ascii="宋体" w:hAnsi="宋体" w:eastAsia="宋体" w:cs="宋体"/>
          <w:spacing w:val="-22"/>
          <w:sz w:val="24"/>
          <w:szCs w:val="24"/>
          <w:highlight w:val="none"/>
          <w:u w:val="single" w:color="auto"/>
        </w:rPr>
        <w:t xml:space="preserve">           </w:t>
      </w:r>
      <w:r>
        <w:rPr>
          <w:rFonts w:ascii="宋体" w:hAnsi="宋体" w:eastAsia="宋体" w:cs="宋体"/>
          <w:spacing w:val="-120"/>
          <w:sz w:val="24"/>
          <w:szCs w:val="24"/>
          <w:highlight w:val="none"/>
        </w:rPr>
        <w:t xml:space="preserve"> </w:t>
      </w:r>
      <w:r>
        <w:rPr>
          <w:position w:val="2"/>
          <w:sz w:val="6"/>
          <w:szCs w:val="6"/>
          <w:highlight w:val="none"/>
        </w:rPr>
        <w:t>o</w:t>
      </w:r>
    </w:p>
    <w:p w14:paraId="537D1216">
      <w:pPr>
        <w:spacing w:before="196" w:line="213" w:lineRule="auto"/>
        <w:ind w:left="42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 xml:space="preserve">4.3.5    </w:t>
      </w:r>
      <w:r>
        <w:rPr>
          <w:rFonts w:ascii="宋体" w:hAnsi="宋体" w:eastAsia="宋体" w:cs="宋体"/>
          <w:spacing w:val="5"/>
          <w:sz w:val="20"/>
          <w:szCs w:val="20"/>
          <w:highlight w:val="none"/>
        </w:rPr>
        <w:t>承包人无正当理由拒绝更换</w:t>
      </w:r>
      <w:r>
        <w:rPr>
          <w:rFonts w:ascii="宋体" w:hAnsi="宋体" w:eastAsia="宋体" w:cs="宋体"/>
          <w:spacing w:val="4"/>
          <w:sz w:val="20"/>
          <w:szCs w:val="20"/>
          <w:highlight w:val="none"/>
        </w:rPr>
        <w:t>工程总承包项目经理的违约责任：</w:t>
      </w:r>
      <w:r>
        <w:rPr>
          <w:rFonts w:ascii="宋体" w:hAnsi="宋体" w:eastAsia="宋体" w:cs="宋体"/>
          <w:spacing w:val="-81"/>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75"/>
          <w:sz w:val="20"/>
          <w:szCs w:val="20"/>
          <w:highlight w:val="none"/>
        </w:rPr>
        <w:t xml:space="preserve"> </w:t>
      </w:r>
      <w:r>
        <w:rPr>
          <w:rFonts w:ascii="宋体" w:hAnsi="宋体" w:eastAsia="宋体" w:cs="宋体"/>
          <w:spacing w:val="4"/>
          <w:sz w:val="20"/>
          <w:szCs w:val="20"/>
          <w:highlight w:val="none"/>
        </w:rPr>
        <w:t>_</w:t>
      </w:r>
    </w:p>
    <w:p w14:paraId="46F68C79">
      <w:pPr>
        <w:pStyle w:val="2"/>
        <w:spacing w:line="321" w:lineRule="auto"/>
        <w:rPr>
          <w:highlight w:val="none"/>
        </w:rPr>
      </w:pPr>
    </w:p>
    <w:p w14:paraId="0A35CE02">
      <w:pPr>
        <w:pStyle w:val="2"/>
        <w:spacing w:before="73" w:line="221" w:lineRule="auto"/>
        <w:rPr>
          <w:rFonts w:ascii="黑体" w:hAnsi="黑体" w:eastAsia="黑体" w:cs="黑体"/>
          <w:sz w:val="22"/>
          <w:szCs w:val="22"/>
          <w:highlight w:val="none"/>
        </w:rPr>
      </w:pPr>
      <w:r>
        <w:rPr>
          <w:spacing w:val="-6"/>
          <w:sz w:val="22"/>
          <w:szCs w:val="22"/>
          <w:highlight w:val="none"/>
        </w:rPr>
        <w:t>4.4</w:t>
      </w:r>
      <w:r>
        <w:rPr>
          <w:spacing w:val="61"/>
          <w:sz w:val="22"/>
          <w:szCs w:val="22"/>
          <w:highlight w:val="none"/>
        </w:rPr>
        <w:t xml:space="preserve"> </w:t>
      </w:r>
      <w:r>
        <w:rPr>
          <w:rFonts w:ascii="黑体" w:hAnsi="黑体" w:eastAsia="黑体" w:cs="黑体"/>
          <w:spacing w:val="-6"/>
          <w:sz w:val="22"/>
          <w:szCs w:val="22"/>
          <w:highlight w:val="none"/>
        </w:rPr>
        <w:t>承包人人员</w:t>
      </w:r>
    </w:p>
    <w:p w14:paraId="03E4EBF7">
      <w:pPr>
        <w:spacing w:before="248" w:line="221" w:lineRule="auto"/>
        <w:ind w:left="420"/>
        <w:rPr>
          <w:rFonts w:ascii="宋体" w:hAnsi="宋体" w:eastAsia="宋体" w:cs="宋体"/>
          <w:sz w:val="20"/>
          <w:szCs w:val="20"/>
          <w:highlight w:val="none"/>
        </w:rPr>
      </w:pPr>
      <w:r>
        <w:rPr>
          <w:rFonts w:ascii="宋体" w:hAnsi="宋体" w:eastAsia="宋体" w:cs="宋体"/>
          <w:spacing w:val="1"/>
          <w:sz w:val="20"/>
          <w:szCs w:val="20"/>
          <w:highlight w:val="none"/>
        </w:rPr>
        <w:t>4.4.1</w:t>
      </w:r>
      <w:r>
        <w:rPr>
          <w:rFonts w:ascii="宋体" w:hAnsi="宋体" w:eastAsia="宋体" w:cs="宋体"/>
          <w:spacing w:val="57"/>
          <w:sz w:val="20"/>
          <w:szCs w:val="20"/>
          <w:highlight w:val="none"/>
        </w:rPr>
        <w:t xml:space="preserve"> </w:t>
      </w:r>
      <w:r>
        <w:rPr>
          <w:rFonts w:ascii="宋体" w:hAnsi="宋体" w:eastAsia="宋体" w:cs="宋体"/>
          <w:spacing w:val="1"/>
          <w:sz w:val="20"/>
          <w:szCs w:val="20"/>
          <w:highlight w:val="none"/>
        </w:rPr>
        <w:t>人员安排</w:t>
      </w:r>
    </w:p>
    <w:p w14:paraId="35BCC8D4">
      <w:pPr>
        <w:pStyle w:val="2"/>
        <w:spacing w:before="219" w:line="218" w:lineRule="auto"/>
        <w:ind w:left="420"/>
        <w:rPr>
          <w:sz w:val="22"/>
          <w:szCs w:val="22"/>
          <w:highlight w:val="none"/>
        </w:rPr>
      </w:pPr>
      <w:r>
        <w:rPr>
          <w:rFonts w:ascii="宋体" w:hAnsi="宋体" w:eastAsia="宋体" w:cs="宋体"/>
          <w:spacing w:val="-10"/>
          <w:sz w:val="22"/>
          <w:szCs w:val="22"/>
          <w:highlight w:val="none"/>
        </w:rPr>
        <w:t>承包人提交项目管理机构及施工现场人员安排的报告的期限：</w:t>
      </w:r>
      <w:r>
        <w:rPr>
          <w:rFonts w:ascii="宋体" w:hAnsi="宋体" w:eastAsia="宋体" w:cs="宋体"/>
          <w:spacing w:val="-71"/>
          <w:sz w:val="22"/>
          <w:szCs w:val="22"/>
          <w:highlight w:val="none"/>
        </w:rPr>
        <w:t xml:space="preserve"> </w:t>
      </w:r>
      <w:r>
        <w:rPr>
          <w:rFonts w:ascii="宋体" w:hAnsi="宋体" w:eastAsia="宋体" w:cs="宋体"/>
          <w:spacing w:val="2"/>
          <w:sz w:val="22"/>
          <w:szCs w:val="22"/>
          <w:highlight w:val="none"/>
          <w:u w:val="single" w:color="auto"/>
        </w:rPr>
        <w:t xml:space="preserve">                  </w:t>
      </w:r>
      <w:r>
        <w:rPr>
          <w:rFonts w:ascii="宋体" w:hAnsi="宋体" w:eastAsia="宋体" w:cs="宋体"/>
          <w:spacing w:val="-93"/>
          <w:sz w:val="22"/>
          <w:szCs w:val="22"/>
          <w:highlight w:val="none"/>
        </w:rPr>
        <w:t xml:space="preserve"> </w:t>
      </w:r>
      <w:r>
        <w:rPr>
          <w:spacing w:val="-10"/>
          <w:sz w:val="22"/>
          <w:szCs w:val="22"/>
          <w:highlight w:val="none"/>
        </w:rPr>
        <w:t>o</w:t>
      </w:r>
    </w:p>
    <w:p w14:paraId="3902864C">
      <w:pPr>
        <w:spacing w:before="231" w:line="391" w:lineRule="auto"/>
        <w:ind w:right="54" w:firstLine="420"/>
        <w:rPr>
          <w:rFonts w:ascii="宋体" w:hAnsi="宋体" w:eastAsia="宋体" w:cs="宋体"/>
          <w:sz w:val="22"/>
          <w:szCs w:val="22"/>
          <w:highlight w:val="none"/>
        </w:rPr>
      </w:pPr>
      <w:r>
        <w:rPr>
          <w:rFonts w:ascii="宋体" w:hAnsi="宋体" w:eastAsia="宋体" w:cs="宋体"/>
          <w:spacing w:val="-7"/>
          <w:sz w:val="22"/>
          <w:szCs w:val="22"/>
          <w:highlight w:val="none"/>
        </w:rPr>
        <w:t>承包人提交关键人员信息及注册执业资格等证明其具备担任关键人员能力的相</w:t>
      </w:r>
      <w:r>
        <w:rPr>
          <w:rFonts w:ascii="宋体" w:hAnsi="宋体" w:eastAsia="宋体" w:cs="宋体"/>
          <w:spacing w:val="-8"/>
          <w:sz w:val="22"/>
          <w:szCs w:val="22"/>
          <w:highlight w:val="none"/>
        </w:rPr>
        <w:t>关文件</w:t>
      </w:r>
      <w:r>
        <w:rPr>
          <w:rFonts w:ascii="宋体" w:hAnsi="宋体" w:eastAsia="宋体" w:cs="宋体"/>
          <w:sz w:val="22"/>
          <w:szCs w:val="22"/>
          <w:highlight w:val="none"/>
        </w:rPr>
        <w:t xml:space="preserve"> </w:t>
      </w:r>
      <w:r>
        <w:rPr>
          <w:rFonts w:ascii="宋体" w:hAnsi="宋体" w:eastAsia="宋体" w:cs="宋体"/>
          <w:spacing w:val="-5"/>
          <w:sz w:val="22"/>
          <w:szCs w:val="22"/>
          <w:highlight w:val="none"/>
        </w:rPr>
        <w:t>的期限：</w:t>
      </w:r>
      <w:r>
        <w:rPr>
          <w:rFonts w:ascii="宋体" w:hAnsi="宋体" w:eastAsia="宋体" w:cs="宋体"/>
          <w:sz w:val="22"/>
          <w:szCs w:val="22"/>
          <w:highlight w:val="none"/>
          <w:u w:val="single" w:color="auto"/>
        </w:rPr>
        <w:t xml:space="preserve">                      </w:t>
      </w:r>
    </w:p>
    <w:p w14:paraId="043455DC">
      <w:pPr>
        <w:spacing w:line="220" w:lineRule="auto"/>
        <w:ind w:left="420"/>
        <w:rPr>
          <w:rFonts w:ascii="宋体" w:hAnsi="宋体" w:eastAsia="宋体" w:cs="宋体"/>
          <w:sz w:val="22"/>
          <w:szCs w:val="22"/>
          <w:highlight w:val="none"/>
        </w:rPr>
      </w:pPr>
      <w:r>
        <w:rPr>
          <w:rFonts w:ascii="宋体" w:hAnsi="宋体" w:eastAsia="宋体" w:cs="宋体"/>
          <w:spacing w:val="1"/>
          <w:sz w:val="22"/>
          <w:szCs w:val="22"/>
          <w:highlight w:val="none"/>
        </w:rPr>
        <w:t>4.4.2关键人员更换</w:t>
      </w:r>
    </w:p>
    <w:p w14:paraId="09C8D779">
      <w:pPr>
        <w:spacing w:before="246" w:line="398" w:lineRule="auto"/>
        <w:ind w:left="420" w:right="63"/>
        <w:rPr>
          <w:sz w:val="21"/>
          <w:szCs w:val="21"/>
          <w:highlight w:val="none"/>
        </w:rPr>
      </w:pPr>
      <w:r>
        <w:rPr>
          <w:rFonts w:ascii="宋体" w:hAnsi="宋体" w:eastAsia="宋体" w:cs="宋体"/>
          <w:sz w:val="21"/>
          <w:szCs w:val="21"/>
          <w:highlight w:val="none"/>
        </w:rPr>
        <w:t>承包人擅自更换关键人员的违约责任：</w:t>
      </w:r>
      <w:r>
        <w:rPr>
          <w:rFonts w:ascii="宋体" w:hAnsi="宋体" w:eastAsia="宋体" w:cs="宋体"/>
          <w:sz w:val="21"/>
          <w:szCs w:val="21"/>
          <w:highlight w:val="none"/>
          <w:u w:val="single" w:color="auto"/>
        </w:rPr>
        <w:t xml:space="preserve">                                        </w:t>
      </w:r>
      <w:r>
        <w:rPr>
          <w:rFonts w:ascii="宋体" w:hAnsi="宋体" w:eastAsia="宋体" w:cs="宋体"/>
          <w:spacing w:val="18"/>
          <w:sz w:val="21"/>
          <w:szCs w:val="21"/>
          <w:highlight w:val="none"/>
        </w:rPr>
        <w:t xml:space="preserve"> </w:t>
      </w:r>
      <w:r>
        <w:rPr>
          <w:rFonts w:ascii="宋体" w:hAnsi="宋体" w:eastAsia="宋体" w:cs="宋体"/>
          <w:spacing w:val="-1"/>
          <w:sz w:val="21"/>
          <w:szCs w:val="21"/>
          <w:highlight w:val="none"/>
        </w:rPr>
        <w:t>承包人无正当理由拒绝撤换关键人员的违约责任：</w:t>
      </w:r>
      <w:r>
        <w:rPr>
          <w:rFonts w:ascii="宋体" w:hAnsi="宋体" w:eastAsia="宋体" w:cs="宋体"/>
          <w:spacing w:val="-64"/>
          <w:sz w:val="21"/>
          <w:szCs w:val="21"/>
          <w:highlight w:val="none"/>
        </w:rPr>
        <w:t xml:space="preserve"> </w:t>
      </w:r>
      <w:r>
        <w:rPr>
          <w:rFonts w:ascii="宋体" w:hAnsi="宋体" w:eastAsia="宋体" w:cs="宋体"/>
          <w:spacing w:val="3"/>
          <w:sz w:val="21"/>
          <w:szCs w:val="21"/>
          <w:highlight w:val="none"/>
          <w:u w:val="single" w:color="auto"/>
        </w:rPr>
        <w:t xml:space="preserve">                             </w:t>
      </w:r>
      <w:r>
        <w:rPr>
          <w:sz w:val="21"/>
          <w:szCs w:val="21"/>
          <w:highlight w:val="none"/>
        </w:rPr>
        <w:drawing>
          <wp:inline distT="0" distB="0" distL="0" distR="0">
            <wp:extent cx="50800" cy="44450"/>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317"/>
                    <a:stretch>
                      <a:fillRect/>
                    </a:stretch>
                  </pic:blipFill>
                  <pic:spPr>
                    <a:xfrm>
                      <a:off x="0" y="0"/>
                      <a:ext cx="50822" cy="44484"/>
                    </a:xfrm>
                    <a:prstGeom prst="rect">
                      <a:avLst/>
                    </a:prstGeom>
                  </pic:spPr>
                </pic:pic>
              </a:graphicData>
            </a:graphic>
          </wp:inline>
        </w:drawing>
      </w:r>
    </w:p>
    <w:sdt>
      <w:sdtPr>
        <w:rPr>
          <w:rFonts w:ascii="Times New Roman" w:hAnsi="Times New Roman" w:eastAsia="Times New Roman" w:cs="Times New Roman"/>
          <w:sz w:val="20"/>
          <w:szCs w:val="20"/>
          <w:highlight w:val="none"/>
        </w:rPr>
        <w:id w:val="147468054"/>
        <w:docPartObj>
          <w:docPartGallery w:val="Table of Contents"/>
          <w:docPartUnique/>
        </w:docPartObj>
      </w:sdtPr>
      <w:sdtEndPr>
        <w:rPr>
          <w:rFonts w:ascii="宋体" w:hAnsi="宋体" w:eastAsia="宋体" w:cs="宋体"/>
          <w:sz w:val="20"/>
          <w:szCs w:val="20"/>
          <w:highlight w:val="none"/>
        </w:rPr>
      </w:sdtEndPr>
      <w:sdtContent>
        <w:p w14:paraId="69A36A37">
          <w:pPr>
            <w:spacing w:before="55" w:line="219" w:lineRule="auto"/>
            <w:ind w:left="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4.4.3    </w:t>
          </w:r>
          <w:r>
            <w:rPr>
              <w:rFonts w:ascii="宋体" w:hAnsi="宋体" w:eastAsia="宋体" w:cs="宋体"/>
              <w:spacing w:val="7"/>
              <w:sz w:val="20"/>
              <w:szCs w:val="20"/>
              <w:highlight w:val="none"/>
            </w:rPr>
            <w:t>现场管理关键人员在岗要求</w:t>
          </w:r>
        </w:p>
        <w:p w14:paraId="4A97E8B2">
          <w:pPr>
            <w:spacing w:before="153" w:line="219" w:lineRule="auto"/>
            <w:jc w:val="right"/>
            <w:rPr>
              <w:rFonts w:ascii="宋体" w:hAnsi="宋体" w:eastAsia="宋体" w:cs="宋体"/>
              <w:sz w:val="22"/>
              <w:szCs w:val="22"/>
              <w:highlight w:val="none"/>
            </w:rPr>
          </w:pPr>
          <w:r>
            <w:rPr>
              <w:rFonts w:ascii="宋体" w:hAnsi="宋体" w:eastAsia="宋体" w:cs="宋体"/>
              <w:spacing w:val="-11"/>
              <w:sz w:val="22"/>
              <w:szCs w:val="22"/>
              <w:highlight w:val="none"/>
            </w:rPr>
            <w:t>承包人现场管理关键人员离开施工现场的批准要求：</w:t>
          </w:r>
          <w:r>
            <w:rPr>
              <w:rFonts w:ascii="宋体" w:hAnsi="宋体" w:eastAsia="宋体" w:cs="宋体"/>
              <w:spacing w:val="-11"/>
              <w:sz w:val="22"/>
              <w:szCs w:val="22"/>
              <w:highlight w:val="none"/>
              <w:u w:val="single" w:color="auto"/>
            </w:rPr>
            <w:t xml:space="preserve">                            </w:t>
          </w:r>
          <w:r>
            <w:rPr>
              <w:rFonts w:ascii="宋体" w:hAnsi="宋体" w:eastAsia="宋体" w:cs="宋体"/>
              <w:spacing w:val="-12"/>
              <w:sz w:val="22"/>
              <w:szCs w:val="22"/>
              <w:highlight w:val="none"/>
              <w:u w:val="single" w:color="auto"/>
            </w:rPr>
            <w:t xml:space="preserve"> </w:t>
          </w:r>
          <w:r>
            <w:rPr>
              <w:rFonts w:ascii="宋体" w:hAnsi="宋体" w:eastAsia="宋体" w:cs="宋体"/>
              <w:spacing w:val="-110"/>
              <w:sz w:val="22"/>
              <w:szCs w:val="22"/>
              <w:highlight w:val="none"/>
            </w:rPr>
            <w:t xml:space="preserve"> </w:t>
          </w:r>
          <w:r>
            <w:rPr>
              <w:rFonts w:ascii="宋体" w:hAnsi="宋体" w:eastAsia="宋体" w:cs="宋体"/>
              <w:spacing w:val="-12"/>
              <w:sz w:val="22"/>
              <w:szCs w:val="22"/>
              <w:highlight w:val="none"/>
            </w:rPr>
            <w:t>-</w:t>
          </w:r>
          <w:r>
            <w:rPr>
              <w:highlight w:val="none"/>
            </w:rPr>
            <w:fldChar w:fldCharType="begin"/>
          </w:r>
          <w:r>
            <w:rPr>
              <w:highlight w:val="none"/>
            </w:rPr>
            <w:instrText xml:space="preserve"> HYPERLINK \l "bookmark242" </w:instrText>
          </w:r>
          <w:r>
            <w:rPr>
              <w:highlight w:val="none"/>
            </w:rPr>
            <w:fldChar w:fldCharType="separate"/>
          </w:r>
          <w:r>
            <w:rPr>
              <w:rFonts w:ascii="宋体" w:hAnsi="宋体" w:eastAsia="宋体" w:cs="宋体"/>
              <w:spacing w:val="-12"/>
              <w:sz w:val="22"/>
              <w:szCs w:val="22"/>
              <w:highlight w:val="none"/>
            </w:rPr>
            <w:t>0</w:t>
          </w:r>
          <w:r>
            <w:rPr>
              <w:rFonts w:ascii="宋体" w:hAnsi="宋体" w:eastAsia="宋体" w:cs="宋体"/>
              <w:spacing w:val="-12"/>
              <w:sz w:val="22"/>
              <w:szCs w:val="22"/>
              <w:highlight w:val="none"/>
            </w:rPr>
            <w:fldChar w:fldCharType="end"/>
          </w:r>
        </w:p>
        <w:p w14:paraId="3DCE3257">
          <w:pPr>
            <w:pStyle w:val="2"/>
            <w:spacing w:line="241" w:lineRule="auto"/>
            <w:rPr>
              <w:highlight w:val="none"/>
            </w:rPr>
          </w:pPr>
        </w:p>
        <w:p w14:paraId="136F7DD9">
          <w:pPr>
            <w:spacing w:before="66" w:line="219" w:lineRule="auto"/>
            <w:ind w:right="2"/>
            <w:jc w:val="right"/>
            <w:rPr>
              <w:rFonts w:ascii="宋体" w:hAnsi="宋体" w:eastAsia="宋体" w:cs="宋体"/>
              <w:sz w:val="20"/>
              <w:szCs w:val="20"/>
              <w:highlight w:val="none"/>
            </w:rPr>
          </w:pPr>
          <w:r>
            <w:rPr>
              <w:rFonts w:ascii="宋体" w:hAnsi="宋体" w:eastAsia="宋体" w:cs="宋体"/>
              <w:spacing w:val="2"/>
              <w:sz w:val="20"/>
              <w:szCs w:val="20"/>
              <w:highlight w:val="none"/>
            </w:rPr>
            <w:t>承包人现场管理关键人员擅自离开施工现场的违约责任：</w:t>
          </w:r>
          <w:r>
            <w:rPr>
              <w:rFonts w:ascii="宋体" w:hAnsi="宋体" w:eastAsia="宋体" w:cs="宋体"/>
              <w:spacing w:val="50"/>
              <w:sz w:val="20"/>
              <w:szCs w:val="20"/>
              <w:highlight w:val="none"/>
            </w:rPr>
            <w:t xml:space="preserve"> </w:t>
          </w:r>
          <w:r>
            <w:rPr>
              <w:rFonts w:ascii="宋体" w:hAnsi="宋体" w:eastAsia="宋体" w:cs="宋体"/>
              <w:spacing w:val="2"/>
              <w:sz w:val="20"/>
              <w:szCs w:val="20"/>
              <w:highlight w:val="none"/>
              <w:u w:val="single" w:color="auto"/>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1"/>
              <w:sz w:val="20"/>
              <w:szCs w:val="20"/>
              <w:highlight w:val="none"/>
            </w:rPr>
            <w:t>-</w:t>
          </w:r>
          <w:r>
            <w:rPr>
              <w:highlight w:val="none"/>
            </w:rPr>
            <w:fldChar w:fldCharType="begin"/>
          </w:r>
          <w:r>
            <w:rPr>
              <w:highlight w:val="none"/>
            </w:rPr>
            <w:instrText xml:space="preserve"> HYPERLINK \l "bookmark243" </w:instrText>
          </w:r>
          <w:r>
            <w:rPr>
              <w:highlight w:val="none"/>
            </w:rPr>
            <w:fldChar w:fldCharType="separate"/>
          </w:r>
          <w:r>
            <w:rPr>
              <w:rFonts w:ascii="宋体" w:hAnsi="宋体" w:eastAsia="宋体" w:cs="宋体"/>
              <w:spacing w:val="1"/>
              <w:sz w:val="20"/>
              <w:szCs w:val="20"/>
              <w:highlight w:val="none"/>
            </w:rPr>
            <w:t>0</w:t>
          </w:r>
          <w:r>
            <w:rPr>
              <w:rFonts w:ascii="宋体" w:hAnsi="宋体" w:eastAsia="宋体" w:cs="宋体"/>
              <w:spacing w:val="1"/>
              <w:sz w:val="20"/>
              <w:szCs w:val="20"/>
              <w:highlight w:val="none"/>
            </w:rPr>
            <w:fldChar w:fldCharType="end"/>
          </w:r>
        </w:p>
      </w:sdtContent>
    </w:sdt>
    <w:p w14:paraId="1128035C">
      <w:pPr>
        <w:pStyle w:val="2"/>
        <w:spacing w:line="300" w:lineRule="auto"/>
        <w:rPr>
          <w:highlight w:val="none"/>
        </w:rPr>
      </w:pPr>
    </w:p>
    <w:p w14:paraId="627F79D9">
      <w:pPr>
        <w:spacing w:before="72" w:line="222" w:lineRule="auto"/>
        <w:rPr>
          <w:rFonts w:ascii="黑体" w:hAnsi="黑体" w:eastAsia="黑体" w:cs="黑体"/>
          <w:sz w:val="22"/>
          <w:szCs w:val="22"/>
          <w:highlight w:val="none"/>
        </w:rPr>
      </w:pPr>
      <w:r>
        <w:rPr>
          <w:rFonts w:ascii="黑体" w:hAnsi="黑体" w:eastAsia="黑体" w:cs="黑体"/>
          <w:spacing w:val="-9"/>
          <w:sz w:val="22"/>
          <w:szCs w:val="22"/>
          <w:highlight w:val="none"/>
        </w:rPr>
        <w:t>4.5</w:t>
      </w:r>
      <w:r>
        <w:rPr>
          <w:rFonts w:ascii="黑体" w:hAnsi="黑体" w:eastAsia="黑体" w:cs="黑体"/>
          <w:spacing w:val="17"/>
          <w:sz w:val="22"/>
          <w:szCs w:val="22"/>
          <w:highlight w:val="none"/>
        </w:rPr>
        <w:t xml:space="preserve"> </w:t>
      </w:r>
      <w:r>
        <w:rPr>
          <w:rFonts w:ascii="黑体" w:hAnsi="黑体" w:eastAsia="黑体" w:cs="黑体"/>
          <w:spacing w:val="-9"/>
          <w:sz w:val="22"/>
          <w:szCs w:val="22"/>
          <w:highlight w:val="none"/>
        </w:rPr>
        <w:t>分包</w:t>
      </w:r>
    </w:p>
    <w:p w14:paraId="4F30C473">
      <w:pPr>
        <w:spacing w:before="215" w:line="220" w:lineRule="auto"/>
        <w:ind w:left="420"/>
        <w:rPr>
          <w:rFonts w:ascii="宋体" w:hAnsi="宋体" w:eastAsia="宋体" w:cs="宋体"/>
          <w:sz w:val="20"/>
          <w:szCs w:val="20"/>
          <w:highlight w:val="none"/>
        </w:rPr>
      </w:pPr>
      <w:r>
        <w:rPr>
          <w:rFonts w:ascii="宋体" w:hAnsi="宋体" w:eastAsia="宋体" w:cs="宋体"/>
          <w:spacing w:val="5"/>
          <w:sz w:val="20"/>
          <w:szCs w:val="20"/>
          <w:highlight w:val="none"/>
        </w:rPr>
        <w:t>4.5.1</w:t>
      </w:r>
      <w:r>
        <w:rPr>
          <w:rFonts w:ascii="宋体" w:hAnsi="宋体" w:eastAsia="宋体" w:cs="宋体"/>
          <w:spacing w:val="27"/>
          <w:sz w:val="20"/>
          <w:szCs w:val="20"/>
          <w:highlight w:val="none"/>
        </w:rPr>
        <w:t xml:space="preserve"> </w:t>
      </w:r>
      <w:r>
        <w:rPr>
          <w:rFonts w:ascii="宋体" w:hAnsi="宋体" w:eastAsia="宋体" w:cs="宋体"/>
          <w:spacing w:val="5"/>
          <w:sz w:val="20"/>
          <w:szCs w:val="20"/>
          <w:highlight w:val="none"/>
        </w:rPr>
        <w:t>一般约定</w:t>
      </w:r>
    </w:p>
    <w:p w14:paraId="6F89ED4E">
      <w:pPr>
        <w:spacing w:line="220" w:lineRule="auto"/>
        <w:rPr>
          <w:rFonts w:ascii="宋体" w:hAnsi="宋体" w:eastAsia="宋体" w:cs="宋体"/>
          <w:sz w:val="20"/>
          <w:szCs w:val="20"/>
          <w:highlight w:val="none"/>
        </w:rPr>
        <w:sectPr>
          <w:footerReference r:id="rId150" w:type="default"/>
          <w:pgSz w:w="11910" w:h="16840"/>
          <w:pgMar w:top="400" w:right="1786" w:bottom="1217" w:left="1769" w:header="0" w:footer="1013" w:gutter="0"/>
          <w:cols w:space="720" w:num="1"/>
        </w:sectPr>
      </w:pPr>
    </w:p>
    <w:p w14:paraId="4A5C6B20">
      <w:pPr>
        <w:pStyle w:val="2"/>
        <w:spacing w:line="270" w:lineRule="auto"/>
        <w:rPr>
          <w:highlight w:val="none"/>
        </w:rPr>
      </w:pPr>
    </w:p>
    <w:p w14:paraId="36F52738">
      <w:pPr>
        <w:pStyle w:val="2"/>
        <w:spacing w:line="271" w:lineRule="auto"/>
        <w:rPr>
          <w:highlight w:val="none"/>
        </w:rPr>
      </w:pPr>
    </w:p>
    <w:p w14:paraId="010A5AEB">
      <w:pPr>
        <w:pStyle w:val="2"/>
        <w:spacing w:line="271" w:lineRule="auto"/>
        <w:rPr>
          <w:highlight w:val="none"/>
        </w:rPr>
      </w:pPr>
    </w:p>
    <w:p w14:paraId="20ACACF8">
      <w:pPr>
        <w:pStyle w:val="2"/>
        <w:spacing w:line="271" w:lineRule="auto"/>
        <w:rPr>
          <w:highlight w:val="none"/>
        </w:rPr>
      </w:pPr>
    </w:p>
    <w:p w14:paraId="09AFA0DB">
      <w:pPr>
        <w:pStyle w:val="2"/>
        <w:spacing w:before="68" w:line="215" w:lineRule="auto"/>
        <w:ind w:left="420"/>
        <w:rPr>
          <w:sz w:val="9"/>
          <w:szCs w:val="9"/>
          <w:highlight w:val="none"/>
        </w:rPr>
      </w:pPr>
      <w:bookmarkStart w:id="124" w:name="bookmark244"/>
      <w:bookmarkEnd w:id="124"/>
      <w:r>
        <w:rPr>
          <w:rFonts w:ascii="宋体" w:hAnsi="宋体" w:eastAsia="宋体" w:cs="宋体"/>
          <w:highlight w:val="none"/>
        </w:rPr>
        <w:t>禁止分包的工程包括：</w:t>
      </w:r>
      <w:r>
        <w:rPr>
          <w:rFonts w:ascii="宋体" w:hAnsi="宋体" w:eastAsia="宋体" w:cs="宋体"/>
          <w:highlight w:val="none"/>
          <w:u w:val="single" w:color="auto"/>
        </w:rPr>
        <w:t xml:space="preserve">                               </w:t>
      </w:r>
      <w:r>
        <w:rPr>
          <w:position w:val="-2"/>
          <w:sz w:val="9"/>
          <w:szCs w:val="9"/>
          <w:highlight w:val="none"/>
        </w:rPr>
        <w:t>_o</w:t>
      </w:r>
    </w:p>
    <w:p w14:paraId="534DA6FF">
      <w:pPr>
        <w:spacing w:before="216" w:line="220" w:lineRule="auto"/>
        <w:ind w:left="420"/>
        <w:rPr>
          <w:rFonts w:ascii="宋体" w:hAnsi="宋体" w:eastAsia="宋体" w:cs="宋体"/>
          <w:sz w:val="22"/>
          <w:szCs w:val="22"/>
          <w:highlight w:val="none"/>
        </w:rPr>
      </w:pPr>
      <w:r>
        <w:rPr>
          <w:rFonts w:ascii="宋体" w:hAnsi="宋体" w:eastAsia="宋体" w:cs="宋体"/>
          <w:spacing w:val="3"/>
          <w:sz w:val="22"/>
          <w:szCs w:val="22"/>
          <w:highlight w:val="none"/>
        </w:rPr>
        <w:t>4.5.2分包的确定</w:t>
      </w:r>
    </w:p>
    <w:p w14:paraId="672C39F3">
      <w:pPr>
        <w:pStyle w:val="2"/>
        <w:spacing w:before="146" w:line="219" w:lineRule="auto"/>
        <w:ind w:left="420"/>
        <w:rPr>
          <w:sz w:val="22"/>
          <w:szCs w:val="22"/>
          <w:highlight w:val="none"/>
        </w:rPr>
      </w:pPr>
      <w:r>
        <w:rPr>
          <w:rFonts w:ascii="宋体" w:hAnsi="宋体" w:eastAsia="宋体" w:cs="宋体"/>
          <w:spacing w:val="-5"/>
          <w:sz w:val="22"/>
          <w:szCs w:val="22"/>
          <w:highlight w:val="none"/>
        </w:rPr>
        <w:t>允许分包的工程包括：</w:t>
      </w:r>
      <w:r>
        <w:rPr>
          <w:rFonts w:ascii="宋体" w:hAnsi="宋体" w:eastAsia="宋体" w:cs="宋体"/>
          <w:spacing w:val="-5"/>
          <w:sz w:val="22"/>
          <w:szCs w:val="22"/>
          <w:highlight w:val="none"/>
          <w:u w:val="single" w:color="auto"/>
        </w:rPr>
        <w:t xml:space="preserve">                               </w:t>
      </w:r>
      <w:r>
        <w:rPr>
          <w:rFonts w:ascii="宋体" w:hAnsi="宋体" w:eastAsia="宋体" w:cs="宋体"/>
          <w:spacing w:val="-103"/>
          <w:sz w:val="22"/>
          <w:szCs w:val="22"/>
          <w:highlight w:val="none"/>
        </w:rPr>
        <w:t xml:space="preserve"> </w:t>
      </w:r>
      <w:r>
        <w:rPr>
          <w:spacing w:val="-5"/>
          <w:sz w:val="22"/>
          <w:szCs w:val="22"/>
          <w:highlight w:val="none"/>
        </w:rPr>
        <w:t>o</w:t>
      </w:r>
    </w:p>
    <w:p w14:paraId="680E46F1">
      <w:pPr>
        <w:pStyle w:val="2"/>
        <w:spacing w:line="243" w:lineRule="auto"/>
        <w:rPr>
          <w:highlight w:val="none"/>
        </w:rPr>
      </w:pPr>
    </w:p>
    <w:p w14:paraId="0EF85B39">
      <w:pPr>
        <w:pStyle w:val="2"/>
        <w:spacing w:before="65" w:line="212" w:lineRule="auto"/>
        <w:ind w:left="420"/>
        <w:rPr>
          <w:sz w:val="20"/>
          <w:szCs w:val="20"/>
          <w:highlight w:val="none"/>
        </w:rPr>
      </w:pPr>
      <w:r>
        <w:rPr>
          <w:rFonts w:ascii="宋体" w:hAnsi="宋体" w:eastAsia="宋体" w:cs="宋体"/>
          <w:spacing w:val="-7"/>
          <w:sz w:val="20"/>
          <w:szCs w:val="20"/>
          <w:highlight w:val="none"/>
        </w:rPr>
        <w:t>其他关于分包的约定：</w:t>
      </w:r>
      <w:r>
        <w:rPr>
          <w:rFonts w:ascii="宋体" w:hAnsi="宋体" w:eastAsia="宋体" w:cs="宋体"/>
          <w:spacing w:val="-21"/>
          <w:sz w:val="20"/>
          <w:szCs w:val="20"/>
          <w:highlight w:val="none"/>
        </w:rPr>
        <w:t xml:space="preserve"> </w:t>
      </w:r>
      <w:r>
        <w:rPr>
          <w:rFonts w:ascii="宋体" w:hAnsi="宋体" w:eastAsia="宋体" w:cs="宋体"/>
          <w:spacing w:val="2"/>
          <w:sz w:val="20"/>
          <w:szCs w:val="20"/>
          <w:highlight w:val="none"/>
          <w:u w:val="single" w:color="auto"/>
        </w:rPr>
        <w:t xml:space="preserve">                                </w:t>
      </w:r>
      <w:r>
        <w:rPr>
          <w:rFonts w:ascii="宋体" w:hAnsi="宋体" w:eastAsia="宋体" w:cs="宋体"/>
          <w:spacing w:val="-64"/>
          <w:sz w:val="20"/>
          <w:szCs w:val="20"/>
          <w:highlight w:val="none"/>
        </w:rPr>
        <w:t xml:space="preserve"> </w:t>
      </w:r>
      <w:r>
        <w:rPr>
          <w:spacing w:val="-7"/>
          <w:sz w:val="20"/>
          <w:szCs w:val="20"/>
          <w:highlight w:val="none"/>
        </w:rPr>
        <w:t>_o</w:t>
      </w:r>
    </w:p>
    <w:p w14:paraId="748B7E79">
      <w:pPr>
        <w:spacing w:before="258" w:line="218" w:lineRule="auto"/>
        <w:ind w:left="420"/>
        <w:rPr>
          <w:rFonts w:ascii="宋体" w:hAnsi="宋体" w:eastAsia="宋体" w:cs="宋体"/>
          <w:sz w:val="20"/>
          <w:szCs w:val="20"/>
          <w:highlight w:val="none"/>
        </w:rPr>
      </w:pPr>
      <w:r>
        <w:rPr>
          <w:rFonts w:ascii="宋体" w:hAnsi="宋体" w:eastAsia="宋体" w:cs="宋体"/>
          <w:spacing w:val="16"/>
          <w:sz w:val="20"/>
          <w:szCs w:val="20"/>
          <w:highlight w:val="none"/>
        </w:rPr>
        <w:t>4.5.5分包合同价款支付</w:t>
      </w:r>
    </w:p>
    <w:p w14:paraId="1C20EF89">
      <w:pPr>
        <w:spacing w:before="225" w:line="184" w:lineRule="auto"/>
        <w:ind w:left="420"/>
        <w:rPr>
          <w:rFonts w:ascii="宋体" w:hAnsi="宋体" w:eastAsia="宋体" w:cs="宋体"/>
          <w:sz w:val="24"/>
          <w:szCs w:val="24"/>
          <w:highlight w:val="none"/>
        </w:rPr>
      </w:pPr>
      <w:r>
        <w:rPr>
          <w:highlight w:val="none"/>
        </w:rPr>
        <w:pict>
          <v:shape id="_x0000_s1038" o:spid="_x0000_s1038" o:spt="202" type="#_x0000_t202" style="position:absolute;left:0pt;margin-left:283.5pt;margin-top:16.95pt;height:5.2pt;width:3.65pt;z-index:251675648;mso-width-relative:page;mso-height-relative:page;" filled="f" stroked="f" coordsize="21600,21600">
            <v:path/>
            <v:fill on="f" focussize="0,0"/>
            <v:stroke on="f"/>
            <v:imagedata o:title=""/>
            <o:lock v:ext="edit" aspectratio="f"/>
            <v:textbox inset="0mm,0mm,0mm,0mm">
              <w:txbxContent>
                <w:p w14:paraId="560AC241">
                  <w:pPr>
                    <w:spacing w:before="20" w:line="188" w:lineRule="auto"/>
                    <w:ind w:left="20"/>
                    <w:rPr>
                      <w:rFonts w:ascii="Times New Roman" w:hAnsi="Times New Roman" w:eastAsia="Times New Roman" w:cs="Times New Roman"/>
                      <w:sz w:val="7"/>
                      <w:szCs w:val="7"/>
                    </w:rPr>
                  </w:pPr>
                  <w:r>
                    <w:rPr>
                      <w:rFonts w:ascii="Times New Roman" w:hAnsi="Times New Roman" w:eastAsia="Times New Roman" w:cs="Times New Roman"/>
                      <w:sz w:val="7"/>
                      <w:szCs w:val="7"/>
                    </w:rPr>
                    <w:t>0</w:t>
                  </w:r>
                </w:p>
              </w:txbxContent>
            </v:textbox>
          </v:shape>
        </w:pict>
      </w:r>
      <w:r>
        <w:rPr>
          <w:rFonts w:ascii="宋体" w:hAnsi="宋体" w:eastAsia="宋体" w:cs="宋体"/>
          <w:spacing w:val="-26"/>
          <w:w w:val="97"/>
          <w:sz w:val="24"/>
          <w:szCs w:val="24"/>
          <w:highlight w:val="none"/>
        </w:rPr>
        <w:t>关于分包合同价款支付的约定：</w:t>
      </w:r>
      <w:r>
        <w:rPr>
          <w:rFonts w:ascii="宋体" w:hAnsi="宋体" w:eastAsia="宋体" w:cs="宋体"/>
          <w:sz w:val="24"/>
          <w:szCs w:val="24"/>
          <w:highlight w:val="none"/>
          <w:u w:val="single" w:color="auto"/>
        </w:rPr>
        <w:t xml:space="preserve">                    </w:t>
      </w:r>
    </w:p>
    <w:p w14:paraId="7F728B37">
      <w:pPr>
        <w:pStyle w:val="2"/>
        <w:spacing w:line="354" w:lineRule="auto"/>
        <w:rPr>
          <w:highlight w:val="none"/>
        </w:rPr>
      </w:pPr>
    </w:p>
    <w:p w14:paraId="42B5F462">
      <w:pPr>
        <w:spacing w:before="63" w:line="222" w:lineRule="auto"/>
        <w:rPr>
          <w:rFonts w:ascii="黑体" w:hAnsi="黑体" w:eastAsia="黑体" w:cs="黑体"/>
          <w:sz w:val="19"/>
          <w:szCs w:val="19"/>
          <w:highlight w:val="none"/>
        </w:rPr>
      </w:pPr>
      <w:r>
        <w:rPr>
          <w:rFonts w:ascii="黑体" w:hAnsi="黑体" w:eastAsia="黑体" w:cs="黑体"/>
          <w:spacing w:val="15"/>
          <w:sz w:val="19"/>
          <w:szCs w:val="19"/>
          <w:highlight w:val="none"/>
        </w:rPr>
        <w:t>4</w:t>
      </w:r>
      <w:r>
        <w:rPr>
          <w:rFonts w:ascii="黑体" w:hAnsi="黑体" w:eastAsia="黑体" w:cs="黑体"/>
          <w:spacing w:val="-41"/>
          <w:sz w:val="19"/>
          <w:szCs w:val="19"/>
          <w:highlight w:val="none"/>
        </w:rPr>
        <w:t xml:space="preserve"> </w:t>
      </w:r>
      <w:r>
        <w:rPr>
          <w:rFonts w:ascii="黑体" w:hAnsi="黑体" w:eastAsia="黑体" w:cs="黑体"/>
          <w:spacing w:val="15"/>
          <w:sz w:val="19"/>
          <w:szCs w:val="19"/>
          <w:highlight w:val="none"/>
        </w:rPr>
        <w:t>.</w:t>
      </w:r>
      <w:r>
        <w:rPr>
          <w:rFonts w:ascii="黑体" w:hAnsi="黑体" w:eastAsia="黑体" w:cs="黑体"/>
          <w:spacing w:val="-49"/>
          <w:sz w:val="19"/>
          <w:szCs w:val="19"/>
          <w:highlight w:val="none"/>
        </w:rPr>
        <w:t xml:space="preserve"> </w:t>
      </w:r>
      <w:r>
        <w:rPr>
          <w:rFonts w:ascii="黑体" w:hAnsi="黑体" w:eastAsia="黑体" w:cs="黑体"/>
          <w:spacing w:val="15"/>
          <w:sz w:val="19"/>
          <w:szCs w:val="19"/>
          <w:highlight w:val="none"/>
        </w:rPr>
        <w:t>6联合体</w:t>
      </w:r>
    </w:p>
    <w:p w14:paraId="4F55C5A2">
      <w:pPr>
        <w:spacing w:before="254" w:line="184" w:lineRule="auto"/>
        <w:ind w:left="420"/>
        <w:rPr>
          <w:rFonts w:ascii="宋体" w:hAnsi="宋体" w:eastAsia="宋体" w:cs="宋体"/>
          <w:sz w:val="22"/>
          <w:szCs w:val="22"/>
          <w:highlight w:val="none"/>
        </w:rPr>
      </w:pPr>
      <w:r>
        <w:rPr>
          <w:highlight w:val="none"/>
        </w:rPr>
        <w:pict>
          <v:shape id="_x0000_s1039" o:spid="_x0000_s1039" o:spt="202" type="#_x0000_t202" style="position:absolute;left:0pt;margin-left:409.5pt;margin-top:18.45pt;height:6.4pt;width:7.1pt;z-index:251674624;mso-width-relative:page;mso-height-relative:page;" filled="f" stroked="f" coordsize="21600,21600">
            <v:path/>
            <v:fill on="f" focussize="0,0"/>
            <v:stroke on="f"/>
            <v:imagedata o:title=""/>
            <o:lock v:ext="edit" aspectratio="f"/>
            <v:textbox inset="0mm,0mm,0mm,0mm">
              <w:txbxContent>
                <w:p w14:paraId="12302B60">
                  <w:pPr>
                    <w:pStyle w:val="2"/>
                    <w:tabs>
                      <w:tab w:val="left" w:pos="71"/>
                    </w:tabs>
                    <w:spacing w:before="20" w:line="156" w:lineRule="auto"/>
                    <w:ind w:left="20"/>
                    <w:rPr>
                      <w:sz w:val="9"/>
                      <w:szCs w:val="9"/>
                    </w:rPr>
                  </w:pPr>
                  <w:r>
                    <w:rPr>
                      <w:sz w:val="9"/>
                      <w:szCs w:val="9"/>
                      <w:u w:val="dotted" w:color="auto"/>
                    </w:rPr>
                    <w:tab/>
                  </w:r>
                  <w:r>
                    <w:rPr>
                      <w:spacing w:val="-23"/>
                      <w:sz w:val="9"/>
                      <w:szCs w:val="9"/>
                    </w:rPr>
                    <w:t xml:space="preserve"> </w:t>
                  </w:r>
                  <w:r>
                    <w:rPr>
                      <w:sz w:val="9"/>
                      <w:szCs w:val="9"/>
                    </w:rPr>
                    <w:t>o</w:t>
                  </w:r>
                </w:p>
              </w:txbxContent>
            </v:textbox>
          </v:shape>
        </w:pict>
      </w:r>
      <w:r>
        <w:rPr>
          <w:rFonts w:ascii="宋体" w:hAnsi="宋体" w:eastAsia="宋体" w:cs="宋体"/>
          <w:spacing w:val="-11"/>
          <w:sz w:val="22"/>
          <w:szCs w:val="22"/>
          <w:highlight w:val="none"/>
        </w:rPr>
        <w:t>4.6.2联合体各成员的分工、费用收取、发票开具</w:t>
      </w:r>
      <w:r>
        <w:rPr>
          <w:rFonts w:ascii="宋体" w:hAnsi="宋体" w:eastAsia="宋体" w:cs="宋体"/>
          <w:spacing w:val="-12"/>
          <w:sz w:val="22"/>
          <w:szCs w:val="22"/>
          <w:highlight w:val="none"/>
        </w:rPr>
        <w:t>等事项：</w:t>
      </w:r>
      <w:r>
        <w:rPr>
          <w:rFonts w:ascii="宋体" w:hAnsi="宋体" w:eastAsia="宋体" w:cs="宋体"/>
          <w:spacing w:val="-12"/>
          <w:sz w:val="22"/>
          <w:szCs w:val="22"/>
          <w:highlight w:val="none"/>
          <w:u w:val="single" w:color="auto"/>
        </w:rPr>
        <w:t xml:space="preserve">                         </w:t>
      </w:r>
    </w:p>
    <w:p w14:paraId="548E3DCB">
      <w:pPr>
        <w:pStyle w:val="2"/>
        <w:spacing w:line="325" w:lineRule="auto"/>
        <w:rPr>
          <w:highlight w:val="none"/>
        </w:rPr>
      </w:pPr>
    </w:p>
    <w:p w14:paraId="252362AA">
      <w:pPr>
        <w:spacing w:before="72" w:line="222" w:lineRule="auto"/>
        <w:rPr>
          <w:rFonts w:ascii="黑体" w:hAnsi="黑体" w:eastAsia="黑体" w:cs="黑体"/>
          <w:sz w:val="22"/>
          <w:szCs w:val="22"/>
          <w:highlight w:val="none"/>
        </w:rPr>
      </w:pPr>
      <w:r>
        <w:rPr>
          <w:rFonts w:ascii="黑体" w:hAnsi="黑体" w:eastAsia="黑体" w:cs="黑体"/>
          <w:spacing w:val="2"/>
          <w:sz w:val="22"/>
          <w:szCs w:val="22"/>
          <w:highlight w:val="none"/>
        </w:rPr>
        <w:t>4.7承包人现场查勘</w:t>
      </w:r>
    </w:p>
    <w:p w14:paraId="7A9EB201">
      <w:pPr>
        <w:spacing w:before="246" w:line="219" w:lineRule="auto"/>
        <w:ind w:left="420"/>
        <w:rPr>
          <w:sz w:val="20"/>
          <w:szCs w:val="20"/>
          <w:highlight w:val="none"/>
        </w:rPr>
      </w:pPr>
      <w:r>
        <w:rPr>
          <w:rFonts w:ascii="Times New Roman" w:hAnsi="Times New Roman" w:eastAsia="Times New Roman" w:cs="Times New Roman"/>
          <w:spacing w:val="3"/>
          <w:sz w:val="20"/>
          <w:szCs w:val="20"/>
          <w:highlight w:val="none"/>
        </w:rPr>
        <w:t xml:space="preserve">4.7.1    </w:t>
      </w:r>
      <w:r>
        <w:rPr>
          <w:rFonts w:ascii="宋体" w:hAnsi="宋体" w:eastAsia="宋体" w:cs="宋体"/>
          <w:spacing w:val="3"/>
          <w:sz w:val="20"/>
          <w:szCs w:val="20"/>
          <w:highlight w:val="none"/>
        </w:rPr>
        <w:t>双方当事人对现场查勘的责任承担的约定：</w:t>
      </w:r>
      <w:r>
        <w:rPr>
          <w:rFonts w:ascii="宋体" w:hAnsi="宋体" w:eastAsia="宋体" w:cs="宋体"/>
          <w:spacing w:val="-66"/>
          <w:sz w:val="20"/>
          <w:szCs w:val="20"/>
          <w:highlight w:val="none"/>
        </w:rPr>
        <w:t xml:space="preserve"> </w:t>
      </w:r>
      <w:r>
        <w:rPr>
          <w:rFonts w:ascii="宋体" w:hAnsi="宋体" w:eastAsia="宋体" w:cs="宋体"/>
          <w:spacing w:val="2"/>
          <w:sz w:val="20"/>
          <w:szCs w:val="20"/>
          <w:highlight w:val="none"/>
          <w:u w:val="single" w:color="auto"/>
        </w:rPr>
        <w:t xml:space="preserve">                                </w:t>
      </w:r>
      <w:r>
        <w:rPr>
          <w:rFonts w:ascii="宋体" w:hAnsi="宋体" w:eastAsia="宋体" w:cs="宋体"/>
          <w:spacing w:val="-94"/>
          <w:sz w:val="20"/>
          <w:szCs w:val="20"/>
          <w:highlight w:val="none"/>
        </w:rPr>
        <w:t xml:space="preserve"> </w:t>
      </w:r>
      <w:r>
        <w:rPr>
          <w:position w:val="2"/>
          <w:sz w:val="20"/>
          <w:szCs w:val="20"/>
          <w:highlight w:val="none"/>
        </w:rPr>
        <w:drawing>
          <wp:inline distT="0" distB="0" distL="0" distR="0">
            <wp:extent cx="44450" cy="4381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318"/>
                    <a:stretch>
                      <a:fillRect/>
                    </a:stretch>
                  </pic:blipFill>
                  <pic:spPr>
                    <a:xfrm>
                      <a:off x="0" y="0"/>
                      <a:ext cx="44469" cy="44377"/>
                    </a:xfrm>
                    <a:prstGeom prst="rect">
                      <a:avLst/>
                    </a:prstGeom>
                  </pic:spPr>
                </pic:pic>
              </a:graphicData>
            </a:graphic>
          </wp:inline>
        </w:drawing>
      </w:r>
    </w:p>
    <w:p w14:paraId="21EEC7D5">
      <w:pPr>
        <w:pStyle w:val="2"/>
        <w:spacing w:line="258" w:lineRule="auto"/>
        <w:rPr>
          <w:highlight w:val="none"/>
        </w:rPr>
      </w:pPr>
    </w:p>
    <w:p w14:paraId="3BF844DE">
      <w:pPr>
        <w:pStyle w:val="2"/>
        <w:spacing w:before="73" w:line="300" w:lineRule="exact"/>
        <w:rPr>
          <w:rFonts w:ascii="黑体" w:hAnsi="黑体" w:eastAsia="黑体" w:cs="黑体"/>
          <w:sz w:val="22"/>
          <w:szCs w:val="22"/>
          <w:highlight w:val="none"/>
        </w:rPr>
      </w:pPr>
      <w:r>
        <w:rPr>
          <w:spacing w:val="-5"/>
          <w:position w:val="1"/>
          <w:sz w:val="22"/>
          <w:szCs w:val="22"/>
          <w:highlight w:val="none"/>
        </w:rPr>
        <w:t>4.8</w:t>
      </w:r>
      <w:r>
        <w:rPr>
          <w:spacing w:val="50"/>
          <w:position w:val="1"/>
          <w:sz w:val="22"/>
          <w:szCs w:val="22"/>
          <w:highlight w:val="none"/>
        </w:rPr>
        <w:t xml:space="preserve"> </w:t>
      </w:r>
      <w:r>
        <w:rPr>
          <w:rFonts w:ascii="黑体" w:hAnsi="黑体" w:eastAsia="黑体" w:cs="黑体"/>
          <w:spacing w:val="-5"/>
          <w:position w:val="1"/>
          <w:sz w:val="22"/>
          <w:szCs w:val="22"/>
          <w:highlight w:val="none"/>
        </w:rPr>
        <w:t>不可预见的困难</w:t>
      </w:r>
    </w:p>
    <w:p w14:paraId="2D5AF349">
      <w:pPr>
        <w:spacing w:before="230" w:line="219" w:lineRule="auto"/>
        <w:ind w:left="420"/>
        <w:rPr>
          <w:rFonts w:ascii="宋体" w:hAnsi="宋体" w:eastAsia="宋体" w:cs="宋体"/>
          <w:sz w:val="19"/>
          <w:szCs w:val="19"/>
          <w:highlight w:val="none"/>
        </w:rPr>
      </w:pPr>
      <w:r>
        <w:rPr>
          <w:rFonts w:ascii="宋体" w:hAnsi="宋体" w:eastAsia="宋体" w:cs="宋体"/>
          <w:spacing w:val="4"/>
          <w:sz w:val="19"/>
          <w:szCs w:val="19"/>
          <w:highlight w:val="none"/>
        </w:rPr>
        <w:t>不可预见的困难包括：</w:t>
      </w:r>
      <w:r>
        <w:rPr>
          <w:rFonts w:ascii="宋体" w:hAnsi="宋体" w:eastAsia="宋体" w:cs="宋体"/>
          <w:spacing w:val="64"/>
          <w:sz w:val="19"/>
          <w:szCs w:val="19"/>
          <w:highlight w:val="none"/>
        </w:rPr>
        <w:t xml:space="preserve"> </w:t>
      </w:r>
      <w:r>
        <w:rPr>
          <w:rFonts w:ascii="宋体" w:hAnsi="宋体" w:eastAsia="宋体" w:cs="宋体"/>
          <w:sz w:val="19"/>
          <w:szCs w:val="19"/>
          <w:highlight w:val="none"/>
          <w:u w:val="single" w:color="auto"/>
        </w:rPr>
        <w:t xml:space="preserve">                                  </w:t>
      </w:r>
    </w:p>
    <w:p w14:paraId="0DD30671">
      <w:pPr>
        <w:pStyle w:val="2"/>
        <w:spacing w:line="263" w:lineRule="auto"/>
        <w:rPr>
          <w:highlight w:val="none"/>
        </w:rPr>
      </w:pPr>
    </w:p>
    <w:p w14:paraId="71875579">
      <w:pPr>
        <w:spacing w:before="92" w:line="222" w:lineRule="auto"/>
        <w:outlineLvl w:val="1"/>
        <w:rPr>
          <w:rFonts w:ascii="黑体" w:hAnsi="黑体" w:eastAsia="黑体" w:cs="黑体"/>
          <w:sz w:val="28"/>
          <w:szCs w:val="28"/>
          <w:highlight w:val="none"/>
        </w:rPr>
      </w:pPr>
      <w:bookmarkStart w:id="125" w:name="bookmark72"/>
      <w:bookmarkEnd w:id="125"/>
      <w:r>
        <w:rPr>
          <w:rFonts w:ascii="黑体" w:hAnsi="黑体" w:eastAsia="黑体" w:cs="黑体"/>
          <w:spacing w:val="-8"/>
          <w:sz w:val="28"/>
          <w:szCs w:val="28"/>
          <w:highlight w:val="none"/>
        </w:rPr>
        <w:t>第</w:t>
      </w:r>
      <w:r>
        <w:rPr>
          <w:rFonts w:ascii="黑体" w:hAnsi="黑体" w:eastAsia="黑体" w:cs="黑体"/>
          <w:spacing w:val="-57"/>
          <w:sz w:val="28"/>
          <w:szCs w:val="28"/>
          <w:highlight w:val="none"/>
        </w:rPr>
        <w:t xml:space="preserve"> </w:t>
      </w:r>
      <w:r>
        <w:rPr>
          <w:rFonts w:ascii="黑体" w:hAnsi="黑体" w:eastAsia="黑体" w:cs="黑体"/>
          <w:spacing w:val="-8"/>
          <w:sz w:val="28"/>
          <w:szCs w:val="28"/>
          <w:highlight w:val="none"/>
        </w:rPr>
        <w:t>5</w:t>
      </w:r>
      <w:r>
        <w:rPr>
          <w:rFonts w:ascii="黑体" w:hAnsi="黑体" w:eastAsia="黑体" w:cs="黑体"/>
          <w:spacing w:val="-50"/>
          <w:sz w:val="28"/>
          <w:szCs w:val="28"/>
          <w:highlight w:val="none"/>
        </w:rPr>
        <w:t xml:space="preserve"> </w:t>
      </w:r>
      <w:r>
        <w:rPr>
          <w:rFonts w:ascii="黑体" w:hAnsi="黑体" w:eastAsia="黑体" w:cs="黑体"/>
          <w:spacing w:val="-8"/>
          <w:sz w:val="28"/>
          <w:szCs w:val="28"/>
          <w:highlight w:val="none"/>
        </w:rPr>
        <w:t>条</w:t>
      </w:r>
      <w:r>
        <w:rPr>
          <w:rFonts w:ascii="黑体" w:hAnsi="黑体" w:eastAsia="黑体" w:cs="黑体"/>
          <w:spacing w:val="-49"/>
          <w:sz w:val="28"/>
          <w:szCs w:val="28"/>
          <w:highlight w:val="none"/>
        </w:rPr>
        <w:t xml:space="preserve"> </w:t>
      </w:r>
      <w:r>
        <w:rPr>
          <w:rFonts w:ascii="黑体" w:hAnsi="黑体" w:eastAsia="黑体" w:cs="黑体"/>
          <w:spacing w:val="-8"/>
          <w:sz w:val="28"/>
          <w:szCs w:val="28"/>
          <w:highlight w:val="none"/>
        </w:rPr>
        <w:t>设</w:t>
      </w:r>
      <w:r>
        <w:rPr>
          <w:rFonts w:ascii="黑体" w:hAnsi="黑体" w:eastAsia="黑体" w:cs="黑体"/>
          <w:spacing w:val="-49"/>
          <w:sz w:val="28"/>
          <w:szCs w:val="28"/>
          <w:highlight w:val="none"/>
        </w:rPr>
        <w:t xml:space="preserve"> </w:t>
      </w:r>
      <w:r>
        <w:rPr>
          <w:rFonts w:ascii="黑体" w:hAnsi="黑体" w:eastAsia="黑体" w:cs="黑体"/>
          <w:spacing w:val="-8"/>
          <w:sz w:val="28"/>
          <w:szCs w:val="28"/>
          <w:highlight w:val="none"/>
        </w:rPr>
        <w:t>计</w:t>
      </w:r>
    </w:p>
    <w:p w14:paraId="11DBB1EB">
      <w:pPr>
        <w:pStyle w:val="2"/>
        <w:spacing w:line="288" w:lineRule="auto"/>
        <w:rPr>
          <w:highlight w:val="none"/>
        </w:rPr>
      </w:pPr>
    </w:p>
    <w:p w14:paraId="193D43CB">
      <w:pPr>
        <w:pStyle w:val="2"/>
        <w:spacing w:before="72" w:line="300" w:lineRule="exact"/>
        <w:rPr>
          <w:rFonts w:ascii="黑体" w:hAnsi="黑体" w:eastAsia="黑体" w:cs="黑体"/>
          <w:sz w:val="22"/>
          <w:szCs w:val="22"/>
          <w:highlight w:val="none"/>
        </w:rPr>
      </w:pPr>
      <w:r>
        <w:rPr>
          <w:spacing w:val="-6"/>
          <w:position w:val="1"/>
          <w:sz w:val="22"/>
          <w:szCs w:val="22"/>
          <w:highlight w:val="none"/>
        </w:rPr>
        <w:t xml:space="preserve">5.2  </w:t>
      </w:r>
      <w:r>
        <w:rPr>
          <w:rFonts w:ascii="黑体" w:hAnsi="黑体" w:eastAsia="黑体" w:cs="黑体"/>
          <w:spacing w:val="-6"/>
          <w:position w:val="1"/>
          <w:sz w:val="22"/>
          <w:szCs w:val="22"/>
          <w:highlight w:val="none"/>
        </w:rPr>
        <w:t>承包人文件审查</w:t>
      </w:r>
    </w:p>
    <w:p w14:paraId="5E46B649">
      <w:pPr>
        <w:spacing w:before="221" w:line="184" w:lineRule="auto"/>
        <w:ind w:left="420"/>
        <w:rPr>
          <w:rFonts w:ascii="宋体" w:hAnsi="宋体" w:eastAsia="宋体" w:cs="宋体"/>
          <w:sz w:val="21"/>
          <w:szCs w:val="21"/>
          <w:highlight w:val="none"/>
        </w:rPr>
      </w:pPr>
      <w:r>
        <w:rPr>
          <w:highlight w:val="none"/>
        </w:rPr>
        <w:pict>
          <v:shape id="_x0000_s1040" o:spid="_x0000_s1040" o:spt="202" type="#_x0000_t202" style="position:absolute;left:0pt;margin-left:288.5pt;margin-top:19.95pt;height:4.25pt;width:3.6pt;z-index:251676672;mso-width-relative:page;mso-height-relative:page;" filled="f" stroked="f" coordsize="21600,21600">
            <v:path/>
            <v:fill on="f" focussize="0,0"/>
            <v:stroke on="f"/>
            <v:imagedata o:title=""/>
            <o:lock v:ext="edit" aspectratio="f"/>
            <v:textbox inset="0mm,0mm,0mm,0mm">
              <w:txbxContent>
                <w:p w14:paraId="4F315665">
                  <w:pPr>
                    <w:pStyle w:val="2"/>
                    <w:spacing w:before="20" w:line="44" w:lineRule="exact"/>
                    <w:ind w:left="20"/>
                    <w:rPr>
                      <w:sz w:val="6"/>
                      <w:szCs w:val="6"/>
                    </w:rPr>
                  </w:pPr>
                  <w:r>
                    <w:rPr>
                      <w:sz w:val="6"/>
                      <w:szCs w:val="6"/>
                    </w:rPr>
                    <w:t>o</w:t>
                  </w:r>
                </w:p>
              </w:txbxContent>
            </v:textbox>
          </v:shape>
        </w:pict>
      </w:r>
      <w:r>
        <w:rPr>
          <w:rFonts w:ascii="宋体" w:hAnsi="宋体" w:eastAsia="宋体" w:cs="宋体"/>
          <w:spacing w:val="2"/>
          <w:sz w:val="21"/>
          <w:szCs w:val="21"/>
          <w:highlight w:val="none"/>
        </w:rPr>
        <w:t>5.2.1承包人文件审查的期限：</w:t>
      </w:r>
      <w:r>
        <w:rPr>
          <w:rFonts w:ascii="宋体" w:hAnsi="宋体" w:eastAsia="宋体" w:cs="宋体"/>
          <w:spacing w:val="-34"/>
          <w:sz w:val="21"/>
          <w:szCs w:val="21"/>
          <w:highlight w:val="none"/>
        </w:rPr>
        <w:t xml:space="preserve"> </w:t>
      </w:r>
      <w:r>
        <w:rPr>
          <w:rFonts w:ascii="宋体" w:hAnsi="宋体" w:eastAsia="宋体" w:cs="宋体"/>
          <w:sz w:val="21"/>
          <w:szCs w:val="21"/>
          <w:highlight w:val="none"/>
          <w:u w:val="single" w:color="auto"/>
        </w:rPr>
        <w:t xml:space="preserve">                        </w:t>
      </w:r>
    </w:p>
    <w:p w14:paraId="474DB83A">
      <w:pPr>
        <w:spacing w:before="277" w:line="444" w:lineRule="auto"/>
        <w:ind w:right="4" w:firstLine="42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 xml:space="preserve">5.2.2    </w:t>
      </w:r>
      <w:r>
        <w:rPr>
          <w:rFonts w:ascii="宋体" w:hAnsi="宋体" w:eastAsia="宋体" w:cs="宋体"/>
          <w:spacing w:val="5"/>
          <w:sz w:val="20"/>
          <w:szCs w:val="20"/>
          <w:highlight w:val="none"/>
        </w:rPr>
        <w:t>审查会议的审查形式和时间安排为：</w:t>
      </w:r>
      <w:r>
        <w:rPr>
          <w:rFonts w:ascii="宋体" w:hAnsi="宋体" w:eastAsia="宋体" w:cs="宋体"/>
          <w:spacing w:val="30"/>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z w:val="20"/>
          <w:szCs w:val="20"/>
          <w:highlight w:val="none"/>
          <w:u w:val="single" w:color="auto"/>
        </w:rPr>
        <w:t xml:space="preserve">    </w:t>
      </w:r>
      <w:r>
        <w:rPr>
          <w:rFonts w:ascii="宋体" w:hAnsi="宋体" w:eastAsia="宋体" w:cs="宋体"/>
          <w:spacing w:val="-79"/>
          <w:sz w:val="20"/>
          <w:szCs w:val="20"/>
          <w:highlight w:val="none"/>
        </w:rPr>
        <w:t xml:space="preserve"> </w:t>
      </w:r>
      <w:r>
        <w:rPr>
          <w:rFonts w:ascii="宋体" w:hAnsi="宋体" w:eastAsia="宋体" w:cs="宋体"/>
          <w:spacing w:val="5"/>
          <w:sz w:val="20"/>
          <w:szCs w:val="20"/>
          <w:highlight w:val="none"/>
        </w:rPr>
        <w:t>,</w:t>
      </w:r>
      <w:r>
        <w:rPr>
          <w:rFonts w:ascii="宋体" w:hAnsi="宋体" w:eastAsia="宋体" w:cs="宋体"/>
          <w:spacing w:val="4"/>
          <w:sz w:val="20"/>
          <w:szCs w:val="20"/>
          <w:highlight w:val="none"/>
        </w:rPr>
        <w:t>审查会议的相关</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费用由</w:t>
      </w:r>
      <w:r>
        <w:rPr>
          <w:rFonts w:ascii="宋体" w:hAnsi="宋体" w:eastAsia="宋体" w:cs="宋体"/>
          <w:spacing w:val="-91"/>
          <w:sz w:val="20"/>
          <w:szCs w:val="20"/>
          <w:highlight w:val="none"/>
        </w:rPr>
        <w:t xml:space="preserve"> </w:t>
      </w:r>
      <w:r>
        <w:rPr>
          <w:rFonts w:ascii="宋体" w:hAnsi="宋体" w:eastAsia="宋体" w:cs="宋体"/>
          <w:sz w:val="20"/>
          <w:szCs w:val="20"/>
          <w:highlight w:val="none"/>
          <w:u w:val="single" w:color="auto"/>
        </w:rPr>
        <w:t xml:space="preserve">                   </w:t>
      </w:r>
      <w:r>
        <w:rPr>
          <w:rFonts w:ascii="宋体" w:hAnsi="宋体" w:eastAsia="宋体" w:cs="宋体"/>
          <w:spacing w:val="-80"/>
          <w:sz w:val="20"/>
          <w:szCs w:val="20"/>
          <w:highlight w:val="none"/>
        </w:rPr>
        <w:t xml:space="preserve"> </w:t>
      </w:r>
      <w:r>
        <w:rPr>
          <w:rFonts w:ascii="宋体" w:hAnsi="宋体" w:eastAsia="宋体" w:cs="宋体"/>
          <w:spacing w:val="5"/>
          <w:sz w:val="20"/>
          <w:szCs w:val="20"/>
          <w:highlight w:val="none"/>
        </w:rPr>
        <w:t>承担。</w:t>
      </w:r>
    </w:p>
    <w:p w14:paraId="17E00CFC">
      <w:pPr>
        <w:spacing w:before="1" w:line="219" w:lineRule="auto"/>
        <w:ind w:left="420"/>
        <w:rPr>
          <w:rFonts w:ascii="宋体" w:hAnsi="宋体" w:eastAsia="宋体" w:cs="宋体"/>
          <w:sz w:val="20"/>
          <w:szCs w:val="20"/>
          <w:highlight w:val="none"/>
        </w:rPr>
      </w:pPr>
      <w:r>
        <w:rPr>
          <w:rFonts w:ascii="Times New Roman" w:hAnsi="Times New Roman" w:eastAsia="Times New Roman" w:cs="Times New Roman"/>
          <w:spacing w:val="1"/>
          <w:sz w:val="20"/>
          <w:szCs w:val="20"/>
          <w:highlight w:val="none"/>
        </w:rPr>
        <w:t xml:space="preserve">5.2.3    </w:t>
      </w:r>
      <w:r>
        <w:rPr>
          <w:rFonts w:ascii="宋体" w:hAnsi="宋体" w:eastAsia="宋体" w:cs="宋体"/>
          <w:spacing w:val="1"/>
          <w:sz w:val="20"/>
          <w:szCs w:val="20"/>
          <w:highlight w:val="none"/>
        </w:rPr>
        <w:t>关于第三方审查单位的</w:t>
      </w:r>
      <w:r>
        <w:rPr>
          <w:rFonts w:ascii="宋体" w:hAnsi="宋体" w:eastAsia="宋体" w:cs="宋体"/>
          <w:sz w:val="20"/>
          <w:szCs w:val="20"/>
          <w:highlight w:val="none"/>
        </w:rPr>
        <w:t>约定：</w:t>
      </w:r>
      <w:r>
        <w:rPr>
          <w:rFonts w:ascii="宋体" w:hAnsi="宋体" w:eastAsia="宋体" w:cs="宋体"/>
          <w:spacing w:val="49"/>
          <w:sz w:val="20"/>
          <w:szCs w:val="20"/>
          <w:highlight w:val="none"/>
        </w:rPr>
        <w:t xml:space="preserve"> </w:t>
      </w:r>
      <w:r>
        <w:rPr>
          <w:rFonts w:ascii="宋体" w:hAnsi="宋体" w:eastAsia="宋体" w:cs="宋体"/>
          <w:sz w:val="20"/>
          <w:szCs w:val="20"/>
          <w:highlight w:val="none"/>
          <w:u w:val="single" w:color="auto"/>
        </w:rPr>
        <w:t xml:space="preserve">                      </w:t>
      </w:r>
    </w:p>
    <w:p w14:paraId="691D2949">
      <w:pPr>
        <w:pStyle w:val="2"/>
        <w:spacing w:line="271" w:lineRule="auto"/>
        <w:rPr>
          <w:highlight w:val="none"/>
        </w:rPr>
      </w:pPr>
    </w:p>
    <w:p w14:paraId="3E38E15D">
      <w:pPr>
        <w:pStyle w:val="2"/>
        <w:spacing w:before="72" w:line="300" w:lineRule="exact"/>
        <w:rPr>
          <w:rFonts w:ascii="黑体" w:hAnsi="黑体" w:eastAsia="黑体" w:cs="黑体"/>
          <w:sz w:val="22"/>
          <w:szCs w:val="22"/>
          <w:highlight w:val="none"/>
        </w:rPr>
      </w:pPr>
      <w:r>
        <w:rPr>
          <w:spacing w:val="-3"/>
          <w:position w:val="1"/>
          <w:sz w:val="22"/>
          <w:szCs w:val="22"/>
          <w:highlight w:val="none"/>
        </w:rPr>
        <w:t>5.3</w:t>
      </w:r>
      <w:r>
        <w:rPr>
          <w:spacing w:val="53"/>
          <w:position w:val="1"/>
          <w:sz w:val="22"/>
          <w:szCs w:val="22"/>
          <w:highlight w:val="none"/>
        </w:rPr>
        <w:t xml:space="preserve"> </w:t>
      </w:r>
      <w:r>
        <w:rPr>
          <w:rFonts w:ascii="黑体" w:hAnsi="黑体" w:eastAsia="黑体" w:cs="黑体"/>
          <w:spacing w:val="-3"/>
          <w:position w:val="1"/>
          <w:sz w:val="22"/>
          <w:szCs w:val="22"/>
          <w:highlight w:val="none"/>
        </w:rPr>
        <w:t>培训</w:t>
      </w:r>
    </w:p>
    <w:p w14:paraId="3563BAF2">
      <w:pPr>
        <w:spacing w:before="236" w:line="418" w:lineRule="auto"/>
        <w:ind w:right="33" w:firstLine="420"/>
        <w:rPr>
          <w:rFonts w:ascii="宋体" w:hAnsi="宋体" w:eastAsia="宋体" w:cs="宋体"/>
          <w:sz w:val="22"/>
          <w:szCs w:val="22"/>
          <w:highlight w:val="none"/>
        </w:rPr>
      </w:pPr>
      <w:r>
        <w:rPr>
          <w:rFonts w:ascii="宋体" w:hAnsi="宋体" w:eastAsia="宋体" w:cs="宋体"/>
          <w:spacing w:val="3"/>
          <w:sz w:val="22"/>
          <w:szCs w:val="22"/>
          <w:highlight w:val="none"/>
        </w:rPr>
        <w:t>培训的时长为</w:t>
      </w:r>
      <w:r>
        <w:rPr>
          <w:rFonts w:ascii="宋体" w:hAnsi="宋体" w:eastAsia="宋体" w:cs="宋体"/>
          <w:spacing w:val="-81"/>
          <w:sz w:val="22"/>
          <w:szCs w:val="22"/>
          <w:highlight w:val="none"/>
        </w:rPr>
        <w:t xml:space="preserve"> </w:t>
      </w:r>
      <w:r>
        <w:rPr>
          <w:rFonts w:ascii="宋体" w:hAnsi="宋体" w:eastAsia="宋体" w:cs="宋体"/>
          <w:spacing w:val="6"/>
          <w:sz w:val="22"/>
          <w:szCs w:val="22"/>
          <w:highlight w:val="none"/>
          <w:u w:val="single" w:color="auto"/>
        </w:rPr>
        <w:t xml:space="preserve">             </w:t>
      </w:r>
      <w:r>
        <w:rPr>
          <w:rFonts w:ascii="宋体" w:hAnsi="宋体" w:eastAsia="宋体" w:cs="宋体"/>
          <w:spacing w:val="-98"/>
          <w:sz w:val="22"/>
          <w:szCs w:val="22"/>
          <w:highlight w:val="none"/>
        </w:rPr>
        <w:t xml:space="preserve"> </w:t>
      </w:r>
      <w:r>
        <w:rPr>
          <w:rFonts w:ascii="宋体" w:hAnsi="宋体" w:eastAsia="宋体" w:cs="宋体"/>
          <w:spacing w:val="3"/>
          <w:sz w:val="22"/>
          <w:szCs w:val="22"/>
          <w:highlight w:val="none"/>
        </w:rPr>
        <w:t>,承包人应为培训提供的人员、设</w:t>
      </w:r>
      <w:r>
        <w:rPr>
          <w:rFonts w:ascii="宋体" w:hAnsi="宋体" w:eastAsia="宋体" w:cs="宋体"/>
          <w:spacing w:val="2"/>
          <w:sz w:val="22"/>
          <w:szCs w:val="22"/>
          <w:highlight w:val="none"/>
        </w:rPr>
        <w:t>施和其它必要条件</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为</w:t>
      </w:r>
      <w:r>
        <w:rPr>
          <w:rFonts w:ascii="宋体" w:hAnsi="宋体" w:eastAsia="宋体" w:cs="宋体"/>
          <w:spacing w:val="-99"/>
          <w:sz w:val="22"/>
          <w:szCs w:val="22"/>
          <w:highlight w:val="none"/>
        </w:rPr>
        <w:t xml:space="preserve"> </w:t>
      </w:r>
      <w:r>
        <w:rPr>
          <w:rFonts w:ascii="宋体" w:hAnsi="宋体" w:eastAsia="宋体" w:cs="宋体"/>
          <w:sz w:val="22"/>
          <w:szCs w:val="22"/>
          <w:highlight w:val="none"/>
          <w:u w:val="single" w:color="auto"/>
        </w:rPr>
        <w:t xml:space="preserve">                             </w:t>
      </w:r>
    </w:p>
    <w:p w14:paraId="0729CD39">
      <w:pPr>
        <w:pStyle w:val="2"/>
        <w:spacing w:before="75" w:line="300" w:lineRule="exact"/>
        <w:rPr>
          <w:rFonts w:ascii="黑体" w:hAnsi="黑体" w:eastAsia="黑体" w:cs="黑体"/>
          <w:sz w:val="22"/>
          <w:szCs w:val="22"/>
          <w:highlight w:val="none"/>
        </w:rPr>
      </w:pPr>
      <w:r>
        <w:rPr>
          <w:spacing w:val="-4"/>
          <w:position w:val="1"/>
          <w:sz w:val="22"/>
          <w:szCs w:val="22"/>
          <w:highlight w:val="none"/>
        </w:rPr>
        <w:t xml:space="preserve">5.4  </w:t>
      </w:r>
      <w:r>
        <w:rPr>
          <w:rFonts w:ascii="黑体" w:hAnsi="黑体" w:eastAsia="黑体" w:cs="黑体"/>
          <w:spacing w:val="-4"/>
          <w:position w:val="1"/>
          <w:sz w:val="22"/>
          <w:szCs w:val="22"/>
          <w:highlight w:val="none"/>
        </w:rPr>
        <w:t>竣工文件</w:t>
      </w:r>
    </w:p>
    <w:p w14:paraId="23042FCD">
      <w:pPr>
        <w:spacing w:before="230"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5.4.1   </w:t>
      </w:r>
      <w:r>
        <w:rPr>
          <w:rFonts w:ascii="宋体" w:hAnsi="宋体" w:eastAsia="宋体" w:cs="宋体"/>
          <w:spacing w:val="-7"/>
          <w:sz w:val="22"/>
          <w:szCs w:val="22"/>
          <w:highlight w:val="none"/>
        </w:rPr>
        <w:t>竣工文件的形式、提供的份数、技术</w:t>
      </w:r>
      <w:r>
        <w:rPr>
          <w:rFonts w:ascii="宋体" w:hAnsi="宋体" w:eastAsia="宋体" w:cs="宋体"/>
          <w:spacing w:val="-8"/>
          <w:sz w:val="22"/>
          <w:szCs w:val="22"/>
          <w:highlight w:val="none"/>
        </w:rPr>
        <w:t>标准以及其它相关要求：</w:t>
      </w:r>
      <w:r>
        <w:rPr>
          <w:rFonts w:ascii="宋体" w:hAnsi="宋体" w:eastAsia="宋体" w:cs="宋体"/>
          <w:sz w:val="22"/>
          <w:szCs w:val="22"/>
          <w:highlight w:val="none"/>
          <w:u w:val="single" w:color="auto"/>
        </w:rPr>
        <w:t xml:space="preserve">            </w:t>
      </w:r>
    </w:p>
    <w:p w14:paraId="3131A094">
      <w:pPr>
        <w:spacing w:before="221" w:line="219"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5.4.3关于竣工文件的其他约定：</w:t>
      </w:r>
      <w:r>
        <w:rPr>
          <w:rFonts w:ascii="宋体" w:hAnsi="宋体" w:eastAsia="宋体" w:cs="宋体"/>
          <w:spacing w:val="-2"/>
          <w:sz w:val="22"/>
          <w:szCs w:val="22"/>
          <w:highlight w:val="none"/>
          <w:u w:val="single" w:color="auto"/>
        </w:rPr>
        <w:t xml:space="preserve">               </w:t>
      </w:r>
      <w:r>
        <w:rPr>
          <w:rFonts w:ascii="宋体" w:hAnsi="宋体" w:eastAsia="宋体" w:cs="宋体"/>
          <w:spacing w:val="-3"/>
          <w:sz w:val="22"/>
          <w:szCs w:val="22"/>
          <w:highlight w:val="none"/>
          <w:u w:val="single" w:color="auto"/>
        </w:rPr>
        <w:t xml:space="preserve">                          </w:t>
      </w:r>
    </w:p>
    <w:p w14:paraId="403EE64C">
      <w:pPr>
        <w:pStyle w:val="2"/>
        <w:spacing w:line="245" w:lineRule="auto"/>
        <w:rPr>
          <w:highlight w:val="none"/>
        </w:rPr>
      </w:pPr>
    </w:p>
    <w:p w14:paraId="704FEC86">
      <w:pPr>
        <w:pStyle w:val="2"/>
        <w:spacing w:before="71" w:line="300" w:lineRule="exact"/>
        <w:rPr>
          <w:rFonts w:ascii="黑体" w:hAnsi="黑体" w:eastAsia="黑体" w:cs="黑体"/>
          <w:sz w:val="22"/>
          <w:szCs w:val="22"/>
          <w:highlight w:val="none"/>
        </w:rPr>
      </w:pPr>
      <w:r>
        <w:rPr>
          <w:spacing w:val="-6"/>
          <w:position w:val="1"/>
          <w:sz w:val="22"/>
          <w:szCs w:val="22"/>
          <w:highlight w:val="none"/>
        </w:rPr>
        <w:t xml:space="preserve">5.5  </w:t>
      </w:r>
      <w:r>
        <w:rPr>
          <w:rFonts w:ascii="黑体" w:hAnsi="黑体" w:eastAsia="黑体" w:cs="黑体"/>
          <w:spacing w:val="-6"/>
          <w:position w:val="1"/>
          <w:sz w:val="22"/>
          <w:szCs w:val="22"/>
          <w:highlight w:val="none"/>
        </w:rPr>
        <w:t>操作和维修手册</w:t>
      </w:r>
    </w:p>
    <w:p w14:paraId="68B230D4">
      <w:pPr>
        <w:spacing w:before="253" w:line="213" w:lineRule="auto"/>
        <w:ind w:left="420"/>
        <w:rPr>
          <w:rFonts w:ascii="Times New Roman" w:hAnsi="Times New Roman" w:eastAsia="Times New Roman" w:cs="Times New Roman"/>
          <w:sz w:val="9"/>
          <w:szCs w:val="9"/>
          <w:highlight w:val="none"/>
        </w:rPr>
      </w:pPr>
      <w:r>
        <w:rPr>
          <w:rFonts w:ascii="Times New Roman" w:hAnsi="Times New Roman" w:eastAsia="Times New Roman" w:cs="Times New Roman"/>
          <w:sz w:val="20"/>
          <w:szCs w:val="20"/>
          <w:highlight w:val="none"/>
        </w:rPr>
        <w:t>5.5.3</w:t>
      </w:r>
      <w:r>
        <w:rPr>
          <w:rFonts w:ascii="Times New Roman" w:hAnsi="Times New Roman" w:eastAsia="Times New Roman" w:cs="Times New Roman"/>
          <w:spacing w:val="10"/>
          <w:sz w:val="20"/>
          <w:szCs w:val="20"/>
          <w:highlight w:val="none"/>
        </w:rPr>
        <w:t xml:space="preserve">    </w:t>
      </w:r>
      <w:r>
        <w:rPr>
          <w:rFonts w:ascii="宋体" w:hAnsi="宋体" w:eastAsia="宋体" w:cs="宋体"/>
          <w:sz w:val="20"/>
          <w:szCs w:val="20"/>
          <w:highlight w:val="none"/>
        </w:rPr>
        <w:t>对最终操作和维修手册的约定：</w:t>
      </w:r>
      <w:r>
        <w:rPr>
          <w:rFonts w:ascii="宋体" w:hAnsi="宋体" w:eastAsia="宋体" w:cs="宋体"/>
          <w:spacing w:val="-60"/>
          <w:sz w:val="20"/>
          <w:szCs w:val="20"/>
          <w:highlight w:val="none"/>
        </w:rPr>
        <w:t xml:space="preserve"> </w:t>
      </w:r>
      <w:r>
        <w:rPr>
          <w:rFonts w:ascii="宋体" w:hAnsi="宋体" w:eastAsia="宋体" w:cs="宋体"/>
          <w:sz w:val="20"/>
          <w:szCs w:val="20"/>
          <w:highlight w:val="none"/>
        </w:rPr>
        <w:t>_</w:t>
      </w:r>
      <w:r>
        <w:rPr>
          <w:rFonts w:ascii="宋体" w:hAnsi="宋体" w:eastAsia="宋体" w:cs="宋体"/>
          <w:spacing w:val="-80"/>
          <w:sz w:val="20"/>
          <w:szCs w:val="20"/>
          <w:highlight w:val="none"/>
        </w:rPr>
        <w:t xml:space="preserve"> </w:t>
      </w:r>
      <w:r>
        <w:rPr>
          <w:rFonts w:ascii="宋体" w:hAnsi="宋体" w:eastAsia="宋体" w:cs="宋体"/>
          <w:sz w:val="20"/>
          <w:szCs w:val="20"/>
          <w:highlight w:val="none"/>
          <w:u w:val="single" w:color="auto"/>
        </w:rPr>
        <w:t xml:space="preserve">                              </w:t>
      </w:r>
      <w:r>
        <w:rPr>
          <w:rFonts w:ascii="宋体" w:hAnsi="宋体" w:eastAsia="宋体" w:cs="宋体"/>
          <w:spacing w:val="-1"/>
          <w:sz w:val="20"/>
          <w:szCs w:val="20"/>
          <w:highlight w:val="none"/>
          <w:u w:val="single" w:color="auto"/>
        </w:rPr>
        <w:t xml:space="preserve">          </w:t>
      </w:r>
      <w:r>
        <w:rPr>
          <w:rFonts w:ascii="Times New Roman" w:hAnsi="Times New Roman" w:eastAsia="Times New Roman" w:cs="Times New Roman"/>
          <w:spacing w:val="-1"/>
          <w:position w:val="2"/>
          <w:sz w:val="9"/>
          <w:szCs w:val="9"/>
          <w:highlight w:val="none"/>
        </w:rPr>
        <w:t>o</w:t>
      </w:r>
    </w:p>
    <w:p w14:paraId="2237803A">
      <w:pPr>
        <w:spacing w:line="213" w:lineRule="auto"/>
        <w:rPr>
          <w:rFonts w:ascii="Times New Roman" w:hAnsi="Times New Roman" w:eastAsia="Times New Roman" w:cs="Times New Roman"/>
          <w:sz w:val="9"/>
          <w:szCs w:val="9"/>
          <w:highlight w:val="none"/>
        </w:rPr>
        <w:sectPr>
          <w:footerReference r:id="rId151" w:type="default"/>
          <w:pgSz w:w="11910" w:h="16840"/>
          <w:pgMar w:top="400" w:right="1786" w:bottom="1217" w:left="1769" w:header="0" w:footer="1013" w:gutter="0"/>
          <w:cols w:space="720" w:num="1"/>
        </w:sectPr>
      </w:pPr>
    </w:p>
    <w:p w14:paraId="5A881D63">
      <w:pPr>
        <w:pStyle w:val="2"/>
        <w:spacing w:line="272" w:lineRule="auto"/>
        <w:rPr>
          <w:highlight w:val="none"/>
        </w:rPr>
      </w:pPr>
    </w:p>
    <w:p w14:paraId="5C654592">
      <w:pPr>
        <w:pStyle w:val="2"/>
        <w:spacing w:line="272" w:lineRule="auto"/>
        <w:rPr>
          <w:highlight w:val="none"/>
        </w:rPr>
      </w:pPr>
    </w:p>
    <w:p w14:paraId="06BFDCAE">
      <w:pPr>
        <w:pStyle w:val="2"/>
        <w:spacing w:line="272" w:lineRule="auto"/>
        <w:rPr>
          <w:highlight w:val="none"/>
        </w:rPr>
      </w:pPr>
    </w:p>
    <w:p w14:paraId="66261246">
      <w:pPr>
        <w:pStyle w:val="2"/>
        <w:spacing w:line="273" w:lineRule="auto"/>
        <w:rPr>
          <w:highlight w:val="none"/>
        </w:rPr>
      </w:pPr>
    </w:p>
    <w:p w14:paraId="51DF4E33">
      <w:pPr>
        <w:spacing w:before="94" w:line="222" w:lineRule="auto"/>
        <w:outlineLvl w:val="1"/>
        <w:rPr>
          <w:rFonts w:ascii="黑体" w:hAnsi="黑体" w:eastAsia="黑体" w:cs="黑体"/>
          <w:sz w:val="29"/>
          <w:szCs w:val="29"/>
          <w:highlight w:val="none"/>
        </w:rPr>
      </w:pPr>
      <w:bookmarkStart w:id="126" w:name="bookmark73"/>
      <w:bookmarkEnd w:id="126"/>
      <w:r>
        <w:rPr>
          <w:rFonts w:ascii="黑体" w:hAnsi="黑体" w:eastAsia="黑体" w:cs="黑体"/>
          <w:spacing w:val="21"/>
          <w:sz w:val="29"/>
          <w:szCs w:val="29"/>
          <w:highlight w:val="none"/>
        </w:rPr>
        <w:t>第6条材料、工程设备</w:t>
      </w:r>
    </w:p>
    <w:p w14:paraId="6B120248">
      <w:pPr>
        <w:pStyle w:val="2"/>
        <w:spacing w:line="305" w:lineRule="auto"/>
        <w:rPr>
          <w:highlight w:val="none"/>
        </w:rPr>
      </w:pPr>
    </w:p>
    <w:p w14:paraId="5949C082">
      <w:pPr>
        <w:pStyle w:val="2"/>
        <w:spacing w:before="71" w:line="300" w:lineRule="exact"/>
        <w:rPr>
          <w:rFonts w:ascii="黑体" w:hAnsi="黑体" w:eastAsia="黑体" w:cs="黑体"/>
          <w:sz w:val="22"/>
          <w:szCs w:val="22"/>
          <w:highlight w:val="none"/>
        </w:rPr>
      </w:pPr>
      <w:r>
        <w:rPr>
          <w:spacing w:val="-5"/>
          <w:position w:val="1"/>
          <w:sz w:val="22"/>
          <w:szCs w:val="22"/>
          <w:highlight w:val="none"/>
        </w:rPr>
        <w:t xml:space="preserve">6.1  </w:t>
      </w:r>
      <w:r>
        <w:rPr>
          <w:rFonts w:ascii="黑体" w:hAnsi="黑体" w:eastAsia="黑体" w:cs="黑体"/>
          <w:spacing w:val="-5"/>
          <w:position w:val="1"/>
          <w:sz w:val="22"/>
          <w:szCs w:val="22"/>
          <w:highlight w:val="none"/>
        </w:rPr>
        <w:t>实施方法</w:t>
      </w:r>
    </w:p>
    <w:p w14:paraId="6F757AEF">
      <w:pPr>
        <w:spacing w:before="259" w:line="219" w:lineRule="auto"/>
        <w:ind w:left="420"/>
        <w:rPr>
          <w:sz w:val="20"/>
          <w:szCs w:val="20"/>
          <w:highlight w:val="none"/>
        </w:rPr>
      </w:pPr>
      <w:r>
        <w:rPr>
          <w:rFonts w:ascii="宋体" w:hAnsi="宋体" w:eastAsia="宋体" w:cs="宋体"/>
          <w:spacing w:val="3"/>
          <w:sz w:val="20"/>
          <w:szCs w:val="20"/>
          <w:highlight w:val="none"/>
        </w:rPr>
        <w:t>双方当事人约定的实施方法、设备、设施和材料：</w:t>
      </w:r>
      <w:r>
        <w:rPr>
          <w:rFonts w:ascii="宋体" w:hAnsi="宋体" w:eastAsia="宋体" w:cs="宋体"/>
          <w:spacing w:val="53"/>
          <w:sz w:val="20"/>
          <w:szCs w:val="20"/>
          <w:highlight w:val="none"/>
        </w:rPr>
        <w:t xml:space="preserve"> </w:t>
      </w:r>
      <w:r>
        <w:rPr>
          <w:rFonts w:ascii="宋体" w:hAnsi="宋体" w:eastAsia="宋体" w:cs="宋体"/>
          <w:spacing w:val="1"/>
          <w:sz w:val="20"/>
          <w:szCs w:val="20"/>
          <w:highlight w:val="none"/>
          <w:u w:val="single" w:color="auto"/>
        </w:rPr>
        <w:t xml:space="preserve">                             </w:t>
      </w:r>
      <w:r>
        <w:rPr>
          <w:position w:val="4"/>
          <w:sz w:val="20"/>
          <w:szCs w:val="20"/>
          <w:highlight w:val="none"/>
        </w:rPr>
        <w:drawing>
          <wp:inline distT="0" distB="0" distL="0" distR="0">
            <wp:extent cx="53340" cy="46990"/>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319"/>
                    <a:stretch>
                      <a:fillRect/>
                    </a:stretch>
                  </pic:blipFill>
                  <pic:spPr>
                    <a:xfrm>
                      <a:off x="0" y="0"/>
                      <a:ext cx="53960" cy="47586"/>
                    </a:xfrm>
                    <a:prstGeom prst="rect">
                      <a:avLst/>
                    </a:prstGeom>
                  </pic:spPr>
                </pic:pic>
              </a:graphicData>
            </a:graphic>
          </wp:inline>
        </w:drawing>
      </w:r>
    </w:p>
    <w:p w14:paraId="5EFA656B">
      <w:pPr>
        <w:pStyle w:val="2"/>
        <w:spacing w:line="251" w:lineRule="auto"/>
        <w:rPr>
          <w:highlight w:val="none"/>
        </w:rPr>
      </w:pPr>
    </w:p>
    <w:p w14:paraId="29ABCB35">
      <w:pPr>
        <w:pStyle w:val="2"/>
        <w:spacing w:before="71" w:line="300" w:lineRule="exact"/>
        <w:rPr>
          <w:rFonts w:ascii="黑体" w:hAnsi="黑体" w:eastAsia="黑体" w:cs="黑体"/>
          <w:sz w:val="22"/>
          <w:szCs w:val="22"/>
          <w:highlight w:val="none"/>
        </w:rPr>
      </w:pPr>
      <w:r>
        <w:rPr>
          <w:spacing w:val="-6"/>
          <w:position w:val="1"/>
          <w:sz w:val="22"/>
          <w:szCs w:val="22"/>
          <w:highlight w:val="none"/>
        </w:rPr>
        <w:t>6.2</w:t>
      </w:r>
      <w:r>
        <w:rPr>
          <w:spacing w:val="47"/>
          <w:position w:val="1"/>
          <w:sz w:val="22"/>
          <w:szCs w:val="22"/>
          <w:highlight w:val="none"/>
        </w:rPr>
        <w:t xml:space="preserve"> </w:t>
      </w:r>
      <w:r>
        <w:rPr>
          <w:rFonts w:ascii="黑体" w:hAnsi="黑体" w:eastAsia="黑体" w:cs="黑体"/>
          <w:spacing w:val="-6"/>
          <w:position w:val="1"/>
          <w:sz w:val="22"/>
          <w:szCs w:val="22"/>
          <w:highlight w:val="none"/>
        </w:rPr>
        <w:t>材料和工程设备</w:t>
      </w:r>
    </w:p>
    <w:p w14:paraId="4FC44429">
      <w:pPr>
        <w:spacing w:before="239"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6.2.1   </w:t>
      </w:r>
      <w:r>
        <w:rPr>
          <w:rFonts w:ascii="宋体" w:hAnsi="宋体" w:eastAsia="宋体" w:cs="宋体"/>
          <w:spacing w:val="-5"/>
          <w:sz w:val="22"/>
          <w:szCs w:val="22"/>
          <w:highlight w:val="none"/>
        </w:rPr>
        <w:t>发包人提供的材料和工程设备</w:t>
      </w:r>
    </w:p>
    <w:p w14:paraId="7E59533F">
      <w:pPr>
        <w:spacing w:before="192"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发包人提供的材料和工程设备验收后，由</w:t>
      </w:r>
      <w:r>
        <w:rPr>
          <w:rFonts w:ascii="宋体" w:hAnsi="宋体" w:eastAsia="宋体" w:cs="宋体"/>
          <w:spacing w:val="-95"/>
          <w:sz w:val="22"/>
          <w:szCs w:val="22"/>
          <w:highlight w:val="none"/>
        </w:rPr>
        <w:t xml:space="preserve"> </w:t>
      </w:r>
      <w:r>
        <w:rPr>
          <w:rFonts w:ascii="宋体" w:hAnsi="宋体" w:eastAsia="宋体" w:cs="宋体"/>
          <w:spacing w:val="6"/>
          <w:sz w:val="22"/>
          <w:szCs w:val="22"/>
          <w:highlight w:val="none"/>
          <w:u w:val="single" w:color="auto"/>
        </w:rPr>
        <w:t xml:space="preserve">          </w:t>
      </w:r>
      <w:r>
        <w:rPr>
          <w:rFonts w:ascii="宋体" w:hAnsi="宋体" w:eastAsia="宋体" w:cs="宋体"/>
          <w:spacing w:val="-90"/>
          <w:sz w:val="22"/>
          <w:szCs w:val="22"/>
          <w:highlight w:val="none"/>
        </w:rPr>
        <w:t xml:space="preserve"> </w:t>
      </w:r>
      <w:r>
        <w:rPr>
          <w:rFonts w:ascii="宋体" w:hAnsi="宋体" w:eastAsia="宋体" w:cs="宋体"/>
          <w:spacing w:val="81"/>
          <w:sz w:val="22"/>
          <w:szCs w:val="22"/>
          <w:highlight w:val="none"/>
          <w:u w:val="dotted" w:color="auto"/>
        </w:rPr>
        <w:t xml:space="preserve"> </w:t>
      </w:r>
      <w:r>
        <w:rPr>
          <w:rFonts w:ascii="宋体" w:hAnsi="宋体" w:eastAsia="宋体" w:cs="宋体"/>
          <w:spacing w:val="-91"/>
          <w:sz w:val="22"/>
          <w:szCs w:val="22"/>
          <w:highlight w:val="none"/>
        </w:rPr>
        <w:t xml:space="preserve"> </w:t>
      </w:r>
      <w:r>
        <w:rPr>
          <w:rFonts w:ascii="宋体" w:hAnsi="宋体" w:eastAsia="宋体" w:cs="宋体"/>
          <w:spacing w:val="-10"/>
          <w:sz w:val="22"/>
          <w:szCs w:val="22"/>
          <w:highlight w:val="none"/>
        </w:rPr>
        <w:t>负责接收、运</w:t>
      </w:r>
      <w:r>
        <w:rPr>
          <w:rFonts w:ascii="宋体" w:hAnsi="宋体" w:eastAsia="宋体" w:cs="宋体"/>
          <w:spacing w:val="-11"/>
          <w:sz w:val="22"/>
          <w:szCs w:val="22"/>
          <w:highlight w:val="none"/>
        </w:rPr>
        <w:t>输和保管。</w:t>
      </w:r>
    </w:p>
    <w:p w14:paraId="5B034957">
      <w:pPr>
        <w:spacing w:before="186" w:line="219" w:lineRule="auto"/>
        <w:ind w:left="420"/>
        <w:rPr>
          <w:rFonts w:ascii="宋体" w:hAnsi="宋体" w:eastAsia="宋体" w:cs="宋体"/>
          <w:sz w:val="22"/>
          <w:szCs w:val="22"/>
          <w:highlight w:val="none"/>
        </w:rPr>
      </w:pPr>
      <w:r>
        <w:rPr>
          <w:rFonts w:ascii="宋体" w:hAnsi="宋体" w:eastAsia="宋体" w:cs="宋体"/>
          <w:spacing w:val="-3"/>
          <w:sz w:val="22"/>
          <w:szCs w:val="22"/>
          <w:highlight w:val="none"/>
        </w:rPr>
        <w:t>6.2.2承包人提供的材料和工程设备</w:t>
      </w:r>
    </w:p>
    <w:p w14:paraId="23370AD9">
      <w:pPr>
        <w:spacing w:before="59" w:line="218" w:lineRule="auto"/>
        <w:ind w:left="420"/>
        <w:rPr>
          <w:rFonts w:ascii="宋体" w:hAnsi="宋体" w:eastAsia="宋体" w:cs="宋体"/>
          <w:sz w:val="22"/>
          <w:szCs w:val="22"/>
          <w:highlight w:val="none"/>
        </w:rPr>
      </w:pPr>
      <w:r>
        <w:rPr>
          <w:rFonts w:ascii="宋体" w:hAnsi="宋体" w:eastAsia="宋体" w:cs="宋体"/>
          <w:spacing w:val="-12"/>
          <w:sz w:val="22"/>
          <w:szCs w:val="22"/>
          <w:highlight w:val="none"/>
        </w:rPr>
        <w:t>材料和工程设备的类别、估算数量：</w:t>
      </w:r>
    </w:p>
    <w:p w14:paraId="7091245F">
      <w:pPr>
        <w:pStyle w:val="2"/>
        <w:spacing w:line="332" w:lineRule="auto"/>
        <w:rPr>
          <w:highlight w:val="none"/>
        </w:rPr>
      </w:pPr>
      <w:r>
        <w:rPr>
          <w:highlight w:val="none"/>
        </w:rPr>
        <w:drawing>
          <wp:anchor distT="0" distB="0" distL="0" distR="0" simplePos="0" relativeHeight="251677696" behindDoc="0" locked="0" layoutInCell="1" allowOverlap="1">
            <wp:simplePos x="0" y="0"/>
            <wp:positionH relativeFrom="column">
              <wp:posOffset>2413000</wp:posOffset>
            </wp:positionH>
            <wp:positionV relativeFrom="paragraph">
              <wp:posOffset>168275</wp:posOffset>
            </wp:positionV>
            <wp:extent cx="2536825" cy="6350"/>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320"/>
                    <a:stretch>
                      <a:fillRect/>
                    </a:stretch>
                  </pic:blipFill>
                  <pic:spPr>
                    <a:xfrm>
                      <a:off x="0" y="0"/>
                      <a:ext cx="2537005" cy="6350"/>
                    </a:xfrm>
                    <a:prstGeom prst="rect">
                      <a:avLst/>
                    </a:prstGeom>
                  </pic:spPr>
                </pic:pic>
              </a:graphicData>
            </a:graphic>
          </wp:anchor>
        </w:drawing>
      </w:r>
    </w:p>
    <w:p w14:paraId="74F70790">
      <w:pPr>
        <w:pStyle w:val="2"/>
        <w:spacing w:before="66" w:line="219" w:lineRule="auto"/>
        <w:ind w:left="420"/>
        <w:rPr>
          <w:sz w:val="9"/>
          <w:szCs w:val="9"/>
          <w:highlight w:val="none"/>
        </w:rPr>
      </w:pPr>
      <w:r>
        <w:rPr>
          <w:rFonts w:ascii="宋体" w:hAnsi="宋体" w:eastAsia="宋体" w:cs="宋体"/>
          <w:spacing w:val="9"/>
          <w:sz w:val="20"/>
          <w:szCs w:val="20"/>
          <w:highlight w:val="none"/>
        </w:rPr>
        <w:t xml:space="preserve">竣工后试验的生产性材料的类别或(和)清单： </w:t>
      </w:r>
      <w:r>
        <w:rPr>
          <w:rFonts w:ascii="宋体" w:hAnsi="宋体" w:eastAsia="宋体" w:cs="宋体"/>
          <w:spacing w:val="9"/>
          <w:sz w:val="20"/>
          <w:szCs w:val="20"/>
          <w:highlight w:val="none"/>
          <w:u w:val="single" w:color="auto"/>
        </w:rPr>
        <w:t xml:space="preserve">                   </w:t>
      </w:r>
      <w:r>
        <w:rPr>
          <w:rFonts w:ascii="宋体" w:hAnsi="宋体" w:eastAsia="宋体" w:cs="宋体"/>
          <w:spacing w:val="8"/>
          <w:sz w:val="20"/>
          <w:szCs w:val="20"/>
          <w:highlight w:val="none"/>
          <w:u w:val="single" w:color="auto"/>
        </w:rPr>
        <w:t xml:space="preserve">         </w:t>
      </w:r>
      <w:r>
        <w:rPr>
          <w:rFonts w:ascii="宋体" w:hAnsi="宋体" w:eastAsia="宋体" w:cs="宋体"/>
          <w:spacing w:val="-60"/>
          <w:sz w:val="20"/>
          <w:szCs w:val="20"/>
          <w:highlight w:val="none"/>
        </w:rPr>
        <w:t xml:space="preserve"> </w:t>
      </w:r>
      <w:r>
        <w:rPr>
          <w:spacing w:val="8"/>
          <w:position w:val="-1"/>
          <w:sz w:val="9"/>
          <w:szCs w:val="9"/>
          <w:highlight w:val="none"/>
        </w:rPr>
        <w:t>o</w:t>
      </w:r>
    </w:p>
    <w:p w14:paraId="7C520352">
      <w:pPr>
        <w:spacing w:before="243"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6.2.3</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6"/>
          <w:sz w:val="22"/>
          <w:szCs w:val="22"/>
          <w:highlight w:val="none"/>
        </w:rPr>
        <w:t>材料和工程设备的保管</w:t>
      </w:r>
    </w:p>
    <w:p w14:paraId="6C838363">
      <w:pPr>
        <w:spacing w:before="219" w:line="219" w:lineRule="auto"/>
        <w:ind w:left="420"/>
        <w:rPr>
          <w:rFonts w:ascii="宋体" w:hAnsi="宋体" w:eastAsia="宋体" w:cs="宋体"/>
          <w:sz w:val="22"/>
          <w:szCs w:val="22"/>
          <w:highlight w:val="none"/>
        </w:rPr>
      </w:pPr>
      <w:r>
        <w:rPr>
          <w:rFonts w:ascii="宋体" w:hAnsi="宋体" w:eastAsia="宋体" w:cs="宋体"/>
          <w:spacing w:val="-8"/>
          <w:sz w:val="22"/>
          <w:szCs w:val="22"/>
          <w:highlight w:val="none"/>
        </w:rPr>
        <w:t>发包人供应的材料和工程设备的保管费用由</w:t>
      </w:r>
      <w:r>
        <w:rPr>
          <w:rFonts w:ascii="宋体" w:hAnsi="宋体" w:eastAsia="宋体" w:cs="宋体"/>
          <w:spacing w:val="-105"/>
          <w:sz w:val="22"/>
          <w:szCs w:val="22"/>
          <w:highlight w:val="none"/>
        </w:rPr>
        <w:t xml:space="preserve"> </w:t>
      </w:r>
      <w:r>
        <w:rPr>
          <w:rFonts w:ascii="宋体" w:hAnsi="宋体" w:eastAsia="宋体" w:cs="宋体"/>
          <w:spacing w:val="-8"/>
          <w:sz w:val="22"/>
          <w:szCs w:val="22"/>
          <w:highlight w:val="none"/>
          <w:u w:val="single" w:color="auto"/>
        </w:rPr>
        <w:t xml:space="preserve">        </w:t>
      </w:r>
      <w:r>
        <w:rPr>
          <w:rFonts w:ascii="宋体" w:hAnsi="宋体" w:eastAsia="宋体" w:cs="宋体"/>
          <w:spacing w:val="-8"/>
          <w:sz w:val="22"/>
          <w:szCs w:val="22"/>
          <w:highlight w:val="none"/>
        </w:rPr>
        <w:t>承担。</w:t>
      </w:r>
    </w:p>
    <w:p w14:paraId="73922FF1">
      <w:pPr>
        <w:spacing w:before="221" w:line="219" w:lineRule="auto"/>
        <w:ind w:left="420"/>
        <w:rPr>
          <w:rFonts w:ascii="宋体" w:hAnsi="宋体" w:eastAsia="宋体" w:cs="宋体"/>
          <w:sz w:val="22"/>
          <w:szCs w:val="22"/>
          <w:highlight w:val="none"/>
        </w:rPr>
      </w:pPr>
      <w:r>
        <w:rPr>
          <w:rFonts w:ascii="宋体" w:hAnsi="宋体" w:eastAsia="宋体" w:cs="宋体"/>
          <w:spacing w:val="-7"/>
          <w:sz w:val="22"/>
          <w:szCs w:val="22"/>
          <w:highlight w:val="none"/>
        </w:rPr>
        <w:t>承包人提交保管、维护方案的时间：</w:t>
      </w:r>
      <w:r>
        <w:rPr>
          <w:rFonts w:ascii="宋体" w:hAnsi="宋体" w:eastAsia="宋体" w:cs="宋体"/>
          <w:spacing w:val="-7"/>
          <w:sz w:val="22"/>
          <w:szCs w:val="22"/>
          <w:highlight w:val="none"/>
          <w:u w:val="single" w:color="auto"/>
        </w:rPr>
        <w:t xml:space="preserve">                  </w:t>
      </w:r>
    </w:p>
    <w:p w14:paraId="30C090D7">
      <w:pPr>
        <w:spacing w:before="217"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发包人提供的库房、堆场、设施和设备：</w:t>
      </w:r>
      <w:r>
        <w:rPr>
          <w:rFonts w:ascii="宋体" w:hAnsi="宋体" w:eastAsia="宋体" w:cs="宋体"/>
          <w:spacing w:val="-10"/>
          <w:sz w:val="22"/>
          <w:szCs w:val="22"/>
          <w:highlight w:val="none"/>
          <w:u w:val="single" w:color="auto"/>
        </w:rPr>
        <w:t xml:space="preserve">   </w:t>
      </w:r>
      <w:r>
        <w:rPr>
          <w:rFonts w:ascii="宋体" w:hAnsi="宋体" w:eastAsia="宋体" w:cs="宋体"/>
          <w:spacing w:val="-11"/>
          <w:sz w:val="22"/>
          <w:szCs w:val="22"/>
          <w:highlight w:val="none"/>
          <w:u w:val="single" w:color="auto"/>
        </w:rPr>
        <w:t xml:space="preserve">            </w:t>
      </w:r>
    </w:p>
    <w:p w14:paraId="1A5C13BE">
      <w:pPr>
        <w:pStyle w:val="2"/>
        <w:spacing w:line="278" w:lineRule="auto"/>
        <w:rPr>
          <w:highlight w:val="none"/>
        </w:rPr>
      </w:pPr>
    </w:p>
    <w:p w14:paraId="54B963D7">
      <w:pPr>
        <w:pStyle w:val="2"/>
        <w:spacing w:before="73" w:line="300" w:lineRule="exact"/>
        <w:rPr>
          <w:rFonts w:ascii="黑体" w:hAnsi="黑体" w:eastAsia="黑体" w:cs="黑体"/>
          <w:sz w:val="22"/>
          <w:szCs w:val="22"/>
          <w:highlight w:val="none"/>
        </w:rPr>
      </w:pPr>
      <w:r>
        <w:rPr>
          <w:spacing w:val="-2"/>
          <w:position w:val="1"/>
          <w:sz w:val="22"/>
          <w:szCs w:val="22"/>
          <w:highlight w:val="none"/>
        </w:rPr>
        <w:t xml:space="preserve">6.3  </w:t>
      </w:r>
      <w:r>
        <w:rPr>
          <w:rFonts w:ascii="黑体" w:hAnsi="黑体" w:eastAsia="黑体" w:cs="黑体"/>
          <w:spacing w:val="-2"/>
          <w:position w:val="1"/>
          <w:sz w:val="22"/>
          <w:szCs w:val="22"/>
          <w:highlight w:val="none"/>
        </w:rPr>
        <w:t>样品</w:t>
      </w:r>
    </w:p>
    <w:p w14:paraId="2564F2CF">
      <w:pPr>
        <w:spacing w:before="188"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6.3.1</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5"/>
          <w:sz w:val="22"/>
          <w:szCs w:val="22"/>
          <w:highlight w:val="none"/>
        </w:rPr>
        <w:t>样品的报送与封存</w:t>
      </w:r>
    </w:p>
    <w:p w14:paraId="62FF5532">
      <w:pPr>
        <w:pStyle w:val="2"/>
        <w:spacing w:before="237" w:line="216" w:lineRule="auto"/>
        <w:ind w:left="420"/>
        <w:rPr>
          <w:sz w:val="9"/>
          <w:szCs w:val="9"/>
          <w:highlight w:val="none"/>
        </w:rPr>
      </w:pPr>
      <w:r>
        <w:rPr>
          <w:rFonts w:ascii="宋体" w:hAnsi="宋体" w:eastAsia="宋体" w:cs="宋体"/>
          <w:highlight w:val="none"/>
        </w:rPr>
        <w:t>需要承包人报送样品的材料或工程设备，样品种类、名称、规格、数量：</w:t>
      </w:r>
      <w:r>
        <w:rPr>
          <w:rFonts w:ascii="宋体" w:hAnsi="宋体" w:eastAsia="宋体" w:cs="宋体"/>
          <w:highlight w:val="none"/>
          <w:u w:val="single" w:color="auto"/>
        </w:rPr>
        <w:t xml:space="preserve">         </w:t>
      </w:r>
      <w:r>
        <w:rPr>
          <w:rFonts w:ascii="宋体" w:hAnsi="宋体" w:eastAsia="宋体" w:cs="宋体"/>
          <w:spacing w:val="-89"/>
          <w:highlight w:val="none"/>
        </w:rPr>
        <w:t xml:space="preserve"> </w:t>
      </w:r>
      <w:r>
        <w:rPr>
          <w:position w:val="-2"/>
          <w:sz w:val="9"/>
          <w:szCs w:val="9"/>
          <w:highlight w:val="none"/>
        </w:rPr>
        <w:t>_o</w:t>
      </w:r>
    </w:p>
    <w:p w14:paraId="65ABC311">
      <w:pPr>
        <w:pStyle w:val="2"/>
        <w:spacing w:line="312" w:lineRule="auto"/>
        <w:rPr>
          <w:highlight w:val="none"/>
        </w:rPr>
      </w:pPr>
    </w:p>
    <w:p w14:paraId="6718A5F5">
      <w:pPr>
        <w:spacing w:before="72" w:line="222" w:lineRule="auto"/>
        <w:rPr>
          <w:rFonts w:ascii="黑体" w:hAnsi="黑体" w:eastAsia="黑体" w:cs="黑体"/>
          <w:sz w:val="22"/>
          <w:szCs w:val="22"/>
          <w:highlight w:val="none"/>
        </w:rPr>
      </w:pPr>
      <w:r>
        <w:rPr>
          <w:rFonts w:ascii="黑体" w:hAnsi="黑体" w:eastAsia="黑体" w:cs="黑体"/>
          <w:spacing w:val="7"/>
          <w:sz w:val="22"/>
          <w:szCs w:val="22"/>
          <w:highlight w:val="none"/>
        </w:rPr>
        <w:t>6.4质量检查</w:t>
      </w:r>
    </w:p>
    <w:p w14:paraId="6569F879">
      <w:pPr>
        <w:spacing w:before="215" w:line="220" w:lineRule="auto"/>
        <w:ind w:left="420"/>
        <w:rPr>
          <w:rFonts w:ascii="宋体" w:hAnsi="宋体" w:eastAsia="宋体" w:cs="宋体"/>
          <w:sz w:val="20"/>
          <w:szCs w:val="20"/>
          <w:highlight w:val="none"/>
        </w:rPr>
      </w:pPr>
      <w:r>
        <w:rPr>
          <w:rFonts w:ascii="Times New Roman" w:hAnsi="Times New Roman" w:eastAsia="Times New Roman" w:cs="Times New Roman"/>
          <w:spacing w:val="4"/>
          <w:sz w:val="20"/>
          <w:szCs w:val="20"/>
          <w:highlight w:val="none"/>
        </w:rPr>
        <w:t>6.4.1</w:t>
      </w:r>
      <w:r>
        <w:rPr>
          <w:rFonts w:ascii="Times New Roman" w:hAnsi="Times New Roman" w:eastAsia="Times New Roman" w:cs="Times New Roman"/>
          <w:spacing w:val="8"/>
          <w:sz w:val="20"/>
          <w:szCs w:val="20"/>
          <w:highlight w:val="none"/>
        </w:rPr>
        <w:t xml:space="preserve">    </w:t>
      </w:r>
      <w:r>
        <w:rPr>
          <w:rFonts w:ascii="宋体" w:hAnsi="宋体" w:eastAsia="宋体" w:cs="宋体"/>
          <w:spacing w:val="4"/>
          <w:sz w:val="20"/>
          <w:szCs w:val="20"/>
          <w:highlight w:val="none"/>
        </w:rPr>
        <w:t>工程质量要求</w:t>
      </w:r>
    </w:p>
    <w:p w14:paraId="6F98B52B">
      <w:pPr>
        <w:spacing w:before="242" w:line="219" w:lineRule="auto"/>
        <w:ind w:left="420"/>
        <w:rPr>
          <w:rFonts w:ascii="Times New Roman" w:hAnsi="Times New Roman" w:eastAsia="Times New Roman" w:cs="Times New Roman"/>
          <w:sz w:val="20"/>
          <w:szCs w:val="20"/>
          <w:highlight w:val="none"/>
        </w:rPr>
      </w:pPr>
      <w:r>
        <w:rPr>
          <w:rFonts w:ascii="宋体" w:hAnsi="宋体" w:eastAsia="宋体" w:cs="宋体"/>
          <w:spacing w:val="-1"/>
          <w:sz w:val="20"/>
          <w:szCs w:val="20"/>
          <w:highlight w:val="none"/>
        </w:rPr>
        <w:t>工程质量的特殊标准或要求：</w:t>
      </w:r>
      <w:r>
        <w:rPr>
          <w:rFonts w:ascii="宋体" w:hAnsi="宋体" w:eastAsia="宋体" w:cs="宋体"/>
          <w:spacing w:val="53"/>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77"/>
          <w:sz w:val="20"/>
          <w:szCs w:val="20"/>
          <w:highlight w:val="none"/>
        </w:rPr>
        <w:t xml:space="preserve"> </w:t>
      </w:r>
      <w:r>
        <w:rPr>
          <w:rFonts w:ascii="Times New Roman" w:hAnsi="Times New Roman" w:eastAsia="Times New Roman" w:cs="Times New Roman"/>
          <w:spacing w:val="-1"/>
          <w:sz w:val="20"/>
          <w:szCs w:val="20"/>
          <w:highlight w:val="none"/>
        </w:rPr>
        <w:t>o</w:t>
      </w:r>
    </w:p>
    <w:p w14:paraId="04B316D4">
      <w:pPr>
        <w:spacing w:before="233"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6.4.2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5"/>
          <w:sz w:val="22"/>
          <w:szCs w:val="22"/>
          <w:highlight w:val="none"/>
        </w:rPr>
        <w:t>质量检查</w:t>
      </w:r>
    </w:p>
    <w:p w14:paraId="76E6670F">
      <w:pPr>
        <w:spacing w:before="219" w:line="407" w:lineRule="auto"/>
        <w:ind w:right="55" w:firstLine="420"/>
        <w:rPr>
          <w:rFonts w:ascii="宋体" w:hAnsi="宋体" w:eastAsia="宋体" w:cs="宋体"/>
          <w:sz w:val="22"/>
          <w:szCs w:val="22"/>
          <w:highlight w:val="none"/>
        </w:rPr>
      </w:pPr>
      <w:r>
        <w:rPr>
          <w:rFonts w:ascii="宋体" w:hAnsi="宋体" w:eastAsia="宋体" w:cs="宋体"/>
          <w:spacing w:val="5"/>
          <w:sz w:val="22"/>
          <w:szCs w:val="22"/>
          <w:highlight w:val="none"/>
        </w:rPr>
        <w:t>除通用合同条件已列明的质量检查的地点外，发包人有权进行质量检查的其他地</w:t>
      </w:r>
      <w:r>
        <w:rPr>
          <w:rFonts w:ascii="宋体" w:hAnsi="宋体" w:eastAsia="宋体" w:cs="宋体"/>
          <w:spacing w:val="2"/>
          <w:sz w:val="22"/>
          <w:szCs w:val="22"/>
          <w:highlight w:val="none"/>
        </w:rPr>
        <w:t xml:space="preserve"> </w:t>
      </w:r>
      <w:r>
        <w:rPr>
          <w:rFonts w:ascii="宋体" w:hAnsi="宋体" w:eastAsia="宋体" w:cs="宋体"/>
          <w:spacing w:val="-40"/>
          <w:sz w:val="22"/>
          <w:szCs w:val="22"/>
          <w:highlight w:val="none"/>
        </w:rPr>
        <w:t>点：</w:t>
      </w:r>
      <w:r>
        <w:rPr>
          <w:rFonts w:ascii="宋体" w:hAnsi="宋体" w:eastAsia="宋体" w:cs="宋体"/>
          <w:spacing w:val="2"/>
          <w:sz w:val="22"/>
          <w:szCs w:val="22"/>
          <w:highlight w:val="none"/>
          <w:u w:val="single" w:color="auto"/>
        </w:rPr>
        <w:t xml:space="preserve">                           </w:t>
      </w:r>
      <w:r>
        <w:rPr>
          <w:rFonts w:ascii="宋体" w:hAnsi="宋体" w:eastAsia="宋体" w:cs="宋体"/>
          <w:spacing w:val="1"/>
          <w:sz w:val="22"/>
          <w:szCs w:val="22"/>
          <w:highlight w:val="none"/>
          <w:u w:val="single" w:color="auto"/>
        </w:rPr>
        <w:t xml:space="preserve">     </w:t>
      </w:r>
      <w:r>
        <w:rPr>
          <w:rFonts w:ascii="宋体" w:hAnsi="宋体" w:eastAsia="宋体" w:cs="宋体"/>
          <w:spacing w:val="-80"/>
          <w:sz w:val="22"/>
          <w:szCs w:val="22"/>
          <w:highlight w:val="none"/>
        </w:rPr>
        <w:t xml:space="preserve"> </w:t>
      </w:r>
      <w:r>
        <w:rPr>
          <w:rFonts w:ascii="宋体" w:hAnsi="宋体" w:eastAsia="宋体" w:cs="宋体"/>
          <w:spacing w:val="-40"/>
          <w:sz w:val="22"/>
          <w:szCs w:val="22"/>
          <w:highlight w:val="none"/>
        </w:rPr>
        <w:t>◎</w:t>
      </w:r>
    </w:p>
    <w:p w14:paraId="62D874E2">
      <w:pPr>
        <w:spacing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6.4.3</w:t>
      </w:r>
      <w:r>
        <w:rPr>
          <w:rFonts w:ascii="Times New Roman" w:hAnsi="Times New Roman" w:eastAsia="Times New Roman" w:cs="Times New Roman"/>
          <w:spacing w:val="14"/>
          <w:sz w:val="22"/>
          <w:szCs w:val="22"/>
          <w:highlight w:val="none"/>
        </w:rPr>
        <w:t xml:space="preserve">   </w:t>
      </w:r>
      <w:r>
        <w:rPr>
          <w:rFonts w:ascii="宋体" w:hAnsi="宋体" w:eastAsia="宋体" w:cs="宋体"/>
          <w:spacing w:val="-7"/>
          <w:sz w:val="22"/>
          <w:szCs w:val="22"/>
          <w:highlight w:val="none"/>
        </w:rPr>
        <w:t>隐蔽工程检查</w:t>
      </w:r>
    </w:p>
    <w:p w14:paraId="2DD817AB">
      <w:pPr>
        <w:pStyle w:val="2"/>
        <w:spacing w:before="239" w:line="214" w:lineRule="auto"/>
        <w:ind w:left="420"/>
        <w:rPr>
          <w:sz w:val="9"/>
          <w:szCs w:val="9"/>
          <w:highlight w:val="none"/>
        </w:rPr>
      </w:pPr>
      <w:r>
        <w:rPr>
          <w:rFonts w:ascii="宋体" w:hAnsi="宋体" w:eastAsia="宋体" w:cs="宋体"/>
          <w:sz w:val="20"/>
          <w:szCs w:val="20"/>
          <w:highlight w:val="none"/>
        </w:rPr>
        <w:t>关于隐蔽工程和中间验收的特别约定：</w:t>
      </w:r>
      <w:r>
        <w:rPr>
          <w:rFonts w:ascii="宋体" w:hAnsi="宋体" w:eastAsia="宋体" w:cs="宋体"/>
          <w:spacing w:val="36"/>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65"/>
          <w:sz w:val="20"/>
          <w:szCs w:val="20"/>
          <w:highlight w:val="none"/>
        </w:rPr>
        <w:t xml:space="preserve"> </w:t>
      </w:r>
      <w:r>
        <w:rPr>
          <w:position w:val="-1"/>
          <w:sz w:val="9"/>
          <w:szCs w:val="9"/>
          <w:highlight w:val="none"/>
        </w:rPr>
        <w:t>_o</w:t>
      </w:r>
    </w:p>
    <w:p w14:paraId="1398AA4B">
      <w:pPr>
        <w:pStyle w:val="2"/>
        <w:spacing w:line="264" w:lineRule="auto"/>
        <w:rPr>
          <w:highlight w:val="none"/>
        </w:rPr>
      </w:pPr>
    </w:p>
    <w:p w14:paraId="3B2F407B">
      <w:pPr>
        <w:pStyle w:val="2"/>
        <w:spacing w:before="71" w:line="300" w:lineRule="exact"/>
        <w:rPr>
          <w:rFonts w:ascii="黑体" w:hAnsi="黑体" w:eastAsia="黑体" w:cs="黑体"/>
          <w:sz w:val="22"/>
          <w:szCs w:val="22"/>
          <w:highlight w:val="none"/>
        </w:rPr>
      </w:pPr>
      <w:r>
        <w:rPr>
          <w:spacing w:val="-8"/>
          <w:position w:val="1"/>
          <w:sz w:val="22"/>
          <w:szCs w:val="22"/>
          <w:highlight w:val="none"/>
        </w:rPr>
        <w:t>6.5</w:t>
      </w:r>
      <w:r>
        <w:rPr>
          <w:spacing w:val="56"/>
          <w:position w:val="1"/>
          <w:sz w:val="22"/>
          <w:szCs w:val="22"/>
          <w:highlight w:val="none"/>
        </w:rPr>
        <w:t xml:space="preserve"> </w:t>
      </w:r>
      <w:r>
        <w:rPr>
          <w:rFonts w:ascii="黑体" w:hAnsi="黑体" w:eastAsia="黑体" w:cs="黑体"/>
          <w:spacing w:val="-8"/>
          <w:position w:val="1"/>
          <w:sz w:val="22"/>
          <w:szCs w:val="22"/>
          <w:highlight w:val="none"/>
        </w:rPr>
        <w:t>由承包人试验和检验</w:t>
      </w:r>
    </w:p>
    <w:p w14:paraId="61BEF139">
      <w:pPr>
        <w:spacing w:before="223" w:line="221" w:lineRule="auto"/>
        <w:ind w:left="42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 xml:space="preserve">6.5.1   </w:t>
      </w:r>
      <w:r>
        <w:rPr>
          <w:rFonts w:ascii="宋体" w:hAnsi="宋体" w:eastAsia="宋体" w:cs="宋体"/>
          <w:spacing w:val="-3"/>
          <w:sz w:val="22"/>
          <w:szCs w:val="22"/>
          <w:highlight w:val="none"/>
        </w:rPr>
        <w:t>试验设备与试验人员</w:t>
      </w:r>
    </w:p>
    <w:p w14:paraId="4E3172C1">
      <w:pPr>
        <w:spacing w:before="225" w:line="219" w:lineRule="auto"/>
        <w:ind w:left="420"/>
        <w:rPr>
          <w:sz w:val="20"/>
          <w:szCs w:val="20"/>
          <w:highlight w:val="none"/>
        </w:rPr>
      </w:pPr>
      <w:r>
        <w:rPr>
          <w:rFonts w:ascii="宋体" w:hAnsi="宋体" w:eastAsia="宋体" w:cs="宋体"/>
          <w:spacing w:val="-3"/>
          <w:sz w:val="20"/>
          <w:szCs w:val="20"/>
          <w:highlight w:val="none"/>
        </w:rPr>
        <w:t>试验的内容、时间和地点：</w:t>
      </w:r>
      <w:r>
        <w:rPr>
          <w:rFonts w:ascii="宋体" w:hAnsi="宋体" w:eastAsia="宋体" w:cs="宋体"/>
          <w:spacing w:val="65"/>
          <w:sz w:val="20"/>
          <w:szCs w:val="20"/>
          <w:highlight w:val="none"/>
        </w:rPr>
        <w:t xml:space="preserve"> </w:t>
      </w:r>
      <w:r>
        <w:rPr>
          <w:rFonts w:ascii="宋体" w:hAnsi="宋体" w:eastAsia="宋体" w:cs="宋体"/>
          <w:spacing w:val="2"/>
          <w:sz w:val="20"/>
          <w:szCs w:val="20"/>
          <w:highlight w:val="none"/>
          <w:u w:val="single" w:color="auto"/>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89"/>
          <w:sz w:val="20"/>
          <w:szCs w:val="20"/>
          <w:highlight w:val="none"/>
        </w:rPr>
        <w:t xml:space="preserve"> </w:t>
      </w:r>
      <w:r>
        <w:rPr>
          <w:position w:val="1"/>
          <w:sz w:val="20"/>
          <w:szCs w:val="20"/>
          <w:highlight w:val="none"/>
        </w:rPr>
        <w:drawing>
          <wp:inline distT="0" distB="0" distL="0" distR="0">
            <wp:extent cx="50165" cy="4381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321"/>
                    <a:stretch>
                      <a:fillRect/>
                    </a:stretch>
                  </pic:blipFill>
                  <pic:spPr>
                    <a:xfrm>
                      <a:off x="0" y="0"/>
                      <a:ext cx="50746" cy="44377"/>
                    </a:xfrm>
                    <a:prstGeom prst="rect">
                      <a:avLst/>
                    </a:prstGeom>
                  </pic:spPr>
                </pic:pic>
              </a:graphicData>
            </a:graphic>
          </wp:inline>
        </w:drawing>
      </w:r>
    </w:p>
    <w:p w14:paraId="3317A9CD">
      <w:pPr>
        <w:spacing w:line="219" w:lineRule="auto"/>
        <w:rPr>
          <w:sz w:val="20"/>
          <w:szCs w:val="20"/>
          <w:highlight w:val="none"/>
        </w:rPr>
        <w:sectPr>
          <w:footerReference r:id="rId152" w:type="default"/>
          <w:pgSz w:w="11910" w:h="16840"/>
          <w:pgMar w:top="400" w:right="1786" w:bottom="1184" w:left="1769" w:header="0" w:footer="1024" w:gutter="0"/>
          <w:cols w:space="720" w:num="1"/>
        </w:sectPr>
      </w:pPr>
    </w:p>
    <w:p w14:paraId="1EB501EB">
      <w:pPr>
        <w:pStyle w:val="2"/>
        <w:spacing w:line="242" w:lineRule="auto"/>
        <w:rPr>
          <w:highlight w:val="none"/>
        </w:rPr>
      </w:pPr>
    </w:p>
    <w:p w14:paraId="26E9D417">
      <w:pPr>
        <w:pStyle w:val="2"/>
        <w:spacing w:line="243" w:lineRule="auto"/>
        <w:rPr>
          <w:highlight w:val="none"/>
        </w:rPr>
      </w:pPr>
    </w:p>
    <w:p w14:paraId="06721140">
      <w:pPr>
        <w:pStyle w:val="2"/>
        <w:spacing w:line="243" w:lineRule="auto"/>
        <w:rPr>
          <w:highlight w:val="none"/>
        </w:rPr>
      </w:pPr>
    </w:p>
    <w:p w14:paraId="1845E73C">
      <w:pPr>
        <w:pStyle w:val="2"/>
        <w:spacing w:line="243" w:lineRule="auto"/>
        <w:rPr>
          <w:highlight w:val="none"/>
        </w:rPr>
      </w:pPr>
    </w:p>
    <w:sdt>
      <w:sdtPr>
        <w:rPr>
          <w:rFonts w:ascii="宋体" w:hAnsi="宋体" w:eastAsia="宋体" w:cs="宋体"/>
          <w:sz w:val="22"/>
          <w:szCs w:val="22"/>
          <w:highlight w:val="none"/>
        </w:rPr>
        <w:id w:val="147458475"/>
        <w:docPartObj>
          <w:docPartGallery w:val="Table of Contents"/>
          <w:docPartUnique/>
        </w:docPartObj>
      </w:sdtPr>
      <w:sdtEndPr>
        <w:rPr>
          <w:rFonts w:ascii="Times New Roman" w:hAnsi="Times New Roman" w:eastAsia="Times New Roman" w:cs="Times New Roman"/>
          <w:sz w:val="22"/>
          <w:szCs w:val="22"/>
          <w:highlight w:val="none"/>
        </w:rPr>
      </w:sdtEndPr>
      <w:sdtContent>
        <w:p w14:paraId="4A172F1E">
          <w:pPr>
            <w:spacing w:before="72" w:line="219" w:lineRule="auto"/>
            <w:ind w:left="410"/>
            <w:rPr>
              <w:rFonts w:ascii="Times New Roman" w:hAnsi="Times New Roman" w:eastAsia="Times New Roman" w:cs="Times New Roman"/>
              <w:sz w:val="22"/>
              <w:szCs w:val="22"/>
              <w:highlight w:val="none"/>
            </w:rPr>
          </w:pPr>
          <w:bookmarkStart w:id="127" w:name="bookmark245"/>
          <w:bookmarkEnd w:id="127"/>
          <w:r>
            <w:rPr>
              <w:highlight w:val="none"/>
            </w:rPr>
            <w:fldChar w:fldCharType="begin"/>
          </w:r>
          <w:r>
            <w:rPr>
              <w:highlight w:val="none"/>
            </w:rPr>
            <w:instrText xml:space="preserve"> HYPERLINK \l "bookmark245" </w:instrText>
          </w:r>
          <w:r>
            <w:rPr>
              <w:highlight w:val="none"/>
            </w:rPr>
            <w:fldChar w:fldCharType="separate"/>
          </w:r>
          <w:r>
            <w:rPr>
              <w:rFonts w:ascii="宋体" w:hAnsi="宋体" w:eastAsia="宋体" w:cs="宋体"/>
              <w:spacing w:val="-9"/>
              <w:sz w:val="22"/>
              <w:szCs w:val="22"/>
              <w:highlight w:val="none"/>
            </w:rPr>
            <w:t>试验所需要的试验设备、取样装置、试验场所和试验条件：</w:t>
          </w:r>
          <w:r>
            <w:rPr>
              <w:rFonts w:ascii="宋体" w:hAnsi="宋体" w:eastAsia="宋体" w:cs="宋体"/>
              <w:spacing w:val="1"/>
              <w:sz w:val="22"/>
              <w:szCs w:val="22"/>
              <w:highlight w:val="none"/>
              <w:u w:val="single" w:color="auto"/>
            </w:rPr>
            <w:t xml:space="preserve">                  </w:t>
          </w:r>
          <w:r>
            <w:rPr>
              <w:rFonts w:ascii="宋体" w:hAnsi="宋体" w:eastAsia="宋体" w:cs="宋体"/>
              <w:spacing w:val="-77"/>
              <w:sz w:val="22"/>
              <w:szCs w:val="22"/>
              <w:highlight w:val="none"/>
            </w:rPr>
            <w:t xml:space="preserve"> </w:t>
          </w:r>
          <w:r>
            <w:rPr>
              <w:rFonts w:ascii="Times New Roman" w:hAnsi="Times New Roman" w:eastAsia="Times New Roman" w:cs="Times New Roman"/>
              <w:spacing w:val="-9"/>
              <w:sz w:val="22"/>
              <w:szCs w:val="22"/>
              <w:highlight w:val="none"/>
            </w:rPr>
            <w:t>0</w:t>
          </w:r>
          <w:r>
            <w:rPr>
              <w:rFonts w:ascii="Times New Roman" w:hAnsi="Times New Roman" w:eastAsia="Times New Roman" w:cs="Times New Roman"/>
              <w:spacing w:val="-9"/>
              <w:sz w:val="22"/>
              <w:szCs w:val="22"/>
              <w:highlight w:val="none"/>
            </w:rPr>
            <w:fldChar w:fldCharType="end"/>
          </w:r>
        </w:p>
        <w:p w14:paraId="59D96058">
          <w:pPr>
            <w:spacing w:before="293" w:line="212" w:lineRule="auto"/>
            <w:ind w:left="410"/>
            <w:rPr>
              <w:rFonts w:ascii="Times New Roman" w:hAnsi="Times New Roman" w:eastAsia="Times New Roman" w:cs="Times New Roman"/>
              <w:sz w:val="22"/>
              <w:szCs w:val="22"/>
              <w:highlight w:val="none"/>
            </w:rPr>
          </w:pPr>
          <w:r>
            <w:rPr>
              <w:rFonts w:ascii="宋体" w:hAnsi="宋体" w:eastAsia="宋体" w:cs="宋体"/>
              <w:spacing w:val="-15"/>
              <w:sz w:val="22"/>
              <w:szCs w:val="22"/>
              <w:highlight w:val="none"/>
            </w:rPr>
            <w:t>试验和检验费用的计价原则：</w:t>
          </w:r>
          <w:r>
            <w:rPr>
              <w:rFonts w:ascii="宋体" w:hAnsi="宋体" w:eastAsia="宋体" w:cs="宋体"/>
              <w:spacing w:val="4"/>
              <w:sz w:val="22"/>
              <w:szCs w:val="22"/>
              <w:highlight w:val="none"/>
              <w:u w:val="single" w:color="auto"/>
            </w:rPr>
            <w:t xml:space="preserve">                        </w:t>
          </w:r>
          <w:r>
            <w:rPr>
              <w:rFonts w:ascii="宋体" w:hAnsi="宋体" w:eastAsia="宋体" w:cs="宋体"/>
              <w:spacing w:val="-65"/>
              <w:sz w:val="22"/>
              <w:szCs w:val="22"/>
              <w:highlight w:val="none"/>
            </w:rPr>
            <w:t xml:space="preserve"> </w:t>
          </w:r>
          <w:r>
            <w:rPr>
              <w:rFonts w:ascii="Times New Roman" w:hAnsi="Times New Roman" w:eastAsia="Times New Roman" w:cs="Times New Roman"/>
              <w:spacing w:val="-15"/>
              <w:sz w:val="22"/>
              <w:szCs w:val="22"/>
              <w:highlight w:val="none"/>
            </w:rPr>
            <w:t>_o</w:t>
          </w:r>
        </w:p>
      </w:sdtContent>
    </w:sdt>
    <w:p w14:paraId="521CE925">
      <w:pPr>
        <w:pStyle w:val="2"/>
        <w:spacing w:line="280" w:lineRule="auto"/>
        <w:rPr>
          <w:highlight w:val="none"/>
        </w:rPr>
      </w:pPr>
    </w:p>
    <w:p w14:paraId="3BC13AA9">
      <w:pPr>
        <w:spacing w:before="91" w:line="222" w:lineRule="auto"/>
        <w:outlineLvl w:val="1"/>
        <w:rPr>
          <w:rFonts w:ascii="黑体" w:hAnsi="黑体" w:eastAsia="黑体" w:cs="黑体"/>
          <w:sz w:val="28"/>
          <w:szCs w:val="28"/>
          <w:highlight w:val="none"/>
        </w:rPr>
      </w:pPr>
      <w:bookmarkStart w:id="128" w:name="bookmark74"/>
      <w:bookmarkEnd w:id="128"/>
      <w:r>
        <w:rPr>
          <w:rFonts w:ascii="黑体" w:hAnsi="黑体" w:eastAsia="黑体" w:cs="黑体"/>
          <w:spacing w:val="-9"/>
          <w:sz w:val="28"/>
          <w:szCs w:val="28"/>
          <w:highlight w:val="none"/>
        </w:rPr>
        <w:t>第</w:t>
      </w:r>
      <w:r>
        <w:rPr>
          <w:rFonts w:ascii="黑体" w:hAnsi="黑体" w:eastAsia="黑体" w:cs="黑体"/>
          <w:spacing w:val="-55"/>
          <w:sz w:val="28"/>
          <w:szCs w:val="28"/>
          <w:highlight w:val="none"/>
        </w:rPr>
        <w:t xml:space="preserve"> </w:t>
      </w:r>
      <w:r>
        <w:rPr>
          <w:rFonts w:ascii="黑体" w:hAnsi="黑体" w:eastAsia="黑体" w:cs="黑体"/>
          <w:spacing w:val="-9"/>
          <w:sz w:val="28"/>
          <w:szCs w:val="28"/>
          <w:highlight w:val="none"/>
        </w:rPr>
        <w:t>7</w:t>
      </w:r>
      <w:r>
        <w:rPr>
          <w:rFonts w:ascii="黑体" w:hAnsi="黑体" w:eastAsia="黑体" w:cs="黑体"/>
          <w:spacing w:val="-55"/>
          <w:sz w:val="28"/>
          <w:szCs w:val="28"/>
          <w:highlight w:val="none"/>
        </w:rPr>
        <w:t xml:space="preserve"> </w:t>
      </w:r>
      <w:r>
        <w:rPr>
          <w:rFonts w:ascii="黑体" w:hAnsi="黑体" w:eastAsia="黑体" w:cs="黑体"/>
          <w:spacing w:val="-9"/>
          <w:sz w:val="28"/>
          <w:szCs w:val="28"/>
          <w:highlight w:val="none"/>
        </w:rPr>
        <w:t>条</w:t>
      </w:r>
      <w:r>
        <w:rPr>
          <w:rFonts w:ascii="黑体" w:hAnsi="黑体" w:eastAsia="黑体" w:cs="黑体"/>
          <w:spacing w:val="-58"/>
          <w:sz w:val="28"/>
          <w:szCs w:val="28"/>
          <w:highlight w:val="none"/>
        </w:rPr>
        <w:t xml:space="preserve"> </w:t>
      </w:r>
      <w:r>
        <w:rPr>
          <w:rFonts w:ascii="黑体" w:hAnsi="黑体" w:eastAsia="黑体" w:cs="黑体"/>
          <w:spacing w:val="-9"/>
          <w:sz w:val="28"/>
          <w:szCs w:val="28"/>
          <w:highlight w:val="none"/>
        </w:rPr>
        <w:t>施</w:t>
      </w:r>
      <w:r>
        <w:rPr>
          <w:rFonts w:ascii="黑体" w:hAnsi="黑体" w:eastAsia="黑体" w:cs="黑体"/>
          <w:spacing w:val="-54"/>
          <w:sz w:val="28"/>
          <w:szCs w:val="28"/>
          <w:highlight w:val="none"/>
        </w:rPr>
        <w:t xml:space="preserve"> </w:t>
      </w:r>
      <w:r>
        <w:rPr>
          <w:rFonts w:ascii="黑体" w:hAnsi="黑体" w:eastAsia="黑体" w:cs="黑体"/>
          <w:spacing w:val="-9"/>
          <w:sz w:val="28"/>
          <w:szCs w:val="28"/>
          <w:highlight w:val="none"/>
        </w:rPr>
        <w:t>工</w:t>
      </w:r>
    </w:p>
    <w:p w14:paraId="03A4931D">
      <w:pPr>
        <w:pStyle w:val="2"/>
        <w:spacing w:line="376" w:lineRule="auto"/>
        <w:rPr>
          <w:highlight w:val="none"/>
        </w:rPr>
      </w:pPr>
    </w:p>
    <w:p w14:paraId="0FF7F465">
      <w:pPr>
        <w:pStyle w:val="2"/>
        <w:spacing w:before="61" w:line="222" w:lineRule="auto"/>
        <w:rPr>
          <w:rFonts w:ascii="黑体" w:hAnsi="黑体" w:eastAsia="黑体" w:cs="黑体"/>
          <w:sz w:val="19"/>
          <w:szCs w:val="19"/>
          <w:highlight w:val="none"/>
        </w:rPr>
      </w:pPr>
      <w:r>
        <w:rPr>
          <w:spacing w:val="6"/>
          <w:sz w:val="19"/>
          <w:szCs w:val="19"/>
          <w:highlight w:val="none"/>
        </w:rPr>
        <w:t>7.1</w:t>
      </w:r>
      <w:r>
        <w:rPr>
          <w:spacing w:val="3"/>
          <w:sz w:val="19"/>
          <w:szCs w:val="19"/>
          <w:highlight w:val="none"/>
        </w:rPr>
        <w:t xml:space="preserve">   </w:t>
      </w:r>
      <w:r>
        <w:rPr>
          <w:rFonts w:ascii="黑体" w:hAnsi="黑体" w:eastAsia="黑体" w:cs="黑体"/>
          <w:spacing w:val="6"/>
          <w:sz w:val="19"/>
          <w:szCs w:val="19"/>
          <w:highlight w:val="none"/>
        </w:rPr>
        <w:t>交通运输</w:t>
      </w:r>
    </w:p>
    <w:p w14:paraId="62D0C112">
      <w:pPr>
        <w:spacing w:before="223" w:line="219" w:lineRule="auto"/>
        <w:ind w:left="41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7.1.1</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5"/>
          <w:sz w:val="20"/>
          <w:szCs w:val="20"/>
          <w:highlight w:val="none"/>
        </w:rPr>
        <w:t>出入现场的权利</w:t>
      </w:r>
    </w:p>
    <w:p w14:paraId="7AECF2A3">
      <w:pPr>
        <w:spacing w:before="233" w:line="184" w:lineRule="auto"/>
        <w:ind w:left="410"/>
        <w:rPr>
          <w:rFonts w:ascii="宋体" w:hAnsi="宋体" w:eastAsia="宋体" w:cs="宋体"/>
          <w:sz w:val="21"/>
          <w:szCs w:val="21"/>
          <w:highlight w:val="none"/>
        </w:rPr>
      </w:pPr>
      <w:r>
        <w:rPr>
          <w:highlight w:val="none"/>
        </w:rPr>
        <w:pict>
          <v:shape id="_x0000_s1041" o:spid="_x0000_s1041" o:spt="202" type="#_x0000_t202" style="position:absolute;left:0pt;margin-left:288pt;margin-top:12.35pt;height:15.1pt;width:3.5pt;z-index:251679744;mso-width-relative:page;mso-height-relative:page;" filled="f" stroked="f" coordsize="21600,21600">
            <v:path/>
            <v:fill on="f" focussize="0,0"/>
            <v:stroke on="f"/>
            <v:imagedata o:title=""/>
            <o:lock v:ext="edit" aspectratio="f"/>
            <v:textbox inset="0mm,0mm,0mm,0mm">
              <w:txbxContent>
                <w:p w14:paraId="5F27AFC3">
                  <w:pPr>
                    <w:pStyle w:val="2"/>
                    <w:tabs>
                      <w:tab w:val="left" w:pos="50"/>
                    </w:tabs>
                    <w:spacing w:before="20"/>
                    <w:ind w:left="20"/>
                  </w:pPr>
                  <w:r>
                    <w:rPr>
                      <w:u w:val="single" w:color="auto"/>
                    </w:rPr>
                    <w:tab/>
                  </w:r>
                </w:p>
              </w:txbxContent>
            </v:textbox>
          </v:shape>
        </w:pict>
      </w:r>
      <w:r>
        <w:rPr>
          <w:rFonts w:ascii="宋体" w:hAnsi="宋体" w:eastAsia="宋体" w:cs="宋体"/>
          <w:sz w:val="21"/>
          <w:szCs w:val="21"/>
          <w:highlight w:val="none"/>
        </w:rPr>
        <w:t>关于出入现场的权利的约定：</w:t>
      </w:r>
      <w:r>
        <w:rPr>
          <w:rFonts w:ascii="宋体" w:hAnsi="宋体" w:eastAsia="宋体" w:cs="宋体"/>
          <w:sz w:val="21"/>
          <w:szCs w:val="21"/>
          <w:highlight w:val="none"/>
          <w:u w:val="single" w:color="auto"/>
        </w:rPr>
        <w:t xml:space="preserve">                          </w:t>
      </w:r>
    </w:p>
    <w:p w14:paraId="0690772A">
      <w:pPr>
        <w:spacing w:before="272" w:line="220" w:lineRule="auto"/>
        <w:ind w:left="41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7.1.2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6"/>
          <w:sz w:val="22"/>
          <w:szCs w:val="22"/>
          <w:highlight w:val="none"/>
        </w:rPr>
        <w:t>场外交通</w:t>
      </w:r>
    </w:p>
    <w:p w14:paraId="4A141AFC">
      <w:pPr>
        <w:spacing w:before="203" w:line="212" w:lineRule="auto"/>
        <w:ind w:left="410"/>
        <w:rPr>
          <w:rFonts w:ascii="Times New Roman" w:hAnsi="Times New Roman" w:eastAsia="Times New Roman" w:cs="Times New Roman"/>
          <w:sz w:val="20"/>
          <w:szCs w:val="20"/>
          <w:highlight w:val="none"/>
        </w:rPr>
      </w:pPr>
      <w:r>
        <w:rPr>
          <w:rFonts w:ascii="宋体" w:hAnsi="宋体" w:eastAsia="宋体" w:cs="宋体"/>
          <w:spacing w:val="-3"/>
          <w:sz w:val="20"/>
          <w:szCs w:val="20"/>
          <w:highlight w:val="none"/>
        </w:rPr>
        <w:t>关于场外交通的特别约定：</w:t>
      </w:r>
      <w:r>
        <w:rPr>
          <w:rFonts w:ascii="宋体" w:hAnsi="宋体" w:eastAsia="宋体" w:cs="宋体"/>
          <w:spacing w:val="40"/>
          <w:sz w:val="20"/>
          <w:szCs w:val="20"/>
          <w:highlight w:val="none"/>
        </w:rPr>
        <w:t xml:space="preserve"> </w:t>
      </w:r>
      <w:r>
        <w:rPr>
          <w:rFonts w:ascii="宋体" w:hAnsi="宋体" w:eastAsia="宋体" w:cs="宋体"/>
          <w:spacing w:val="-3"/>
          <w:sz w:val="20"/>
          <w:szCs w:val="20"/>
          <w:highlight w:val="none"/>
          <w:u w:val="single" w:color="auto"/>
        </w:rPr>
        <w:t xml:space="preserve">                </w:t>
      </w:r>
      <w:r>
        <w:rPr>
          <w:rFonts w:ascii="宋体" w:hAnsi="宋体" w:eastAsia="宋体" w:cs="宋体"/>
          <w:spacing w:val="-4"/>
          <w:sz w:val="20"/>
          <w:szCs w:val="20"/>
          <w:highlight w:val="none"/>
          <w:u w:val="single" w:color="auto"/>
        </w:rPr>
        <w:t xml:space="preserve">            </w:t>
      </w:r>
      <w:r>
        <w:rPr>
          <w:rFonts w:ascii="Times New Roman" w:hAnsi="Times New Roman" w:eastAsia="Times New Roman" w:cs="Times New Roman"/>
          <w:spacing w:val="-4"/>
          <w:sz w:val="20"/>
          <w:szCs w:val="20"/>
          <w:highlight w:val="none"/>
        </w:rPr>
        <w:t>_o</w:t>
      </w:r>
    </w:p>
    <w:p w14:paraId="07CCA7B0">
      <w:pPr>
        <w:spacing w:before="284" w:line="219" w:lineRule="auto"/>
        <w:ind w:left="410"/>
        <w:rPr>
          <w:rFonts w:ascii="宋体" w:hAnsi="宋体" w:eastAsia="宋体" w:cs="宋体"/>
          <w:sz w:val="20"/>
          <w:szCs w:val="20"/>
          <w:highlight w:val="none"/>
        </w:rPr>
      </w:pPr>
      <w:r>
        <w:rPr>
          <w:rFonts w:ascii="宋体" w:hAnsi="宋体" w:eastAsia="宋体" w:cs="宋体"/>
          <w:spacing w:val="12"/>
          <w:sz w:val="20"/>
          <w:szCs w:val="20"/>
          <w:highlight w:val="none"/>
        </w:rPr>
        <w:t>7.</w:t>
      </w:r>
      <w:r>
        <w:rPr>
          <w:rFonts w:ascii="宋体" w:hAnsi="宋体" w:eastAsia="宋体" w:cs="宋体"/>
          <w:spacing w:val="-52"/>
          <w:sz w:val="20"/>
          <w:szCs w:val="20"/>
          <w:highlight w:val="none"/>
        </w:rPr>
        <w:t xml:space="preserve"> </w:t>
      </w:r>
      <w:r>
        <w:rPr>
          <w:rFonts w:ascii="宋体" w:hAnsi="宋体" w:eastAsia="宋体" w:cs="宋体"/>
          <w:spacing w:val="12"/>
          <w:sz w:val="20"/>
          <w:szCs w:val="20"/>
          <w:highlight w:val="none"/>
        </w:rPr>
        <w:t>1.3场内交通</w:t>
      </w:r>
    </w:p>
    <w:p w14:paraId="75614121">
      <w:pPr>
        <w:pStyle w:val="2"/>
        <w:spacing w:line="265" w:lineRule="auto"/>
        <w:rPr>
          <w:highlight w:val="none"/>
        </w:rPr>
      </w:pPr>
    </w:p>
    <w:p w14:paraId="7846D84C">
      <w:pPr>
        <w:spacing w:before="66" w:line="219" w:lineRule="auto"/>
        <w:ind w:left="410"/>
        <w:rPr>
          <w:rFonts w:ascii="Times New Roman" w:hAnsi="Times New Roman" w:eastAsia="Times New Roman" w:cs="Times New Roman"/>
          <w:sz w:val="20"/>
          <w:szCs w:val="20"/>
          <w:highlight w:val="none"/>
        </w:rPr>
      </w:pPr>
      <w:r>
        <w:rPr>
          <w:rFonts w:ascii="宋体" w:hAnsi="宋体" w:eastAsia="宋体" w:cs="宋体"/>
          <w:sz w:val="20"/>
          <w:szCs w:val="20"/>
          <w:highlight w:val="none"/>
        </w:rPr>
        <w:t>关于场内交通的特别约定：</w:t>
      </w:r>
      <w:r>
        <w:rPr>
          <w:rFonts w:ascii="宋体" w:hAnsi="宋体" w:eastAsia="宋体" w:cs="宋体"/>
          <w:spacing w:val="40"/>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99"/>
          <w:sz w:val="20"/>
          <w:szCs w:val="20"/>
          <w:highlight w:val="none"/>
        </w:rPr>
        <w:t xml:space="preserve"> </w:t>
      </w:r>
      <w:r>
        <w:rPr>
          <w:rFonts w:ascii="Times New Roman" w:hAnsi="Times New Roman" w:eastAsia="Times New Roman" w:cs="Times New Roman"/>
          <w:sz w:val="20"/>
          <w:szCs w:val="20"/>
          <w:highlight w:val="none"/>
        </w:rPr>
        <w:t>o</w:t>
      </w:r>
    </w:p>
    <w:p w14:paraId="6A39F206">
      <w:pPr>
        <w:spacing w:before="143" w:line="219" w:lineRule="auto"/>
        <w:ind w:left="410"/>
        <w:rPr>
          <w:rFonts w:ascii="Times New Roman" w:hAnsi="Times New Roman" w:eastAsia="Times New Roman" w:cs="Times New Roman"/>
          <w:sz w:val="7"/>
          <w:szCs w:val="7"/>
          <w:highlight w:val="none"/>
        </w:rPr>
      </w:pPr>
      <w:r>
        <w:rPr>
          <w:rFonts w:ascii="宋体" w:hAnsi="宋体" w:eastAsia="宋体" w:cs="宋体"/>
          <w:spacing w:val="-10"/>
          <w:sz w:val="22"/>
          <w:szCs w:val="22"/>
          <w:highlight w:val="none"/>
        </w:rPr>
        <w:t>关于场内交通与场外交通边界的约定：</w:t>
      </w:r>
      <w:r>
        <w:rPr>
          <w:rFonts w:ascii="宋体" w:hAnsi="宋体" w:eastAsia="宋体" w:cs="宋体"/>
          <w:spacing w:val="-10"/>
          <w:sz w:val="22"/>
          <w:szCs w:val="22"/>
          <w:highlight w:val="none"/>
          <w:u w:val="single" w:color="auto"/>
        </w:rPr>
        <w:t xml:space="preserve">                </w:t>
      </w:r>
      <w:r>
        <w:rPr>
          <w:rFonts w:ascii="宋体" w:hAnsi="宋体" w:eastAsia="宋体" w:cs="宋体"/>
          <w:spacing w:val="-11"/>
          <w:sz w:val="22"/>
          <w:szCs w:val="22"/>
          <w:highlight w:val="none"/>
          <w:u w:val="single" w:color="auto"/>
        </w:rPr>
        <w:t xml:space="preserve">  </w:t>
      </w:r>
      <w:r>
        <w:rPr>
          <w:rFonts w:ascii="Times New Roman" w:hAnsi="Times New Roman" w:eastAsia="Times New Roman" w:cs="Times New Roman"/>
          <w:spacing w:val="1"/>
          <w:position w:val="4"/>
          <w:sz w:val="7"/>
          <w:szCs w:val="7"/>
          <w:highlight w:val="none"/>
        </w:rPr>
        <w:t>_o</w:t>
      </w:r>
    </w:p>
    <w:p w14:paraId="54C764EC">
      <w:pPr>
        <w:spacing w:before="199" w:line="219" w:lineRule="auto"/>
        <w:ind w:left="410"/>
        <w:rPr>
          <w:rFonts w:ascii="宋体" w:hAnsi="宋体" w:eastAsia="宋体" w:cs="宋体"/>
          <w:sz w:val="22"/>
          <w:szCs w:val="22"/>
          <w:highlight w:val="none"/>
        </w:rPr>
      </w:pPr>
      <w:r>
        <w:rPr>
          <w:rFonts w:ascii="宋体" w:hAnsi="宋体" w:eastAsia="宋体" w:cs="宋体"/>
          <w:spacing w:val="-1"/>
          <w:sz w:val="22"/>
          <w:szCs w:val="22"/>
          <w:highlight w:val="none"/>
        </w:rPr>
        <w:t>7.1.4超大件和超重件的运输</w:t>
      </w:r>
    </w:p>
    <w:p w14:paraId="176E8F8F">
      <w:pPr>
        <w:spacing w:before="209" w:line="405" w:lineRule="auto"/>
        <w:ind w:right="27" w:firstLine="410"/>
        <w:rPr>
          <w:rFonts w:ascii="宋体" w:hAnsi="宋体" w:eastAsia="宋体" w:cs="宋体"/>
          <w:sz w:val="22"/>
          <w:szCs w:val="22"/>
          <w:highlight w:val="none"/>
        </w:rPr>
      </w:pPr>
      <w:r>
        <w:rPr>
          <w:rFonts w:ascii="宋体" w:hAnsi="宋体" w:eastAsia="宋体" w:cs="宋体"/>
          <w:spacing w:val="19"/>
          <w:sz w:val="22"/>
          <w:szCs w:val="22"/>
          <w:highlight w:val="none"/>
        </w:rPr>
        <w:t>运输超大件或超重件所需的道路和桥梁临时加固改造费用和其他有关费用由</w:t>
      </w:r>
      <w:r>
        <w:rPr>
          <w:rFonts w:ascii="宋体" w:hAnsi="宋体" w:eastAsia="宋体" w:cs="宋体"/>
          <w:spacing w:val="17"/>
          <w:sz w:val="22"/>
          <w:szCs w:val="22"/>
          <w:highlight w:val="none"/>
        </w:rPr>
        <w:t xml:space="preserve"> </w:t>
      </w:r>
      <w:r>
        <w:rPr>
          <w:rFonts w:ascii="宋体" w:hAnsi="宋体" w:eastAsia="宋体" w:cs="宋体"/>
          <w:spacing w:val="-9"/>
          <w:sz w:val="22"/>
          <w:szCs w:val="22"/>
          <w:highlight w:val="none"/>
        </w:rPr>
        <w:t>承担。</w:t>
      </w:r>
    </w:p>
    <w:p w14:paraId="66BB6F20">
      <w:pPr>
        <w:spacing w:before="164" w:line="222" w:lineRule="auto"/>
        <w:rPr>
          <w:rFonts w:ascii="黑体" w:hAnsi="黑体" w:eastAsia="黑体" w:cs="黑体"/>
          <w:sz w:val="22"/>
          <w:szCs w:val="22"/>
          <w:highlight w:val="none"/>
        </w:rPr>
      </w:pPr>
      <w:r>
        <w:rPr>
          <w:rFonts w:ascii="黑体" w:hAnsi="黑体" w:eastAsia="黑体" w:cs="黑体"/>
          <w:spacing w:val="-1"/>
          <w:sz w:val="22"/>
          <w:szCs w:val="22"/>
          <w:highlight w:val="none"/>
        </w:rPr>
        <w:t>7.2施工设备和临时设施</w:t>
      </w:r>
    </w:p>
    <w:p w14:paraId="181049C6">
      <w:pPr>
        <w:spacing w:before="205" w:line="219" w:lineRule="auto"/>
        <w:ind w:left="41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7.2.1   </w:t>
      </w:r>
      <w:r>
        <w:rPr>
          <w:rFonts w:ascii="宋体" w:hAnsi="宋体" w:eastAsia="宋体" w:cs="宋体"/>
          <w:spacing w:val="-5"/>
          <w:sz w:val="22"/>
          <w:szCs w:val="22"/>
          <w:highlight w:val="none"/>
        </w:rPr>
        <w:t>承包人提供的施工设备和临时设施</w:t>
      </w:r>
    </w:p>
    <w:p w14:paraId="1F6AFB26">
      <w:pPr>
        <w:spacing w:before="270" w:line="184" w:lineRule="auto"/>
        <w:ind w:left="410"/>
        <w:rPr>
          <w:rFonts w:ascii="宋体" w:hAnsi="宋体" w:eastAsia="宋体" w:cs="宋体"/>
          <w:sz w:val="20"/>
          <w:szCs w:val="20"/>
          <w:highlight w:val="none"/>
        </w:rPr>
      </w:pPr>
      <w:r>
        <w:rPr>
          <w:highlight w:val="none"/>
        </w:rPr>
        <w:pict>
          <v:shape id="_x0000_s1042" o:spid="_x0000_s1042" o:spt="202" type="#_x0000_t202" style="position:absolute;left:0pt;margin-left:403.5pt;margin-top:12.15pt;height:15.1pt;width:3.75pt;z-index:251678720;mso-width-relative:page;mso-height-relative:page;" filled="f" stroked="f" coordsize="21600,21600">
            <v:path/>
            <v:fill on="f" focussize="0,0"/>
            <v:stroke on="f"/>
            <v:imagedata o:title=""/>
            <o:lock v:ext="edit" aspectratio="f"/>
            <v:textbox inset="0mm,0mm,0mm,0mm">
              <w:txbxContent>
                <w:p w14:paraId="1C52E740">
                  <w:pPr>
                    <w:pStyle w:val="2"/>
                    <w:tabs>
                      <w:tab w:val="left" w:pos="55"/>
                    </w:tabs>
                    <w:spacing w:before="19"/>
                    <w:ind w:left="20"/>
                  </w:pPr>
                  <w:r>
                    <w:rPr>
                      <w:u w:val="single" w:color="auto"/>
                    </w:rPr>
                    <w:tab/>
                  </w:r>
                </w:p>
              </w:txbxContent>
            </v:textbox>
          </v:shape>
        </w:pict>
      </w:r>
      <w:r>
        <w:rPr>
          <w:rFonts w:ascii="宋体" w:hAnsi="宋体" w:eastAsia="宋体" w:cs="宋体"/>
          <w:spacing w:val="3"/>
          <w:sz w:val="20"/>
          <w:szCs w:val="20"/>
          <w:highlight w:val="none"/>
        </w:rPr>
        <w:t>临时设施的费用和临时占地手续和费用承担的特别约定：</w:t>
      </w:r>
      <w:r>
        <w:rPr>
          <w:rFonts w:ascii="宋体" w:hAnsi="宋体" w:eastAsia="宋体" w:cs="宋体"/>
          <w:spacing w:val="3"/>
          <w:sz w:val="20"/>
          <w:szCs w:val="20"/>
          <w:highlight w:val="none"/>
          <w:u w:val="single" w:color="auto"/>
        </w:rPr>
        <w:t xml:space="preserve">                         </w:t>
      </w:r>
    </w:p>
    <w:p w14:paraId="3077A809">
      <w:pPr>
        <w:spacing w:before="230" w:line="219" w:lineRule="auto"/>
        <w:ind w:left="41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7.2.2</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7"/>
          <w:sz w:val="22"/>
          <w:szCs w:val="22"/>
          <w:highlight w:val="none"/>
        </w:rPr>
        <w:t>发包人提供的施工设备和临时设施</w:t>
      </w:r>
    </w:p>
    <w:p w14:paraId="54595879">
      <w:pPr>
        <w:spacing w:before="239" w:line="219" w:lineRule="auto"/>
        <w:ind w:left="410"/>
        <w:rPr>
          <w:rFonts w:ascii="宋体" w:hAnsi="宋体" w:eastAsia="宋体" w:cs="宋体"/>
          <w:sz w:val="22"/>
          <w:szCs w:val="22"/>
          <w:highlight w:val="none"/>
        </w:rPr>
      </w:pPr>
      <w:r>
        <w:rPr>
          <w:rFonts w:ascii="宋体" w:hAnsi="宋体" w:eastAsia="宋体" w:cs="宋体"/>
          <w:spacing w:val="-6"/>
          <w:sz w:val="22"/>
          <w:szCs w:val="22"/>
          <w:highlight w:val="none"/>
        </w:rPr>
        <w:t>发包人提供的施工设备或临时设施范围：</w:t>
      </w:r>
      <w:r>
        <w:rPr>
          <w:rFonts w:ascii="宋体" w:hAnsi="宋体" w:eastAsia="宋体" w:cs="宋体"/>
          <w:spacing w:val="-6"/>
          <w:sz w:val="22"/>
          <w:szCs w:val="22"/>
          <w:highlight w:val="none"/>
          <w:u w:val="single" w:color="auto"/>
        </w:rPr>
        <w:t xml:space="preserve">                                   </w:t>
      </w:r>
      <w:r>
        <w:rPr>
          <w:rFonts w:ascii="宋体" w:hAnsi="宋体" w:eastAsia="宋体" w:cs="宋体"/>
          <w:spacing w:val="-7"/>
          <w:sz w:val="22"/>
          <w:szCs w:val="22"/>
          <w:highlight w:val="none"/>
          <w:u w:val="single" w:color="auto"/>
        </w:rPr>
        <w:t xml:space="preserve">  </w:t>
      </w:r>
    </w:p>
    <w:p w14:paraId="09557A65">
      <w:pPr>
        <w:pStyle w:val="2"/>
        <w:spacing w:line="324" w:lineRule="auto"/>
        <w:rPr>
          <w:highlight w:val="none"/>
        </w:rPr>
      </w:pPr>
    </w:p>
    <w:p w14:paraId="56FD256D">
      <w:pPr>
        <w:spacing w:before="62" w:line="222" w:lineRule="auto"/>
        <w:rPr>
          <w:rFonts w:ascii="黑体" w:hAnsi="黑体" w:eastAsia="黑体" w:cs="黑体"/>
          <w:sz w:val="19"/>
          <w:szCs w:val="19"/>
          <w:highlight w:val="none"/>
        </w:rPr>
      </w:pPr>
      <w:r>
        <w:rPr>
          <w:rFonts w:ascii="黑体" w:hAnsi="黑体" w:eastAsia="黑体" w:cs="黑体"/>
          <w:spacing w:val="16"/>
          <w:sz w:val="19"/>
          <w:szCs w:val="19"/>
          <w:highlight w:val="none"/>
        </w:rPr>
        <w:t>7</w:t>
      </w:r>
      <w:r>
        <w:rPr>
          <w:rFonts w:ascii="黑体" w:hAnsi="黑体" w:eastAsia="黑体" w:cs="黑体"/>
          <w:spacing w:val="-38"/>
          <w:sz w:val="19"/>
          <w:szCs w:val="19"/>
          <w:highlight w:val="none"/>
        </w:rPr>
        <w:t xml:space="preserve"> </w:t>
      </w:r>
      <w:r>
        <w:rPr>
          <w:rFonts w:ascii="黑体" w:hAnsi="黑体" w:eastAsia="黑体" w:cs="黑体"/>
          <w:spacing w:val="16"/>
          <w:sz w:val="19"/>
          <w:szCs w:val="19"/>
          <w:highlight w:val="none"/>
        </w:rPr>
        <w:t>.</w:t>
      </w:r>
      <w:r>
        <w:rPr>
          <w:rFonts w:ascii="黑体" w:hAnsi="黑体" w:eastAsia="黑体" w:cs="黑体"/>
          <w:spacing w:val="-50"/>
          <w:sz w:val="19"/>
          <w:szCs w:val="19"/>
          <w:highlight w:val="none"/>
        </w:rPr>
        <w:t xml:space="preserve"> </w:t>
      </w:r>
      <w:r>
        <w:rPr>
          <w:rFonts w:ascii="黑体" w:hAnsi="黑体" w:eastAsia="黑体" w:cs="黑体"/>
          <w:spacing w:val="16"/>
          <w:sz w:val="19"/>
          <w:szCs w:val="19"/>
          <w:highlight w:val="none"/>
        </w:rPr>
        <w:t>3现场合作</w:t>
      </w:r>
    </w:p>
    <w:p w14:paraId="143F0192">
      <w:pPr>
        <w:spacing w:before="246" w:line="184" w:lineRule="auto"/>
        <w:ind w:left="410"/>
        <w:rPr>
          <w:rFonts w:ascii="宋体" w:hAnsi="宋体" w:eastAsia="宋体" w:cs="宋体"/>
          <w:sz w:val="22"/>
          <w:szCs w:val="22"/>
          <w:highlight w:val="none"/>
        </w:rPr>
      </w:pPr>
      <w:r>
        <w:rPr>
          <w:highlight w:val="none"/>
        </w:rPr>
        <w:pict>
          <v:shape id="_x0000_s1043" o:spid="_x0000_s1043" o:spt="202" type="#_x0000_t202" style="position:absolute;left:0pt;margin-left:288pt;margin-top:17.55pt;height:5.25pt;width:5.4pt;z-index:251680768;mso-width-relative:page;mso-height-relative:page;" filled="f" stroked="f" coordsize="21600,21600">
            <v:path/>
            <v:fill on="f" focussize="0,0"/>
            <v:stroke on="f"/>
            <v:imagedata o:title=""/>
            <o:lock v:ext="edit" aspectratio="f"/>
            <v:textbox inset="0mm,0mm,0mm,0mm">
              <w:txbxContent>
                <w:p w14:paraId="5B6AA506">
                  <w:pPr>
                    <w:pStyle w:val="2"/>
                    <w:tabs>
                      <w:tab w:val="left" w:pos="54"/>
                    </w:tabs>
                    <w:spacing w:before="20" w:line="156" w:lineRule="auto"/>
                    <w:ind w:left="20"/>
                    <w:rPr>
                      <w:sz w:val="6"/>
                      <w:szCs w:val="6"/>
                    </w:rPr>
                  </w:pPr>
                  <w:r>
                    <w:rPr>
                      <w:sz w:val="6"/>
                      <w:szCs w:val="6"/>
                      <w:u w:val="dotted" w:color="auto"/>
                    </w:rPr>
                    <w:tab/>
                  </w:r>
                  <w:r>
                    <w:rPr>
                      <w:spacing w:val="-15"/>
                      <w:sz w:val="6"/>
                      <w:szCs w:val="6"/>
                    </w:rPr>
                    <w:t xml:space="preserve"> </w:t>
                  </w:r>
                  <w:r>
                    <w:rPr>
                      <w:sz w:val="6"/>
                      <w:szCs w:val="6"/>
                    </w:rPr>
                    <w:t>o</w:t>
                  </w:r>
                </w:p>
              </w:txbxContent>
            </v:textbox>
          </v:shape>
        </w:pict>
      </w:r>
      <w:r>
        <w:rPr>
          <w:rFonts w:ascii="宋体" w:hAnsi="宋体" w:eastAsia="宋体" w:cs="宋体"/>
          <w:spacing w:val="-18"/>
          <w:sz w:val="22"/>
          <w:szCs w:val="22"/>
          <w:highlight w:val="none"/>
        </w:rPr>
        <w:t>关于现场合作费用的特别约定：_</w:t>
      </w:r>
      <w:r>
        <w:rPr>
          <w:rFonts w:ascii="宋体" w:hAnsi="宋体" w:eastAsia="宋体" w:cs="宋体"/>
          <w:spacing w:val="-81"/>
          <w:sz w:val="22"/>
          <w:szCs w:val="22"/>
          <w:highlight w:val="none"/>
        </w:rPr>
        <w:t xml:space="preserve"> </w:t>
      </w:r>
      <w:r>
        <w:rPr>
          <w:rFonts w:ascii="宋体" w:hAnsi="宋体" w:eastAsia="宋体" w:cs="宋体"/>
          <w:sz w:val="22"/>
          <w:szCs w:val="22"/>
          <w:highlight w:val="none"/>
          <w:u w:val="single" w:color="auto"/>
        </w:rPr>
        <w:t xml:space="preserve">                      </w:t>
      </w:r>
    </w:p>
    <w:p w14:paraId="3FC23E62">
      <w:pPr>
        <w:pStyle w:val="2"/>
        <w:spacing w:line="321" w:lineRule="auto"/>
        <w:rPr>
          <w:highlight w:val="none"/>
        </w:rPr>
      </w:pPr>
    </w:p>
    <w:p w14:paraId="5447C648">
      <w:pPr>
        <w:spacing w:before="72" w:line="219" w:lineRule="auto"/>
        <w:rPr>
          <w:rFonts w:ascii="黑体" w:hAnsi="黑体" w:eastAsia="黑体" w:cs="黑体"/>
          <w:sz w:val="22"/>
          <w:szCs w:val="22"/>
          <w:highlight w:val="none"/>
        </w:rPr>
      </w:pPr>
      <w:r>
        <w:rPr>
          <w:rFonts w:ascii="黑体" w:hAnsi="黑体" w:eastAsia="黑体" w:cs="黑体"/>
          <w:spacing w:val="6"/>
          <w:sz w:val="22"/>
          <w:szCs w:val="22"/>
          <w:highlight w:val="none"/>
        </w:rPr>
        <w:t>7.4测量放线</w:t>
      </w:r>
    </w:p>
    <w:p w14:paraId="55BD531E">
      <w:pPr>
        <w:spacing w:before="224" w:line="437" w:lineRule="auto"/>
        <w:ind w:right="60" w:firstLine="410"/>
        <w:rPr>
          <w:rFonts w:ascii="宋体" w:hAnsi="宋体" w:eastAsia="宋体" w:cs="宋体"/>
          <w:sz w:val="20"/>
          <w:szCs w:val="20"/>
          <w:highlight w:val="none"/>
        </w:rPr>
      </w:pPr>
      <w:r>
        <w:rPr>
          <w:rFonts w:ascii="Times New Roman" w:hAnsi="Times New Roman" w:eastAsia="Times New Roman" w:cs="Times New Roman"/>
          <w:spacing w:val="-9"/>
          <w:sz w:val="22"/>
          <w:szCs w:val="22"/>
          <w:highlight w:val="none"/>
        </w:rPr>
        <w:t>7.4.1</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9"/>
          <w:sz w:val="22"/>
          <w:szCs w:val="22"/>
          <w:highlight w:val="none"/>
        </w:rPr>
        <w:t>关于测量放线的特别约定的技术规范：_</w:t>
      </w:r>
      <w:r>
        <w:rPr>
          <w:rFonts w:ascii="宋体" w:hAnsi="宋体" w:eastAsia="宋体" w:cs="宋体"/>
          <w:spacing w:val="-9"/>
          <w:sz w:val="22"/>
          <w:szCs w:val="22"/>
          <w:highlight w:val="none"/>
          <w:u w:val="single" w:color="auto"/>
        </w:rPr>
        <w:t xml:space="preserve">                            </w:t>
      </w:r>
      <w:r>
        <w:rPr>
          <w:rFonts w:ascii="宋体" w:hAnsi="宋体" w:eastAsia="宋体" w:cs="宋体"/>
          <w:spacing w:val="-9"/>
          <w:sz w:val="20"/>
          <w:szCs w:val="20"/>
          <w:highlight w:val="none"/>
        </w:rPr>
        <w:t>。施</w:t>
      </w:r>
      <w:r>
        <w:rPr>
          <w:rFonts w:ascii="宋体" w:hAnsi="宋体" w:eastAsia="宋体" w:cs="宋体"/>
          <w:spacing w:val="-10"/>
          <w:sz w:val="20"/>
          <w:szCs w:val="20"/>
          <w:highlight w:val="none"/>
        </w:rPr>
        <w:t>工控</w:t>
      </w:r>
      <w:r>
        <w:rPr>
          <w:rFonts w:ascii="宋体" w:hAnsi="宋体" w:eastAsia="宋体" w:cs="宋体"/>
          <w:sz w:val="20"/>
          <w:szCs w:val="20"/>
          <w:highlight w:val="none"/>
        </w:rPr>
        <w:t xml:space="preserve"> </w:t>
      </w:r>
      <w:r>
        <w:rPr>
          <w:rFonts w:ascii="宋体" w:hAnsi="宋体" w:eastAsia="宋体" w:cs="宋体"/>
          <w:spacing w:val="-2"/>
          <w:sz w:val="20"/>
          <w:szCs w:val="20"/>
          <w:highlight w:val="none"/>
        </w:rPr>
        <w:t>制网资料的告知期限：</w:t>
      </w:r>
      <w:r>
        <w:rPr>
          <w:rFonts w:ascii="宋体" w:hAnsi="宋体" w:eastAsia="宋体" w:cs="宋体"/>
          <w:sz w:val="20"/>
          <w:szCs w:val="20"/>
          <w:highlight w:val="none"/>
          <w:u w:val="single" w:color="auto"/>
        </w:rPr>
        <w:t xml:space="preserve">                                       </w:t>
      </w:r>
    </w:p>
    <w:p w14:paraId="1EDB5079">
      <w:pPr>
        <w:pStyle w:val="2"/>
        <w:spacing w:before="74" w:line="300" w:lineRule="exact"/>
        <w:rPr>
          <w:rFonts w:ascii="黑体" w:hAnsi="黑体" w:eastAsia="黑体" w:cs="黑体"/>
          <w:sz w:val="22"/>
          <w:szCs w:val="22"/>
          <w:highlight w:val="none"/>
        </w:rPr>
      </w:pPr>
      <w:r>
        <w:rPr>
          <w:spacing w:val="-5"/>
          <w:position w:val="1"/>
          <w:sz w:val="22"/>
          <w:szCs w:val="22"/>
          <w:highlight w:val="none"/>
        </w:rPr>
        <w:t>7.5</w:t>
      </w:r>
      <w:r>
        <w:rPr>
          <w:spacing w:val="43"/>
          <w:w w:val="101"/>
          <w:position w:val="1"/>
          <w:sz w:val="22"/>
          <w:szCs w:val="22"/>
          <w:highlight w:val="none"/>
        </w:rPr>
        <w:t xml:space="preserve"> </w:t>
      </w:r>
      <w:r>
        <w:rPr>
          <w:rFonts w:ascii="黑体" w:hAnsi="黑体" w:eastAsia="黑体" w:cs="黑体"/>
          <w:spacing w:val="-5"/>
          <w:position w:val="1"/>
          <w:sz w:val="22"/>
          <w:szCs w:val="22"/>
          <w:highlight w:val="none"/>
        </w:rPr>
        <w:t>现场劳动用工</w:t>
      </w:r>
    </w:p>
    <w:p w14:paraId="7F10A4D7">
      <w:pPr>
        <w:spacing w:before="230" w:line="219" w:lineRule="auto"/>
        <w:ind w:left="410"/>
        <w:rPr>
          <w:sz w:val="20"/>
          <w:szCs w:val="20"/>
          <w:highlight w:val="none"/>
        </w:rPr>
      </w:pPr>
      <w:r>
        <w:rPr>
          <w:rFonts w:ascii="Times New Roman" w:hAnsi="Times New Roman" w:eastAsia="Times New Roman" w:cs="Times New Roman"/>
          <w:spacing w:val="4"/>
          <w:sz w:val="20"/>
          <w:szCs w:val="20"/>
          <w:highlight w:val="none"/>
        </w:rPr>
        <w:t xml:space="preserve">7.5.2    </w:t>
      </w:r>
      <w:r>
        <w:rPr>
          <w:rFonts w:ascii="宋体" w:hAnsi="宋体" w:eastAsia="宋体" w:cs="宋体"/>
          <w:spacing w:val="4"/>
          <w:sz w:val="20"/>
          <w:szCs w:val="20"/>
          <w:highlight w:val="none"/>
        </w:rPr>
        <w:t>合同当事人对建筑工人工资清偿事宜和违约责任的约定：</w:t>
      </w:r>
      <w:r>
        <w:rPr>
          <w:rFonts w:ascii="宋体" w:hAnsi="宋体" w:eastAsia="宋体" w:cs="宋体"/>
          <w:spacing w:val="42"/>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79"/>
          <w:sz w:val="20"/>
          <w:szCs w:val="20"/>
          <w:highlight w:val="none"/>
        </w:rPr>
        <w:t xml:space="preserve"> </w:t>
      </w:r>
      <w:r>
        <w:rPr>
          <w:position w:val="1"/>
          <w:sz w:val="20"/>
          <w:szCs w:val="20"/>
          <w:highlight w:val="none"/>
        </w:rPr>
        <w:drawing>
          <wp:inline distT="0" distB="0" distL="0" distR="0">
            <wp:extent cx="44450" cy="4445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322"/>
                    <a:stretch>
                      <a:fillRect/>
                    </a:stretch>
                  </pic:blipFill>
                  <pic:spPr>
                    <a:xfrm>
                      <a:off x="0" y="0"/>
                      <a:ext cx="44469" cy="44484"/>
                    </a:xfrm>
                    <a:prstGeom prst="rect">
                      <a:avLst/>
                    </a:prstGeom>
                  </pic:spPr>
                </pic:pic>
              </a:graphicData>
            </a:graphic>
          </wp:inline>
        </w:drawing>
      </w:r>
    </w:p>
    <w:p w14:paraId="6C14D924">
      <w:pPr>
        <w:spacing w:line="219" w:lineRule="auto"/>
        <w:rPr>
          <w:sz w:val="20"/>
          <w:szCs w:val="20"/>
          <w:highlight w:val="none"/>
        </w:rPr>
        <w:sectPr>
          <w:footerReference r:id="rId153" w:type="default"/>
          <w:pgSz w:w="11910" w:h="16840"/>
          <w:pgMar w:top="400" w:right="1786" w:bottom="1217" w:left="1779" w:header="0" w:footer="1013" w:gutter="0"/>
          <w:cols w:space="720" w:num="1"/>
        </w:sectPr>
      </w:pPr>
    </w:p>
    <w:p w14:paraId="704EC403">
      <w:pPr>
        <w:pStyle w:val="2"/>
        <w:spacing w:line="269" w:lineRule="auto"/>
        <w:rPr>
          <w:highlight w:val="none"/>
        </w:rPr>
      </w:pPr>
    </w:p>
    <w:p w14:paraId="6A89E8BF">
      <w:pPr>
        <w:pStyle w:val="2"/>
        <w:spacing w:line="269" w:lineRule="auto"/>
        <w:rPr>
          <w:highlight w:val="none"/>
        </w:rPr>
      </w:pPr>
    </w:p>
    <w:p w14:paraId="7A50BA58">
      <w:pPr>
        <w:pStyle w:val="2"/>
        <w:spacing w:line="270" w:lineRule="auto"/>
        <w:rPr>
          <w:highlight w:val="none"/>
        </w:rPr>
      </w:pPr>
    </w:p>
    <w:p w14:paraId="5C2D291A">
      <w:pPr>
        <w:pStyle w:val="2"/>
        <w:spacing w:line="270" w:lineRule="auto"/>
        <w:rPr>
          <w:highlight w:val="none"/>
        </w:rPr>
      </w:pPr>
    </w:p>
    <w:p w14:paraId="7282C55B">
      <w:pPr>
        <w:spacing w:before="72" w:line="221" w:lineRule="auto"/>
        <w:rPr>
          <w:rFonts w:ascii="黑体" w:hAnsi="黑体" w:eastAsia="黑体" w:cs="黑体"/>
          <w:sz w:val="22"/>
          <w:szCs w:val="22"/>
          <w:highlight w:val="none"/>
        </w:rPr>
      </w:pPr>
      <w:bookmarkStart w:id="129" w:name="bookmark246"/>
      <w:bookmarkEnd w:id="129"/>
      <w:r>
        <w:rPr>
          <w:rFonts w:ascii="黑体" w:hAnsi="黑体" w:eastAsia="黑体" w:cs="黑体"/>
          <w:spacing w:val="2"/>
          <w:sz w:val="22"/>
          <w:szCs w:val="22"/>
          <w:highlight w:val="none"/>
        </w:rPr>
        <w:t>7.6安全文明施工</w:t>
      </w:r>
    </w:p>
    <w:p w14:paraId="1A4F8A72">
      <w:pPr>
        <w:spacing w:before="208"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7.6.1</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6"/>
          <w:sz w:val="22"/>
          <w:szCs w:val="22"/>
          <w:highlight w:val="none"/>
        </w:rPr>
        <w:t>安全生产要求</w:t>
      </w:r>
    </w:p>
    <w:p w14:paraId="4E8B80E4">
      <w:pPr>
        <w:pStyle w:val="2"/>
        <w:spacing w:before="229" w:line="220" w:lineRule="auto"/>
        <w:ind w:left="420"/>
        <w:rPr>
          <w:sz w:val="9"/>
          <w:szCs w:val="9"/>
          <w:highlight w:val="none"/>
        </w:rPr>
      </w:pPr>
      <w:r>
        <w:rPr>
          <w:rFonts w:ascii="宋体" w:hAnsi="宋体" w:eastAsia="宋体" w:cs="宋体"/>
          <w:highlight w:val="none"/>
        </w:rPr>
        <w:t>合同当事人对安全施工的要求：</w:t>
      </w:r>
      <w:r>
        <w:rPr>
          <w:rFonts w:ascii="宋体" w:hAnsi="宋体" w:eastAsia="宋体" w:cs="宋体"/>
          <w:highlight w:val="none"/>
          <w:u w:val="single" w:color="auto"/>
        </w:rPr>
        <w:t xml:space="preserve">                       </w:t>
      </w:r>
      <w:r>
        <w:rPr>
          <w:rFonts w:ascii="宋体" w:hAnsi="宋体" w:eastAsia="宋体" w:cs="宋体"/>
          <w:spacing w:val="-92"/>
          <w:highlight w:val="none"/>
        </w:rPr>
        <w:t xml:space="preserve"> </w:t>
      </w:r>
      <w:r>
        <w:rPr>
          <w:position w:val="-3"/>
          <w:sz w:val="9"/>
          <w:szCs w:val="9"/>
          <w:highlight w:val="none"/>
        </w:rPr>
        <w:t>o</w:t>
      </w:r>
    </w:p>
    <w:p w14:paraId="08D19B3D">
      <w:pPr>
        <w:spacing w:before="209" w:line="219" w:lineRule="auto"/>
        <w:ind w:left="420"/>
        <w:rPr>
          <w:rFonts w:ascii="宋体" w:hAnsi="宋体" w:eastAsia="宋体" w:cs="宋体"/>
          <w:sz w:val="22"/>
          <w:szCs w:val="22"/>
          <w:highlight w:val="none"/>
        </w:rPr>
      </w:pPr>
      <w:r>
        <w:rPr>
          <w:rFonts w:ascii="Times New Roman" w:hAnsi="Times New Roman" w:eastAsia="Times New Roman" w:cs="Times New Roman"/>
          <w:spacing w:val="-2"/>
          <w:sz w:val="22"/>
          <w:szCs w:val="22"/>
          <w:highlight w:val="none"/>
        </w:rPr>
        <w:t>7.6.3</w:t>
      </w:r>
      <w:r>
        <w:rPr>
          <w:rFonts w:ascii="Times New Roman" w:hAnsi="Times New Roman" w:eastAsia="Times New Roman" w:cs="Times New Roman"/>
          <w:spacing w:val="8"/>
          <w:sz w:val="22"/>
          <w:szCs w:val="22"/>
          <w:highlight w:val="none"/>
        </w:rPr>
        <w:t xml:space="preserve">   </w:t>
      </w:r>
      <w:r>
        <w:rPr>
          <w:rFonts w:ascii="宋体" w:hAnsi="宋体" w:eastAsia="宋体" w:cs="宋体"/>
          <w:spacing w:val="-2"/>
          <w:sz w:val="22"/>
          <w:szCs w:val="22"/>
          <w:highlight w:val="none"/>
        </w:rPr>
        <w:t>文明施工</w:t>
      </w:r>
    </w:p>
    <w:p w14:paraId="17E67295">
      <w:pPr>
        <w:spacing w:before="238" w:line="184" w:lineRule="auto"/>
        <w:ind w:left="420"/>
        <w:rPr>
          <w:rFonts w:ascii="宋体" w:hAnsi="宋体" w:eastAsia="宋体" w:cs="宋体"/>
          <w:sz w:val="21"/>
          <w:szCs w:val="21"/>
          <w:highlight w:val="none"/>
        </w:rPr>
      </w:pPr>
      <w:r>
        <w:rPr>
          <w:highlight w:val="none"/>
        </w:rPr>
        <w:pict>
          <v:shape id="_x0000_s1044" o:spid="_x0000_s1044" o:spt="202" type="#_x0000_t202" style="position:absolute;left:0pt;margin-left:288.5pt;margin-top:17.8pt;height:5.25pt;width:5.4pt;z-index:251683840;mso-width-relative:page;mso-height-relative:page;" filled="f" stroked="f" coordsize="21600,21600">
            <v:path/>
            <v:fill on="f" focussize="0,0"/>
            <v:stroke on="f"/>
            <v:imagedata o:title=""/>
            <o:lock v:ext="edit" aspectratio="f"/>
            <v:textbox inset="0mm,0mm,0mm,0mm">
              <w:txbxContent>
                <w:p w14:paraId="53912898">
                  <w:pPr>
                    <w:pStyle w:val="2"/>
                    <w:tabs>
                      <w:tab w:val="left" w:pos="54"/>
                    </w:tabs>
                    <w:spacing w:before="20" w:line="156" w:lineRule="auto"/>
                    <w:ind w:left="20"/>
                    <w:rPr>
                      <w:sz w:val="6"/>
                      <w:szCs w:val="6"/>
                    </w:rPr>
                  </w:pPr>
                  <w:r>
                    <w:rPr>
                      <w:sz w:val="6"/>
                      <w:szCs w:val="6"/>
                      <w:u w:val="dotted" w:color="auto"/>
                    </w:rPr>
                    <w:tab/>
                  </w:r>
                  <w:r>
                    <w:rPr>
                      <w:spacing w:val="-15"/>
                      <w:sz w:val="6"/>
                      <w:szCs w:val="6"/>
                    </w:rPr>
                    <w:t xml:space="preserve"> </w:t>
                  </w:r>
                  <w:r>
                    <w:rPr>
                      <w:sz w:val="6"/>
                      <w:szCs w:val="6"/>
                    </w:rPr>
                    <w:t>o</w:t>
                  </w:r>
                </w:p>
              </w:txbxContent>
            </v:textbox>
          </v:shape>
        </w:pict>
      </w:r>
      <w:r>
        <w:rPr>
          <w:rFonts w:ascii="宋体" w:hAnsi="宋体" w:eastAsia="宋体" w:cs="宋体"/>
          <w:sz w:val="21"/>
          <w:szCs w:val="21"/>
          <w:highlight w:val="none"/>
        </w:rPr>
        <w:t>合同当事人对文明施工的要求：</w:t>
      </w:r>
      <w:r>
        <w:rPr>
          <w:rFonts w:ascii="宋体" w:hAnsi="宋体" w:eastAsia="宋体" w:cs="宋体"/>
          <w:sz w:val="21"/>
          <w:szCs w:val="21"/>
          <w:highlight w:val="none"/>
          <w:u w:val="single" w:color="auto"/>
        </w:rPr>
        <w:t xml:space="preserve">                       </w:t>
      </w:r>
    </w:p>
    <w:p w14:paraId="436543C3">
      <w:pPr>
        <w:pStyle w:val="2"/>
        <w:spacing w:line="345" w:lineRule="auto"/>
        <w:rPr>
          <w:highlight w:val="none"/>
        </w:rPr>
      </w:pPr>
    </w:p>
    <w:p w14:paraId="0969C1E2">
      <w:pPr>
        <w:spacing w:before="72" w:line="222" w:lineRule="auto"/>
        <w:rPr>
          <w:rFonts w:ascii="黑体" w:hAnsi="黑体" w:eastAsia="黑体" w:cs="黑体"/>
          <w:sz w:val="22"/>
          <w:szCs w:val="22"/>
          <w:highlight w:val="none"/>
        </w:rPr>
      </w:pPr>
      <w:r>
        <w:rPr>
          <w:rFonts w:ascii="黑体" w:hAnsi="黑体" w:eastAsia="黑体" w:cs="黑体"/>
          <w:spacing w:val="2"/>
          <w:sz w:val="22"/>
          <w:szCs w:val="22"/>
          <w:highlight w:val="none"/>
        </w:rPr>
        <w:t>7.9临时性公用设施</w:t>
      </w:r>
    </w:p>
    <w:p w14:paraId="4FE79BA4">
      <w:pPr>
        <w:spacing w:before="237" w:line="184" w:lineRule="auto"/>
        <w:ind w:left="420"/>
        <w:rPr>
          <w:rFonts w:ascii="宋体" w:hAnsi="宋体" w:eastAsia="宋体" w:cs="宋体"/>
          <w:sz w:val="20"/>
          <w:szCs w:val="20"/>
          <w:highlight w:val="none"/>
        </w:rPr>
      </w:pPr>
      <w:r>
        <w:rPr>
          <w:highlight w:val="none"/>
        </w:rPr>
        <w:pict>
          <v:shape id="_x0000_s1045" o:spid="_x0000_s1045" o:spt="202" type="#_x0000_t202" style="position:absolute;left:0pt;margin-left:288.5pt;margin-top:17.6pt;height:5.4pt;width:5.15pt;z-index:251682816;mso-width-relative:page;mso-height-relative:page;" filled="f" stroked="f" coordsize="21600,21600">
            <v:path/>
            <v:fill on="f" focussize="0,0"/>
            <v:stroke on="f"/>
            <v:imagedata o:title=""/>
            <o:lock v:ext="edit" aspectratio="f"/>
            <v:textbox inset="0mm,0mm,0mm,0mm">
              <w:txbxContent>
                <w:p w14:paraId="6DCA45BA">
                  <w:pPr>
                    <w:pStyle w:val="2"/>
                    <w:spacing w:before="20" w:line="67" w:lineRule="exact"/>
                    <w:jc w:val="right"/>
                    <w:rPr>
                      <w:sz w:val="9"/>
                      <w:szCs w:val="9"/>
                    </w:rPr>
                  </w:pPr>
                  <w:r>
                    <w:rPr>
                      <w:w w:val="61"/>
                      <w:position w:val="1"/>
                      <w:sz w:val="9"/>
                      <w:szCs w:val="9"/>
                    </w:rPr>
                    <w:t>_o</w:t>
                  </w:r>
                </w:p>
              </w:txbxContent>
            </v:textbox>
          </v:shape>
        </w:pict>
      </w:r>
      <w:r>
        <w:rPr>
          <w:rFonts w:ascii="宋体" w:hAnsi="宋体" w:eastAsia="宋体" w:cs="宋体"/>
          <w:spacing w:val="-1"/>
          <w:sz w:val="20"/>
          <w:szCs w:val="20"/>
          <w:highlight w:val="none"/>
        </w:rPr>
        <w:t>关于临时性公用设施的特别约定：</w:t>
      </w:r>
      <w:r>
        <w:rPr>
          <w:rFonts w:ascii="宋体" w:hAnsi="宋体" w:eastAsia="宋体" w:cs="宋体"/>
          <w:spacing w:val="43"/>
          <w:sz w:val="20"/>
          <w:szCs w:val="20"/>
          <w:highlight w:val="none"/>
        </w:rPr>
        <w:t xml:space="preserve"> </w:t>
      </w:r>
      <w:r>
        <w:rPr>
          <w:rFonts w:ascii="宋体" w:hAnsi="宋体" w:eastAsia="宋体" w:cs="宋体"/>
          <w:sz w:val="20"/>
          <w:szCs w:val="20"/>
          <w:highlight w:val="none"/>
          <w:u w:val="single" w:color="auto"/>
        </w:rPr>
        <w:t xml:space="preserve">                       </w:t>
      </w:r>
    </w:p>
    <w:p w14:paraId="3F762E7C">
      <w:pPr>
        <w:pStyle w:val="2"/>
        <w:spacing w:line="297" w:lineRule="auto"/>
        <w:rPr>
          <w:highlight w:val="none"/>
        </w:rPr>
      </w:pPr>
    </w:p>
    <w:p w14:paraId="21A37843">
      <w:pPr>
        <w:pStyle w:val="2"/>
        <w:spacing w:before="72" w:line="300" w:lineRule="exact"/>
        <w:rPr>
          <w:rFonts w:ascii="黑体" w:hAnsi="黑体" w:eastAsia="黑体" w:cs="黑体"/>
          <w:sz w:val="22"/>
          <w:szCs w:val="22"/>
          <w:highlight w:val="none"/>
        </w:rPr>
      </w:pPr>
      <w:r>
        <w:rPr>
          <w:spacing w:val="-5"/>
          <w:position w:val="1"/>
          <w:sz w:val="22"/>
          <w:szCs w:val="22"/>
          <w:highlight w:val="none"/>
        </w:rPr>
        <w:t>7.10</w:t>
      </w:r>
      <w:r>
        <w:rPr>
          <w:spacing w:val="55"/>
          <w:position w:val="1"/>
          <w:sz w:val="22"/>
          <w:szCs w:val="22"/>
          <w:highlight w:val="none"/>
        </w:rPr>
        <w:t xml:space="preserve"> </w:t>
      </w:r>
      <w:r>
        <w:rPr>
          <w:rFonts w:ascii="黑体" w:hAnsi="黑体" w:eastAsia="黑体" w:cs="黑体"/>
          <w:spacing w:val="-5"/>
          <w:position w:val="1"/>
          <w:sz w:val="22"/>
          <w:szCs w:val="22"/>
          <w:highlight w:val="none"/>
        </w:rPr>
        <w:t>现场安保</w:t>
      </w:r>
    </w:p>
    <w:p w14:paraId="576ABB77">
      <w:pPr>
        <w:pStyle w:val="2"/>
        <w:spacing w:before="199" w:line="219" w:lineRule="auto"/>
        <w:ind w:left="420"/>
        <w:rPr>
          <w:sz w:val="22"/>
          <w:szCs w:val="22"/>
          <w:highlight w:val="none"/>
        </w:rPr>
      </w:pPr>
      <w:r>
        <w:rPr>
          <w:rFonts w:ascii="宋体" w:hAnsi="宋体" w:eastAsia="宋体" w:cs="宋体"/>
          <w:spacing w:val="-6"/>
          <w:sz w:val="22"/>
          <w:szCs w:val="22"/>
          <w:highlight w:val="none"/>
        </w:rPr>
        <w:t>承包人现场安保义务的特别约定：</w:t>
      </w:r>
      <w:r>
        <w:rPr>
          <w:rFonts w:ascii="宋体" w:hAnsi="宋体" w:eastAsia="宋体" w:cs="宋体"/>
          <w:spacing w:val="-6"/>
          <w:sz w:val="22"/>
          <w:szCs w:val="22"/>
          <w:highlight w:val="none"/>
          <w:u w:val="single" w:color="auto"/>
        </w:rPr>
        <w:t xml:space="preserve">                     </w:t>
      </w:r>
      <w:r>
        <w:rPr>
          <w:rFonts w:ascii="宋体" w:hAnsi="宋体" w:eastAsia="宋体" w:cs="宋体"/>
          <w:spacing w:val="-96"/>
          <w:sz w:val="22"/>
          <w:szCs w:val="22"/>
          <w:highlight w:val="none"/>
        </w:rPr>
        <w:t xml:space="preserve"> </w:t>
      </w:r>
      <w:r>
        <w:rPr>
          <w:spacing w:val="-6"/>
          <w:sz w:val="22"/>
          <w:szCs w:val="22"/>
          <w:highlight w:val="none"/>
        </w:rPr>
        <w:t>o</w:t>
      </w:r>
    </w:p>
    <w:p w14:paraId="52CEEB0F">
      <w:pPr>
        <w:pStyle w:val="2"/>
        <w:spacing w:line="248" w:lineRule="auto"/>
        <w:rPr>
          <w:highlight w:val="none"/>
        </w:rPr>
      </w:pPr>
    </w:p>
    <w:p w14:paraId="7CBC1C72">
      <w:pPr>
        <w:spacing w:before="91" w:line="222" w:lineRule="auto"/>
        <w:outlineLvl w:val="1"/>
        <w:rPr>
          <w:rFonts w:ascii="黑体" w:hAnsi="黑体" w:eastAsia="黑体" w:cs="黑体"/>
          <w:sz w:val="28"/>
          <w:szCs w:val="28"/>
          <w:highlight w:val="none"/>
        </w:rPr>
      </w:pPr>
      <w:bookmarkStart w:id="130" w:name="bookmark75"/>
      <w:bookmarkEnd w:id="130"/>
      <w:r>
        <w:rPr>
          <w:rFonts w:ascii="黑体" w:hAnsi="黑体" w:eastAsia="黑体" w:cs="黑体"/>
          <w:spacing w:val="37"/>
          <w:sz w:val="28"/>
          <w:szCs w:val="28"/>
          <w:highlight w:val="none"/>
        </w:rPr>
        <w:t>第8条工期和进度</w:t>
      </w:r>
    </w:p>
    <w:p w14:paraId="260565C5">
      <w:pPr>
        <w:pStyle w:val="2"/>
        <w:spacing w:line="318" w:lineRule="auto"/>
        <w:rPr>
          <w:highlight w:val="none"/>
        </w:rPr>
      </w:pPr>
    </w:p>
    <w:p w14:paraId="6A18786E">
      <w:pPr>
        <w:pStyle w:val="2"/>
        <w:spacing w:before="73" w:line="299" w:lineRule="exact"/>
        <w:rPr>
          <w:rFonts w:ascii="黑体" w:hAnsi="黑体" w:eastAsia="黑体" w:cs="黑体"/>
          <w:sz w:val="22"/>
          <w:szCs w:val="22"/>
          <w:highlight w:val="none"/>
        </w:rPr>
      </w:pPr>
      <w:r>
        <w:rPr>
          <w:spacing w:val="-3"/>
          <w:position w:val="1"/>
          <w:sz w:val="22"/>
          <w:szCs w:val="22"/>
          <w:highlight w:val="none"/>
        </w:rPr>
        <w:t>8.1</w:t>
      </w:r>
      <w:r>
        <w:rPr>
          <w:spacing w:val="54"/>
          <w:position w:val="1"/>
          <w:sz w:val="22"/>
          <w:szCs w:val="22"/>
          <w:highlight w:val="none"/>
        </w:rPr>
        <w:t xml:space="preserve"> </w:t>
      </w:r>
      <w:r>
        <w:rPr>
          <w:rFonts w:ascii="黑体" w:hAnsi="黑体" w:eastAsia="黑体" w:cs="黑体"/>
          <w:spacing w:val="-3"/>
          <w:position w:val="1"/>
          <w:sz w:val="22"/>
          <w:szCs w:val="22"/>
          <w:highlight w:val="none"/>
        </w:rPr>
        <w:t>开始工作</w:t>
      </w:r>
    </w:p>
    <w:p w14:paraId="4E2C9F20">
      <w:pPr>
        <w:spacing w:before="233" w:line="220" w:lineRule="auto"/>
        <w:ind w:left="420"/>
        <w:rPr>
          <w:rFonts w:ascii="宋体" w:hAnsi="宋体" w:eastAsia="宋体" w:cs="宋体"/>
          <w:sz w:val="24"/>
          <w:szCs w:val="24"/>
          <w:highlight w:val="none"/>
        </w:rPr>
      </w:pPr>
      <w:r>
        <w:rPr>
          <w:rFonts w:ascii="宋体" w:hAnsi="宋体" w:eastAsia="宋体" w:cs="宋体"/>
          <w:spacing w:val="-16"/>
          <w:sz w:val="24"/>
          <w:szCs w:val="24"/>
          <w:highlight w:val="none"/>
        </w:rPr>
        <w:t>8.1.1开始准备工作：</w:t>
      </w:r>
      <w:r>
        <w:rPr>
          <w:rFonts w:ascii="宋体" w:hAnsi="宋体" w:eastAsia="宋体" w:cs="宋体"/>
          <w:sz w:val="24"/>
          <w:szCs w:val="24"/>
          <w:highlight w:val="none"/>
          <w:u w:val="single" w:color="auto"/>
        </w:rPr>
        <w:t xml:space="preserve">                            </w:t>
      </w:r>
    </w:p>
    <w:p w14:paraId="4A850398">
      <w:pPr>
        <w:spacing w:before="152" w:line="219" w:lineRule="auto"/>
        <w:jc w:val="right"/>
        <w:rPr>
          <w:rFonts w:ascii="Times New Roman" w:hAnsi="Times New Roman" w:eastAsia="Times New Roman" w:cs="Times New Roman"/>
          <w:sz w:val="22"/>
          <w:szCs w:val="22"/>
          <w:highlight w:val="none"/>
        </w:rPr>
      </w:pPr>
      <w:r>
        <w:rPr>
          <w:rFonts w:ascii="Times New Roman" w:hAnsi="Times New Roman" w:eastAsia="Times New Roman" w:cs="Times New Roman"/>
          <w:spacing w:val="-6"/>
          <w:sz w:val="22"/>
          <w:szCs w:val="22"/>
          <w:highlight w:val="none"/>
        </w:rPr>
        <w:t>8.1.2</w:t>
      </w:r>
      <w:r>
        <w:rPr>
          <w:rFonts w:ascii="Times New Roman" w:hAnsi="Times New Roman" w:eastAsia="Times New Roman" w:cs="Times New Roman"/>
          <w:spacing w:val="12"/>
          <w:sz w:val="22"/>
          <w:szCs w:val="22"/>
          <w:highlight w:val="none"/>
        </w:rPr>
        <w:t xml:space="preserve">   </w:t>
      </w:r>
      <w:r>
        <w:rPr>
          <w:rFonts w:ascii="宋体" w:hAnsi="宋体" w:eastAsia="宋体" w:cs="宋体"/>
          <w:spacing w:val="-6"/>
          <w:sz w:val="22"/>
          <w:szCs w:val="22"/>
          <w:highlight w:val="none"/>
        </w:rPr>
        <w:t>发包人可在计划开始工作之日起84日后发出开始工作通知的特殊情形：</w:t>
      </w:r>
      <w:r>
        <w:rPr>
          <w:rFonts w:ascii="宋体" w:hAnsi="宋体" w:eastAsia="宋体" w:cs="宋体"/>
          <w:spacing w:val="-7"/>
          <w:sz w:val="22"/>
          <w:szCs w:val="22"/>
          <w:highlight w:val="none"/>
          <w:u w:val="single" w:color="auto"/>
        </w:rPr>
        <w:t xml:space="preserve">     </w:t>
      </w:r>
      <w:r>
        <w:rPr>
          <w:rFonts w:ascii="宋体" w:hAnsi="宋体" w:eastAsia="宋体" w:cs="宋体"/>
          <w:spacing w:val="-98"/>
          <w:sz w:val="22"/>
          <w:szCs w:val="22"/>
          <w:highlight w:val="none"/>
        </w:rPr>
        <w:t xml:space="preserve"> </w:t>
      </w:r>
      <w:r>
        <w:rPr>
          <w:rFonts w:ascii="Times New Roman" w:hAnsi="Times New Roman" w:eastAsia="Times New Roman" w:cs="Times New Roman"/>
          <w:spacing w:val="-7"/>
          <w:sz w:val="22"/>
          <w:szCs w:val="22"/>
          <w:highlight w:val="none"/>
        </w:rPr>
        <w:t>0</w:t>
      </w:r>
    </w:p>
    <w:p w14:paraId="5D22AF15">
      <w:pPr>
        <w:pStyle w:val="2"/>
        <w:spacing w:line="313" w:lineRule="auto"/>
        <w:rPr>
          <w:highlight w:val="none"/>
        </w:rPr>
      </w:pPr>
    </w:p>
    <w:p w14:paraId="1676F80E">
      <w:pPr>
        <w:spacing w:before="72" w:line="221" w:lineRule="auto"/>
        <w:rPr>
          <w:rFonts w:ascii="黑体" w:hAnsi="黑体" w:eastAsia="黑体" w:cs="黑体"/>
          <w:sz w:val="22"/>
          <w:szCs w:val="22"/>
          <w:highlight w:val="none"/>
        </w:rPr>
      </w:pPr>
      <w:r>
        <w:rPr>
          <w:rFonts w:ascii="黑体" w:hAnsi="黑体" w:eastAsia="黑体" w:cs="黑体"/>
          <w:spacing w:val="7"/>
          <w:sz w:val="22"/>
          <w:szCs w:val="22"/>
          <w:highlight w:val="none"/>
        </w:rPr>
        <w:t>8.2竣工日期</w:t>
      </w:r>
    </w:p>
    <w:p w14:paraId="63609338">
      <w:pPr>
        <w:spacing w:before="229"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竣工日期的约定：</w:t>
      </w:r>
      <w:r>
        <w:rPr>
          <w:rFonts w:ascii="宋体" w:hAnsi="宋体" w:eastAsia="宋体" w:cs="宋体"/>
          <w:sz w:val="22"/>
          <w:szCs w:val="22"/>
          <w:highlight w:val="none"/>
          <w:u w:val="single" w:color="auto"/>
        </w:rPr>
        <w:t xml:space="preserve">                                  </w:t>
      </w:r>
    </w:p>
    <w:p w14:paraId="28278813">
      <w:pPr>
        <w:pStyle w:val="2"/>
        <w:spacing w:line="294" w:lineRule="auto"/>
        <w:rPr>
          <w:highlight w:val="none"/>
        </w:rPr>
      </w:pPr>
    </w:p>
    <w:p w14:paraId="3F99187D">
      <w:pPr>
        <w:spacing w:before="72" w:line="222" w:lineRule="auto"/>
        <w:rPr>
          <w:rFonts w:ascii="黑体" w:hAnsi="黑体" w:eastAsia="黑体" w:cs="黑体"/>
          <w:sz w:val="22"/>
          <w:szCs w:val="22"/>
          <w:highlight w:val="none"/>
        </w:rPr>
      </w:pPr>
      <w:r>
        <w:rPr>
          <w:rFonts w:ascii="黑体" w:hAnsi="黑体" w:eastAsia="黑体" w:cs="黑体"/>
          <w:spacing w:val="3"/>
          <w:sz w:val="22"/>
          <w:szCs w:val="22"/>
          <w:highlight w:val="none"/>
        </w:rPr>
        <w:t>8.3项目实施计划</w:t>
      </w:r>
    </w:p>
    <w:p w14:paraId="5B3DF071">
      <w:pPr>
        <w:spacing w:before="246" w:line="219" w:lineRule="auto"/>
        <w:ind w:left="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8.3.1    </w:t>
      </w:r>
      <w:r>
        <w:rPr>
          <w:rFonts w:ascii="宋体" w:hAnsi="宋体" w:eastAsia="宋体" w:cs="宋体"/>
          <w:spacing w:val="7"/>
          <w:sz w:val="20"/>
          <w:szCs w:val="20"/>
          <w:highlight w:val="none"/>
        </w:rPr>
        <w:t>项目实施计划的内容</w:t>
      </w:r>
    </w:p>
    <w:p w14:paraId="5D2F30A3">
      <w:pPr>
        <w:spacing w:before="223" w:line="184" w:lineRule="auto"/>
        <w:ind w:left="420"/>
        <w:rPr>
          <w:rFonts w:ascii="宋体" w:hAnsi="宋体" w:eastAsia="宋体" w:cs="宋体"/>
          <w:sz w:val="20"/>
          <w:szCs w:val="20"/>
          <w:highlight w:val="none"/>
        </w:rPr>
      </w:pPr>
      <w:r>
        <w:rPr>
          <w:highlight w:val="none"/>
        </w:rPr>
        <w:pict>
          <v:shape id="_x0000_s1046" o:spid="_x0000_s1046" o:spt="202" type="#_x0000_t202" style="position:absolute;left:0pt;margin-left:283.5pt;margin-top:16.8pt;height:5.2pt;width:3.65pt;z-index:251684864;mso-width-relative:page;mso-height-relative:page;" filled="f" stroked="f" coordsize="21600,21600">
            <v:path/>
            <v:fill on="f" focussize="0,0"/>
            <v:stroke on="f"/>
            <v:imagedata o:title=""/>
            <o:lock v:ext="edit" aspectratio="f"/>
            <v:textbox inset="0mm,0mm,0mm,0mm">
              <w:txbxContent>
                <w:p w14:paraId="64CA5048">
                  <w:pPr>
                    <w:spacing w:before="20" w:line="188" w:lineRule="auto"/>
                    <w:ind w:left="20"/>
                    <w:rPr>
                      <w:rFonts w:ascii="Times New Roman" w:hAnsi="Times New Roman" w:eastAsia="Times New Roman" w:cs="Times New Roman"/>
                      <w:sz w:val="7"/>
                      <w:szCs w:val="7"/>
                    </w:rPr>
                  </w:pPr>
                  <w:r>
                    <w:rPr>
                      <w:rFonts w:ascii="Times New Roman" w:hAnsi="Times New Roman" w:eastAsia="Times New Roman" w:cs="Times New Roman"/>
                      <w:sz w:val="7"/>
                      <w:szCs w:val="7"/>
                    </w:rPr>
                    <w:t>0</w:t>
                  </w:r>
                </w:p>
              </w:txbxContent>
            </v:textbox>
          </v:shape>
        </w:pict>
      </w:r>
      <w:r>
        <w:rPr>
          <w:rFonts w:ascii="宋体" w:hAnsi="宋体" w:eastAsia="宋体" w:cs="宋体"/>
          <w:spacing w:val="-1"/>
          <w:sz w:val="20"/>
          <w:szCs w:val="20"/>
          <w:highlight w:val="none"/>
        </w:rPr>
        <w:t>项目实施计划的内容：</w:t>
      </w:r>
      <w:r>
        <w:rPr>
          <w:rFonts w:ascii="宋体" w:hAnsi="宋体" w:eastAsia="宋体" w:cs="宋体"/>
          <w:spacing w:val="28"/>
          <w:sz w:val="20"/>
          <w:szCs w:val="20"/>
          <w:highlight w:val="none"/>
        </w:rPr>
        <w:t xml:space="preserve"> </w:t>
      </w:r>
      <w:r>
        <w:rPr>
          <w:rFonts w:ascii="宋体" w:hAnsi="宋体" w:eastAsia="宋体" w:cs="宋体"/>
          <w:sz w:val="20"/>
          <w:szCs w:val="20"/>
          <w:highlight w:val="none"/>
          <w:u w:val="single" w:color="auto"/>
        </w:rPr>
        <w:t xml:space="preserve">                                </w:t>
      </w:r>
    </w:p>
    <w:p w14:paraId="1363FCF8">
      <w:pPr>
        <w:spacing w:before="291" w:line="219" w:lineRule="auto"/>
        <w:ind w:left="420"/>
        <w:rPr>
          <w:rFonts w:ascii="宋体" w:hAnsi="宋体" w:eastAsia="宋体" w:cs="宋体"/>
          <w:sz w:val="21"/>
          <w:szCs w:val="21"/>
          <w:highlight w:val="none"/>
        </w:rPr>
      </w:pPr>
      <w:r>
        <w:rPr>
          <w:rFonts w:ascii="宋体" w:hAnsi="宋体" w:eastAsia="宋体" w:cs="宋体"/>
          <w:spacing w:val="6"/>
          <w:sz w:val="21"/>
          <w:szCs w:val="21"/>
          <w:highlight w:val="none"/>
        </w:rPr>
        <w:t>8.3.2项目实施计划的提交和修改</w:t>
      </w:r>
    </w:p>
    <w:p w14:paraId="62CE5128">
      <w:pPr>
        <w:spacing w:before="213" w:line="213" w:lineRule="auto"/>
        <w:ind w:left="420"/>
        <w:rPr>
          <w:rFonts w:ascii="宋体" w:hAnsi="宋体" w:eastAsia="宋体" w:cs="宋体"/>
          <w:sz w:val="21"/>
          <w:szCs w:val="21"/>
          <w:highlight w:val="none"/>
        </w:rPr>
      </w:pPr>
      <w:r>
        <w:rPr>
          <w:rFonts w:ascii="宋体" w:hAnsi="宋体" w:eastAsia="宋体" w:cs="宋体"/>
          <w:sz w:val="21"/>
          <w:szCs w:val="21"/>
          <w:highlight w:val="none"/>
        </w:rPr>
        <w:t>项目实施计划的提交及修改期限：</w:t>
      </w:r>
      <w:r>
        <w:rPr>
          <w:rFonts w:ascii="宋体" w:hAnsi="宋体" w:eastAsia="宋体" w:cs="宋体"/>
          <w:sz w:val="21"/>
          <w:szCs w:val="21"/>
          <w:highlight w:val="none"/>
          <w:u w:val="single" w:color="auto"/>
        </w:rPr>
        <w:t xml:space="preserve">                    </w:t>
      </w:r>
      <w:r>
        <w:rPr>
          <w:rFonts w:ascii="宋体" w:hAnsi="宋体" w:eastAsia="宋体" w:cs="宋体"/>
          <w:spacing w:val="-87"/>
          <w:sz w:val="21"/>
          <w:szCs w:val="21"/>
          <w:highlight w:val="none"/>
        </w:rPr>
        <w:t xml:space="preserve"> </w:t>
      </w:r>
      <w:r>
        <w:rPr>
          <w:rFonts w:ascii="宋体" w:hAnsi="宋体" w:eastAsia="宋体" w:cs="宋体"/>
          <w:sz w:val="21"/>
          <w:szCs w:val="21"/>
          <w:highlight w:val="none"/>
        </w:rPr>
        <w:t>_</w:t>
      </w:r>
    </w:p>
    <w:p w14:paraId="10D09C63">
      <w:pPr>
        <w:pStyle w:val="2"/>
        <w:spacing w:line="330" w:lineRule="auto"/>
        <w:rPr>
          <w:highlight w:val="none"/>
        </w:rPr>
      </w:pPr>
    </w:p>
    <w:p w14:paraId="01C82E95">
      <w:pPr>
        <w:spacing w:before="72" w:line="222" w:lineRule="auto"/>
        <w:rPr>
          <w:rFonts w:ascii="黑体" w:hAnsi="黑体" w:eastAsia="黑体" w:cs="黑体"/>
          <w:sz w:val="22"/>
          <w:szCs w:val="22"/>
          <w:highlight w:val="none"/>
        </w:rPr>
      </w:pPr>
      <w:r>
        <w:rPr>
          <w:rFonts w:ascii="黑体" w:hAnsi="黑体" w:eastAsia="黑体" w:cs="黑体"/>
          <w:spacing w:val="3"/>
          <w:sz w:val="22"/>
          <w:szCs w:val="22"/>
          <w:highlight w:val="none"/>
        </w:rPr>
        <w:t>8.4项目进度计划</w:t>
      </w:r>
    </w:p>
    <w:p w14:paraId="4894AF70">
      <w:pPr>
        <w:spacing w:before="227" w:line="184" w:lineRule="auto"/>
        <w:ind w:left="420"/>
        <w:rPr>
          <w:rFonts w:ascii="宋体" w:hAnsi="宋体" w:eastAsia="宋体" w:cs="宋体"/>
          <w:sz w:val="22"/>
          <w:szCs w:val="22"/>
          <w:highlight w:val="none"/>
        </w:rPr>
      </w:pPr>
      <w:r>
        <w:rPr>
          <w:highlight w:val="none"/>
        </w:rPr>
        <w:pict>
          <v:shape id="_x0000_s1047" o:spid="_x0000_s1047" o:spt="202" type="#_x0000_t202" style="position:absolute;left:0pt;margin-left:384pt;margin-top:13.65pt;height:8.15pt;width:4.35pt;z-index:251681792;mso-width-relative:page;mso-height-relative:page;" filled="f" stroked="f" coordsize="21600,21600">
            <v:path/>
            <v:fill on="f" focussize="0,0"/>
            <v:stroke on="f"/>
            <v:imagedata o:title=""/>
            <o:lock v:ext="edit" aspectratio="f"/>
            <v:textbox inset="0mm,0mm,0mm,0mm">
              <w:txbxContent>
                <w:p w14:paraId="3F3E723F">
                  <w:pPr>
                    <w:pStyle w:val="2"/>
                    <w:spacing w:before="20" w:line="122" w:lineRule="exact"/>
                    <w:ind w:left="20"/>
                    <w:rPr>
                      <w:sz w:val="9"/>
                      <w:szCs w:val="9"/>
                    </w:rPr>
                  </w:pPr>
                  <w:r>
                    <w:rPr>
                      <w:position w:val="1"/>
                      <w:sz w:val="9"/>
                      <w:szCs w:val="9"/>
                    </w:rPr>
                    <w:t>0</w:t>
                  </w:r>
                </w:p>
              </w:txbxContent>
            </v:textbox>
          </v:shape>
        </w:pict>
      </w:r>
      <w:r>
        <w:rPr>
          <w:rFonts w:ascii="Times New Roman" w:hAnsi="Times New Roman" w:eastAsia="Times New Roman" w:cs="Times New Roman"/>
          <w:spacing w:val="-6"/>
          <w:sz w:val="22"/>
          <w:szCs w:val="22"/>
          <w:highlight w:val="none"/>
        </w:rPr>
        <w:t xml:space="preserve">8.4.1   </w:t>
      </w:r>
      <w:r>
        <w:rPr>
          <w:rFonts w:ascii="宋体" w:hAnsi="宋体" w:eastAsia="宋体" w:cs="宋体"/>
          <w:spacing w:val="-6"/>
          <w:sz w:val="22"/>
          <w:szCs w:val="22"/>
          <w:highlight w:val="none"/>
        </w:rPr>
        <w:t>工程师在收到进度计划后确认或提出修改意见的期限：</w:t>
      </w:r>
      <w:r>
        <w:rPr>
          <w:rFonts w:ascii="宋体" w:hAnsi="宋体" w:eastAsia="宋体" w:cs="宋体"/>
          <w:spacing w:val="-6"/>
          <w:sz w:val="22"/>
          <w:szCs w:val="22"/>
          <w:highlight w:val="none"/>
          <w:u w:val="single" w:color="auto"/>
        </w:rPr>
        <w:t xml:space="preserve">          </w:t>
      </w:r>
      <w:r>
        <w:rPr>
          <w:rFonts w:ascii="宋体" w:hAnsi="宋体" w:eastAsia="宋体" w:cs="宋体"/>
          <w:spacing w:val="-7"/>
          <w:sz w:val="22"/>
          <w:szCs w:val="22"/>
          <w:highlight w:val="none"/>
          <w:u w:val="single" w:color="auto"/>
        </w:rPr>
        <w:t xml:space="preserve">     </w:t>
      </w:r>
    </w:p>
    <w:sdt>
      <w:sdtPr>
        <w:rPr>
          <w:rFonts w:ascii="Arial" w:hAnsi="Arial" w:eastAsia="Arial" w:cs="Arial"/>
          <w:sz w:val="21"/>
          <w:szCs w:val="21"/>
          <w:highlight w:val="none"/>
        </w:rPr>
        <w:id w:val="147453190"/>
        <w:docPartObj>
          <w:docPartGallery w:val="Table of Contents"/>
          <w:docPartUnique/>
        </w:docPartObj>
      </w:sdtPr>
      <w:sdtEndPr>
        <w:rPr>
          <w:rFonts w:ascii="Times New Roman" w:hAnsi="Times New Roman" w:eastAsia="Times New Roman" w:cs="Times New Roman"/>
          <w:sz w:val="20"/>
          <w:szCs w:val="20"/>
          <w:highlight w:val="none"/>
        </w:rPr>
      </w:sdtEndPr>
      <w:sdtContent>
        <w:p w14:paraId="4807147F">
          <w:pPr>
            <w:spacing w:before="242" w:line="213" w:lineRule="auto"/>
            <w:ind w:left="420"/>
            <w:rPr>
              <w:rFonts w:ascii="宋体" w:hAnsi="宋体" w:eastAsia="宋体" w:cs="宋体"/>
              <w:sz w:val="22"/>
              <w:szCs w:val="22"/>
              <w:highlight w:val="none"/>
            </w:rPr>
          </w:pPr>
          <w:r>
            <w:rPr>
              <w:rFonts w:ascii="宋体" w:hAnsi="宋体" w:eastAsia="宋体" w:cs="宋体"/>
              <w:spacing w:val="-1"/>
              <w:sz w:val="22"/>
              <w:szCs w:val="22"/>
              <w:highlight w:val="none"/>
            </w:rPr>
            <w:t>8.4.2进度计划的具体要求：</w:t>
          </w:r>
          <w:r>
            <w:rPr>
              <w:rFonts w:ascii="宋体" w:hAnsi="宋体" w:eastAsia="宋体" w:cs="宋体"/>
              <w:spacing w:val="-1"/>
              <w:sz w:val="22"/>
              <w:szCs w:val="22"/>
              <w:highlight w:val="none"/>
              <w:u w:val="single" w:color="auto"/>
            </w:rPr>
            <w:t xml:space="preserve">                       </w:t>
          </w:r>
          <w:r>
            <w:rPr>
              <w:rFonts w:ascii="宋体" w:hAnsi="宋体" w:eastAsia="宋体" w:cs="宋体"/>
              <w:spacing w:val="-83"/>
              <w:sz w:val="22"/>
              <w:szCs w:val="22"/>
              <w:highlight w:val="none"/>
            </w:rPr>
            <w:t xml:space="preserve"> </w:t>
          </w:r>
          <w:r>
            <w:rPr>
              <w:rFonts w:ascii="宋体" w:hAnsi="宋体" w:eastAsia="宋体" w:cs="宋体"/>
              <w:spacing w:val="-1"/>
              <w:sz w:val="22"/>
              <w:szCs w:val="22"/>
              <w:highlight w:val="none"/>
            </w:rPr>
            <w:t>_</w:t>
          </w:r>
        </w:p>
        <w:p w14:paraId="632150C6">
          <w:pPr>
            <w:spacing w:before="254" w:line="219" w:lineRule="auto"/>
            <w:ind w:left="420"/>
            <w:rPr>
              <w:rFonts w:ascii="Times New Roman" w:hAnsi="Times New Roman" w:eastAsia="Times New Roman" w:cs="Times New Roman"/>
              <w:sz w:val="20"/>
              <w:szCs w:val="20"/>
              <w:highlight w:val="none"/>
            </w:rPr>
          </w:pPr>
          <w:r>
            <w:rPr>
              <w:rFonts w:ascii="宋体" w:hAnsi="宋体" w:eastAsia="宋体" w:cs="宋体"/>
              <w:spacing w:val="1"/>
              <w:sz w:val="20"/>
              <w:szCs w:val="20"/>
              <w:highlight w:val="none"/>
            </w:rPr>
            <w:t>关键路径及关键路径变化的确定原则：</w:t>
          </w:r>
          <w:r>
            <w:rPr>
              <w:rFonts w:ascii="宋体" w:hAnsi="宋体" w:eastAsia="宋体" w:cs="宋体"/>
              <w:spacing w:val="41"/>
              <w:sz w:val="20"/>
              <w:szCs w:val="20"/>
              <w:highlight w:val="none"/>
            </w:rPr>
            <w:t xml:space="preserve"> </w:t>
          </w:r>
          <w:r>
            <w:rPr>
              <w:rFonts w:ascii="宋体" w:hAnsi="宋体" w:eastAsia="宋体" w:cs="宋体"/>
              <w:spacing w:val="4"/>
              <w:sz w:val="20"/>
              <w:szCs w:val="20"/>
              <w:highlight w:val="none"/>
              <w:u w:val="single" w:color="auto"/>
            </w:rPr>
            <w:t xml:space="preserve">                 </w:t>
          </w:r>
          <w:r>
            <w:rPr>
              <w:rFonts w:ascii="宋体" w:hAnsi="宋体" w:eastAsia="宋体" w:cs="宋体"/>
              <w:spacing w:val="-59"/>
              <w:sz w:val="20"/>
              <w:szCs w:val="20"/>
              <w:highlight w:val="none"/>
            </w:rPr>
            <w:t xml:space="preserve"> </w:t>
          </w:r>
          <w:r>
            <w:rPr>
              <w:highlight w:val="none"/>
            </w:rPr>
            <w:fldChar w:fldCharType="begin"/>
          </w:r>
          <w:r>
            <w:rPr>
              <w:highlight w:val="none"/>
            </w:rPr>
            <w:instrText xml:space="preserve"> HYPERLINK \l "bookmark247" </w:instrText>
          </w:r>
          <w:r>
            <w:rPr>
              <w:highlight w:val="none"/>
            </w:rPr>
            <w:fldChar w:fldCharType="separate"/>
          </w:r>
          <w:r>
            <w:rPr>
              <w:rFonts w:ascii="Times New Roman" w:hAnsi="Times New Roman" w:eastAsia="Times New Roman" w:cs="Times New Roman"/>
              <w:spacing w:val="1"/>
              <w:sz w:val="20"/>
              <w:szCs w:val="20"/>
              <w:highlight w:val="none"/>
            </w:rPr>
            <w:t>0</w:t>
          </w:r>
          <w:r>
            <w:rPr>
              <w:rFonts w:ascii="Times New Roman" w:hAnsi="Times New Roman" w:eastAsia="Times New Roman" w:cs="Times New Roman"/>
              <w:spacing w:val="1"/>
              <w:sz w:val="20"/>
              <w:szCs w:val="20"/>
              <w:highlight w:val="none"/>
            </w:rPr>
            <w:fldChar w:fldCharType="end"/>
          </w:r>
        </w:p>
      </w:sdtContent>
    </w:sdt>
    <w:p w14:paraId="678AF1B9">
      <w:pPr>
        <w:spacing w:before="224" w:line="184" w:lineRule="auto"/>
        <w:ind w:left="420"/>
        <w:rPr>
          <w:rFonts w:ascii="宋体" w:hAnsi="宋体" w:eastAsia="宋体" w:cs="宋体"/>
          <w:sz w:val="22"/>
          <w:szCs w:val="22"/>
          <w:highlight w:val="none"/>
        </w:rPr>
      </w:pPr>
      <w:r>
        <w:rPr>
          <w:highlight w:val="none"/>
        </w:rPr>
        <w:pict>
          <v:shape id="_x0000_s1048" o:spid="_x0000_s1048" o:spt="202" type="#_x0000_t202" style="position:absolute;left:0pt;margin-left:288.5pt;margin-top:16.3pt;height:5.2pt;width:3.65pt;z-index:251685888;mso-width-relative:page;mso-height-relative:page;" filled="f" stroked="f" coordsize="21600,21600">
            <v:path/>
            <v:fill on="f" focussize="0,0"/>
            <v:stroke on="f"/>
            <v:imagedata o:title=""/>
            <o:lock v:ext="edit" aspectratio="f"/>
            <v:textbox inset="0mm,0mm,0mm,0mm">
              <w:txbxContent>
                <w:p w14:paraId="76B01F15">
                  <w:pPr>
                    <w:spacing w:before="20" w:line="188" w:lineRule="auto"/>
                    <w:ind w:left="20"/>
                    <w:rPr>
                      <w:rFonts w:ascii="Times New Roman" w:hAnsi="Times New Roman" w:eastAsia="Times New Roman" w:cs="Times New Roman"/>
                      <w:sz w:val="7"/>
                      <w:szCs w:val="7"/>
                    </w:rPr>
                  </w:pPr>
                  <w:r>
                    <w:rPr>
                      <w:rFonts w:ascii="Times New Roman" w:hAnsi="Times New Roman" w:eastAsia="Times New Roman" w:cs="Times New Roman"/>
                      <w:sz w:val="7"/>
                      <w:szCs w:val="7"/>
                    </w:rPr>
                    <w:t>0</w:t>
                  </w:r>
                </w:p>
              </w:txbxContent>
            </v:textbox>
          </v:shape>
        </w:pict>
      </w:r>
      <w:r>
        <w:rPr>
          <w:rFonts w:ascii="宋体" w:hAnsi="宋体" w:eastAsia="宋体" w:cs="宋体"/>
          <w:spacing w:val="-8"/>
          <w:sz w:val="22"/>
          <w:szCs w:val="22"/>
          <w:highlight w:val="none"/>
        </w:rPr>
        <w:t>承包人提交项目进度计划的份数和时间：</w:t>
      </w:r>
      <w:r>
        <w:rPr>
          <w:rFonts w:ascii="宋体" w:hAnsi="宋体" w:eastAsia="宋体" w:cs="宋体"/>
          <w:spacing w:val="-8"/>
          <w:sz w:val="22"/>
          <w:szCs w:val="22"/>
          <w:highlight w:val="none"/>
          <w:u w:val="single" w:color="auto"/>
        </w:rPr>
        <w:t xml:space="preserve">       </w:t>
      </w:r>
      <w:r>
        <w:rPr>
          <w:rFonts w:ascii="宋体" w:hAnsi="宋体" w:eastAsia="宋体" w:cs="宋体"/>
          <w:spacing w:val="-9"/>
          <w:sz w:val="22"/>
          <w:szCs w:val="22"/>
          <w:highlight w:val="none"/>
          <w:u w:val="single" w:color="auto"/>
        </w:rPr>
        <w:t xml:space="preserve">        </w:t>
      </w:r>
    </w:p>
    <w:p w14:paraId="120ABD5A">
      <w:pPr>
        <w:spacing w:before="240"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8.4.3</w:t>
      </w:r>
      <w:r>
        <w:rPr>
          <w:rFonts w:ascii="Times New Roman" w:hAnsi="Times New Roman" w:eastAsia="Times New Roman" w:cs="Times New Roman"/>
          <w:spacing w:val="13"/>
          <w:w w:val="101"/>
          <w:sz w:val="22"/>
          <w:szCs w:val="22"/>
          <w:highlight w:val="none"/>
        </w:rPr>
        <w:t xml:space="preserve">   </w:t>
      </w:r>
      <w:r>
        <w:rPr>
          <w:rFonts w:ascii="宋体" w:hAnsi="宋体" w:eastAsia="宋体" w:cs="宋体"/>
          <w:spacing w:val="-5"/>
          <w:sz w:val="22"/>
          <w:szCs w:val="22"/>
          <w:highlight w:val="none"/>
        </w:rPr>
        <w:t>进度计划的修订</w:t>
      </w:r>
    </w:p>
    <w:p w14:paraId="1776A5F8">
      <w:pPr>
        <w:spacing w:line="219" w:lineRule="auto"/>
        <w:rPr>
          <w:rFonts w:ascii="宋体" w:hAnsi="宋体" w:eastAsia="宋体" w:cs="宋体"/>
          <w:sz w:val="22"/>
          <w:szCs w:val="22"/>
          <w:highlight w:val="none"/>
        </w:rPr>
        <w:sectPr>
          <w:footerReference r:id="rId154" w:type="default"/>
          <w:pgSz w:w="11910" w:h="16840"/>
          <w:pgMar w:top="400" w:right="1786" w:bottom="1217" w:left="1769" w:header="0" w:footer="1013" w:gutter="0"/>
          <w:cols w:space="720" w:num="1"/>
        </w:sectPr>
      </w:pPr>
    </w:p>
    <w:p w14:paraId="17FB407E">
      <w:pPr>
        <w:pStyle w:val="2"/>
        <w:spacing w:line="274" w:lineRule="auto"/>
        <w:rPr>
          <w:highlight w:val="none"/>
        </w:rPr>
      </w:pPr>
    </w:p>
    <w:p w14:paraId="167707EB">
      <w:pPr>
        <w:pStyle w:val="2"/>
        <w:spacing w:line="274" w:lineRule="auto"/>
        <w:rPr>
          <w:highlight w:val="none"/>
        </w:rPr>
      </w:pPr>
    </w:p>
    <w:p w14:paraId="158674F2">
      <w:pPr>
        <w:pStyle w:val="2"/>
        <w:spacing w:line="275" w:lineRule="auto"/>
        <w:rPr>
          <w:highlight w:val="none"/>
        </w:rPr>
      </w:pPr>
    </w:p>
    <w:p w14:paraId="20E1DAC7">
      <w:pPr>
        <w:pStyle w:val="2"/>
        <w:spacing w:line="275" w:lineRule="auto"/>
        <w:rPr>
          <w:highlight w:val="none"/>
        </w:rPr>
      </w:pPr>
    </w:p>
    <w:p w14:paraId="7580E0A6">
      <w:pPr>
        <w:pStyle w:val="2"/>
        <w:spacing w:before="72" w:line="218" w:lineRule="auto"/>
        <w:ind w:left="420"/>
        <w:rPr>
          <w:sz w:val="22"/>
          <w:szCs w:val="22"/>
          <w:highlight w:val="none"/>
        </w:rPr>
      </w:pPr>
      <w:bookmarkStart w:id="131" w:name="bookmark248"/>
      <w:bookmarkEnd w:id="131"/>
      <w:r>
        <w:rPr>
          <w:rFonts w:ascii="宋体" w:hAnsi="宋体" w:eastAsia="宋体" w:cs="宋体"/>
          <w:spacing w:val="-8"/>
          <w:sz w:val="22"/>
          <w:szCs w:val="22"/>
          <w:highlight w:val="none"/>
        </w:rPr>
        <w:t>承包人提交修订项目进度计划申请报告的期限：</w:t>
      </w:r>
      <w:r>
        <w:rPr>
          <w:rFonts w:ascii="宋体" w:hAnsi="宋体" w:eastAsia="宋体" w:cs="宋体"/>
          <w:spacing w:val="-8"/>
          <w:sz w:val="22"/>
          <w:szCs w:val="22"/>
          <w:highlight w:val="none"/>
          <w:u w:val="single" w:color="auto"/>
        </w:rPr>
        <w:t xml:space="preserve">         </w:t>
      </w:r>
      <w:r>
        <w:rPr>
          <w:spacing w:val="-8"/>
          <w:sz w:val="22"/>
          <w:szCs w:val="22"/>
          <w:highlight w:val="none"/>
        </w:rPr>
        <w:t>o</w:t>
      </w:r>
    </w:p>
    <w:p w14:paraId="7709423C">
      <w:pPr>
        <w:pStyle w:val="2"/>
        <w:spacing w:before="211" w:line="212" w:lineRule="auto"/>
        <w:ind w:left="420"/>
        <w:rPr>
          <w:sz w:val="20"/>
          <w:szCs w:val="20"/>
          <w:highlight w:val="none"/>
        </w:rPr>
      </w:pPr>
      <w:r>
        <w:rPr>
          <w:rFonts w:ascii="宋体" w:hAnsi="宋体" w:eastAsia="宋体" w:cs="宋体"/>
          <w:spacing w:val="-3"/>
          <w:sz w:val="20"/>
          <w:szCs w:val="20"/>
          <w:highlight w:val="none"/>
        </w:rPr>
        <w:t>发包人批复修订项目进度计划申请报告的期限：</w:t>
      </w:r>
      <w:r>
        <w:rPr>
          <w:rFonts w:ascii="宋体" w:hAnsi="宋体" w:eastAsia="宋体" w:cs="宋体"/>
          <w:spacing w:val="58"/>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45"/>
          <w:sz w:val="20"/>
          <w:szCs w:val="20"/>
          <w:highlight w:val="none"/>
        </w:rPr>
        <w:t xml:space="preserve"> </w:t>
      </w:r>
      <w:r>
        <w:rPr>
          <w:spacing w:val="-3"/>
          <w:sz w:val="20"/>
          <w:szCs w:val="20"/>
          <w:highlight w:val="none"/>
        </w:rPr>
        <w:t>_o</w:t>
      </w:r>
    </w:p>
    <w:p w14:paraId="4BEC2626">
      <w:pPr>
        <w:spacing w:before="259" w:line="219" w:lineRule="auto"/>
        <w:ind w:left="420"/>
        <w:rPr>
          <w:rFonts w:ascii="Times New Roman" w:hAnsi="Times New Roman" w:eastAsia="Times New Roman" w:cs="Times New Roman"/>
          <w:sz w:val="20"/>
          <w:szCs w:val="20"/>
          <w:highlight w:val="none"/>
        </w:rPr>
      </w:pPr>
      <w:r>
        <w:rPr>
          <w:rFonts w:ascii="宋体" w:hAnsi="宋体" w:eastAsia="宋体" w:cs="宋体"/>
          <w:spacing w:val="4"/>
          <w:sz w:val="20"/>
          <w:szCs w:val="20"/>
          <w:highlight w:val="none"/>
        </w:rPr>
        <w:t>承包人答复发包人提出修订合同计划的期限：</w:t>
      </w:r>
      <w:r>
        <w:rPr>
          <w:rFonts w:ascii="宋体" w:hAnsi="宋体" w:eastAsia="宋体" w:cs="宋体"/>
          <w:spacing w:val="40"/>
          <w:sz w:val="20"/>
          <w:szCs w:val="20"/>
          <w:highlight w:val="none"/>
        </w:rPr>
        <w:t xml:space="preserve"> </w:t>
      </w:r>
      <w:r>
        <w:rPr>
          <w:rFonts w:ascii="宋体" w:hAnsi="宋体" w:eastAsia="宋体" w:cs="宋体"/>
          <w:spacing w:val="4"/>
          <w:sz w:val="20"/>
          <w:szCs w:val="20"/>
          <w:highlight w:val="none"/>
          <w:u w:val="single" w:color="auto"/>
        </w:rPr>
        <w:t xml:space="preserve">           </w:t>
      </w:r>
      <w:r>
        <w:rPr>
          <w:rFonts w:ascii="Times New Roman" w:hAnsi="Times New Roman" w:eastAsia="Times New Roman" w:cs="Times New Roman"/>
          <w:spacing w:val="4"/>
          <w:sz w:val="20"/>
          <w:szCs w:val="20"/>
          <w:highlight w:val="none"/>
        </w:rPr>
        <w:t>o</w:t>
      </w:r>
    </w:p>
    <w:p w14:paraId="44A588A4">
      <w:pPr>
        <w:pStyle w:val="2"/>
        <w:spacing w:line="269" w:lineRule="auto"/>
        <w:rPr>
          <w:highlight w:val="none"/>
        </w:rPr>
      </w:pPr>
    </w:p>
    <w:p w14:paraId="08321363">
      <w:pPr>
        <w:pStyle w:val="2"/>
        <w:spacing w:before="72" w:line="300" w:lineRule="exact"/>
        <w:rPr>
          <w:rFonts w:ascii="黑体" w:hAnsi="黑体" w:eastAsia="黑体" w:cs="黑体"/>
          <w:sz w:val="22"/>
          <w:szCs w:val="22"/>
          <w:highlight w:val="none"/>
        </w:rPr>
      </w:pPr>
      <w:r>
        <w:rPr>
          <w:spacing w:val="-3"/>
          <w:position w:val="1"/>
          <w:sz w:val="22"/>
          <w:szCs w:val="22"/>
          <w:highlight w:val="none"/>
        </w:rPr>
        <w:t>8.5</w:t>
      </w:r>
      <w:r>
        <w:rPr>
          <w:spacing w:val="57"/>
          <w:w w:val="101"/>
          <w:position w:val="1"/>
          <w:sz w:val="22"/>
          <w:szCs w:val="22"/>
          <w:highlight w:val="none"/>
        </w:rPr>
        <w:t xml:space="preserve"> </w:t>
      </w:r>
      <w:r>
        <w:rPr>
          <w:rFonts w:ascii="黑体" w:hAnsi="黑体" w:eastAsia="黑体" w:cs="黑体"/>
          <w:spacing w:val="-3"/>
          <w:position w:val="1"/>
          <w:sz w:val="22"/>
          <w:szCs w:val="22"/>
          <w:highlight w:val="none"/>
        </w:rPr>
        <w:t>进度报告</w:t>
      </w:r>
    </w:p>
    <w:p w14:paraId="3219AA51">
      <w:pPr>
        <w:pStyle w:val="2"/>
        <w:spacing w:before="209" w:line="218" w:lineRule="auto"/>
        <w:ind w:left="420"/>
        <w:rPr>
          <w:sz w:val="22"/>
          <w:szCs w:val="22"/>
          <w:highlight w:val="none"/>
        </w:rPr>
      </w:pPr>
      <w:r>
        <w:rPr>
          <w:rFonts w:ascii="宋体" w:hAnsi="宋体" w:eastAsia="宋体" w:cs="宋体"/>
          <w:spacing w:val="-9"/>
          <w:sz w:val="22"/>
          <w:szCs w:val="22"/>
          <w:highlight w:val="none"/>
        </w:rPr>
        <w:t>进度报告的具体要求：</w:t>
      </w:r>
      <w:r>
        <w:rPr>
          <w:rFonts w:ascii="宋体" w:hAnsi="宋体" w:eastAsia="宋体" w:cs="宋体"/>
          <w:spacing w:val="3"/>
          <w:sz w:val="22"/>
          <w:szCs w:val="22"/>
          <w:highlight w:val="none"/>
          <w:u w:val="single" w:color="auto"/>
        </w:rPr>
        <w:t xml:space="preserve">                            </w:t>
      </w:r>
      <w:r>
        <w:rPr>
          <w:rFonts w:ascii="宋体" w:hAnsi="宋体" w:eastAsia="宋体" w:cs="宋体"/>
          <w:spacing w:val="-107"/>
          <w:sz w:val="22"/>
          <w:szCs w:val="22"/>
          <w:highlight w:val="none"/>
        </w:rPr>
        <w:t xml:space="preserve"> </w:t>
      </w:r>
      <w:r>
        <w:rPr>
          <w:spacing w:val="-9"/>
          <w:sz w:val="22"/>
          <w:szCs w:val="22"/>
          <w:highlight w:val="none"/>
        </w:rPr>
        <w:t>D</w:t>
      </w:r>
    </w:p>
    <w:p w14:paraId="03D7EEBD">
      <w:pPr>
        <w:pStyle w:val="2"/>
        <w:spacing w:line="312" w:lineRule="auto"/>
        <w:rPr>
          <w:highlight w:val="none"/>
        </w:rPr>
      </w:pPr>
    </w:p>
    <w:p w14:paraId="2F583F22">
      <w:pPr>
        <w:pStyle w:val="2"/>
        <w:spacing w:before="61" w:line="259" w:lineRule="exact"/>
        <w:rPr>
          <w:rFonts w:ascii="黑体" w:hAnsi="黑体" w:eastAsia="黑体" w:cs="黑体"/>
          <w:sz w:val="19"/>
          <w:szCs w:val="19"/>
          <w:highlight w:val="none"/>
        </w:rPr>
      </w:pPr>
      <w:r>
        <w:rPr>
          <w:spacing w:val="11"/>
          <w:position w:val="1"/>
          <w:sz w:val="19"/>
          <w:szCs w:val="19"/>
          <w:highlight w:val="none"/>
        </w:rPr>
        <w:t>8.7</w:t>
      </w:r>
      <w:r>
        <w:rPr>
          <w:spacing w:val="2"/>
          <w:position w:val="1"/>
          <w:sz w:val="19"/>
          <w:szCs w:val="19"/>
          <w:highlight w:val="none"/>
        </w:rPr>
        <w:t xml:space="preserve">   </w:t>
      </w:r>
      <w:r>
        <w:rPr>
          <w:rFonts w:ascii="黑体" w:hAnsi="黑体" w:eastAsia="黑体" w:cs="黑体"/>
          <w:spacing w:val="11"/>
          <w:position w:val="1"/>
          <w:sz w:val="19"/>
          <w:szCs w:val="19"/>
          <w:highlight w:val="none"/>
        </w:rPr>
        <w:t>工期延误</w:t>
      </w:r>
    </w:p>
    <w:p w14:paraId="03A98944">
      <w:pPr>
        <w:spacing w:before="247" w:line="219"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8.7.2</w:t>
      </w:r>
      <w:r>
        <w:rPr>
          <w:rFonts w:ascii="Times New Roman" w:hAnsi="Times New Roman" w:eastAsia="Times New Roman" w:cs="Times New Roman"/>
          <w:spacing w:val="14"/>
          <w:sz w:val="20"/>
          <w:szCs w:val="20"/>
          <w:highlight w:val="none"/>
        </w:rPr>
        <w:t xml:space="preserve">    </w:t>
      </w:r>
      <w:r>
        <w:rPr>
          <w:rFonts w:ascii="宋体" w:hAnsi="宋体" w:eastAsia="宋体" w:cs="宋体"/>
          <w:spacing w:val="6"/>
          <w:sz w:val="20"/>
          <w:szCs w:val="20"/>
          <w:highlight w:val="none"/>
        </w:rPr>
        <w:t>因承包人原因导致工期延误</w:t>
      </w:r>
    </w:p>
    <w:p w14:paraId="6AF01E77">
      <w:pPr>
        <w:spacing w:before="211" w:line="415" w:lineRule="auto"/>
        <w:ind w:right="4" w:firstLine="550"/>
        <w:jc w:val="both"/>
        <w:rPr>
          <w:rFonts w:ascii="Times New Roman" w:hAnsi="Times New Roman" w:eastAsia="Times New Roman" w:cs="Times New Roman"/>
          <w:sz w:val="21"/>
          <w:szCs w:val="21"/>
          <w:highlight w:val="none"/>
        </w:rPr>
      </w:pPr>
      <w:r>
        <w:rPr>
          <w:rFonts w:ascii="宋体" w:hAnsi="宋体" w:eastAsia="宋体" w:cs="宋体"/>
          <w:spacing w:val="4"/>
          <w:sz w:val="21"/>
          <w:szCs w:val="21"/>
          <w:highlight w:val="none"/>
        </w:rPr>
        <w:t>因承包人原因使竣工日期延误，每延误1日的误</w:t>
      </w:r>
      <w:r>
        <w:rPr>
          <w:rFonts w:ascii="宋体" w:hAnsi="宋体" w:eastAsia="宋体" w:cs="宋体"/>
          <w:spacing w:val="3"/>
          <w:sz w:val="21"/>
          <w:szCs w:val="21"/>
          <w:highlight w:val="none"/>
        </w:rPr>
        <w:t>期赔偿金额为合同协议书的合同价格</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的</w:t>
      </w:r>
      <w:r>
        <w:rPr>
          <w:rFonts w:ascii="宋体" w:hAnsi="宋体" w:eastAsia="宋体" w:cs="宋体"/>
          <w:spacing w:val="-44"/>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85"/>
          <w:sz w:val="21"/>
          <w:szCs w:val="21"/>
          <w:highlight w:val="none"/>
        </w:rPr>
        <w:t xml:space="preserve"> </w:t>
      </w:r>
      <w:r>
        <w:rPr>
          <w:rFonts w:ascii="宋体" w:hAnsi="宋体" w:eastAsia="宋体" w:cs="宋体"/>
          <w:spacing w:val="-2"/>
          <w:sz w:val="21"/>
          <w:szCs w:val="21"/>
          <w:highlight w:val="none"/>
        </w:rPr>
        <w:t>%或人民币金额为：</w:t>
      </w:r>
      <w:r>
        <w:rPr>
          <w:rFonts w:ascii="宋体" w:hAnsi="宋体" w:eastAsia="宋体" w:cs="宋体"/>
          <w:spacing w:val="-2"/>
          <w:sz w:val="21"/>
          <w:szCs w:val="21"/>
          <w:highlight w:val="none"/>
          <w:u w:val="single" w:color="auto"/>
        </w:rPr>
        <w:t xml:space="preserve">          </w:t>
      </w:r>
      <w:r>
        <w:rPr>
          <w:rFonts w:ascii="宋体" w:hAnsi="宋体" w:eastAsia="宋体" w:cs="宋体"/>
          <w:spacing w:val="-2"/>
          <w:sz w:val="21"/>
          <w:szCs w:val="21"/>
          <w:highlight w:val="none"/>
        </w:rPr>
        <w:t>、累计最高赔偿金额为合同协议书的合同价格</w:t>
      </w:r>
      <w:r>
        <w:rPr>
          <w:rFonts w:ascii="宋体" w:hAnsi="宋体" w:eastAsia="宋体" w:cs="宋体"/>
          <w:sz w:val="21"/>
          <w:szCs w:val="21"/>
          <w:highlight w:val="none"/>
        </w:rPr>
        <w:t xml:space="preserve"> </w:t>
      </w:r>
      <w:r>
        <w:rPr>
          <w:rFonts w:ascii="宋体" w:hAnsi="宋体" w:eastAsia="宋体" w:cs="宋体"/>
          <w:spacing w:val="-12"/>
          <w:sz w:val="21"/>
          <w:szCs w:val="21"/>
          <w:highlight w:val="none"/>
        </w:rPr>
        <w:t>的：</w:t>
      </w:r>
      <w:r>
        <w:rPr>
          <w:rFonts w:ascii="宋体" w:hAnsi="宋体" w:eastAsia="宋体" w:cs="宋体"/>
          <w:spacing w:val="-69"/>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105"/>
          <w:sz w:val="21"/>
          <w:szCs w:val="21"/>
          <w:highlight w:val="none"/>
        </w:rPr>
        <w:t xml:space="preserve"> </w:t>
      </w:r>
      <w:r>
        <w:rPr>
          <w:rFonts w:ascii="宋体" w:hAnsi="宋体" w:eastAsia="宋体" w:cs="宋体"/>
          <w:spacing w:val="-12"/>
          <w:sz w:val="21"/>
          <w:szCs w:val="21"/>
          <w:highlight w:val="none"/>
        </w:rPr>
        <w:t>%或人民币金额为：</w:t>
      </w:r>
      <w:r>
        <w:rPr>
          <w:rFonts w:ascii="宋体" w:hAnsi="宋体" w:eastAsia="宋体" w:cs="宋体"/>
          <w:sz w:val="21"/>
          <w:szCs w:val="21"/>
          <w:highlight w:val="none"/>
          <w:u w:val="single" w:color="auto"/>
        </w:rPr>
        <w:t xml:space="preserve">               </w:t>
      </w:r>
      <w:r>
        <w:rPr>
          <w:rFonts w:ascii="宋体" w:hAnsi="宋体" w:eastAsia="宋体" w:cs="宋体"/>
          <w:spacing w:val="-80"/>
          <w:sz w:val="21"/>
          <w:szCs w:val="21"/>
          <w:highlight w:val="none"/>
        </w:rPr>
        <w:t xml:space="preserve"> </w:t>
      </w:r>
      <w:r>
        <w:rPr>
          <w:rFonts w:ascii="Times New Roman" w:hAnsi="Times New Roman" w:eastAsia="Times New Roman" w:cs="Times New Roman"/>
          <w:spacing w:val="-12"/>
          <w:sz w:val="21"/>
          <w:szCs w:val="21"/>
          <w:highlight w:val="none"/>
        </w:rPr>
        <w:t>_o</w:t>
      </w:r>
    </w:p>
    <w:p w14:paraId="7839F9FD">
      <w:pPr>
        <w:spacing w:before="17" w:line="220"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8.7.3</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6"/>
          <w:sz w:val="22"/>
          <w:szCs w:val="22"/>
          <w:highlight w:val="none"/>
        </w:rPr>
        <w:t>行政审批迟延</w:t>
      </w:r>
    </w:p>
    <w:p w14:paraId="02E60ED7">
      <w:pPr>
        <w:spacing w:before="246" w:line="219" w:lineRule="auto"/>
        <w:ind w:left="420"/>
        <w:rPr>
          <w:rFonts w:ascii="Times New Roman" w:hAnsi="Times New Roman" w:eastAsia="Times New Roman" w:cs="Times New Roman"/>
          <w:sz w:val="7"/>
          <w:szCs w:val="7"/>
          <w:highlight w:val="none"/>
        </w:rPr>
      </w:pPr>
      <w:r>
        <w:rPr>
          <w:rFonts w:ascii="宋体" w:hAnsi="宋体" w:eastAsia="宋体" w:cs="宋体"/>
          <w:spacing w:val="1"/>
          <w:sz w:val="20"/>
          <w:szCs w:val="20"/>
          <w:highlight w:val="none"/>
        </w:rPr>
        <w:t>行政审批报送的职责分工：</w:t>
      </w:r>
      <w:r>
        <w:rPr>
          <w:rFonts w:ascii="宋体" w:hAnsi="宋体" w:eastAsia="宋体" w:cs="宋体"/>
          <w:spacing w:val="40"/>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z w:val="20"/>
          <w:szCs w:val="20"/>
          <w:highlight w:val="none"/>
          <w:u w:val="single" w:color="auto"/>
        </w:rPr>
        <w:t xml:space="preserve">           </w:t>
      </w:r>
      <w:r>
        <w:rPr>
          <w:rFonts w:ascii="Times New Roman" w:hAnsi="Times New Roman" w:eastAsia="Times New Roman" w:cs="Times New Roman"/>
          <w:position w:val="1"/>
          <w:sz w:val="7"/>
          <w:szCs w:val="7"/>
          <w:highlight w:val="none"/>
        </w:rPr>
        <w:t>0</w:t>
      </w:r>
    </w:p>
    <w:p w14:paraId="332F8EF1">
      <w:pPr>
        <w:spacing w:before="224"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8.7.4</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6"/>
          <w:sz w:val="22"/>
          <w:szCs w:val="22"/>
          <w:highlight w:val="none"/>
        </w:rPr>
        <w:t>异常恶劣的气候条件</w:t>
      </w:r>
    </w:p>
    <w:p w14:paraId="338D584A">
      <w:pPr>
        <w:spacing w:before="211" w:line="219" w:lineRule="auto"/>
        <w:ind w:left="420"/>
        <w:rPr>
          <w:rFonts w:ascii="宋体" w:hAnsi="宋体" w:eastAsia="宋体" w:cs="宋体"/>
          <w:sz w:val="22"/>
          <w:szCs w:val="22"/>
          <w:highlight w:val="none"/>
        </w:rPr>
      </w:pPr>
      <w:r>
        <w:rPr>
          <w:rFonts w:ascii="宋体" w:hAnsi="宋体" w:eastAsia="宋体" w:cs="宋体"/>
          <w:spacing w:val="-8"/>
          <w:sz w:val="22"/>
          <w:szCs w:val="22"/>
          <w:highlight w:val="none"/>
        </w:rPr>
        <w:t>双方约定视为异常恶劣的气候条件的情形：</w:t>
      </w:r>
      <w:r>
        <w:rPr>
          <w:rFonts w:ascii="宋体" w:hAnsi="宋体" w:eastAsia="宋体" w:cs="宋体"/>
          <w:spacing w:val="-8"/>
          <w:sz w:val="22"/>
          <w:szCs w:val="22"/>
          <w:highlight w:val="none"/>
          <w:u w:val="single" w:color="auto"/>
        </w:rPr>
        <w:t xml:space="preserve">        </w:t>
      </w:r>
      <w:r>
        <w:rPr>
          <w:rFonts w:ascii="宋体" w:hAnsi="宋体" w:eastAsia="宋体" w:cs="宋体"/>
          <w:spacing w:val="-9"/>
          <w:sz w:val="22"/>
          <w:szCs w:val="22"/>
          <w:highlight w:val="none"/>
          <w:u w:val="single" w:color="auto"/>
        </w:rPr>
        <w:t xml:space="preserve">     </w:t>
      </w:r>
    </w:p>
    <w:p w14:paraId="6FB03FA5">
      <w:pPr>
        <w:pStyle w:val="2"/>
        <w:spacing w:line="317" w:lineRule="auto"/>
        <w:rPr>
          <w:highlight w:val="none"/>
        </w:rPr>
      </w:pPr>
    </w:p>
    <w:p w14:paraId="7436FA2F">
      <w:pPr>
        <w:pStyle w:val="2"/>
        <w:spacing w:before="62" w:line="259" w:lineRule="exact"/>
        <w:rPr>
          <w:rFonts w:ascii="黑体" w:hAnsi="黑体" w:eastAsia="黑体" w:cs="黑体"/>
          <w:sz w:val="19"/>
          <w:szCs w:val="19"/>
          <w:highlight w:val="none"/>
        </w:rPr>
      </w:pPr>
      <w:r>
        <w:rPr>
          <w:spacing w:val="11"/>
          <w:position w:val="1"/>
          <w:sz w:val="19"/>
          <w:szCs w:val="19"/>
          <w:highlight w:val="none"/>
        </w:rPr>
        <w:t>8.8</w:t>
      </w:r>
      <w:r>
        <w:rPr>
          <w:spacing w:val="2"/>
          <w:position w:val="1"/>
          <w:sz w:val="19"/>
          <w:szCs w:val="19"/>
          <w:highlight w:val="none"/>
        </w:rPr>
        <w:t xml:space="preserve">   </w:t>
      </w:r>
      <w:r>
        <w:rPr>
          <w:rFonts w:ascii="黑体" w:hAnsi="黑体" w:eastAsia="黑体" w:cs="黑体"/>
          <w:spacing w:val="11"/>
          <w:position w:val="1"/>
          <w:sz w:val="19"/>
          <w:szCs w:val="19"/>
          <w:highlight w:val="none"/>
        </w:rPr>
        <w:t>工期提前</w:t>
      </w:r>
    </w:p>
    <w:p w14:paraId="3C4AC368">
      <w:pPr>
        <w:spacing w:before="207" w:line="195" w:lineRule="auto"/>
        <w:ind w:left="42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8.8.2</w:t>
      </w:r>
      <w:r>
        <w:rPr>
          <w:rFonts w:ascii="Times New Roman" w:hAnsi="Times New Roman" w:eastAsia="Times New Roman" w:cs="Times New Roman"/>
          <w:spacing w:val="13"/>
          <w:w w:val="101"/>
          <w:sz w:val="22"/>
          <w:szCs w:val="22"/>
          <w:highlight w:val="none"/>
        </w:rPr>
        <w:t xml:space="preserve">   </w:t>
      </w:r>
      <w:r>
        <w:rPr>
          <w:rFonts w:ascii="宋体" w:hAnsi="宋体" w:eastAsia="宋体" w:cs="宋体"/>
          <w:spacing w:val="-8"/>
          <w:sz w:val="22"/>
          <w:szCs w:val="22"/>
          <w:highlight w:val="none"/>
        </w:rPr>
        <w:t>承包人提前竣工的奖励：</w:t>
      </w:r>
      <w:r>
        <w:rPr>
          <w:rFonts w:ascii="宋体" w:hAnsi="宋体" w:eastAsia="宋体" w:cs="宋体"/>
          <w:sz w:val="22"/>
          <w:szCs w:val="22"/>
          <w:highlight w:val="none"/>
          <w:u w:val="single" w:color="auto"/>
        </w:rPr>
        <w:t xml:space="preserve">                       </w:t>
      </w:r>
    </w:p>
    <w:p w14:paraId="722CE6C0">
      <w:pPr>
        <w:spacing w:before="16" w:line="16" w:lineRule="exact"/>
        <w:ind w:left="5790"/>
        <w:rPr>
          <w:rFonts w:ascii="宋体" w:hAnsi="宋体" w:eastAsia="宋体" w:cs="宋体"/>
          <w:sz w:val="9"/>
          <w:szCs w:val="9"/>
          <w:highlight w:val="none"/>
        </w:rPr>
      </w:pPr>
      <w:r>
        <w:rPr>
          <w:rFonts w:ascii="宋体" w:hAnsi="宋体" w:eastAsia="宋体" w:cs="宋体"/>
          <w:position w:val="1"/>
          <w:sz w:val="9"/>
          <w:szCs w:val="9"/>
          <w:highlight w:val="none"/>
        </w:rPr>
        <w:t>_</w:t>
      </w:r>
    </w:p>
    <w:p w14:paraId="56208667">
      <w:pPr>
        <w:spacing w:before="326" w:line="221" w:lineRule="auto"/>
        <w:outlineLvl w:val="1"/>
        <w:rPr>
          <w:rFonts w:ascii="黑体" w:hAnsi="黑体" w:eastAsia="黑体" w:cs="黑体"/>
          <w:sz w:val="28"/>
          <w:szCs w:val="28"/>
          <w:highlight w:val="none"/>
        </w:rPr>
      </w:pPr>
      <w:bookmarkStart w:id="132" w:name="bookmark76"/>
      <w:bookmarkEnd w:id="132"/>
      <w:r>
        <w:rPr>
          <w:rFonts w:ascii="黑体" w:hAnsi="黑体" w:eastAsia="黑体" w:cs="黑体"/>
          <w:spacing w:val="42"/>
          <w:sz w:val="28"/>
          <w:szCs w:val="28"/>
          <w:highlight w:val="none"/>
        </w:rPr>
        <w:t>第9条竣工试验</w:t>
      </w:r>
    </w:p>
    <w:p w14:paraId="715499F3">
      <w:pPr>
        <w:pStyle w:val="2"/>
        <w:spacing w:line="309" w:lineRule="auto"/>
        <w:rPr>
          <w:highlight w:val="none"/>
        </w:rPr>
      </w:pPr>
    </w:p>
    <w:p w14:paraId="0CE74300">
      <w:pPr>
        <w:pStyle w:val="2"/>
        <w:spacing w:before="72" w:line="300" w:lineRule="exact"/>
        <w:rPr>
          <w:rFonts w:ascii="黑体" w:hAnsi="黑体" w:eastAsia="黑体" w:cs="黑体"/>
          <w:sz w:val="22"/>
          <w:szCs w:val="22"/>
          <w:highlight w:val="none"/>
        </w:rPr>
      </w:pPr>
      <w:r>
        <w:rPr>
          <w:spacing w:val="-6"/>
          <w:position w:val="1"/>
          <w:sz w:val="22"/>
          <w:szCs w:val="22"/>
          <w:highlight w:val="none"/>
        </w:rPr>
        <w:t>9.1</w:t>
      </w:r>
      <w:r>
        <w:rPr>
          <w:spacing w:val="57"/>
          <w:w w:val="101"/>
          <w:position w:val="1"/>
          <w:sz w:val="22"/>
          <w:szCs w:val="22"/>
          <w:highlight w:val="none"/>
        </w:rPr>
        <w:t xml:space="preserve"> </w:t>
      </w:r>
      <w:r>
        <w:rPr>
          <w:rFonts w:ascii="黑体" w:hAnsi="黑体" w:eastAsia="黑体" w:cs="黑体"/>
          <w:spacing w:val="-6"/>
          <w:position w:val="1"/>
          <w:sz w:val="22"/>
          <w:szCs w:val="22"/>
          <w:highlight w:val="none"/>
        </w:rPr>
        <w:t>竣工试验的义务</w:t>
      </w:r>
    </w:p>
    <w:p w14:paraId="5C4C002C">
      <w:pPr>
        <w:pStyle w:val="2"/>
        <w:spacing w:before="212" w:line="306" w:lineRule="auto"/>
        <w:ind w:left="420" w:right="2382"/>
        <w:rPr>
          <w:sz w:val="22"/>
          <w:szCs w:val="22"/>
          <w:highlight w:val="none"/>
        </w:rPr>
      </w:pPr>
      <w:r>
        <w:rPr>
          <w:rFonts w:ascii="宋体" w:hAnsi="宋体" w:eastAsia="宋体" w:cs="宋体"/>
          <w:spacing w:val="-4"/>
          <w:sz w:val="22"/>
          <w:szCs w:val="22"/>
          <w:highlight w:val="none"/>
        </w:rPr>
        <w:t>9.1.3竣工试验的阶段、内容和顺序：</w:t>
      </w:r>
      <w:r>
        <w:rPr>
          <w:rFonts w:ascii="宋体" w:hAnsi="宋体" w:eastAsia="宋体" w:cs="宋体"/>
          <w:spacing w:val="2"/>
          <w:sz w:val="22"/>
          <w:szCs w:val="22"/>
          <w:highlight w:val="none"/>
          <w:u w:val="single" w:color="auto"/>
        </w:rPr>
        <w:t xml:space="preserve">                 </w:t>
      </w:r>
      <w:r>
        <w:rPr>
          <w:rFonts w:ascii="宋体" w:hAnsi="宋体" w:eastAsia="宋体" w:cs="宋体"/>
          <w:spacing w:val="-81"/>
          <w:sz w:val="22"/>
          <w:szCs w:val="22"/>
          <w:highlight w:val="none"/>
        </w:rPr>
        <w:t xml:space="preserve"> </w:t>
      </w:r>
      <w:r>
        <w:rPr>
          <w:rFonts w:ascii="Times New Roman" w:hAnsi="Times New Roman" w:eastAsia="Times New Roman" w:cs="Times New Roman"/>
          <w:spacing w:val="-4"/>
          <w:position w:val="1"/>
          <w:sz w:val="7"/>
          <w:szCs w:val="7"/>
          <w:highlight w:val="none"/>
        </w:rPr>
        <w:t>_o</w:t>
      </w:r>
      <w:r>
        <w:rPr>
          <w:rFonts w:ascii="Times New Roman" w:hAnsi="Times New Roman" w:eastAsia="Times New Roman" w:cs="Times New Roman"/>
          <w:position w:val="1"/>
          <w:sz w:val="7"/>
          <w:szCs w:val="7"/>
          <w:highlight w:val="none"/>
        </w:rPr>
        <w:t xml:space="preserve">  </w:t>
      </w:r>
      <w:r>
        <w:rPr>
          <w:rFonts w:ascii="宋体" w:hAnsi="宋体" w:eastAsia="宋体" w:cs="宋体"/>
          <w:spacing w:val="-4"/>
          <w:sz w:val="22"/>
          <w:szCs w:val="22"/>
          <w:highlight w:val="none"/>
        </w:rPr>
        <w:t>竣工试验的操作要求：</w:t>
      </w:r>
      <w:r>
        <w:rPr>
          <w:rFonts w:ascii="宋体" w:hAnsi="宋体" w:eastAsia="宋体" w:cs="宋体"/>
          <w:spacing w:val="2"/>
          <w:sz w:val="22"/>
          <w:szCs w:val="22"/>
          <w:highlight w:val="none"/>
          <w:u w:val="single" w:color="auto"/>
        </w:rPr>
        <w:t xml:space="preserve">                          </w:t>
      </w:r>
      <w:r>
        <w:rPr>
          <w:rFonts w:ascii="宋体" w:hAnsi="宋体" w:eastAsia="宋体" w:cs="宋体"/>
          <w:spacing w:val="1"/>
          <w:sz w:val="22"/>
          <w:szCs w:val="22"/>
          <w:highlight w:val="none"/>
          <w:u w:val="single" w:color="auto"/>
        </w:rPr>
        <w:t xml:space="preserve">   </w:t>
      </w:r>
      <w:r>
        <w:rPr>
          <w:spacing w:val="-4"/>
          <w:sz w:val="22"/>
          <w:szCs w:val="22"/>
          <w:highlight w:val="none"/>
        </w:rPr>
        <w:t>o</w:t>
      </w:r>
    </w:p>
    <w:p w14:paraId="53E4D6A8">
      <w:pPr>
        <w:spacing w:before="322" w:line="222" w:lineRule="auto"/>
        <w:outlineLvl w:val="1"/>
        <w:rPr>
          <w:rFonts w:ascii="黑体" w:hAnsi="黑体" w:eastAsia="黑体" w:cs="黑体"/>
          <w:sz w:val="30"/>
          <w:szCs w:val="30"/>
          <w:highlight w:val="none"/>
        </w:rPr>
      </w:pPr>
      <w:bookmarkStart w:id="133" w:name="bookmark77"/>
      <w:bookmarkEnd w:id="133"/>
      <w:r>
        <w:rPr>
          <w:rFonts w:ascii="黑体" w:hAnsi="黑体" w:eastAsia="黑体" w:cs="黑体"/>
          <w:spacing w:val="12"/>
          <w:sz w:val="30"/>
          <w:szCs w:val="30"/>
          <w:highlight w:val="none"/>
        </w:rPr>
        <w:t>第10条验收和工程接收</w:t>
      </w:r>
    </w:p>
    <w:p w14:paraId="7541F126">
      <w:pPr>
        <w:pStyle w:val="2"/>
        <w:spacing w:line="313" w:lineRule="auto"/>
        <w:rPr>
          <w:highlight w:val="none"/>
        </w:rPr>
      </w:pPr>
    </w:p>
    <w:p w14:paraId="7555E91C">
      <w:pPr>
        <w:pStyle w:val="2"/>
        <w:spacing w:before="71" w:line="300" w:lineRule="exact"/>
        <w:rPr>
          <w:rFonts w:ascii="黑体" w:hAnsi="黑体" w:eastAsia="黑体" w:cs="黑体"/>
          <w:sz w:val="22"/>
          <w:szCs w:val="22"/>
          <w:highlight w:val="none"/>
        </w:rPr>
      </w:pPr>
      <w:r>
        <w:rPr>
          <w:spacing w:val="-7"/>
          <w:position w:val="1"/>
          <w:sz w:val="22"/>
          <w:szCs w:val="22"/>
          <w:highlight w:val="none"/>
        </w:rPr>
        <w:t>10.1</w:t>
      </w:r>
      <w:r>
        <w:rPr>
          <w:spacing w:val="60"/>
          <w:w w:val="101"/>
          <w:position w:val="1"/>
          <w:sz w:val="22"/>
          <w:szCs w:val="22"/>
          <w:highlight w:val="none"/>
        </w:rPr>
        <w:t xml:space="preserve"> </w:t>
      </w:r>
      <w:r>
        <w:rPr>
          <w:rFonts w:ascii="黑体" w:hAnsi="黑体" w:eastAsia="黑体" w:cs="黑体"/>
          <w:spacing w:val="-7"/>
          <w:position w:val="1"/>
          <w:sz w:val="22"/>
          <w:szCs w:val="22"/>
          <w:highlight w:val="none"/>
        </w:rPr>
        <w:t>竣工验收</w:t>
      </w:r>
    </w:p>
    <w:p w14:paraId="5D5FF4CC">
      <w:pPr>
        <w:spacing w:before="222" w:line="219" w:lineRule="auto"/>
        <w:ind w:left="420"/>
        <w:rPr>
          <w:sz w:val="22"/>
          <w:szCs w:val="22"/>
          <w:highlight w:val="none"/>
        </w:rPr>
      </w:pPr>
      <w:r>
        <w:rPr>
          <w:rFonts w:ascii="Times New Roman" w:hAnsi="Times New Roman" w:eastAsia="Times New Roman" w:cs="Times New Roman"/>
          <w:spacing w:val="-7"/>
          <w:sz w:val="22"/>
          <w:szCs w:val="22"/>
          <w:highlight w:val="none"/>
        </w:rPr>
        <w:t>10.1.2</w:t>
      </w:r>
      <w:r>
        <w:rPr>
          <w:rFonts w:ascii="Times New Roman" w:hAnsi="Times New Roman" w:eastAsia="Times New Roman" w:cs="Times New Roman"/>
          <w:spacing w:val="16"/>
          <w:w w:val="101"/>
          <w:sz w:val="22"/>
          <w:szCs w:val="22"/>
          <w:highlight w:val="none"/>
        </w:rPr>
        <w:t xml:space="preserve">   </w:t>
      </w:r>
      <w:r>
        <w:rPr>
          <w:rFonts w:ascii="宋体" w:hAnsi="宋体" w:eastAsia="宋体" w:cs="宋体"/>
          <w:spacing w:val="-7"/>
          <w:sz w:val="22"/>
          <w:szCs w:val="22"/>
          <w:highlight w:val="none"/>
        </w:rPr>
        <w:t>关于竣工验收程序的约定：</w:t>
      </w:r>
      <w:r>
        <w:rPr>
          <w:rFonts w:ascii="宋体" w:hAnsi="宋体" w:eastAsia="宋体" w:cs="宋体"/>
          <w:sz w:val="22"/>
          <w:szCs w:val="22"/>
          <w:highlight w:val="none"/>
          <w:u w:val="single" w:color="auto"/>
        </w:rPr>
        <w:t xml:space="preserve">                  </w:t>
      </w:r>
      <w:r>
        <w:rPr>
          <w:position w:val="4"/>
          <w:sz w:val="22"/>
          <w:szCs w:val="22"/>
          <w:highlight w:val="none"/>
        </w:rPr>
        <w:drawing>
          <wp:inline distT="0" distB="0" distL="0" distR="0">
            <wp:extent cx="57150" cy="3810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323"/>
                    <a:stretch>
                      <a:fillRect/>
                    </a:stretch>
                  </pic:blipFill>
                  <pic:spPr>
                    <a:xfrm>
                      <a:off x="0" y="0"/>
                      <a:ext cx="57175" cy="38175"/>
                    </a:xfrm>
                    <a:prstGeom prst="rect">
                      <a:avLst/>
                    </a:prstGeom>
                  </pic:spPr>
                </pic:pic>
              </a:graphicData>
            </a:graphic>
          </wp:inline>
        </w:drawing>
      </w:r>
    </w:p>
    <w:p w14:paraId="0BF8E89A">
      <w:pPr>
        <w:spacing w:before="197" w:line="219" w:lineRule="auto"/>
        <w:ind w:left="420"/>
        <w:rPr>
          <w:rFonts w:ascii="宋体" w:hAnsi="宋体" w:eastAsia="宋体" w:cs="宋体"/>
          <w:sz w:val="21"/>
          <w:szCs w:val="21"/>
          <w:highlight w:val="none"/>
        </w:rPr>
      </w:pPr>
      <w:r>
        <w:rPr>
          <w:rFonts w:ascii="宋体" w:hAnsi="宋体" w:eastAsia="宋体" w:cs="宋体"/>
          <w:spacing w:val="-1"/>
          <w:sz w:val="21"/>
          <w:szCs w:val="21"/>
          <w:highlight w:val="none"/>
        </w:rPr>
        <w:t>发包人不按照合同约定组织竣工验收、颁发工程接受证书的违约金的计算方式：</w:t>
      </w:r>
      <w:r>
        <w:rPr>
          <w:rFonts w:ascii="宋体" w:hAnsi="宋体" w:eastAsia="宋体" w:cs="宋体"/>
          <w:spacing w:val="-1"/>
          <w:sz w:val="21"/>
          <w:szCs w:val="21"/>
          <w:highlight w:val="none"/>
          <w:u w:val="single" w:color="auto"/>
        </w:rPr>
        <w:t xml:space="preserve">     </w:t>
      </w:r>
    </w:p>
    <w:p w14:paraId="1DC51CFD">
      <w:pPr>
        <w:pStyle w:val="2"/>
        <w:spacing w:line="288" w:lineRule="auto"/>
        <w:rPr>
          <w:highlight w:val="none"/>
        </w:rPr>
      </w:pPr>
    </w:p>
    <w:p w14:paraId="5700E1AE">
      <w:pPr>
        <w:pStyle w:val="2"/>
        <w:spacing w:before="72" w:line="300" w:lineRule="exact"/>
        <w:rPr>
          <w:rFonts w:ascii="黑体" w:hAnsi="黑体" w:eastAsia="黑体" w:cs="黑体"/>
          <w:sz w:val="22"/>
          <w:szCs w:val="22"/>
          <w:highlight w:val="none"/>
        </w:rPr>
      </w:pPr>
      <w:r>
        <w:rPr>
          <w:spacing w:val="-6"/>
          <w:position w:val="1"/>
          <w:sz w:val="22"/>
          <w:szCs w:val="22"/>
          <w:highlight w:val="none"/>
        </w:rPr>
        <w:t>10.3</w:t>
      </w:r>
      <w:r>
        <w:rPr>
          <w:spacing w:val="11"/>
          <w:position w:val="1"/>
          <w:sz w:val="22"/>
          <w:szCs w:val="22"/>
          <w:highlight w:val="none"/>
        </w:rPr>
        <w:t xml:space="preserve">   </w:t>
      </w:r>
      <w:r>
        <w:rPr>
          <w:rFonts w:ascii="黑体" w:hAnsi="黑体" w:eastAsia="黑体" w:cs="黑体"/>
          <w:spacing w:val="-6"/>
          <w:position w:val="1"/>
          <w:sz w:val="22"/>
          <w:szCs w:val="22"/>
          <w:highlight w:val="none"/>
        </w:rPr>
        <w:t>工程的接收</w:t>
      </w:r>
    </w:p>
    <w:p w14:paraId="6C39BB6F">
      <w:pPr>
        <w:spacing w:before="250" w:line="219" w:lineRule="auto"/>
        <w:ind w:left="420"/>
        <w:rPr>
          <w:rFonts w:ascii="宋体" w:hAnsi="宋体" w:eastAsia="宋体" w:cs="宋体"/>
          <w:sz w:val="20"/>
          <w:szCs w:val="20"/>
          <w:highlight w:val="none"/>
        </w:rPr>
      </w:pPr>
      <w:r>
        <w:rPr>
          <w:rFonts w:ascii="宋体" w:hAnsi="宋体" w:eastAsia="宋体" w:cs="宋体"/>
          <w:spacing w:val="5"/>
          <w:sz w:val="20"/>
          <w:szCs w:val="20"/>
          <w:highlight w:val="none"/>
        </w:rPr>
        <w:t>10.3.1工程接收的先后顺序、时间安排和其他要求：</w:t>
      </w:r>
      <w:r>
        <w:rPr>
          <w:rFonts w:ascii="宋体" w:hAnsi="宋体" w:eastAsia="宋体" w:cs="宋体"/>
          <w:spacing w:val="69"/>
          <w:sz w:val="20"/>
          <w:szCs w:val="20"/>
          <w:highlight w:val="none"/>
        </w:rPr>
        <w:t xml:space="preserve"> </w:t>
      </w:r>
      <w:r>
        <w:rPr>
          <w:rFonts w:ascii="宋体" w:hAnsi="宋体" w:eastAsia="宋体" w:cs="宋体"/>
          <w:sz w:val="20"/>
          <w:szCs w:val="20"/>
          <w:highlight w:val="none"/>
          <w:u w:val="single" w:color="auto"/>
        </w:rPr>
        <w:t xml:space="preserve">                             </w:t>
      </w:r>
    </w:p>
    <w:p w14:paraId="74218C66">
      <w:pPr>
        <w:spacing w:line="219" w:lineRule="auto"/>
        <w:rPr>
          <w:rFonts w:ascii="宋体" w:hAnsi="宋体" w:eastAsia="宋体" w:cs="宋体"/>
          <w:sz w:val="20"/>
          <w:szCs w:val="20"/>
          <w:highlight w:val="none"/>
        </w:rPr>
        <w:sectPr>
          <w:footerReference r:id="rId155" w:type="default"/>
          <w:pgSz w:w="11910" w:h="16840"/>
          <w:pgMar w:top="400" w:right="1786" w:bottom="1218" w:left="1769" w:header="0" w:footer="986" w:gutter="0"/>
          <w:cols w:space="720" w:num="1"/>
        </w:sectPr>
      </w:pPr>
    </w:p>
    <w:p w14:paraId="3059F4D3">
      <w:pPr>
        <w:pStyle w:val="2"/>
        <w:spacing w:line="275" w:lineRule="auto"/>
        <w:rPr>
          <w:highlight w:val="none"/>
        </w:rPr>
      </w:pPr>
    </w:p>
    <w:p w14:paraId="2590849C">
      <w:pPr>
        <w:pStyle w:val="2"/>
        <w:spacing w:line="276" w:lineRule="auto"/>
        <w:rPr>
          <w:highlight w:val="none"/>
        </w:rPr>
      </w:pPr>
    </w:p>
    <w:p w14:paraId="766DDE52">
      <w:pPr>
        <w:pStyle w:val="2"/>
        <w:spacing w:line="276" w:lineRule="auto"/>
        <w:rPr>
          <w:highlight w:val="none"/>
        </w:rPr>
      </w:pPr>
    </w:p>
    <w:p w14:paraId="314686ED">
      <w:pPr>
        <w:pStyle w:val="2"/>
        <w:spacing w:line="276" w:lineRule="auto"/>
        <w:rPr>
          <w:highlight w:val="none"/>
        </w:rPr>
      </w:pPr>
    </w:p>
    <w:p w14:paraId="61CAAD03">
      <w:pPr>
        <w:spacing w:before="68" w:line="219" w:lineRule="auto"/>
        <w:ind w:left="430"/>
        <w:rPr>
          <w:sz w:val="21"/>
          <w:szCs w:val="21"/>
          <w:highlight w:val="none"/>
        </w:rPr>
      </w:pPr>
      <w:bookmarkStart w:id="134" w:name="bookmark249"/>
      <w:bookmarkEnd w:id="134"/>
      <w:r>
        <w:rPr>
          <w:rFonts w:ascii="Times New Roman" w:hAnsi="Times New Roman" w:eastAsia="Times New Roman" w:cs="Times New Roman"/>
          <w:spacing w:val="-8"/>
          <w:sz w:val="21"/>
          <w:szCs w:val="21"/>
          <w:highlight w:val="none"/>
        </w:rPr>
        <w:t xml:space="preserve">10.3.2    </w:t>
      </w:r>
      <w:r>
        <w:rPr>
          <w:rFonts w:ascii="宋体" w:hAnsi="宋体" w:eastAsia="宋体" w:cs="宋体"/>
          <w:spacing w:val="-8"/>
          <w:sz w:val="21"/>
          <w:szCs w:val="21"/>
          <w:highlight w:val="none"/>
        </w:rPr>
        <w:t>接受工程时承包人需提交竣工验收资料的类</w:t>
      </w:r>
      <w:r>
        <w:rPr>
          <w:rFonts w:ascii="宋体" w:hAnsi="宋体" w:eastAsia="宋体" w:cs="宋体"/>
          <w:spacing w:val="-9"/>
          <w:sz w:val="21"/>
          <w:szCs w:val="21"/>
          <w:highlight w:val="none"/>
        </w:rPr>
        <w:t>别、内容、份数和提交时间：</w:t>
      </w:r>
      <w:r>
        <w:rPr>
          <w:rFonts w:ascii="宋体" w:hAnsi="宋体" w:eastAsia="宋体" w:cs="宋体"/>
          <w:spacing w:val="-9"/>
          <w:sz w:val="21"/>
          <w:szCs w:val="21"/>
          <w:highlight w:val="none"/>
          <w:u w:val="single" w:color="auto"/>
        </w:rPr>
        <w:t xml:space="preserve">       </w:t>
      </w:r>
      <w:r>
        <w:rPr>
          <w:sz w:val="21"/>
          <w:szCs w:val="21"/>
          <w:highlight w:val="none"/>
        </w:rPr>
        <w:drawing>
          <wp:inline distT="0" distB="0" distL="0" distR="0">
            <wp:extent cx="50800" cy="4445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324"/>
                    <a:stretch>
                      <a:fillRect/>
                    </a:stretch>
                  </pic:blipFill>
                  <pic:spPr>
                    <a:xfrm>
                      <a:off x="0" y="0"/>
                      <a:ext cx="50822" cy="44484"/>
                    </a:xfrm>
                    <a:prstGeom prst="rect">
                      <a:avLst/>
                    </a:prstGeom>
                  </pic:spPr>
                </pic:pic>
              </a:graphicData>
            </a:graphic>
          </wp:inline>
        </w:drawing>
      </w:r>
    </w:p>
    <w:p w14:paraId="00E64775">
      <w:pPr>
        <w:spacing w:before="240" w:line="219" w:lineRule="auto"/>
        <w:ind w:left="430"/>
        <w:rPr>
          <w:rFonts w:ascii="Times New Roman" w:hAnsi="Times New Roman" w:eastAsia="Times New Roman" w:cs="Times New Roman"/>
          <w:sz w:val="7"/>
          <w:szCs w:val="7"/>
          <w:highlight w:val="none"/>
        </w:rPr>
      </w:pPr>
      <w:r>
        <w:rPr>
          <w:rFonts w:ascii="Times New Roman" w:hAnsi="Times New Roman" w:eastAsia="Times New Roman" w:cs="Times New Roman"/>
          <w:spacing w:val="-3"/>
          <w:sz w:val="20"/>
          <w:szCs w:val="20"/>
          <w:highlight w:val="none"/>
        </w:rPr>
        <w:t>10.3.3</w:t>
      </w:r>
      <w:r>
        <w:rPr>
          <w:rFonts w:ascii="Times New Roman" w:hAnsi="Times New Roman" w:eastAsia="Times New Roman" w:cs="Times New Roman"/>
          <w:spacing w:val="11"/>
          <w:sz w:val="20"/>
          <w:szCs w:val="20"/>
          <w:highlight w:val="none"/>
        </w:rPr>
        <w:t xml:space="preserve">    </w:t>
      </w:r>
      <w:r>
        <w:rPr>
          <w:rFonts w:ascii="宋体" w:hAnsi="宋体" w:eastAsia="宋体" w:cs="宋体"/>
          <w:spacing w:val="-3"/>
          <w:sz w:val="20"/>
          <w:szCs w:val="20"/>
          <w:highlight w:val="none"/>
        </w:rPr>
        <w:t>发包人逾期接收工程的违约责任：</w:t>
      </w:r>
      <w:r>
        <w:rPr>
          <w:rFonts w:ascii="宋体" w:hAnsi="宋体" w:eastAsia="宋体" w:cs="宋体"/>
          <w:sz w:val="20"/>
          <w:szCs w:val="20"/>
          <w:highlight w:val="none"/>
          <w:u w:val="single" w:color="auto"/>
        </w:rPr>
        <w:t xml:space="preserve">                                         </w:t>
      </w:r>
      <w:r>
        <w:rPr>
          <w:rFonts w:ascii="宋体" w:hAnsi="宋体" w:eastAsia="宋体" w:cs="宋体"/>
          <w:spacing w:val="-80"/>
          <w:sz w:val="20"/>
          <w:szCs w:val="20"/>
          <w:highlight w:val="none"/>
        </w:rPr>
        <w:t xml:space="preserve"> </w:t>
      </w:r>
      <w:r>
        <w:rPr>
          <w:rFonts w:ascii="Times New Roman" w:hAnsi="Times New Roman" w:eastAsia="Times New Roman" w:cs="Times New Roman"/>
          <w:spacing w:val="-3"/>
          <w:position w:val="2"/>
          <w:sz w:val="7"/>
          <w:szCs w:val="7"/>
          <w:highlight w:val="none"/>
        </w:rPr>
        <w:t>o</w:t>
      </w:r>
    </w:p>
    <w:p w14:paraId="55A48A9A">
      <w:pPr>
        <w:spacing w:before="213" w:line="219" w:lineRule="auto"/>
        <w:ind w:right="13"/>
        <w:jc w:val="right"/>
        <w:rPr>
          <w:rFonts w:ascii="Times New Roman" w:hAnsi="Times New Roman" w:eastAsia="Times New Roman" w:cs="Times New Roman"/>
          <w:sz w:val="22"/>
          <w:szCs w:val="22"/>
          <w:highlight w:val="none"/>
        </w:rPr>
      </w:pPr>
      <w:r>
        <w:rPr>
          <w:rFonts w:ascii="宋体" w:hAnsi="宋体" w:eastAsia="宋体" w:cs="宋体"/>
          <w:spacing w:val="-8"/>
          <w:sz w:val="22"/>
          <w:szCs w:val="22"/>
          <w:highlight w:val="none"/>
        </w:rPr>
        <w:t>10.3.4承包人无正当理由不移交工程的违约责任：</w:t>
      </w:r>
      <w:r>
        <w:rPr>
          <w:rFonts w:ascii="宋体" w:hAnsi="宋体" w:eastAsia="宋体" w:cs="宋体"/>
          <w:spacing w:val="-8"/>
          <w:sz w:val="22"/>
          <w:szCs w:val="22"/>
          <w:highlight w:val="none"/>
          <w:u w:val="single" w:color="auto"/>
        </w:rPr>
        <w:t xml:space="preserve">                          </w:t>
      </w:r>
      <w:r>
        <w:rPr>
          <w:rFonts w:ascii="宋体" w:hAnsi="宋体" w:eastAsia="宋体" w:cs="宋体"/>
          <w:spacing w:val="-9"/>
          <w:sz w:val="22"/>
          <w:szCs w:val="22"/>
          <w:highlight w:val="none"/>
          <w:u w:val="single" w:color="auto"/>
        </w:rPr>
        <w:t xml:space="preserve">     </w:t>
      </w:r>
      <w:r>
        <w:rPr>
          <w:rFonts w:ascii="宋体" w:hAnsi="宋体" w:eastAsia="宋体" w:cs="宋体"/>
          <w:spacing w:val="-100"/>
          <w:sz w:val="22"/>
          <w:szCs w:val="22"/>
          <w:highlight w:val="none"/>
        </w:rPr>
        <w:t xml:space="preserve"> </w:t>
      </w:r>
      <w:r>
        <w:rPr>
          <w:rFonts w:ascii="Times New Roman" w:hAnsi="Times New Roman" w:eastAsia="Times New Roman" w:cs="Times New Roman"/>
          <w:spacing w:val="-9"/>
          <w:sz w:val="22"/>
          <w:szCs w:val="22"/>
          <w:highlight w:val="none"/>
        </w:rPr>
        <w:t>o</w:t>
      </w:r>
    </w:p>
    <w:p w14:paraId="37D6DF05">
      <w:pPr>
        <w:pStyle w:val="2"/>
        <w:spacing w:line="305" w:lineRule="auto"/>
        <w:rPr>
          <w:highlight w:val="none"/>
        </w:rPr>
      </w:pPr>
    </w:p>
    <w:p w14:paraId="664C1FA5">
      <w:pPr>
        <w:spacing w:before="72" w:line="222" w:lineRule="auto"/>
        <w:rPr>
          <w:rFonts w:ascii="黑体" w:hAnsi="黑体" w:eastAsia="黑体" w:cs="黑体"/>
          <w:sz w:val="22"/>
          <w:szCs w:val="22"/>
          <w:highlight w:val="none"/>
        </w:rPr>
      </w:pPr>
      <w:r>
        <w:rPr>
          <w:rFonts w:ascii="黑体" w:hAnsi="黑体" w:eastAsia="黑体" w:cs="黑体"/>
          <w:spacing w:val="3"/>
          <w:sz w:val="22"/>
          <w:szCs w:val="22"/>
          <w:highlight w:val="none"/>
        </w:rPr>
        <w:t>10.4接收证书</w:t>
      </w:r>
    </w:p>
    <w:p w14:paraId="22DBD467">
      <w:pPr>
        <w:spacing w:before="214" w:line="184" w:lineRule="auto"/>
        <w:ind w:left="430"/>
        <w:rPr>
          <w:rFonts w:ascii="宋体" w:hAnsi="宋体" w:eastAsia="宋体" w:cs="宋体"/>
          <w:sz w:val="20"/>
          <w:szCs w:val="20"/>
          <w:highlight w:val="none"/>
        </w:rPr>
      </w:pPr>
      <w:r>
        <w:rPr>
          <w:highlight w:val="none"/>
        </w:rPr>
        <w:pict>
          <v:shape id="_x0000_s1049" o:spid="_x0000_s1049" o:spt="202" type="#_x0000_t202" style="position:absolute;left:0pt;margin-left:289pt;margin-top:16.1pt;height:5.25pt;width:5.4pt;z-index:251687936;mso-width-relative:page;mso-height-relative:page;" filled="f" stroked="f" coordsize="21600,21600">
            <v:path/>
            <v:fill on="f" focussize="0,0"/>
            <v:stroke on="f"/>
            <v:imagedata o:title=""/>
            <o:lock v:ext="edit" aspectratio="f"/>
            <v:textbox inset="0mm,0mm,0mm,0mm">
              <w:txbxContent>
                <w:p w14:paraId="6D0E81C7">
                  <w:pPr>
                    <w:pStyle w:val="2"/>
                    <w:tabs>
                      <w:tab w:val="left" w:pos="54"/>
                    </w:tabs>
                    <w:spacing w:before="20" w:line="156" w:lineRule="auto"/>
                    <w:ind w:left="20"/>
                    <w:rPr>
                      <w:sz w:val="6"/>
                      <w:szCs w:val="6"/>
                    </w:rPr>
                  </w:pPr>
                  <w:r>
                    <w:rPr>
                      <w:sz w:val="6"/>
                      <w:szCs w:val="6"/>
                      <w:u w:val="dotted" w:color="auto"/>
                    </w:rPr>
                    <w:tab/>
                  </w:r>
                  <w:r>
                    <w:rPr>
                      <w:spacing w:val="-15"/>
                      <w:sz w:val="6"/>
                      <w:szCs w:val="6"/>
                    </w:rPr>
                    <w:t xml:space="preserve"> </w:t>
                  </w:r>
                  <w:r>
                    <w:rPr>
                      <w:sz w:val="6"/>
                      <w:szCs w:val="6"/>
                    </w:rPr>
                    <w:t>o</w:t>
                  </w:r>
                </w:p>
              </w:txbxContent>
            </v:textbox>
          </v:shape>
        </w:pict>
      </w:r>
      <w:r>
        <w:rPr>
          <w:rFonts w:ascii="Times New Roman" w:hAnsi="Times New Roman" w:eastAsia="Times New Roman" w:cs="Times New Roman"/>
          <w:spacing w:val="-2"/>
          <w:sz w:val="20"/>
          <w:szCs w:val="20"/>
          <w:highlight w:val="none"/>
        </w:rPr>
        <w:t>10.4.1</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2"/>
          <w:sz w:val="20"/>
          <w:szCs w:val="20"/>
          <w:highlight w:val="none"/>
        </w:rPr>
        <w:t>工程接收证书颁发时间：</w:t>
      </w:r>
      <w:r>
        <w:rPr>
          <w:rFonts w:ascii="宋体" w:hAnsi="宋体" w:eastAsia="宋体" w:cs="宋体"/>
          <w:spacing w:val="53"/>
          <w:sz w:val="20"/>
          <w:szCs w:val="20"/>
          <w:highlight w:val="none"/>
        </w:rPr>
        <w:t xml:space="preserve"> </w:t>
      </w:r>
      <w:r>
        <w:rPr>
          <w:rFonts w:ascii="宋体" w:hAnsi="宋体" w:eastAsia="宋体" w:cs="宋体"/>
          <w:sz w:val="20"/>
          <w:szCs w:val="20"/>
          <w:highlight w:val="none"/>
          <w:u w:val="single" w:color="auto"/>
        </w:rPr>
        <w:t xml:space="preserve">                        </w:t>
      </w:r>
    </w:p>
    <w:p w14:paraId="1EFA9911">
      <w:pPr>
        <w:pStyle w:val="2"/>
        <w:spacing w:line="346" w:lineRule="auto"/>
        <w:rPr>
          <w:highlight w:val="none"/>
        </w:rPr>
      </w:pPr>
    </w:p>
    <w:p w14:paraId="2AFED953">
      <w:pPr>
        <w:pStyle w:val="2"/>
        <w:spacing w:before="65" w:line="273" w:lineRule="exact"/>
        <w:rPr>
          <w:rFonts w:ascii="黑体" w:hAnsi="黑体" w:eastAsia="黑体" w:cs="黑体"/>
          <w:sz w:val="20"/>
          <w:szCs w:val="20"/>
          <w:highlight w:val="none"/>
        </w:rPr>
      </w:pPr>
      <w:r>
        <w:rPr>
          <w:spacing w:val="3"/>
          <w:position w:val="1"/>
          <w:sz w:val="20"/>
          <w:szCs w:val="20"/>
          <w:highlight w:val="none"/>
        </w:rPr>
        <w:t>10.5</w:t>
      </w:r>
      <w:r>
        <w:rPr>
          <w:spacing w:val="18"/>
          <w:position w:val="1"/>
          <w:sz w:val="20"/>
          <w:szCs w:val="20"/>
          <w:highlight w:val="none"/>
        </w:rPr>
        <w:t xml:space="preserve">  </w:t>
      </w:r>
      <w:r>
        <w:rPr>
          <w:rFonts w:ascii="黑体" w:hAnsi="黑体" w:eastAsia="黑体" w:cs="黑体"/>
          <w:spacing w:val="3"/>
          <w:position w:val="1"/>
          <w:sz w:val="20"/>
          <w:szCs w:val="20"/>
          <w:highlight w:val="none"/>
        </w:rPr>
        <w:t>竣工退场</w:t>
      </w:r>
    </w:p>
    <w:p w14:paraId="18DC2C56">
      <w:pPr>
        <w:pStyle w:val="2"/>
        <w:spacing w:before="244" w:line="221" w:lineRule="auto"/>
        <w:ind w:left="430"/>
        <w:rPr>
          <w:sz w:val="9"/>
          <w:szCs w:val="9"/>
          <w:highlight w:val="none"/>
        </w:rPr>
      </w:pPr>
      <w:r>
        <w:rPr>
          <w:rFonts w:ascii="Times New Roman" w:hAnsi="Times New Roman" w:eastAsia="Times New Roman" w:cs="Times New Roman"/>
          <w:spacing w:val="-2"/>
          <w:sz w:val="20"/>
          <w:szCs w:val="20"/>
          <w:highlight w:val="none"/>
        </w:rPr>
        <w:t>10.5.1</w:t>
      </w:r>
      <w:r>
        <w:rPr>
          <w:rFonts w:ascii="Times New Roman" w:hAnsi="Times New Roman" w:eastAsia="Times New Roman" w:cs="Times New Roman"/>
          <w:spacing w:val="11"/>
          <w:sz w:val="20"/>
          <w:szCs w:val="20"/>
          <w:highlight w:val="none"/>
        </w:rPr>
        <w:t xml:space="preserve">    </w:t>
      </w:r>
      <w:r>
        <w:rPr>
          <w:rFonts w:ascii="宋体" w:hAnsi="宋体" w:eastAsia="宋体" w:cs="宋体"/>
          <w:spacing w:val="-2"/>
          <w:sz w:val="20"/>
          <w:szCs w:val="20"/>
          <w:highlight w:val="none"/>
        </w:rPr>
        <w:t xml:space="preserve">竣工退场的相关约定： </w:t>
      </w:r>
      <w:r>
        <w:rPr>
          <w:rFonts w:ascii="宋体" w:hAnsi="宋体" w:eastAsia="宋体" w:cs="宋体"/>
          <w:spacing w:val="1"/>
          <w:sz w:val="20"/>
          <w:szCs w:val="20"/>
          <w:highlight w:val="none"/>
          <w:u w:val="single" w:color="auto"/>
        </w:rPr>
        <w:t xml:space="preserve">                         </w:t>
      </w:r>
      <w:r>
        <w:rPr>
          <w:rFonts w:ascii="宋体" w:hAnsi="宋体" w:eastAsia="宋体" w:cs="宋体"/>
          <w:spacing w:val="-65"/>
          <w:sz w:val="20"/>
          <w:szCs w:val="20"/>
          <w:highlight w:val="none"/>
        </w:rPr>
        <w:t xml:space="preserve"> </w:t>
      </w:r>
      <w:r>
        <w:rPr>
          <w:spacing w:val="-2"/>
          <w:position w:val="-3"/>
          <w:sz w:val="9"/>
          <w:szCs w:val="9"/>
          <w:highlight w:val="none"/>
        </w:rPr>
        <w:t>o</w:t>
      </w:r>
    </w:p>
    <w:p w14:paraId="7289FAEB">
      <w:pPr>
        <w:spacing w:before="213" w:line="220" w:lineRule="auto"/>
        <w:ind w:left="430"/>
        <w:rPr>
          <w:rFonts w:ascii="宋体" w:hAnsi="宋体" w:eastAsia="宋体" w:cs="宋体"/>
          <w:sz w:val="22"/>
          <w:szCs w:val="22"/>
          <w:highlight w:val="none"/>
        </w:rPr>
      </w:pPr>
      <w:r>
        <w:rPr>
          <w:rFonts w:ascii="宋体" w:hAnsi="宋体" w:eastAsia="宋体" w:cs="宋体"/>
          <w:spacing w:val="-3"/>
          <w:sz w:val="22"/>
          <w:szCs w:val="22"/>
          <w:highlight w:val="none"/>
        </w:rPr>
        <w:t>10.5.3人员撤离</w:t>
      </w:r>
    </w:p>
    <w:p w14:paraId="57CBACF9">
      <w:pPr>
        <w:spacing w:before="216" w:line="398" w:lineRule="auto"/>
        <w:ind w:right="43" w:firstLine="430"/>
        <w:rPr>
          <w:rFonts w:ascii="宋体" w:hAnsi="宋体" w:eastAsia="宋体" w:cs="宋体"/>
          <w:sz w:val="22"/>
          <w:szCs w:val="22"/>
          <w:highlight w:val="none"/>
        </w:rPr>
      </w:pPr>
      <w:r>
        <w:rPr>
          <w:rFonts w:ascii="宋体" w:hAnsi="宋体" w:eastAsia="宋体" w:cs="宋体"/>
          <w:spacing w:val="5"/>
          <w:sz w:val="22"/>
          <w:szCs w:val="22"/>
          <w:highlight w:val="none"/>
        </w:rPr>
        <w:t>工程师同意需在缺陷责任期内继续工作和使用的人员、施工设备和临时工程的内</w:t>
      </w:r>
      <w:r>
        <w:rPr>
          <w:rFonts w:ascii="宋体" w:hAnsi="宋体" w:eastAsia="宋体" w:cs="宋体"/>
          <w:spacing w:val="3"/>
          <w:sz w:val="22"/>
          <w:szCs w:val="22"/>
          <w:highlight w:val="none"/>
        </w:rPr>
        <w:t xml:space="preserve"> </w:t>
      </w:r>
      <w:r>
        <w:rPr>
          <w:rFonts w:ascii="宋体" w:hAnsi="宋体" w:eastAsia="宋体" w:cs="宋体"/>
          <w:spacing w:val="-5"/>
          <w:sz w:val="22"/>
          <w:szCs w:val="22"/>
          <w:highlight w:val="none"/>
        </w:rPr>
        <w:t>容：</w:t>
      </w:r>
      <w:r>
        <w:rPr>
          <w:rFonts w:ascii="宋体" w:hAnsi="宋体" w:eastAsia="宋体" w:cs="宋体"/>
          <w:sz w:val="22"/>
          <w:szCs w:val="22"/>
          <w:highlight w:val="none"/>
          <w:u w:val="single" w:color="auto"/>
        </w:rPr>
        <w:t xml:space="preserve">           </w:t>
      </w:r>
    </w:p>
    <w:p w14:paraId="6F2E8E59">
      <w:pPr>
        <w:spacing w:before="122" w:line="221" w:lineRule="auto"/>
        <w:outlineLvl w:val="1"/>
        <w:rPr>
          <w:rFonts w:ascii="黑体" w:hAnsi="黑体" w:eastAsia="黑体" w:cs="黑体"/>
          <w:sz w:val="28"/>
          <w:szCs w:val="28"/>
          <w:highlight w:val="none"/>
        </w:rPr>
      </w:pPr>
      <w:bookmarkStart w:id="135" w:name="bookmark78"/>
      <w:bookmarkEnd w:id="135"/>
      <w:r>
        <w:rPr>
          <w:rFonts w:ascii="黑体" w:hAnsi="黑体" w:eastAsia="黑体" w:cs="黑体"/>
          <w:spacing w:val="29"/>
          <w:sz w:val="28"/>
          <w:szCs w:val="28"/>
          <w:highlight w:val="none"/>
        </w:rPr>
        <w:t>第11条缺陷责任与保修</w:t>
      </w:r>
    </w:p>
    <w:p w14:paraId="0FCDDE3D">
      <w:pPr>
        <w:pStyle w:val="2"/>
        <w:spacing w:line="339" w:lineRule="auto"/>
        <w:rPr>
          <w:highlight w:val="none"/>
        </w:rPr>
      </w:pPr>
    </w:p>
    <w:p w14:paraId="1A0FBA9D">
      <w:pPr>
        <w:spacing w:before="72" w:line="221" w:lineRule="auto"/>
        <w:rPr>
          <w:rFonts w:ascii="黑体" w:hAnsi="黑体" w:eastAsia="黑体" w:cs="黑体"/>
          <w:sz w:val="22"/>
          <w:szCs w:val="22"/>
          <w:highlight w:val="none"/>
        </w:rPr>
      </w:pPr>
      <w:r>
        <w:rPr>
          <w:rFonts w:ascii="黑体" w:hAnsi="黑体" w:eastAsia="黑体" w:cs="黑体"/>
          <w:spacing w:val="2"/>
          <w:sz w:val="22"/>
          <w:szCs w:val="22"/>
          <w:highlight w:val="none"/>
        </w:rPr>
        <w:t>11.2缺陷责任期</w:t>
      </w:r>
    </w:p>
    <w:p w14:paraId="77CA1824">
      <w:pPr>
        <w:spacing w:before="231" w:line="184" w:lineRule="auto"/>
        <w:ind w:left="430"/>
        <w:rPr>
          <w:rFonts w:ascii="宋体" w:hAnsi="宋体" w:eastAsia="宋体" w:cs="宋体"/>
          <w:sz w:val="22"/>
          <w:szCs w:val="22"/>
          <w:highlight w:val="none"/>
        </w:rPr>
      </w:pPr>
      <w:r>
        <w:rPr>
          <w:highlight w:val="none"/>
        </w:rPr>
        <w:pict>
          <v:shape id="_x0000_s1050" o:spid="_x0000_s1050" o:spt="202" type="#_x0000_t202" style="position:absolute;left:0pt;margin-left:289pt;margin-top:17.35pt;height:4.25pt;width:3.6pt;z-index:251689984;mso-width-relative:page;mso-height-relative:page;" filled="f" stroked="f" coordsize="21600,21600">
            <v:path/>
            <v:fill on="f" focussize="0,0"/>
            <v:stroke on="f"/>
            <v:imagedata o:title=""/>
            <o:lock v:ext="edit" aspectratio="f"/>
            <v:textbox inset="0mm,0mm,0mm,0mm">
              <w:txbxContent>
                <w:p w14:paraId="3F1A8EBA">
                  <w:pPr>
                    <w:pStyle w:val="2"/>
                    <w:spacing w:before="20" w:line="44" w:lineRule="exact"/>
                    <w:ind w:left="20"/>
                    <w:rPr>
                      <w:sz w:val="6"/>
                      <w:szCs w:val="6"/>
                    </w:rPr>
                  </w:pPr>
                  <w:r>
                    <w:rPr>
                      <w:sz w:val="6"/>
                      <w:szCs w:val="6"/>
                    </w:rPr>
                    <w:t>o</w:t>
                  </w:r>
                </w:p>
              </w:txbxContent>
            </v:textbox>
          </v:shape>
        </w:pict>
      </w:r>
      <w:r>
        <w:rPr>
          <w:rFonts w:ascii="宋体" w:hAnsi="宋体" w:eastAsia="宋体" w:cs="宋体"/>
          <w:spacing w:val="-21"/>
          <w:sz w:val="22"/>
          <w:szCs w:val="22"/>
          <w:highlight w:val="none"/>
        </w:rPr>
        <w:t>缺陷责任期的期限：_</w:t>
      </w:r>
      <w:r>
        <w:rPr>
          <w:rFonts w:ascii="宋体" w:hAnsi="宋体" w:eastAsia="宋体" w:cs="宋体"/>
          <w:spacing w:val="-91"/>
          <w:sz w:val="22"/>
          <w:szCs w:val="22"/>
          <w:highlight w:val="none"/>
        </w:rPr>
        <w:t xml:space="preserve"> </w:t>
      </w:r>
      <w:r>
        <w:rPr>
          <w:rFonts w:ascii="宋体" w:hAnsi="宋体" w:eastAsia="宋体" w:cs="宋体"/>
          <w:sz w:val="22"/>
          <w:szCs w:val="22"/>
          <w:highlight w:val="none"/>
          <w:u w:val="single" w:color="auto"/>
        </w:rPr>
        <w:t xml:space="preserve">                                </w:t>
      </w:r>
    </w:p>
    <w:p w14:paraId="011DDA98">
      <w:pPr>
        <w:pStyle w:val="2"/>
        <w:spacing w:line="337" w:lineRule="auto"/>
        <w:rPr>
          <w:highlight w:val="none"/>
        </w:rPr>
      </w:pPr>
    </w:p>
    <w:p w14:paraId="5004C1C9">
      <w:pPr>
        <w:pStyle w:val="2"/>
        <w:spacing w:before="63" w:line="259" w:lineRule="exact"/>
        <w:rPr>
          <w:rFonts w:ascii="黑体" w:hAnsi="黑体" w:eastAsia="黑体" w:cs="黑体"/>
          <w:sz w:val="19"/>
          <w:szCs w:val="19"/>
          <w:highlight w:val="none"/>
        </w:rPr>
      </w:pPr>
      <w:r>
        <w:rPr>
          <w:spacing w:val="9"/>
          <w:position w:val="1"/>
          <w:sz w:val="19"/>
          <w:szCs w:val="19"/>
          <w:highlight w:val="none"/>
        </w:rPr>
        <w:t>11.3</w:t>
      </w:r>
      <w:r>
        <w:rPr>
          <w:spacing w:val="24"/>
          <w:w w:val="101"/>
          <w:position w:val="1"/>
          <w:sz w:val="19"/>
          <w:szCs w:val="19"/>
          <w:highlight w:val="none"/>
        </w:rPr>
        <w:t xml:space="preserve">  </w:t>
      </w:r>
      <w:r>
        <w:rPr>
          <w:rFonts w:ascii="黑体" w:hAnsi="黑体" w:eastAsia="黑体" w:cs="黑体"/>
          <w:spacing w:val="9"/>
          <w:position w:val="1"/>
          <w:sz w:val="19"/>
          <w:szCs w:val="19"/>
          <w:highlight w:val="none"/>
        </w:rPr>
        <w:t>缺陷调查</w:t>
      </w:r>
    </w:p>
    <w:p w14:paraId="2B83801B">
      <w:pPr>
        <w:spacing w:before="247" w:line="219" w:lineRule="auto"/>
        <w:ind w:left="430"/>
        <w:rPr>
          <w:rFonts w:ascii="宋体" w:hAnsi="宋体" w:eastAsia="宋体" w:cs="宋体"/>
          <w:sz w:val="20"/>
          <w:szCs w:val="20"/>
          <w:highlight w:val="none"/>
        </w:rPr>
      </w:pPr>
      <w:r>
        <w:rPr>
          <w:rFonts w:ascii="宋体" w:hAnsi="宋体" w:eastAsia="宋体" w:cs="宋体"/>
          <w:spacing w:val="15"/>
          <w:sz w:val="20"/>
          <w:szCs w:val="20"/>
          <w:highlight w:val="none"/>
        </w:rPr>
        <w:t>11.3.4修复通知</w:t>
      </w:r>
    </w:p>
    <w:p w14:paraId="1A455377">
      <w:pPr>
        <w:spacing w:before="272" w:line="219" w:lineRule="auto"/>
        <w:ind w:left="430"/>
        <w:rPr>
          <w:sz w:val="20"/>
          <w:szCs w:val="20"/>
          <w:highlight w:val="none"/>
        </w:rPr>
      </w:pPr>
      <w:r>
        <w:rPr>
          <w:rFonts w:ascii="宋体" w:hAnsi="宋体" w:eastAsia="宋体" w:cs="宋体"/>
          <w:spacing w:val="3"/>
          <w:sz w:val="20"/>
          <w:szCs w:val="20"/>
          <w:highlight w:val="none"/>
        </w:rPr>
        <w:t>承包人收到保修通知并到达工程现场的合理时间：</w:t>
      </w:r>
      <w:r>
        <w:rPr>
          <w:rFonts w:ascii="宋体" w:hAnsi="宋体" w:eastAsia="宋体" w:cs="宋体"/>
          <w:spacing w:val="43"/>
          <w:sz w:val="20"/>
          <w:szCs w:val="20"/>
          <w:highlight w:val="none"/>
        </w:rPr>
        <w:t xml:space="preserve"> </w:t>
      </w:r>
      <w:r>
        <w:rPr>
          <w:rFonts w:ascii="宋体" w:hAnsi="宋体" w:eastAsia="宋体" w:cs="宋体"/>
          <w:spacing w:val="4"/>
          <w:sz w:val="20"/>
          <w:szCs w:val="20"/>
          <w:highlight w:val="none"/>
          <w:u w:val="single" w:color="auto"/>
        </w:rPr>
        <w:t xml:space="preserve">       </w:t>
      </w:r>
      <w:r>
        <w:rPr>
          <w:rFonts w:ascii="宋体" w:hAnsi="宋体" w:eastAsia="宋体" w:cs="宋体"/>
          <w:spacing w:val="-69"/>
          <w:sz w:val="20"/>
          <w:szCs w:val="20"/>
          <w:highlight w:val="none"/>
        </w:rPr>
        <w:t xml:space="preserve"> </w:t>
      </w:r>
      <w:r>
        <w:rPr>
          <w:position w:val="4"/>
          <w:sz w:val="20"/>
          <w:szCs w:val="20"/>
          <w:highlight w:val="none"/>
        </w:rPr>
        <w:drawing>
          <wp:inline distT="0" distB="0" distL="0" distR="0">
            <wp:extent cx="50800" cy="3810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325"/>
                    <a:stretch>
                      <a:fillRect/>
                    </a:stretch>
                  </pic:blipFill>
                  <pic:spPr>
                    <a:xfrm>
                      <a:off x="0" y="0"/>
                      <a:ext cx="50822" cy="38175"/>
                    </a:xfrm>
                    <a:prstGeom prst="rect">
                      <a:avLst/>
                    </a:prstGeom>
                  </pic:spPr>
                </pic:pic>
              </a:graphicData>
            </a:graphic>
          </wp:inline>
        </w:drawing>
      </w:r>
    </w:p>
    <w:p w14:paraId="6E63DA04">
      <w:pPr>
        <w:pStyle w:val="2"/>
        <w:spacing w:line="268" w:lineRule="auto"/>
        <w:rPr>
          <w:highlight w:val="none"/>
        </w:rPr>
      </w:pPr>
    </w:p>
    <w:p w14:paraId="60C60459">
      <w:pPr>
        <w:spacing w:before="72" w:line="221" w:lineRule="auto"/>
        <w:rPr>
          <w:rFonts w:ascii="黑体" w:hAnsi="黑体" w:eastAsia="黑体" w:cs="黑体"/>
          <w:sz w:val="22"/>
          <w:szCs w:val="22"/>
          <w:highlight w:val="none"/>
        </w:rPr>
      </w:pPr>
      <w:r>
        <w:rPr>
          <w:rFonts w:ascii="黑体" w:hAnsi="黑体" w:eastAsia="黑体" w:cs="黑体"/>
          <w:spacing w:val="-2"/>
          <w:sz w:val="22"/>
          <w:szCs w:val="22"/>
          <w:highlight w:val="none"/>
        </w:rPr>
        <w:t>11.6缺陷责任期终止证书</w:t>
      </w:r>
    </w:p>
    <w:p w14:paraId="3EF87022">
      <w:pPr>
        <w:spacing w:before="217" w:line="423" w:lineRule="auto"/>
        <w:ind w:right="27"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承包人应于缺陷责任期届满后</w:t>
      </w:r>
      <w:r>
        <w:rPr>
          <w:rFonts w:ascii="宋体" w:hAnsi="宋体" w:eastAsia="宋体" w:cs="宋体"/>
          <w:spacing w:val="-3"/>
          <w:sz w:val="21"/>
          <w:szCs w:val="21"/>
          <w:highlight w:val="none"/>
          <w:u w:val="single" w:color="auto"/>
        </w:rPr>
        <w:t xml:space="preserve">    </w:t>
      </w:r>
      <w:r>
        <w:rPr>
          <w:rFonts w:ascii="宋体" w:hAnsi="宋体" w:eastAsia="宋体" w:cs="宋体"/>
          <w:spacing w:val="-75"/>
          <w:sz w:val="21"/>
          <w:szCs w:val="21"/>
          <w:highlight w:val="none"/>
        </w:rPr>
        <w:t xml:space="preserve"> </w:t>
      </w:r>
      <w:r>
        <w:rPr>
          <w:rFonts w:ascii="宋体" w:hAnsi="宋体" w:eastAsia="宋体" w:cs="宋体"/>
          <w:spacing w:val="-3"/>
          <w:sz w:val="21"/>
          <w:szCs w:val="21"/>
          <w:highlight w:val="none"/>
        </w:rPr>
        <w:t>天内向发包人发出缺陷责任期届满通知，发包人应在</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收到缺陷责任期满通知后</w:t>
      </w:r>
      <w:r>
        <w:rPr>
          <w:rFonts w:ascii="宋体" w:hAnsi="宋体" w:eastAsia="宋体" w:cs="宋体"/>
          <w:spacing w:val="-88"/>
          <w:sz w:val="21"/>
          <w:szCs w:val="21"/>
          <w:highlight w:val="none"/>
        </w:rPr>
        <w:t xml:space="preserve"> </w:t>
      </w:r>
      <w:r>
        <w:rPr>
          <w:rFonts w:ascii="宋体" w:hAnsi="宋体" w:eastAsia="宋体" w:cs="宋体"/>
          <w:spacing w:val="12"/>
          <w:sz w:val="21"/>
          <w:szCs w:val="21"/>
          <w:highlight w:val="none"/>
          <w:u w:val="single" w:color="auto"/>
        </w:rPr>
        <w:t xml:space="preserve">    </w:t>
      </w:r>
      <w:r>
        <w:rPr>
          <w:rFonts w:ascii="宋体" w:hAnsi="宋体" w:eastAsia="宋体" w:cs="宋体"/>
          <w:spacing w:val="-93"/>
          <w:sz w:val="21"/>
          <w:szCs w:val="21"/>
          <w:highlight w:val="none"/>
        </w:rPr>
        <w:t xml:space="preserve"> </w:t>
      </w:r>
      <w:r>
        <w:rPr>
          <w:rFonts w:ascii="宋体" w:hAnsi="宋体" w:eastAsia="宋体" w:cs="宋体"/>
          <w:spacing w:val="-4"/>
          <w:sz w:val="21"/>
          <w:szCs w:val="21"/>
          <w:highlight w:val="none"/>
        </w:rPr>
        <w:t>天内核实承包人是否履行缺陷修复义务，承包人未能履行缺陷</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修复义务的，发包人有权扣除相应金额的维修费用。发包人应在收到缺陷责任期届满通知后</w:t>
      </w:r>
      <w:r>
        <w:rPr>
          <w:rFonts w:ascii="宋体" w:hAnsi="宋体" w:eastAsia="宋体" w:cs="宋体"/>
          <w:spacing w:val="4"/>
          <w:sz w:val="21"/>
          <w:szCs w:val="21"/>
          <w:highlight w:val="none"/>
        </w:rPr>
        <w:t xml:space="preserve"> </w:t>
      </w:r>
      <w:r>
        <w:rPr>
          <w:rFonts w:ascii="宋体" w:hAnsi="宋体" w:eastAsia="宋体" w:cs="宋体"/>
          <w:spacing w:val="-3"/>
          <w:sz w:val="21"/>
          <w:szCs w:val="21"/>
          <w:highlight w:val="none"/>
        </w:rPr>
        <w:t>天内，向承包人颁发缺陷责任期终止证书。</w:t>
      </w:r>
    </w:p>
    <w:p w14:paraId="3DE0D87F">
      <w:pPr>
        <w:spacing w:before="165" w:line="221" w:lineRule="auto"/>
        <w:rPr>
          <w:rFonts w:ascii="黑体" w:hAnsi="黑体" w:eastAsia="黑体" w:cs="黑体"/>
          <w:sz w:val="22"/>
          <w:szCs w:val="22"/>
          <w:highlight w:val="none"/>
        </w:rPr>
      </w:pPr>
      <w:r>
        <w:rPr>
          <w:rFonts w:ascii="黑体" w:hAnsi="黑体" w:eastAsia="黑体" w:cs="黑体"/>
          <w:spacing w:val="5"/>
          <w:sz w:val="22"/>
          <w:szCs w:val="22"/>
          <w:highlight w:val="none"/>
        </w:rPr>
        <w:t>11.7保修责任</w:t>
      </w:r>
    </w:p>
    <w:p w14:paraId="236A9EEA">
      <w:pPr>
        <w:spacing w:before="199" w:line="184" w:lineRule="auto"/>
        <w:ind w:left="430"/>
        <w:rPr>
          <w:rFonts w:ascii="宋体" w:hAnsi="宋体" w:eastAsia="宋体" w:cs="宋体"/>
          <w:sz w:val="21"/>
          <w:szCs w:val="21"/>
          <w:highlight w:val="none"/>
        </w:rPr>
      </w:pPr>
      <w:r>
        <w:rPr>
          <w:highlight w:val="none"/>
        </w:rPr>
        <w:pict>
          <v:shape id="_x0000_s1051" o:spid="_x0000_s1051" o:spt="202" type="#_x0000_t202" style="position:absolute;left:0pt;margin-left:283.5pt;margin-top:16.05pt;height:5.2pt;width:3.65pt;z-index:251688960;mso-width-relative:page;mso-height-relative:page;" filled="f" stroked="f" coordsize="21600,21600">
            <v:path/>
            <v:fill on="f" focussize="0,0"/>
            <v:stroke on="f"/>
            <v:imagedata o:title=""/>
            <o:lock v:ext="edit" aspectratio="f"/>
            <v:textbox inset="0mm,0mm,0mm,0mm">
              <w:txbxContent>
                <w:p w14:paraId="01011B43">
                  <w:pPr>
                    <w:spacing w:before="20" w:line="188" w:lineRule="auto"/>
                    <w:ind w:left="20"/>
                    <w:rPr>
                      <w:rFonts w:ascii="Times New Roman" w:hAnsi="Times New Roman" w:eastAsia="Times New Roman" w:cs="Times New Roman"/>
                      <w:sz w:val="7"/>
                      <w:szCs w:val="7"/>
                    </w:rPr>
                  </w:pPr>
                  <w:r>
                    <w:rPr>
                      <w:rFonts w:ascii="Times New Roman" w:hAnsi="Times New Roman" w:eastAsia="Times New Roman" w:cs="Times New Roman"/>
                      <w:sz w:val="7"/>
                      <w:szCs w:val="7"/>
                    </w:rPr>
                    <w:t>0</w:t>
                  </w:r>
                </w:p>
              </w:txbxContent>
            </v:textbox>
          </v:shape>
        </w:pict>
      </w:r>
      <w:r>
        <w:rPr>
          <w:rFonts w:ascii="宋体" w:hAnsi="宋体" w:eastAsia="宋体" w:cs="宋体"/>
          <w:spacing w:val="-1"/>
          <w:sz w:val="21"/>
          <w:szCs w:val="21"/>
          <w:highlight w:val="none"/>
        </w:rPr>
        <w:t>工程质量保修范围、期限和责任为：</w:t>
      </w:r>
      <w:r>
        <w:rPr>
          <w:rFonts w:ascii="宋体" w:hAnsi="宋体" w:eastAsia="宋体" w:cs="宋体"/>
          <w:spacing w:val="-81"/>
          <w:sz w:val="21"/>
          <w:szCs w:val="21"/>
          <w:highlight w:val="none"/>
        </w:rPr>
        <w:t xml:space="preserve"> </w:t>
      </w:r>
      <w:r>
        <w:rPr>
          <w:rFonts w:ascii="宋体" w:hAnsi="宋体" w:eastAsia="宋体" w:cs="宋体"/>
          <w:sz w:val="21"/>
          <w:szCs w:val="21"/>
          <w:highlight w:val="none"/>
          <w:u w:val="single" w:color="auto"/>
        </w:rPr>
        <w:t xml:space="preserve">                   </w:t>
      </w:r>
    </w:p>
    <w:p w14:paraId="379FDF21">
      <w:pPr>
        <w:pStyle w:val="2"/>
        <w:spacing w:line="288" w:lineRule="auto"/>
        <w:rPr>
          <w:highlight w:val="none"/>
        </w:rPr>
      </w:pPr>
    </w:p>
    <w:p w14:paraId="4E7FC9D2">
      <w:pPr>
        <w:spacing w:before="91" w:line="221" w:lineRule="auto"/>
        <w:outlineLvl w:val="1"/>
        <w:rPr>
          <w:rFonts w:ascii="黑体" w:hAnsi="黑体" w:eastAsia="黑体" w:cs="黑体"/>
          <w:sz w:val="28"/>
          <w:szCs w:val="28"/>
          <w:highlight w:val="none"/>
        </w:rPr>
      </w:pPr>
      <w:bookmarkStart w:id="136" w:name="bookmark79"/>
      <w:bookmarkEnd w:id="136"/>
      <w:r>
        <w:rPr>
          <w:rFonts w:ascii="黑体" w:hAnsi="黑体" w:eastAsia="黑体" w:cs="黑体"/>
          <w:spacing w:val="35"/>
          <w:sz w:val="28"/>
          <w:szCs w:val="28"/>
          <w:highlight w:val="none"/>
        </w:rPr>
        <w:t>第12条竣工后试验</w:t>
      </w:r>
    </w:p>
    <w:p w14:paraId="548582CE">
      <w:pPr>
        <w:spacing w:before="283" w:line="184" w:lineRule="auto"/>
        <w:ind w:left="430"/>
        <w:rPr>
          <w:rFonts w:ascii="宋体" w:hAnsi="宋体" w:eastAsia="宋体" w:cs="宋体"/>
          <w:sz w:val="20"/>
          <w:szCs w:val="20"/>
          <w:highlight w:val="none"/>
        </w:rPr>
      </w:pPr>
      <w:r>
        <w:rPr>
          <w:highlight w:val="none"/>
        </w:rPr>
        <w:pict>
          <v:shape id="_x0000_s1052" o:spid="_x0000_s1052" o:spt="202" type="#_x0000_t202" style="position:absolute;left:0pt;margin-left:289pt;margin-top:20.8pt;height:5.4pt;width:4.4pt;z-index:251686912;mso-width-relative:page;mso-height-relative:page;" filled="f" stroked="f" coordsize="21600,21600">
            <v:path/>
            <v:fill on="f" focussize="0,0"/>
            <v:stroke on="f"/>
            <v:imagedata o:title=""/>
            <o:lock v:ext="edit" aspectratio="f"/>
            <v:textbox inset="0mm,0mm,0mm,0mm">
              <w:txbxContent>
                <w:p w14:paraId="0FFC36D3">
                  <w:pPr>
                    <w:pStyle w:val="2"/>
                    <w:spacing w:before="20" w:line="67" w:lineRule="exact"/>
                    <w:ind w:left="20"/>
                    <w:rPr>
                      <w:sz w:val="9"/>
                      <w:szCs w:val="9"/>
                    </w:rPr>
                  </w:pPr>
                  <w:r>
                    <w:rPr>
                      <w:sz w:val="9"/>
                      <w:szCs w:val="9"/>
                    </w:rPr>
                    <w:t>o</w:t>
                  </w:r>
                </w:p>
              </w:txbxContent>
            </v:textbox>
          </v:shape>
        </w:pict>
      </w:r>
      <w:r>
        <w:rPr>
          <w:rFonts w:ascii="宋体" w:hAnsi="宋体" w:eastAsia="宋体" w:cs="宋体"/>
          <w:spacing w:val="-1"/>
          <w:sz w:val="20"/>
          <w:szCs w:val="20"/>
          <w:highlight w:val="none"/>
        </w:rPr>
        <w:t>本合同工程是否包含竣工后试验：</w:t>
      </w:r>
      <w:r>
        <w:rPr>
          <w:rFonts w:ascii="宋体" w:hAnsi="宋体" w:eastAsia="宋体" w:cs="宋体"/>
          <w:spacing w:val="43"/>
          <w:sz w:val="20"/>
          <w:szCs w:val="20"/>
          <w:highlight w:val="none"/>
        </w:rPr>
        <w:t xml:space="preserve"> </w:t>
      </w:r>
      <w:r>
        <w:rPr>
          <w:rFonts w:ascii="宋体" w:hAnsi="宋体" w:eastAsia="宋体" w:cs="宋体"/>
          <w:sz w:val="20"/>
          <w:szCs w:val="20"/>
          <w:highlight w:val="none"/>
          <w:u w:val="single" w:color="auto"/>
        </w:rPr>
        <w:t xml:space="preserve">                       </w:t>
      </w:r>
    </w:p>
    <w:p w14:paraId="3BD59EF3">
      <w:pPr>
        <w:spacing w:line="184" w:lineRule="auto"/>
        <w:rPr>
          <w:rFonts w:ascii="宋体" w:hAnsi="宋体" w:eastAsia="宋体" w:cs="宋体"/>
          <w:sz w:val="20"/>
          <w:szCs w:val="20"/>
          <w:highlight w:val="none"/>
        </w:rPr>
        <w:sectPr>
          <w:footerReference r:id="rId156" w:type="default"/>
          <w:pgSz w:w="11910" w:h="16840"/>
          <w:pgMar w:top="400" w:right="1786" w:bottom="1197" w:left="1769" w:header="0" w:footer="993" w:gutter="0"/>
          <w:cols w:space="720" w:num="1"/>
        </w:sectPr>
      </w:pPr>
    </w:p>
    <w:p w14:paraId="201163EC">
      <w:pPr>
        <w:pStyle w:val="2"/>
        <w:spacing w:line="269" w:lineRule="auto"/>
        <w:rPr>
          <w:highlight w:val="none"/>
        </w:rPr>
      </w:pPr>
    </w:p>
    <w:p w14:paraId="5A55B8E2">
      <w:pPr>
        <w:pStyle w:val="2"/>
        <w:spacing w:line="269" w:lineRule="auto"/>
        <w:rPr>
          <w:highlight w:val="none"/>
        </w:rPr>
      </w:pPr>
    </w:p>
    <w:p w14:paraId="0B978670">
      <w:pPr>
        <w:pStyle w:val="2"/>
        <w:spacing w:line="270" w:lineRule="auto"/>
        <w:rPr>
          <w:highlight w:val="none"/>
        </w:rPr>
      </w:pPr>
    </w:p>
    <w:p w14:paraId="49C3D683">
      <w:pPr>
        <w:pStyle w:val="2"/>
        <w:spacing w:line="270" w:lineRule="auto"/>
        <w:rPr>
          <w:highlight w:val="none"/>
        </w:rPr>
      </w:pPr>
    </w:p>
    <w:p w14:paraId="5B3D521C">
      <w:pPr>
        <w:pStyle w:val="2"/>
        <w:spacing w:before="72" w:line="221" w:lineRule="auto"/>
        <w:rPr>
          <w:rFonts w:ascii="黑体" w:hAnsi="黑体" w:eastAsia="黑体" w:cs="黑体"/>
          <w:sz w:val="22"/>
          <w:szCs w:val="22"/>
          <w:highlight w:val="none"/>
        </w:rPr>
      </w:pPr>
      <w:bookmarkStart w:id="137" w:name="bookmark250"/>
      <w:bookmarkEnd w:id="137"/>
      <w:r>
        <w:rPr>
          <w:spacing w:val="-8"/>
          <w:sz w:val="22"/>
          <w:szCs w:val="22"/>
          <w:highlight w:val="none"/>
        </w:rPr>
        <w:t>12.1</w:t>
      </w:r>
      <w:r>
        <w:rPr>
          <w:spacing w:val="48"/>
          <w:sz w:val="22"/>
          <w:szCs w:val="22"/>
          <w:highlight w:val="none"/>
        </w:rPr>
        <w:t xml:space="preserve"> </w:t>
      </w:r>
      <w:r>
        <w:rPr>
          <w:rFonts w:ascii="黑体" w:hAnsi="黑体" w:eastAsia="黑体" w:cs="黑体"/>
          <w:spacing w:val="-8"/>
          <w:sz w:val="22"/>
          <w:szCs w:val="22"/>
          <w:highlight w:val="none"/>
        </w:rPr>
        <w:t>竣工后试验的程序</w:t>
      </w:r>
    </w:p>
    <w:p w14:paraId="0DAF49F2">
      <w:pPr>
        <w:spacing w:before="237" w:line="423" w:lineRule="auto"/>
        <w:ind w:firstLine="430"/>
        <w:jc w:val="both"/>
        <w:rPr>
          <w:rFonts w:ascii="宋体" w:hAnsi="宋体" w:eastAsia="宋体" w:cs="宋体"/>
          <w:sz w:val="21"/>
          <w:szCs w:val="21"/>
          <w:highlight w:val="none"/>
        </w:rPr>
      </w:pPr>
      <w:r>
        <w:rPr>
          <w:rFonts w:ascii="Times New Roman" w:hAnsi="Times New Roman" w:eastAsia="Times New Roman" w:cs="Times New Roman"/>
          <w:sz w:val="21"/>
          <w:szCs w:val="21"/>
          <w:highlight w:val="none"/>
        </w:rPr>
        <w:t>12.1.2</w:t>
      </w:r>
      <w:r>
        <w:rPr>
          <w:rFonts w:ascii="Times New Roman" w:hAnsi="Times New Roman" w:eastAsia="Times New Roman" w:cs="Times New Roman"/>
          <w:spacing w:val="18"/>
          <w:w w:val="101"/>
          <w:sz w:val="21"/>
          <w:szCs w:val="21"/>
          <w:highlight w:val="none"/>
        </w:rPr>
        <w:t xml:space="preserve">   </w:t>
      </w:r>
      <w:r>
        <w:rPr>
          <w:rFonts w:ascii="宋体" w:hAnsi="宋体" w:eastAsia="宋体" w:cs="宋体"/>
          <w:sz w:val="21"/>
          <w:szCs w:val="21"/>
          <w:highlight w:val="none"/>
        </w:rPr>
        <w:t>竣工后试验全部电力、水、污水处理、燃料、消耗品和材料，以及全部其他仪  器、协助、文件或其他信息、设备、工具、劳力，启动工程设备，并组织安排有适当资质、</w:t>
      </w:r>
      <w:r>
        <w:rPr>
          <w:rFonts w:ascii="宋体" w:hAnsi="宋体" w:eastAsia="宋体" w:cs="宋体"/>
          <w:spacing w:val="4"/>
          <w:sz w:val="21"/>
          <w:szCs w:val="21"/>
          <w:highlight w:val="none"/>
        </w:rPr>
        <w:t xml:space="preserve"> </w:t>
      </w:r>
      <w:r>
        <w:rPr>
          <w:rFonts w:ascii="宋体" w:hAnsi="宋体" w:eastAsia="宋体" w:cs="宋体"/>
          <w:sz w:val="21"/>
          <w:szCs w:val="21"/>
          <w:highlight w:val="none"/>
        </w:rPr>
        <w:t>经验和能力的工作人员等必要条件的提供方：</w:t>
      </w:r>
      <w:r>
        <w:rPr>
          <w:rFonts w:ascii="宋体" w:hAnsi="宋体" w:eastAsia="宋体" w:cs="宋体"/>
          <w:sz w:val="21"/>
          <w:szCs w:val="21"/>
          <w:highlight w:val="none"/>
          <w:u w:val="single" w:color="auto"/>
        </w:rPr>
        <w:t xml:space="preserve">                       </w:t>
      </w:r>
    </w:p>
    <w:p w14:paraId="6266A036">
      <w:pPr>
        <w:spacing w:before="77" w:line="222" w:lineRule="auto"/>
        <w:outlineLvl w:val="1"/>
        <w:rPr>
          <w:rFonts w:ascii="黑体" w:hAnsi="黑体" w:eastAsia="黑体" w:cs="黑体"/>
          <w:sz w:val="28"/>
          <w:szCs w:val="28"/>
          <w:highlight w:val="none"/>
        </w:rPr>
      </w:pPr>
      <w:bookmarkStart w:id="138" w:name="bookmark80"/>
      <w:bookmarkEnd w:id="138"/>
      <w:r>
        <w:rPr>
          <w:rFonts w:ascii="黑体" w:hAnsi="黑体" w:eastAsia="黑体" w:cs="黑体"/>
          <w:spacing w:val="35"/>
          <w:sz w:val="28"/>
          <w:szCs w:val="28"/>
          <w:highlight w:val="none"/>
        </w:rPr>
        <w:t>第13条变更与调整</w:t>
      </w:r>
    </w:p>
    <w:p w14:paraId="4009631E">
      <w:pPr>
        <w:pStyle w:val="2"/>
        <w:spacing w:line="288" w:lineRule="auto"/>
        <w:rPr>
          <w:highlight w:val="none"/>
        </w:rPr>
      </w:pPr>
    </w:p>
    <w:p w14:paraId="6C7027A5">
      <w:pPr>
        <w:pStyle w:val="2"/>
        <w:spacing w:before="72" w:line="300" w:lineRule="exact"/>
        <w:rPr>
          <w:rFonts w:ascii="黑体" w:hAnsi="黑体" w:eastAsia="黑体" w:cs="黑体"/>
          <w:sz w:val="22"/>
          <w:szCs w:val="22"/>
          <w:highlight w:val="none"/>
        </w:rPr>
      </w:pPr>
      <w:r>
        <w:rPr>
          <w:spacing w:val="-9"/>
          <w:position w:val="1"/>
          <w:sz w:val="22"/>
          <w:szCs w:val="22"/>
          <w:highlight w:val="none"/>
        </w:rPr>
        <w:t>13.2</w:t>
      </w:r>
      <w:r>
        <w:rPr>
          <w:spacing w:val="55"/>
          <w:w w:val="101"/>
          <w:position w:val="1"/>
          <w:sz w:val="22"/>
          <w:szCs w:val="22"/>
          <w:highlight w:val="none"/>
        </w:rPr>
        <w:t xml:space="preserve"> </w:t>
      </w:r>
      <w:r>
        <w:rPr>
          <w:rFonts w:ascii="黑体" w:hAnsi="黑体" w:eastAsia="黑体" w:cs="黑体"/>
          <w:spacing w:val="-9"/>
          <w:position w:val="1"/>
          <w:sz w:val="22"/>
          <w:szCs w:val="22"/>
          <w:highlight w:val="none"/>
        </w:rPr>
        <w:t>承包人的合理化建议</w:t>
      </w:r>
    </w:p>
    <w:p w14:paraId="0308972A">
      <w:pPr>
        <w:spacing w:before="239" w:line="441" w:lineRule="auto"/>
        <w:ind w:right="66" w:firstLine="430"/>
        <w:jc w:val="both"/>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13.2.2    </w:t>
      </w:r>
      <w:r>
        <w:rPr>
          <w:rFonts w:ascii="宋体" w:hAnsi="宋体" w:eastAsia="宋体" w:cs="宋体"/>
          <w:spacing w:val="6"/>
          <w:sz w:val="20"/>
          <w:szCs w:val="20"/>
          <w:highlight w:val="none"/>
        </w:rPr>
        <w:t>工程师应在收到承包人提交的合理化建议后</w:t>
      </w:r>
      <w:r>
        <w:rPr>
          <w:rFonts w:ascii="宋体" w:hAnsi="宋体" w:eastAsia="宋体" w:cs="宋体"/>
          <w:spacing w:val="-95"/>
          <w:sz w:val="20"/>
          <w:szCs w:val="20"/>
          <w:highlight w:val="none"/>
        </w:rPr>
        <w:t xml:space="preserve"> </w:t>
      </w:r>
      <w:r>
        <w:rPr>
          <w:rFonts w:ascii="宋体" w:hAnsi="宋体" w:eastAsia="宋体" w:cs="宋体"/>
          <w:spacing w:val="20"/>
          <w:sz w:val="20"/>
          <w:szCs w:val="20"/>
          <w:highlight w:val="none"/>
          <w:u w:val="single" w:color="auto"/>
        </w:rPr>
        <w:t xml:space="preserve">    </w:t>
      </w:r>
      <w:r>
        <w:rPr>
          <w:rFonts w:ascii="宋体" w:hAnsi="宋体" w:eastAsia="宋体" w:cs="宋体"/>
          <w:spacing w:val="-80"/>
          <w:sz w:val="20"/>
          <w:szCs w:val="20"/>
          <w:highlight w:val="none"/>
        </w:rPr>
        <w:t xml:space="preserve"> </w:t>
      </w:r>
      <w:r>
        <w:rPr>
          <w:rFonts w:ascii="宋体" w:hAnsi="宋体" w:eastAsia="宋体" w:cs="宋体"/>
          <w:spacing w:val="6"/>
          <w:sz w:val="20"/>
          <w:szCs w:val="20"/>
          <w:highlight w:val="none"/>
        </w:rPr>
        <w:t>日内审查</w:t>
      </w:r>
      <w:r>
        <w:rPr>
          <w:rFonts w:ascii="宋体" w:hAnsi="宋体" w:eastAsia="宋体" w:cs="宋体"/>
          <w:spacing w:val="5"/>
          <w:sz w:val="20"/>
          <w:szCs w:val="20"/>
          <w:highlight w:val="none"/>
        </w:rPr>
        <w:t>完毕并报送发包人，</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发现其中存在技术上的缺陷，应通知承包人修改。发包人应在收</w:t>
      </w:r>
      <w:r>
        <w:rPr>
          <w:rFonts w:ascii="宋体" w:hAnsi="宋体" w:eastAsia="宋体" w:cs="宋体"/>
          <w:spacing w:val="7"/>
          <w:sz w:val="20"/>
          <w:szCs w:val="20"/>
          <w:highlight w:val="none"/>
        </w:rPr>
        <w:t>到工程师报送的合理化建议</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后</w:t>
      </w:r>
      <w:r>
        <w:rPr>
          <w:rFonts w:ascii="宋体" w:hAnsi="宋体" w:eastAsia="宋体" w:cs="宋体"/>
          <w:spacing w:val="-91"/>
          <w:sz w:val="20"/>
          <w:szCs w:val="20"/>
          <w:highlight w:val="none"/>
        </w:rPr>
        <w:t xml:space="preserve"> </w:t>
      </w:r>
      <w:r>
        <w:rPr>
          <w:rFonts w:ascii="宋体" w:hAnsi="宋体" w:eastAsia="宋体" w:cs="宋体"/>
          <w:spacing w:val="25"/>
          <w:sz w:val="20"/>
          <w:szCs w:val="20"/>
          <w:highlight w:val="none"/>
          <w:u w:val="single" w:color="auto"/>
        </w:rPr>
        <w:t xml:space="preserve">    </w:t>
      </w:r>
      <w:r>
        <w:rPr>
          <w:rFonts w:ascii="宋体" w:hAnsi="宋体" w:eastAsia="宋体" w:cs="宋体"/>
          <w:spacing w:val="6"/>
          <w:sz w:val="20"/>
          <w:szCs w:val="20"/>
          <w:highlight w:val="none"/>
        </w:rPr>
        <w:t>日内审批完毕。合理化建议经发包人批准的，工程师应及时发出变更指示，由此引起</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的合同价格调整按照</w:t>
      </w:r>
      <w:r>
        <w:rPr>
          <w:rFonts w:ascii="宋体" w:hAnsi="宋体" w:eastAsia="宋体" w:cs="宋体"/>
          <w:spacing w:val="-61"/>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70"/>
          <w:sz w:val="20"/>
          <w:szCs w:val="20"/>
          <w:highlight w:val="none"/>
        </w:rPr>
        <w:t xml:space="preserve"> </w:t>
      </w:r>
      <w:r>
        <w:rPr>
          <w:rFonts w:ascii="宋体" w:hAnsi="宋体" w:eastAsia="宋体" w:cs="宋体"/>
          <w:spacing w:val="6"/>
          <w:sz w:val="20"/>
          <w:szCs w:val="20"/>
          <w:highlight w:val="none"/>
        </w:rPr>
        <w:t>执行。发包人不同意变更的，工程师应书面通知承包人</w:t>
      </w:r>
    </w:p>
    <w:p w14:paraId="0B80452C">
      <w:pPr>
        <w:spacing w:line="219" w:lineRule="auto"/>
        <w:ind w:left="430"/>
        <w:rPr>
          <w:rFonts w:ascii="Times New Roman" w:hAnsi="Times New Roman" w:eastAsia="Times New Roman" w:cs="Times New Roman"/>
          <w:sz w:val="20"/>
          <w:szCs w:val="20"/>
          <w:highlight w:val="none"/>
        </w:rPr>
      </w:pPr>
      <w:r>
        <w:rPr>
          <w:rFonts w:ascii="Times New Roman" w:hAnsi="Times New Roman" w:eastAsia="Times New Roman" w:cs="Times New Roman"/>
          <w:spacing w:val="2"/>
          <w:sz w:val="20"/>
          <w:szCs w:val="20"/>
          <w:highlight w:val="none"/>
        </w:rPr>
        <w:t xml:space="preserve">13.2.3    </w:t>
      </w:r>
      <w:r>
        <w:rPr>
          <w:rFonts w:ascii="宋体" w:hAnsi="宋体" w:eastAsia="宋体" w:cs="宋体"/>
          <w:spacing w:val="2"/>
          <w:sz w:val="20"/>
          <w:szCs w:val="20"/>
          <w:highlight w:val="none"/>
        </w:rPr>
        <w:t>承包人提出的合理化变更建议的利益分享约定：</w:t>
      </w:r>
      <w:r>
        <w:rPr>
          <w:rFonts w:ascii="宋体" w:hAnsi="宋体" w:eastAsia="宋体" w:cs="宋体"/>
          <w:spacing w:val="64"/>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85"/>
          <w:sz w:val="20"/>
          <w:szCs w:val="20"/>
          <w:highlight w:val="none"/>
        </w:rPr>
        <w:t xml:space="preserve"> </w:t>
      </w:r>
      <w:r>
        <w:rPr>
          <w:rFonts w:ascii="Times New Roman" w:hAnsi="Times New Roman" w:eastAsia="Times New Roman" w:cs="Times New Roman"/>
          <w:spacing w:val="2"/>
          <w:sz w:val="20"/>
          <w:szCs w:val="20"/>
          <w:highlight w:val="none"/>
        </w:rPr>
        <w:t>0</w:t>
      </w:r>
    </w:p>
    <w:p w14:paraId="6641AABF">
      <w:pPr>
        <w:pStyle w:val="2"/>
        <w:spacing w:line="279" w:lineRule="auto"/>
        <w:rPr>
          <w:highlight w:val="none"/>
        </w:rPr>
      </w:pPr>
    </w:p>
    <w:p w14:paraId="5905D819">
      <w:pPr>
        <w:pStyle w:val="2"/>
        <w:spacing w:before="72" w:line="300" w:lineRule="exact"/>
        <w:rPr>
          <w:rFonts w:ascii="黑体" w:hAnsi="黑体" w:eastAsia="黑体" w:cs="黑体"/>
          <w:sz w:val="22"/>
          <w:szCs w:val="22"/>
          <w:highlight w:val="none"/>
        </w:rPr>
      </w:pPr>
      <w:r>
        <w:rPr>
          <w:spacing w:val="-7"/>
          <w:position w:val="1"/>
          <w:sz w:val="22"/>
          <w:szCs w:val="22"/>
          <w:highlight w:val="none"/>
        </w:rPr>
        <w:t>13.3</w:t>
      </w:r>
      <w:r>
        <w:rPr>
          <w:spacing w:val="58"/>
          <w:position w:val="1"/>
          <w:sz w:val="22"/>
          <w:szCs w:val="22"/>
          <w:highlight w:val="none"/>
        </w:rPr>
        <w:t xml:space="preserve"> </w:t>
      </w:r>
      <w:r>
        <w:rPr>
          <w:rFonts w:ascii="黑体" w:hAnsi="黑体" w:eastAsia="黑体" w:cs="黑体"/>
          <w:spacing w:val="-7"/>
          <w:position w:val="1"/>
          <w:sz w:val="22"/>
          <w:szCs w:val="22"/>
          <w:highlight w:val="none"/>
        </w:rPr>
        <w:t>变更程序</w:t>
      </w:r>
    </w:p>
    <w:p w14:paraId="169864C2">
      <w:pPr>
        <w:spacing w:before="209" w:line="218" w:lineRule="auto"/>
        <w:ind w:left="430"/>
        <w:rPr>
          <w:rFonts w:ascii="宋体" w:hAnsi="宋体" w:eastAsia="宋体" w:cs="宋体"/>
          <w:sz w:val="22"/>
          <w:szCs w:val="22"/>
          <w:highlight w:val="none"/>
        </w:rPr>
      </w:pPr>
      <w:r>
        <w:rPr>
          <w:rFonts w:ascii="宋体" w:hAnsi="宋体" w:eastAsia="宋体" w:cs="宋体"/>
          <w:spacing w:val="1"/>
          <w:sz w:val="22"/>
          <w:szCs w:val="22"/>
          <w:highlight w:val="none"/>
        </w:rPr>
        <w:t>13.3.3变更估价</w:t>
      </w:r>
    </w:p>
    <w:p w14:paraId="0478EDB8">
      <w:pPr>
        <w:spacing w:before="240" w:line="218" w:lineRule="auto"/>
        <w:ind w:left="650"/>
        <w:rPr>
          <w:rFonts w:ascii="宋体" w:hAnsi="宋体" w:eastAsia="宋体" w:cs="宋体"/>
          <w:sz w:val="22"/>
          <w:szCs w:val="22"/>
          <w:highlight w:val="none"/>
        </w:rPr>
      </w:pPr>
      <w:r>
        <w:rPr>
          <w:rFonts w:ascii="宋体" w:hAnsi="宋体" w:eastAsia="宋体" w:cs="宋体"/>
          <w:spacing w:val="-2"/>
          <w:sz w:val="22"/>
          <w:szCs w:val="22"/>
          <w:highlight w:val="none"/>
        </w:rPr>
        <w:t>13.3.3.1变更估价原则</w:t>
      </w:r>
    </w:p>
    <w:p w14:paraId="3C61ECA5">
      <w:pPr>
        <w:spacing w:before="197" w:line="212" w:lineRule="auto"/>
        <w:ind w:left="640"/>
        <w:rPr>
          <w:rFonts w:ascii="Times New Roman" w:hAnsi="Times New Roman" w:eastAsia="Times New Roman" w:cs="Times New Roman"/>
          <w:sz w:val="22"/>
          <w:szCs w:val="22"/>
          <w:highlight w:val="none"/>
        </w:rPr>
      </w:pPr>
      <w:r>
        <w:rPr>
          <w:rFonts w:ascii="宋体" w:hAnsi="宋体" w:eastAsia="宋体" w:cs="宋体"/>
          <w:spacing w:val="-14"/>
          <w:sz w:val="22"/>
          <w:szCs w:val="22"/>
          <w:highlight w:val="none"/>
        </w:rPr>
        <w:t>关于变更估价原则的约定：</w:t>
      </w:r>
      <w:r>
        <w:rPr>
          <w:rFonts w:ascii="宋体" w:hAnsi="宋体" w:eastAsia="宋体" w:cs="宋体"/>
          <w:spacing w:val="4"/>
          <w:sz w:val="22"/>
          <w:szCs w:val="22"/>
          <w:highlight w:val="none"/>
          <w:u w:val="single" w:color="auto"/>
        </w:rPr>
        <w:t xml:space="preserve">                        </w:t>
      </w:r>
      <w:r>
        <w:rPr>
          <w:rFonts w:ascii="宋体" w:hAnsi="宋体" w:eastAsia="宋体" w:cs="宋体"/>
          <w:spacing w:val="-74"/>
          <w:sz w:val="22"/>
          <w:szCs w:val="22"/>
          <w:highlight w:val="none"/>
        </w:rPr>
        <w:t xml:space="preserve"> </w:t>
      </w:r>
      <w:r>
        <w:rPr>
          <w:rFonts w:ascii="Times New Roman" w:hAnsi="Times New Roman" w:eastAsia="Times New Roman" w:cs="Times New Roman"/>
          <w:spacing w:val="-14"/>
          <w:sz w:val="22"/>
          <w:szCs w:val="22"/>
          <w:highlight w:val="none"/>
        </w:rPr>
        <w:t>_o</w:t>
      </w:r>
    </w:p>
    <w:p w14:paraId="00E45E2F">
      <w:pPr>
        <w:pStyle w:val="2"/>
        <w:spacing w:line="332" w:lineRule="auto"/>
        <w:rPr>
          <w:highlight w:val="none"/>
        </w:rPr>
      </w:pPr>
    </w:p>
    <w:p w14:paraId="373D04FF">
      <w:pPr>
        <w:pStyle w:val="2"/>
        <w:spacing w:before="62" w:line="259" w:lineRule="exact"/>
        <w:rPr>
          <w:rFonts w:ascii="黑体" w:hAnsi="黑体" w:eastAsia="黑体" w:cs="黑体"/>
          <w:sz w:val="19"/>
          <w:szCs w:val="19"/>
          <w:highlight w:val="none"/>
        </w:rPr>
      </w:pPr>
      <w:r>
        <w:rPr>
          <w:spacing w:val="3"/>
          <w:position w:val="1"/>
          <w:sz w:val="19"/>
          <w:szCs w:val="19"/>
          <w:highlight w:val="none"/>
        </w:rPr>
        <w:t xml:space="preserve">13.4   </w:t>
      </w:r>
      <w:r>
        <w:rPr>
          <w:rFonts w:ascii="黑体" w:hAnsi="黑体" w:eastAsia="黑体" w:cs="黑体"/>
          <w:spacing w:val="3"/>
          <w:position w:val="1"/>
          <w:sz w:val="19"/>
          <w:szCs w:val="19"/>
          <w:highlight w:val="none"/>
        </w:rPr>
        <w:t>暂估价</w:t>
      </w:r>
    </w:p>
    <w:p w14:paraId="7C78232D">
      <w:pPr>
        <w:spacing w:before="235" w:line="218" w:lineRule="auto"/>
        <w:ind w:left="43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13.4.1    </w:t>
      </w:r>
      <w:r>
        <w:rPr>
          <w:rFonts w:ascii="宋体" w:hAnsi="宋体" w:eastAsia="宋体" w:cs="宋体"/>
          <w:spacing w:val="6"/>
          <w:sz w:val="20"/>
          <w:szCs w:val="20"/>
          <w:highlight w:val="none"/>
        </w:rPr>
        <w:t>依法必须招标的暂估价项目</w:t>
      </w:r>
    </w:p>
    <w:p w14:paraId="1FF5CBB4">
      <w:pPr>
        <w:spacing w:before="253" w:line="212" w:lineRule="auto"/>
        <w:ind w:left="430"/>
        <w:rPr>
          <w:rFonts w:ascii="Times New Roman" w:hAnsi="Times New Roman" w:eastAsia="Times New Roman" w:cs="Times New Roman"/>
          <w:sz w:val="20"/>
          <w:szCs w:val="20"/>
          <w:highlight w:val="none"/>
        </w:rPr>
      </w:pPr>
      <w:r>
        <w:rPr>
          <w:rFonts w:ascii="宋体" w:hAnsi="宋体" w:eastAsia="宋体" w:cs="宋体"/>
          <w:spacing w:val="-3"/>
          <w:sz w:val="20"/>
          <w:szCs w:val="20"/>
          <w:highlight w:val="none"/>
        </w:rPr>
        <w:t>承包人可以参与投标的暂估价项目范围：</w:t>
      </w:r>
      <w:r>
        <w:rPr>
          <w:rFonts w:ascii="宋体" w:hAnsi="宋体" w:eastAsia="宋体" w:cs="宋体"/>
          <w:spacing w:val="76"/>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Times New Roman" w:hAnsi="Times New Roman" w:eastAsia="Times New Roman" w:cs="Times New Roman"/>
          <w:spacing w:val="-3"/>
          <w:sz w:val="20"/>
          <w:szCs w:val="20"/>
          <w:highlight w:val="none"/>
        </w:rPr>
        <w:t>_o</w:t>
      </w:r>
    </w:p>
    <w:p w14:paraId="46AEC21B">
      <w:pPr>
        <w:spacing w:before="251" w:line="218" w:lineRule="auto"/>
        <w:ind w:left="430"/>
        <w:rPr>
          <w:rFonts w:ascii="宋体" w:hAnsi="宋体" w:eastAsia="宋体" w:cs="宋体"/>
          <w:sz w:val="20"/>
          <w:szCs w:val="20"/>
          <w:highlight w:val="none"/>
        </w:rPr>
      </w:pPr>
      <w:r>
        <w:rPr>
          <w:rFonts w:ascii="宋体" w:hAnsi="宋体" w:eastAsia="宋体" w:cs="宋体"/>
          <w:spacing w:val="1"/>
          <w:sz w:val="20"/>
          <w:szCs w:val="20"/>
          <w:highlight w:val="none"/>
        </w:rPr>
        <w:t xml:space="preserve">承包人不得参与投标的暂估价项目范围： </w:t>
      </w:r>
      <w:r>
        <w:rPr>
          <w:rFonts w:ascii="宋体" w:hAnsi="宋体" w:eastAsia="宋体" w:cs="宋体"/>
          <w:spacing w:val="1"/>
          <w:sz w:val="20"/>
          <w:szCs w:val="20"/>
          <w:highlight w:val="none"/>
          <w:u w:val="single" w:color="auto"/>
        </w:rPr>
        <w:t xml:space="preserve">               </w:t>
      </w:r>
    </w:p>
    <w:p w14:paraId="3C47DAA6">
      <w:pPr>
        <w:pStyle w:val="2"/>
        <w:spacing w:before="206" w:line="212" w:lineRule="auto"/>
        <w:ind w:left="430"/>
        <w:rPr>
          <w:sz w:val="20"/>
          <w:szCs w:val="20"/>
          <w:highlight w:val="none"/>
        </w:rPr>
      </w:pPr>
      <w:r>
        <w:rPr>
          <w:rFonts w:ascii="宋体" w:hAnsi="宋体" w:eastAsia="宋体" w:cs="宋体"/>
          <w:spacing w:val="-3"/>
          <w:sz w:val="20"/>
          <w:szCs w:val="20"/>
          <w:highlight w:val="none"/>
        </w:rPr>
        <w:t xml:space="preserve">招投标程序及其他约定： </w:t>
      </w:r>
      <w:r>
        <w:rPr>
          <w:rFonts w:ascii="宋体" w:hAnsi="宋体" w:eastAsia="宋体" w:cs="宋体"/>
          <w:spacing w:val="-3"/>
          <w:sz w:val="20"/>
          <w:szCs w:val="20"/>
          <w:highlight w:val="none"/>
          <w:u w:val="single" w:color="auto"/>
        </w:rPr>
        <w:t xml:space="preserve">                              </w:t>
      </w:r>
      <w:r>
        <w:rPr>
          <w:rFonts w:ascii="宋体" w:hAnsi="宋体" w:eastAsia="宋体" w:cs="宋体"/>
          <w:spacing w:val="-93"/>
          <w:sz w:val="20"/>
          <w:szCs w:val="20"/>
          <w:highlight w:val="none"/>
        </w:rPr>
        <w:t xml:space="preserve"> </w:t>
      </w:r>
      <w:r>
        <w:rPr>
          <w:spacing w:val="-3"/>
          <w:sz w:val="20"/>
          <w:szCs w:val="20"/>
          <w:highlight w:val="none"/>
        </w:rPr>
        <w:t>_o</w:t>
      </w:r>
    </w:p>
    <w:p w14:paraId="66751857">
      <w:pPr>
        <w:spacing w:before="269" w:line="218"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13.4.2</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7"/>
          <w:sz w:val="22"/>
          <w:szCs w:val="22"/>
          <w:highlight w:val="none"/>
        </w:rPr>
        <w:t>不属于依法必须招标的暂估价项目</w:t>
      </w:r>
    </w:p>
    <w:p w14:paraId="5CBC746F">
      <w:pPr>
        <w:pStyle w:val="2"/>
        <w:spacing w:before="230" w:line="218" w:lineRule="auto"/>
        <w:ind w:left="430"/>
        <w:rPr>
          <w:sz w:val="9"/>
          <w:szCs w:val="9"/>
          <w:highlight w:val="none"/>
        </w:rPr>
      </w:pPr>
      <w:r>
        <w:rPr>
          <w:rFonts w:ascii="宋体" w:hAnsi="宋体" w:eastAsia="宋体" w:cs="宋体"/>
          <w:spacing w:val="-7"/>
          <w:sz w:val="22"/>
          <w:szCs w:val="22"/>
          <w:highlight w:val="none"/>
        </w:rPr>
        <w:t>不属于依法必须招标的暂估价项目的协商及估价的约定：</w:t>
      </w:r>
      <w:r>
        <w:rPr>
          <w:rFonts w:ascii="宋体" w:hAnsi="宋体" w:eastAsia="宋体" w:cs="宋体"/>
          <w:spacing w:val="-7"/>
          <w:sz w:val="22"/>
          <w:szCs w:val="22"/>
          <w:highlight w:val="none"/>
          <w:u w:val="single" w:color="auto"/>
        </w:rPr>
        <w:t xml:space="preserve">       </w:t>
      </w:r>
      <w:r>
        <w:rPr>
          <w:rFonts w:ascii="宋体" w:hAnsi="宋体" w:eastAsia="宋体" w:cs="宋体"/>
          <w:spacing w:val="-8"/>
          <w:sz w:val="22"/>
          <w:szCs w:val="22"/>
          <w:highlight w:val="none"/>
          <w:u w:val="single" w:color="auto"/>
        </w:rPr>
        <w:t xml:space="preserve">               </w:t>
      </w:r>
      <w:r>
        <w:rPr>
          <w:rFonts w:ascii="宋体" w:hAnsi="宋体" w:eastAsia="宋体" w:cs="宋体"/>
          <w:spacing w:val="-99"/>
          <w:sz w:val="22"/>
          <w:szCs w:val="22"/>
          <w:highlight w:val="none"/>
        </w:rPr>
        <w:t xml:space="preserve"> </w:t>
      </w:r>
      <w:r>
        <w:rPr>
          <w:spacing w:val="-8"/>
          <w:position w:val="1"/>
          <w:sz w:val="9"/>
          <w:szCs w:val="9"/>
          <w:highlight w:val="none"/>
        </w:rPr>
        <w:t>o</w:t>
      </w:r>
    </w:p>
    <w:p w14:paraId="39C80BE6">
      <w:pPr>
        <w:pStyle w:val="2"/>
        <w:spacing w:line="282" w:lineRule="auto"/>
        <w:rPr>
          <w:highlight w:val="none"/>
        </w:rPr>
      </w:pPr>
    </w:p>
    <w:p w14:paraId="5EB656B3">
      <w:pPr>
        <w:pStyle w:val="2"/>
        <w:spacing w:before="62" w:line="259" w:lineRule="exact"/>
        <w:rPr>
          <w:rFonts w:ascii="黑体" w:hAnsi="黑体" w:eastAsia="黑体" w:cs="黑体"/>
          <w:sz w:val="19"/>
          <w:szCs w:val="19"/>
          <w:highlight w:val="none"/>
        </w:rPr>
      </w:pPr>
      <w:r>
        <w:rPr>
          <w:spacing w:val="8"/>
          <w:position w:val="1"/>
          <w:sz w:val="19"/>
          <w:szCs w:val="19"/>
          <w:highlight w:val="none"/>
        </w:rPr>
        <w:t>13.5</w:t>
      </w:r>
      <w:r>
        <w:rPr>
          <w:spacing w:val="2"/>
          <w:position w:val="1"/>
          <w:sz w:val="19"/>
          <w:szCs w:val="19"/>
          <w:highlight w:val="none"/>
        </w:rPr>
        <w:t xml:space="preserve">   </w:t>
      </w:r>
      <w:r>
        <w:rPr>
          <w:rFonts w:ascii="黑体" w:hAnsi="黑体" w:eastAsia="黑体" w:cs="黑体"/>
          <w:spacing w:val="8"/>
          <w:position w:val="1"/>
          <w:sz w:val="19"/>
          <w:szCs w:val="19"/>
          <w:highlight w:val="none"/>
        </w:rPr>
        <w:t>暂列金额</w:t>
      </w:r>
    </w:p>
    <w:p w14:paraId="7A7E6BC5">
      <w:pPr>
        <w:spacing w:before="207" w:line="219" w:lineRule="auto"/>
        <w:ind w:left="430"/>
        <w:rPr>
          <w:rFonts w:ascii="Times New Roman" w:hAnsi="Times New Roman" w:eastAsia="Times New Roman" w:cs="Times New Roman"/>
          <w:sz w:val="22"/>
          <w:szCs w:val="22"/>
          <w:highlight w:val="none"/>
        </w:rPr>
      </w:pPr>
      <w:r>
        <w:rPr>
          <w:rFonts w:ascii="宋体" w:hAnsi="宋体" w:eastAsia="宋体" w:cs="宋体"/>
          <w:spacing w:val="-10"/>
          <w:sz w:val="22"/>
          <w:szCs w:val="22"/>
          <w:highlight w:val="none"/>
        </w:rPr>
        <w:t>其他关于暂列金额使用的约定：</w:t>
      </w:r>
      <w:r>
        <w:rPr>
          <w:rFonts w:ascii="宋体" w:hAnsi="宋体" w:eastAsia="宋体" w:cs="宋体"/>
          <w:spacing w:val="5"/>
          <w:sz w:val="22"/>
          <w:szCs w:val="22"/>
          <w:highlight w:val="none"/>
          <w:u w:val="single" w:color="auto"/>
        </w:rPr>
        <w:t xml:space="preserve">                    </w:t>
      </w:r>
      <w:r>
        <w:rPr>
          <w:rFonts w:ascii="Times New Roman" w:hAnsi="Times New Roman" w:eastAsia="Times New Roman" w:cs="Times New Roman"/>
          <w:spacing w:val="-10"/>
          <w:sz w:val="22"/>
          <w:szCs w:val="22"/>
          <w:highlight w:val="none"/>
        </w:rPr>
        <w:t>o</w:t>
      </w:r>
    </w:p>
    <w:p w14:paraId="417EB251">
      <w:pPr>
        <w:pStyle w:val="2"/>
        <w:spacing w:line="362" w:lineRule="auto"/>
        <w:rPr>
          <w:highlight w:val="none"/>
        </w:rPr>
      </w:pPr>
    </w:p>
    <w:p w14:paraId="567459F9">
      <w:pPr>
        <w:spacing w:before="63" w:line="222" w:lineRule="auto"/>
        <w:rPr>
          <w:rFonts w:ascii="黑体" w:hAnsi="黑体" w:eastAsia="黑体" w:cs="黑体"/>
          <w:sz w:val="19"/>
          <w:szCs w:val="19"/>
          <w:highlight w:val="none"/>
        </w:rPr>
      </w:pPr>
      <w:r>
        <w:rPr>
          <w:rFonts w:ascii="黑体" w:hAnsi="黑体" w:eastAsia="黑体" w:cs="黑体"/>
          <w:spacing w:val="21"/>
          <w:sz w:val="19"/>
          <w:szCs w:val="19"/>
          <w:highlight w:val="none"/>
        </w:rPr>
        <w:t>13</w:t>
      </w:r>
      <w:r>
        <w:rPr>
          <w:rFonts w:ascii="黑体" w:hAnsi="黑体" w:eastAsia="黑体" w:cs="黑体"/>
          <w:spacing w:val="-53"/>
          <w:sz w:val="19"/>
          <w:szCs w:val="19"/>
          <w:highlight w:val="none"/>
        </w:rPr>
        <w:t xml:space="preserve"> </w:t>
      </w:r>
      <w:r>
        <w:rPr>
          <w:rFonts w:ascii="黑体" w:hAnsi="黑体" w:eastAsia="黑体" w:cs="黑体"/>
          <w:spacing w:val="21"/>
          <w:sz w:val="19"/>
          <w:szCs w:val="19"/>
          <w:highlight w:val="none"/>
        </w:rPr>
        <w:t>.8市场价格波动引起的调整</w:t>
      </w:r>
    </w:p>
    <w:p w14:paraId="3FEA5770">
      <w:pPr>
        <w:spacing w:before="252" w:line="184" w:lineRule="auto"/>
        <w:ind w:left="430"/>
        <w:rPr>
          <w:rFonts w:ascii="宋体" w:hAnsi="宋体" w:eastAsia="宋体" w:cs="宋体"/>
          <w:sz w:val="22"/>
          <w:szCs w:val="22"/>
          <w:highlight w:val="none"/>
        </w:rPr>
      </w:pPr>
      <w:r>
        <w:rPr>
          <w:highlight w:val="none"/>
        </w:rPr>
        <w:pict>
          <v:shape id="_x0000_s1053" o:spid="_x0000_s1053" o:spt="202" type="#_x0000_t202" style="position:absolute;left:0pt;margin-left:410.5pt;margin-top:16.8pt;height:5.2pt;width:3.65pt;z-index:251691008;mso-width-relative:page;mso-height-relative:page;" filled="f" stroked="f" coordsize="21600,21600">
            <v:path/>
            <v:fill on="f" focussize="0,0"/>
            <v:stroke on="f"/>
            <v:imagedata o:title=""/>
            <o:lock v:ext="edit" aspectratio="f"/>
            <v:textbox inset="0mm,0mm,0mm,0mm">
              <w:txbxContent>
                <w:p w14:paraId="1A0E6D56">
                  <w:pPr>
                    <w:spacing w:before="20" w:line="188" w:lineRule="auto"/>
                    <w:ind w:left="20"/>
                    <w:rPr>
                      <w:rFonts w:ascii="Times New Roman" w:hAnsi="Times New Roman" w:eastAsia="Times New Roman" w:cs="Times New Roman"/>
                      <w:sz w:val="7"/>
                      <w:szCs w:val="7"/>
                    </w:rPr>
                  </w:pPr>
                  <w:r>
                    <w:rPr>
                      <w:rFonts w:ascii="Times New Roman" w:hAnsi="Times New Roman" w:eastAsia="Times New Roman" w:cs="Times New Roman"/>
                      <w:sz w:val="7"/>
                      <w:szCs w:val="7"/>
                    </w:rPr>
                    <w:t>0</w:t>
                  </w:r>
                </w:p>
              </w:txbxContent>
            </v:textbox>
          </v:shape>
        </w:pict>
      </w:r>
      <w:r>
        <w:rPr>
          <w:rFonts w:ascii="Times New Roman" w:hAnsi="Times New Roman" w:eastAsia="Times New Roman" w:cs="Times New Roman"/>
          <w:spacing w:val="-9"/>
          <w:sz w:val="22"/>
          <w:szCs w:val="22"/>
          <w:highlight w:val="none"/>
        </w:rPr>
        <w:t xml:space="preserve">13.8.2   </w:t>
      </w:r>
      <w:r>
        <w:rPr>
          <w:rFonts w:ascii="宋体" w:hAnsi="宋体" w:eastAsia="宋体" w:cs="宋体"/>
          <w:spacing w:val="-9"/>
          <w:sz w:val="22"/>
          <w:szCs w:val="22"/>
          <w:highlight w:val="none"/>
        </w:rPr>
        <w:t>关于是否采用《价格指数权重表》的约定：</w:t>
      </w:r>
      <w:r>
        <w:rPr>
          <w:rFonts w:ascii="宋体" w:hAnsi="宋体" w:eastAsia="宋体" w:cs="宋体"/>
          <w:spacing w:val="-9"/>
          <w:sz w:val="22"/>
          <w:szCs w:val="22"/>
          <w:highlight w:val="none"/>
          <w:u w:val="single" w:color="auto"/>
        </w:rPr>
        <w:t xml:space="preserve">                               </w:t>
      </w:r>
    </w:p>
    <w:p w14:paraId="6CCB5B5D">
      <w:pPr>
        <w:spacing w:before="218" w:line="218" w:lineRule="auto"/>
        <w:ind w:left="430"/>
        <w:rPr>
          <w:rFonts w:ascii="宋体" w:hAnsi="宋体" w:eastAsia="宋体" w:cs="宋体"/>
          <w:sz w:val="13"/>
          <w:szCs w:val="13"/>
          <w:highlight w:val="none"/>
        </w:rPr>
      </w:pPr>
      <w:r>
        <w:rPr>
          <w:rFonts w:ascii="Times New Roman" w:hAnsi="Times New Roman" w:eastAsia="Times New Roman" w:cs="Times New Roman"/>
          <w:spacing w:val="-5"/>
          <w:sz w:val="13"/>
          <w:szCs w:val="13"/>
          <w:highlight w:val="none"/>
        </w:rPr>
        <w:t xml:space="preserve">13.8.3            </w:t>
      </w:r>
      <w:r>
        <w:rPr>
          <w:rFonts w:ascii="宋体" w:hAnsi="宋体" w:eastAsia="宋体" w:cs="宋体"/>
          <w:spacing w:val="-5"/>
          <w:sz w:val="13"/>
          <w:szCs w:val="13"/>
          <w:highlight w:val="none"/>
        </w:rPr>
        <w:t>关</w:t>
      </w:r>
      <w:r>
        <w:rPr>
          <w:rFonts w:ascii="宋体" w:hAnsi="宋体" w:eastAsia="宋体" w:cs="宋体"/>
          <w:spacing w:val="40"/>
          <w:w w:val="101"/>
          <w:sz w:val="13"/>
          <w:szCs w:val="13"/>
          <w:highlight w:val="none"/>
        </w:rPr>
        <w:t xml:space="preserve"> </w:t>
      </w:r>
      <w:r>
        <w:rPr>
          <w:rFonts w:ascii="宋体" w:hAnsi="宋体" w:eastAsia="宋体" w:cs="宋体"/>
          <w:spacing w:val="-5"/>
          <w:sz w:val="13"/>
          <w:szCs w:val="13"/>
          <w:highlight w:val="none"/>
        </w:rPr>
        <w:t>于</w:t>
      </w:r>
      <w:r>
        <w:rPr>
          <w:rFonts w:ascii="宋体" w:hAnsi="宋体" w:eastAsia="宋体" w:cs="宋体"/>
          <w:spacing w:val="22"/>
          <w:w w:val="101"/>
          <w:sz w:val="13"/>
          <w:szCs w:val="13"/>
          <w:highlight w:val="none"/>
        </w:rPr>
        <w:t xml:space="preserve"> </w:t>
      </w:r>
      <w:r>
        <w:rPr>
          <w:rFonts w:ascii="宋体" w:hAnsi="宋体" w:eastAsia="宋体" w:cs="宋体"/>
          <w:spacing w:val="-5"/>
          <w:sz w:val="13"/>
          <w:szCs w:val="13"/>
          <w:highlight w:val="none"/>
        </w:rPr>
        <w:t>采</w:t>
      </w:r>
      <w:r>
        <w:rPr>
          <w:rFonts w:ascii="宋体" w:hAnsi="宋体" w:eastAsia="宋体" w:cs="宋体"/>
          <w:spacing w:val="24"/>
          <w:sz w:val="13"/>
          <w:szCs w:val="13"/>
          <w:highlight w:val="none"/>
        </w:rPr>
        <w:t xml:space="preserve"> </w:t>
      </w:r>
      <w:r>
        <w:rPr>
          <w:rFonts w:ascii="宋体" w:hAnsi="宋体" w:eastAsia="宋体" w:cs="宋体"/>
          <w:spacing w:val="-5"/>
          <w:sz w:val="13"/>
          <w:szCs w:val="13"/>
          <w:highlight w:val="none"/>
        </w:rPr>
        <w:t>用</w:t>
      </w:r>
      <w:r>
        <w:rPr>
          <w:rFonts w:ascii="宋体" w:hAnsi="宋体" w:eastAsia="宋体" w:cs="宋体"/>
          <w:spacing w:val="23"/>
          <w:w w:val="101"/>
          <w:sz w:val="13"/>
          <w:szCs w:val="13"/>
          <w:highlight w:val="none"/>
        </w:rPr>
        <w:t xml:space="preserve"> </w:t>
      </w:r>
      <w:r>
        <w:rPr>
          <w:rFonts w:ascii="宋体" w:hAnsi="宋体" w:eastAsia="宋体" w:cs="宋体"/>
          <w:spacing w:val="-5"/>
          <w:sz w:val="13"/>
          <w:szCs w:val="13"/>
          <w:highlight w:val="none"/>
        </w:rPr>
        <w:t>其</w:t>
      </w:r>
      <w:r>
        <w:rPr>
          <w:rFonts w:ascii="宋体" w:hAnsi="宋体" w:eastAsia="宋体" w:cs="宋体"/>
          <w:spacing w:val="23"/>
          <w:sz w:val="13"/>
          <w:szCs w:val="13"/>
          <w:highlight w:val="none"/>
        </w:rPr>
        <w:t xml:space="preserve"> </w:t>
      </w:r>
      <w:r>
        <w:rPr>
          <w:rFonts w:ascii="宋体" w:hAnsi="宋体" w:eastAsia="宋体" w:cs="宋体"/>
          <w:spacing w:val="-5"/>
          <w:sz w:val="13"/>
          <w:szCs w:val="13"/>
          <w:highlight w:val="none"/>
        </w:rPr>
        <w:t>他</w:t>
      </w:r>
      <w:r>
        <w:rPr>
          <w:rFonts w:ascii="宋体" w:hAnsi="宋体" w:eastAsia="宋体" w:cs="宋体"/>
          <w:spacing w:val="24"/>
          <w:sz w:val="13"/>
          <w:szCs w:val="13"/>
          <w:highlight w:val="none"/>
        </w:rPr>
        <w:t xml:space="preserve"> </w:t>
      </w:r>
      <w:r>
        <w:rPr>
          <w:rFonts w:ascii="宋体" w:hAnsi="宋体" w:eastAsia="宋体" w:cs="宋体"/>
          <w:spacing w:val="-5"/>
          <w:sz w:val="13"/>
          <w:szCs w:val="13"/>
          <w:highlight w:val="none"/>
        </w:rPr>
        <w:t>方</w:t>
      </w:r>
      <w:r>
        <w:rPr>
          <w:rFonts w:ascii="宋体" w:hAnsi="宋体" w:eastAsia="宋体" w:cs="宋体"/>
          <w:spacing w:val="25"/>
          <w:w w:val="101"/>
          <w:sz w:val="13"/>
          <w:szCs w:val="13"/>
          <w:highlight w:val="none"/>
        </w:rPr>
        <w:t xml:space="preserve"> </w:t>
      </w:r>
      <w:r>
        <w:rPr>
          <w:rFonts w:ascii="宋体" w:hAnsi="宋体" w:eastAsia="宋体" w:cs="宋体"/>
          <w:spacing w:val="-5"/>
          <w:sz w:val="13"/>
          <w:szCs w:val="13"/>
          <w:highlight w:val="none"/>
        </w:rPr>
        <w:t>式</w:t>
      </w:r>
      <w:r>
        <w:rPr>
          <w:rFonts w:ascii="宋体" w:hAnsi="宋体" w:eastAsia="宋体" w:cs="宋体"/>
          <w:spacing w:val="24"/>
          <w:sz w:val="13"/>
          <w:szCs w:val="13"/>
          <w:highlight w:val="none"/>
        </w:rPr>
        <w:t xml:space="preserve"> </w:t>
      </w:r>
      <w:r>
        <w:rPr>
          <w:rFonts w:ascii="宋体" w:hAnsi="宋体" w:eastAsia="宋体" w:cs="宋体"/>
          <w:spacing w:val="-5"/>
          <w:sz w:val="13"/>
          <w:szCs w:val="13"/>
          <w:highlight w:val="none"/>
        </w:rPr>
        <w:t>调</w:t>
      </w:r>
      <w:r>
        <w:rPr>
          <w:rFonts w:ascii="宋体" w:hAnsi="宋体" w:eastAsia="宋体" w:cs="宋体"/>
          <w:spacing w:val="23"/>
          <w:w w:val="101"/>
          <w:sz w:val="13"/>
          <w:szCs w:val="13"/>
          <w:highlight w:val="none"/>
        </w:rPr>
        <w:t xml:space="preserve"> </w:t>
      </w:r>
      <w:r>
        <w:rPr>
          <w:rFonts w:ascii="宋体" w:hAnsi="宋体" w:eastAsia="宋体" w:cs="宋体"/>
          <w:spacing w:val="-5"/>
          <w:sz w:val="13"/>
          <w:szCs w:val="13"/>
          <w:highlight w:val="none"/>
        </w:rPr>
        <w:t>整</w:t>
      </w:r>
      <w:r>
        <w:rPr>
          <w:rFonts w:ascii="宋体" w:hAnsi="宋体" w:eastAsia="宋体" w:cs="宋体"/>
          <w:spacing w:val="23"/>
          <w:w w:val="101"/>
          <w:sz w:val="13"/>
          <w:szCs w:val="13"/>
          <w:highlight w:val="none"/>
        </w:rPr>
        <w:t xml:space="preserve"> </w:t>
      </w:r>
      <w:r>
        <w:rPr>
          <w:rFonts w:ascii="宋体" w:hAnsi="宋体" w:eastAsia="宋体" w:cs="宋体"/>
          <w:spacing w:val="-5"/>
          <w:sz w:val="13"/>
          <w:szCs w:val="13"/>
          <w:highlight w:val="none"/>
        </w:rPr>
        <w:t>合</w:t>
      </w:r>
      <w:r>
        <w:rPr>
          <w:rFonts w:ascii="宋体" w:hAnsi="宋体" w:eastAsia="宋体" w:cs="宋体"/>
          <w:spacing w:val="36"/>
          <w:sz w:val="13"/>
          <w:szCs w:val="13"/>
          <w:highlight w:val="none"/>
        </w:rPr>
        <w:t xml:space="preserve"> </w:t>
      </w:r>
      <w:r>
        <w:rPr>
          <w:rFonts w:ascii="宋体" w:hAnsi="宋体" w:eastAsia="宋体" w:cs="宋体"/>
          <w:spacing w:val="-5"/>
          <w:sz w:val="13"/>
          <w:szCs w:val="13"/>
          <w:highlight w:val="none"/>
        </w:rPr>
        <w:t>同</w:t>
      </w:r>
      <w:r>
        <w:rPr>
          <w:rFonts w:ascii="宋体" w:hAnsi="宋体" w:eastAsia="宋体" w:cs="宋体"/>
          <w:spacing w:val="23"/>
          <w:w w:val="101"/>
          <w:sz w:val="13"/>
          <w:szCs w:val="13"/>
          <w:highlight w:val="none"/>
        </w:rPr>
        <w:t xml:space="preserve"> </w:t>
      </w:r>
      <w:r>
        <w:rPr>
          <w:rFonts w:ascii="宋体" w:hAnsi="宋体" w:eastAsia="宋体" w:cs="宋体"/>
          <w:spacing w:val="-5"/>
          <w:sz w:val="13"/>
          <w:szCs w:val="13"/>
          <w:highlight w:val="none"/>
        </w:rPr>
        <w:t>价</w:t>
      </w:r>
      <w:r>
        <w:rPr>
          <w:rFonts w:ascii="宋体" w:hAnsi="宋体" w:eastAsia="宋体" w:cs="宋体"/>
          <w:spacing w:val="23"/>
          <w:w w:val="101"/>
          <w:sz w:val="13"/>
          <w:szCs w:val="13"/>
          <w:highlight w:val="none"/>
        </w:rPr>
        <w:t xml:space="preserve"> </w:t>
      </w:r>
      <w:r>
        <w:rPr>
          <w:rFonts w:ascii="宋体" w:hAnsi="宋体" w:eastAsia="宋体" w:cs="宋体"/>
          <w:spacing w:val="-5"/>
          <w:sz w:val="13"/>
          <w:szCs w:val="13"/>
          <w:highlight w:val="none"/>
        </w:rPr>
        <w:t>款</w:t>
      </w:r>
      <w:r>
        <w:rPr>
          <w:rFonts w:ascii="宋体" w:hAnsi="宋体" w:eastAsia="宋体" w:cs="宋体"/>
          <w:spacing w:val="33"/>
          <w:w w:val="101"/>
          <w:sz w:val="13"/>
          <w:szCs w:val="13"/>
          <w:highlight w:val="none"/>
        </w:rPr>
        <w:t xml:space="preserve"> </w:t>
      </w:r>
      <w:r>
        <w:rPr>
          <w:rFonts w:ascii="宋体" w:hAnsi="宋体" w:eastAsia="宋体" w:cs="宋体"/>
          <w:spacing w:val="-5"/>
          <w:sz w:val="13"/>
          <w:szCs w:val="13"/>
          <w:highlight w:val="none"/>
        </w:rPr>
        <w:t>的</w:t>
      </w:r>
      <w:r>
        <w:rPr>
          <w:rFonts w:ascii="宋体" w:hAnsi="宋体" w:eastAsia="宋体" w:cs="宋体"/>
          <w:spacing w:val="26"/>
          <w:sz w:val="13"/>
          <w:szCs w:val="13"/>
          <w:highlight w:val="none"/>
        </w:rPr>
        <w:t xml:space="preserve"> </w:t>
      </w:r>
      <w:r>
        <w:rPr>
          <w:rFonts w:ascii="宋体" w:hAnsi="宋体" w:eastAsia="宋体" w:cs="宋体"/>
          <w:spacing w:val="-5"/>
          <w:sz w:val="13"/>
          <w:szCs w:val="13"/>
          <w:highlight w:val="none"/>
        </w:rPr>
        <w:t>约</w:t>
      </w:r>
      <w:r>
        <w:rPr>
          <w:rFonts w:ascii="宋体" w:hAnsi="宋体" w:eastAsia="宋体" w:cs="宋体"/>
          <w:spacing w:val="26"/>
          <w:w w:val="101"/>
          <w:sz w:val="13"/>
          <w:szCs w:val="13"/>
          <w:highlight w:val="none"/>
        </w:rPr>
        <w:t xml:space="preserve"> </w:t>
      </w:r>
      <w:r>
        <w:rPr>
          <w:rFonts w:ascii="宋体" w:hAnsi="宋体" w:eastAsia="宋体" w:cs="宋体"/>
          <w:spacing w:val="-5"/>
          <w:sz w:val="13"/>
          <w:szCs w:val="13"/>
          <w:highlight w:val="none"/>
        </w:rPr>
        <w:t>定</w:t>
      </w:r>
      <w:r>
        <w:rPr>
          <w:rFonts w:ascii="宋体" w:hAnsi="宋体" w:eastAsia="宋体" w:cs="宋体"/>
          <w:spacing w:val="34"/>
          <w:sz w:val="13"/>
          <w:szCs w:val="13"/>
          <w:highlight w:val="none"/>
        </w:rPr>
        <w:t xml:space="preserve"> </w:t>
      </w:r>
      <w:r>
        <w:rPr>
          <w:rFonts w:ascii="宋体" w:hAnsi="宋体" w:eastAsia="宋体" w:cs="宋体"/>
          <w:spacing w:val="-5"/>
          <w:sz w:val="13"/>
          <w:szCs w:val="13"/>
          <w:highlight w:val="none"/>
        </w:rPr>
        <w:t xml:space="preserve">： </w:t>
      </w:r>
      <w:r>
        <w:rPr>
          <w:rFonts w:ascii="宋体" w:hAnsi="宋体" w:eastAsia="宋体" w:cs="宋体"/>
          <w:sz w:val="13"/>
          <w:szCs w:val="13"/>
          <w:highlight w:val="none"/>
          <w:u w:val="single" w:color="auto"/>
        </w:rPr>
        <w:t xml:space="preserve">                                                   </w:t>
      </w:r>
    </w:p>
    <w:p w14:paraId="5DC0A931">
      <w:pPr>
        <w:spacing w:before="181" w:line="9" w:lineRule="exact"/>
        <w:ind w:left="8200"/>
        <w:rPr>
          <w:rFonts w:ascii="宋体" w:hAnsi="宋体" w:eastAsia="宋体" w:cs="宋体"/>
          <w:sz w:val="5"/>
          <w:szCs w:val="5"/>
          <w:highlight w:val="none"/>
        </w:rPr>
      </w:pPr>
      <w:r>
        <w:rPr>
          <w:rFonts w:ascii="宋体" w:hAnsi="宋体" w:eastAsia="宋体" w:cs="宋体"/>
          <w:position w:val="1"/>
          <w:sz w:val="5"/>
          <w:szCs w:val="5"/>
          <w:highlight w:val="none"/>
        </w:rPr>
        <w:t>_</w:t>
      </w:r>
    </w:p>
    <w:p w14:paraId="74BBA87A">
      <w:pPr>
        <w:spacing w:line="9" w:lineRule="exact"/>
        <w:rPr>
          <w:rFonts w:ascii="宋体" w:hAnsi="宋体" w:eastAsia="宋体" w:cs="宋体"/>
          <w:sz w:val="5"/>
          <w:szCs w:val="5"/>
          <w:highlight w:val="none"/>
        </w:rPr>
        <w:sectPr>
          <w:footerReference r:id="rId157" w:type="default"/>
          <w:pgSz w:w="11910" w:h="16840"/>
          <w:pgMar w:top="400" w:right="1725" w:bottom="1197" w:left="1779" w:header="0" w:footer="993" w:gutter="0"/>
          <w:cols w:space="720" w:num="1"/>
        </w:sectPr>
      </w:pPr>
    </w:p>
    <w:p w14:paraId="3762D7FB">
      <w:pPr>
        <w:pStyle w:val="2"/>
        <w:spacing w:line="277" w:lineRule="auto"/>
        <w:rPr>
          <w:highlight w:val="none"/>
        </w:rPr>
      </w:pPr>
    </w:p>
    <w:p w14:paraId="7A57B0C7">
      <w:pPr>
        <w:pStyle w:val="2"/>
        <w:spacing w:line="278" w:lineRule="auto"/>
        <w:rPr>
          <w:highlight w:val="none"/>
        </w:rPr>
      </w:pPr>
    </w:p>
    <w:p w14:paraId="1287B2C9">
      <w:pPr>
        <w:pStyle w:val="2"/>
        <w:spacing w:line="278" w:lineRule="auto"/>
        <w:rPr>
          <w:highlight w:val="none"/>
        </w:rPr>
      </w:pPr>
    </w:p>
    <w:p w14:paraId="4DE2EB69">
      <w:pPr>
        <w:pStyle w:val="2"/>
        <w:spacing w:line="278" w:lineRule="auto"/>
        <w:rPr>
          <w:highlight w:val="none"/>
        </w:rPr>
      </w:pPr>
    </w:p>
    <w:p w14:paraId="6D791A26">
      <w:pPr>
        <w:spacing w:before="91" w:line="222" w:lineRule="auto"/>
        <w:ind w:left="10"/>
        <w:outlineLvl w:val="1"/>
        <w:rPr>
          <w:rFonts w:ascii="黑体" w:hAnsi="黑体" w:eastAsia="黑体" w:cs="黑体"/>
          <w:sz w:val="28"/>
          <w:szCs w:val="28"/>
          <w:highlight w:val="none"/>
        </w:rPr>
      </w:pPr>
      <w:bookmarkStart w:id="139" w:name="bookmark81"/>
      <w:bookmarkEnd w:id="139"/>
      <w:bookmarkStart w:id="140" w:name="bookmark251"/>
      <w:bookmarkEnd w:id="140"/>
      <w:r>
        <w:rPr>
          <w:rFonts w:ascii="黑体" w:hAnsi="黑体" w:eastAsia="黑体" w:cs="黑体"/>
          <w:spacing w:val="28"/>
          <w:sz w:val="28"/>
          <w:szCs w:val="28"/>
          <w:highlight w:val="none"/>
        </w:rPr>
        <w:t>第14条合同价格与支付</w:t>
      </w:r>
    </w:p>
    <w:p w14:paraId="48FC8EB5">
      <w:pPr>
        <w:pStyle w:val="2"/>
        <w:spacing w:line="337" w:lineRule="auto"/>
        <w:rPr>
          <w:highlight w:val="none"/>
        </w:rPr>
      </w:pPr>
    </w:p>
    <w:p w14:paraId="5A6F908B">
      <w:pPr>
        <w:spacing w:before="72" w:line="222" w:lineRule="auto"/>
        <w:ind w:left="20"/>
        <w:rPr>
          <w:rFonts w:ascii="黑体" w:hAnsi="黑体" w:eastAsia="黑体" w:cs="黑体"/>
          <w:sz w:val="22"/>
          <w:szCs w:val="22"/>
          <w:highlight w:val="none"/>
        </w:rPr>
      </w:pPr>
      <w:r>
        <w:rPr>
          <w:rFonts w:ascii="黑体" w:hAnsi="黑体" w:eastAsia="黑体" w:cs="黑体"/>
          <w:spacing w:val="-7"/>
          <w:sz w:val="22"/>
          <w:szCs w:val="22"/>
          <w:highlight w:val="none"/>
        </w:rPr>
        <w:t>14.1</w:t>
      </w:r>
      <w:r>
        <w:rPr>
          <w:rFonts w:ascii="黑体" w:hAnsi="黑体" w:eastAsia="黑体" w:cs="黑体"/>
          <w:spacing w:val="-25"/>
          <w:sz w:val="22"/>
          <w:szCs w:val="22"/>
          <w:highlight w:val="none"/>
        </w:rPr>
        <w:t xml:space="preserve"> </w:t>
      </w:r>
      <w:r>
        <w:rPr>
          <w:rFonts w:ascii="黑体" w:hAnsi="黑体" w:eastAsia="黑体" w:cs="黑体"/>
          <w:spacing w:val="-7"/>
          <w:sz w:val="22"/>
          <w:szCs w:val="22"/>
          <w:highlight w:val="none"/>
        </w:rPr>
        <w:t>合同价格形式</w:t>
      </w:r>
    </w:p>
    <w:p w14:paraId="3BB44A12">
      <w:pPr>
        <w:spacing w:before="209" w:line="221" w:lineRule="auto"/>
        <w:ind w:left="440"/>
        <w:rPr>
          <w:rFonts w:ascii="宋体" w:hAnsi="宋体" w:eastAsia="宋体" w:cs="宋体"/>
          <w:sz w:val="22"/>
          <w:szCs w:val="22"/>
          <w:highlight w:val="none"/>
        </w:rPr>
      </w:pPr>
      <w:r>
        <w:rPr>
          <w:rFonts w:ascii="宋体" w:hAnsi="宋体" w:eastAsia="宋体" w:cs="宋体"/>
          <w:spacing w:val="-14"/>
          <w:sz w:val="22"/>
          <w:szCs w:val="22"/>
          <w:highlight w:val="none"/>
        </w:rPr>
        <w:t>14.1.1 关于合同价格形式的约定：_</w:t>
      </w:r>
      <w:r>
        <w:rPr>
          <w:rFonts w:ascii="宋体" w:hAnsi="宋体" w:eastAsia="宋体" w:cs="宋体"/>
          <w:spacing w:val="-87"/>
          <w:sz w:val="22"/>
          <w:szCs w:val="22"/>
          <w:highlight w:val="none"/>
        </w:rPr>
        <w:t xml:space="preserve"> </w:t>
      </w:r>
      <w:r>
        <w:rPr>
          <w:rFonts w:ascii="宋体" w:hAnsi="宋体" w:eastAsia="宋体" w:cs="宋体"/>
          <w:sz w:val="22"/>
          <w:szCs w:val="22"/>
          <w:highlight w:val="none"/>
          <w:u w:val="single" w:color="auto"/>
        </w:rPr>
        <w:t xml:space="preserve">                  </w:t>
      </w:r>
      <w:r>
        <w:rPr>
          <w:rFonts w:ascii="宋体" w:hAnsi="宋体" w:eastAsia="宋体" w:cs="宋体"/>
          <w:spacing w:val="-14"/>
          <w:position w:val="1"/>
          <w:sz w:val="22"/>
          <w:szCs w:val="22"/>
          <w:highlight w:val="none"/>
        </w:rPr>
        <w:t>□</w:t>
      </w:r>
    </w:p>
    <w:p w14:paraId="4524D37E">
      <w:pPr>
        <w:spacing w:before="192" w:line="218" w:lineRule="auto"/>
        <w:ind w:left="450"/>
        <w:rPr>
          <w:rFonts w:ascii="宋体" w:hAnsi="宋体" w:eastAsia="宋体" w:cs="宋体"/>
          <w:sz w:val="22"/>
          <w:szCs w:val="22"/>
          <w:highlight w:val="none"/>
        </w:rPr>
      </w:pPr>
      <w:r>
        <w:rPr>
          <w:highlight w:val="none"/>
        </w:rPr>
        <w:drawing>
          <wp:anchor distT="0" distB="0" distL="0" distR="0" simplePos="0" relativeHeight="251692032" behindDoc="1" locked="0" layoutInCell="1" allowOverlap="1">
            <wp:simplePos x="0" y="0"/>
            <wp:positionH relativeFrom="column">
              <wp:posOffset>3206750</wp:posOffset>
            </wp:positionH>
            <wp:positionV relativeFrom="paragraph">
              <wp:posOffset>257175</wp:posOffset>
            </wp:positionV>
            <wp:extent cx="457200" cy="25400"/>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326"/>
                    <a:stretch>
                      <a:fillRect/>
                    </a:stretch>
                  </pic:blipFill>
                  <pic:spPr>
                    <a:xfrm>
                      <a:off x="0" y="0"/>
                      <a:ext cx="457174" cy="25450"/>
                    </a:xfrm>
                    <a:prstGeom prst="rect">
                      <a:avLst/>
                    </a:prstGeom>
                  </pic:spPr>
                </pic:pic>
              </a:graphicData>
            </a:graphic>
          </wp:anchor>
        </w:drawing>
      </w:r>
      <w:r>
        <w:rPr>
          <w:rFonts w:ascii="宋体" w:hAnsi="宋体" w:eastAsia="宋体" w:cs="宋体"/>
          <w:spacing w:val="-9"/>
          <w:sz w:val="22"/>
          <w:szCs w:val="22"/>
          <w:highlight w:val="none"/>
        </w:rPr>
        <w:t>14.1.2 关于合同价格调整的约定：</w:t>
      </w:r>
      <w:r>
        <w:rPr>
          <w:rFonts w:ascii="宋体" w:hAnsi="宋体" w:eastAsia="宋体" w:cs="宋体"/>
          <w:sz w:val="22"/>
          <w:szCs w:val="22"/>
          <w:highlight w:val="none"/>
          <w:u w:val="single" w:color="auto"/>
        </w:rPr>
        <w:t xml:space="preserve">                   </w:t>
      </w:r>
    </w:p>
    <w:p w14:paraId="79A8C0A0">
      <w:pPr>
        <w:spacing w:before="230" w:line="200" w:lineRule="auto"/>
        <w:ind w:left="440"/>
        <w:rPr>
          <w:rFonts w:ascii="宋体" w:hAnsi="宋体" w:eastAsia="宋体" w:cs="宋体"/>
          <w:sz w:val="21"/>
          <w:szCs w:val="21"/>
          <w:highlight w:val="none"/>
        </w:rPr>
      </w:pPr>
      <w:r>
        <w:rPr>
          <w:rFonts w:ascii="宋体" w:hAnsi="宋体" w:eastAsia="宋体" w:cs="宋体"/>
          <w:spacing w:val="-4"/>
          <w:sz w:val="21"/>
          <w:szCs w:val="21"/>
          <w:highlight w:val="none"/>
        </w:rPr>
        <w:t>14.1.3 按实际完成的工程量支付工程价款的计量方法、估价方法：</w:t>
      </w:r>
      <w:r>
        <w:rPr>
          <w:rFonts w:ascii="宋体" w:hAnsi="宋体" w:eastAsia="宋体" w:cs="宋体"/>
          <w:spacing w:val="-4"/>
          <w:sz w:val="21"/>
          <w:szCs w:val="21"/>
          <w:highlight w:val="none"/>
          <w:u w:val="single" w:color="auto"/>
        </w:rPr>
        <w:t xml:space="preserve">     </w:t>
      </w:r>
      <w:r>
        <w:rPr>
          <w:rFonts w:ascii="宋体" w:hAnsi="宋体" w:eastAsia="宋体" w:cs="宋体"/>
          <w:spacing w:val="-5"/>
          <w:sz w:val="21"/>
          <w:szCs w:val="21"/>
          <w:highlight w:val="none"/>
          <w:u w:val="single" w:color="auto"/>
        </w:rPr>
        <w:t xml:space="preserve">            </w:t>
      </w:r>
    </w:p>
    <w:p w14:paraId="53C18895">
      <w:pPr>
        <w:spacing w:line="39" w:lineRule="exact"/>
        <w:ind w:left="8210"/>
        <w:rPr>
          <w:rFonts w:ascii="宋体" w:hAnsi="宋体" w:eastAsia="宋体" w:cs="宋体"/>
          <w:sz w:val="22"/>
          <w:szCs w:val="22"/>
          <w:highlight w:val="none"/>
        </w:rPr>
      </w:pPr>
      <w:r>
        <w:rPr>
          <w:rFonts w:ascii="宋体" w:hAnsi="宋体" w:eastAsia="宋体" w:cs="宋体"/>
          <w:position w:val="2"/>
          <w:sz w:val="22"/>
          <w:szCs w:val="22"/>
          <w:highlight w:val="none"/>
        </w:rPr>
        <w:t>_</w:t>
      </w:r>
    </w:p>
    <w:p w14:paraId="195AD0DD">
      <w:pPr>
        <w:pStyle w:val="2"/>
        <w:spacing w:line="310" w:lineRule="auto"/>
        <w:rPr>
          <w:highlight w:val="none"/>
        </w:rPr>
      </w:pPr>
    </w:p>
    <w:p w14:paraId="03E9F708">
      <w:pPr>
        <w:spacing w:before="71" w:line="222" w:lineRule="auto"/>
        <w:ind w:left="10"/>
        <w:rPr>
          <w:rFonts w:ascii="黑体" w:hAnsi="黑体" w:eastAsia="黑体" w:cs="黑体"/>
          <w:sz w:val="22"/>
          <w:szCs w:val="22"/>
          <w:highlight w:val="none"/>
        </w:rPr>
      </w:pPr>
      <w:r>
        <w:rPr>
          <w:rFonts w:ascii="黑体" w:hAnsi="黑体" w:eastAsia="黑体" w:cs="黑体"/>
          <w:spacing w:val="6"/>
          <w:sz w:val="22"/>
          <w:szCs w:val="22"/>
          <w:highlight w:val="none"/>
        </w:rPr>
        <w:t>14.2预付款</w:t>
      </w:r>
    </w:p>
    <w:p w14:paraId="21133BCA">
      <w:pPr>
        <w:spacing w:before="197" w:line="219" w:lineRule="auto"/>
        <w:ind w:left="430"/>
        <w:rPr>
          <w:rFonts w:ascii="宋体" w:hAnsi="宋体" w:eastAsia="宋体" w:cs="宋体"/>
          <w:sz w:val="22"/>
          <w:szCs w:val="22"/>
          <w:highlight w:val="none"/>
        </w:rPr>
      </w:pPr>
      <w:r>
        <w:rPr>
          <w:rFonts w:ascii="宋体" w:hAnsi="宋体" w:eastAsia="宋体" w:cs="宋体"/>
          <w:spacing w:val="-7"/>
          <w:sz w:val="22"/>
          <w:szCs w:val="22"/>
          <w:highlight w:val="none"/>
        </w:rPr>
        <w:t>14.2.1 预付款支付</w:t>
      </w:r>
    </w:p>
    <w:p w14:paraId="0EAF276C">
      <w:pPr>
        <w:spacing w:before="220" w:line="184" w:lineRule="auto"/>
        <w:ind w:left="450"/>
        <w:rPr>
          <w:rFonts w:ascii="宋体" w:hAnsi="宋体" w:eastAsia="宋体" w:cs="宋体"/>
          <w:sz w:val="22"/>
          <w:szCs w:val="22"/>
          <w:highlight w:val="none"/>
        </w:rPr>
      </w:pPr>
      <w:r>
        <w:rPr>
          <w:rFonts w:ascii="宋体" w:hAnsi="宋体" w:eastAsia="宋体" w:cs="宋体"/>
          <w:spacing w:val="-14"/>
          <w:sz w:val="22"/>
          <w:szCs w:val="22"/>
          <w:highlight w:val="none"/>
        </w:rPr>
        <w:t>预付款的金额或比例为：</w:t>
      </w:r>
      <w:r>
        <w:rPr>
          <w:rFonts w:ascii="宋体" w:hAnsi="宋体" w:eastAsia="宋体" w:cs="宋体"/>
          <w:sz w:val="22"/>
          <w:szCs w:val="22"/>
          <w:highlight w:val="none"/>
          <w:u w:val="single" w:color="auto"/>
        </w:rPr>
        <w:t xml:space="preserve">                           </w:t>
      </w:r>
    </w:p>
    <w:p w14:paraId="226D1673">
      <w:pPr>
        <w:spacing w:before="6" w:line="39" w:lineRule="exact"/>
        <w:ind w:left="5679"/>
        <w:rPr>
          <w:rFonts w:ascii="宋体" w:hAnsi="宋体" w:eastAsia="宋体" w:cs="宋体"/>
          <w:sz w:val="22"/>
          <w:szCs w:val="22"/>
          <w:highlight w:val="none"/>
        </w:rPr>
      </w:pPr>
      <w:r>
        <w:rPr>
          <w:rFonts w:ascii="宋体" w:hAnsi="宋体" w:eastAsia="宋体" w:cs="宋体"/>
          <w:position w:val="2"/>
          <w:sz w:val="22"/>
          <w:szCs w:val="22"/>
          <w:highlight w:val="none"/>
        </w:rPr>
        <w:t>_</w:t>
      </w:r>
    </w:p>
    <w:p w14:paraId="4759E0DA">
      <w:pPr>
        <w:spacing w:before="225" w:line="214" w:lineRule="auto"/>
        <w:ind w:left="440"/>
        <w:rPr>
          <w:rFonts w:ascii="宋体" w:hAnsi="宋体" w:eastAsia="宋体" w:cs="宋体"/>
          <w:sz w:val="22"/>
          <w:szCs w:val="22"/>
          <w:highlight w:val="none"/>
        </w:rPr>
      </w:pPr>
      <w:r>
        <w:rPr>
          <w:rFonts w:ascii="宋体" w:hAnsi="宋体" w:eastAsia="宋体" w:cs="宋体"/>
          <w:spacing w:val="-10"/>
          <w:sz w:val="21"/>
          <w:szCs w:val="21"/>
          <w:highlight w:val="none"/>
        </w:rPr>
        <w:t>预付款支付期限：</w:t>
      </w:r>
      <w:r>
        <w:rPr>
          <w:rFonts w:ascii="宋体" w:hAnsi="宋体" w:eastAsia="宋体" w:cs="宋体"/>
          <w:sz w:val="21"/>
          <w:szCs w:val="21"/>
          <w:highlight w:val="none"/>
          <w:u w:val="single" w:color="auto"/>
        </w:rPr>
        <w:t xml:space="preserve">                                   </w:t>
      </w:r>
      <w:r>
        <w:rPr>
          <w:rFonts w:ascii="宋体" w:hAnsi="宋体" w:eastAsia="宋体" w:cs="宋体"/>
          <w:spacing w:val="-10"/>
          <w:position w:val="-1"/>
          <w:sz w:val="22"/>
          <w:szCs w:val="22"/>
          <w:highlight w:val="none"/>
        </w:rPr>
        <w:t>_。</w:t>
      </w:r>
    </w:p>
    <w:p w14:paraId="51A910E9">
      <w:pPr>
        <w:spacing w:before="225" w:line="184" w:lineRule="auto"/>
        <w:ind w:left="430"/>
        <w:rPr>
          <w:rFonts w:ascii="宋体" w:hAnsi="宋体" w:eastAsia="宋体" w:cs="宋体"/>
          <w:sz w:val="21"/>
          <w:szCs w:val="21"/>
          <w:highlight w:val="none"/>
        </w:rPr>
      </w:pPr>
      <w:r>
        <w:rPr>
          <w:rFonts w:ascii="宋体" w:hAnsi="宋体" w:eastAsia="宋体" w:cs="宋体"/>
          <w:spacing w:val="-3"/>
          <w:sz w:val="21"/>
          <w:szCs w:val="21"/>
          <w:highlight w:val="none"/>
        </w:rPr>
        <w:t>预付款扣回的方式：</w:t>
      </w:r>
      <w:r>
        <w:rPr>
          <w:rFonts w:ascii="宋体" w:hAnsi="宋体" w:eastAsia="宋体" w:cs="宋体"/>
          <w:sz w:val="21"/>
          <w:szCs w:val="21"/>
          <w:highlight w:val="none"/>
          <w:u w:val="single" w:color="auto"/>
        </w:rPr>
        <w:t xml:space="preserve">                                 </w:t>
      </w:r>
    </w:p>
    <w:p w14:paraId="0D0FD46B">
      <w:pPr>
        <w:spacing w:before="7" w:line="38" w:lineRule="exact"/>
        <w:ind w:left="5679"/>
        <w:rPr>
          <w:rFonts w:ascii="宋体" w:hAnsi="宋体" w:eastAsia="宋体" w:cs="宋体"/>
          <w:sz w:val="22"/>
          <w:szCs w:val="22"/>
          <w:highlight w:val="none"/>
        </w:rPr>
      </w:pPr>
      <w:r>
        <w:rPr>
          <w:rFonts w:ascii="宋体" w:hAnsi="宋体" w:eastAsia="宋体" w:cs="宋体"/>
          <w:position w:val="2"/>
          <w:sz w:val="22"/>
          <w:szCs w:val="22"/>
          <w:highlight w:val="none"/>
        </w:rPr>
        <w:t>_</w:t>
      </w:r>
    </w:p>
    <w:p w14:paraId="5F2455A1">
      <w:pPr>
        <w:spacing w:before="206" w:line="219" w:lineRule="auto"/>
        <w:ind w:left="440"/>
        <w:rPr>
          <w:rFonts w:ascii="宋体" w:hAnsi="宋体" w:eastAsia="宋体" w:cs="宋体"/>
          <w:sz w:val="22"/>
          <w:szCs w:val="22"/>
          <w:highlight w:val="none"/>
        </w:rPr>
      </w:pPr>
      <w:r>
        <w:rPr>
          <w:rFonts w:ascii="宋体" w:hAnsi="宋体" w:eastAsia="宋体" w:cs="宋体"/>
          <w:spacing w:val="-3"/>
          <w:sz w:val="22"/>
          <w:szCs w:val="22"/>
          <w:highlight w:val="none"/>
        </w:rPr>
        <w:t>14.2.2预付款担保</w:t>
      </w:r>
    </w:p>
    <w:p w14:paraId="75B9F9CA">
      <w:pPr>
        <w:pStyle w:val="2"/>
        <w:spacing w:before="250" w:line="176" w:lineRule="auto"/>
        <w:ind w:left="450"/>
        <w:rPr>
          <w:sz w:val="22"/>
          <w:szCs w:val="22"/>
          <w:highlight w:val="none"/>
        </w:rPr>
      </w:pPr>
      <w:r>
        <w:rPr>
          <w:rFonts w:ascii="宋体" w:hAnsi="宋体" w:eastAsia="宋体" w:cs="宋体"/>
          <w:spacing w:val="-17"/>
          <w:w w:val="95"/>
          <w:sz w:val="22"/>
          <w:szCs w:val="22"/>
          <w:highlight w:val="none"/>
        </w:rPr>
        <w:t>提供预付款担保期限：_</w:t>
      </w:r>
      <w:r>
        <w:rPr>
          <w:rFonts w:ascii="宋体" w:hAnsi="宋体" w:eastAsia="宋体" w:cs="宋体"/>
          <w:spacing w:val="-83"/>
          <w:sz w:val="22"/>
          <w:szCs w:val="22"/>
          <w:highlight w:val="none"/>
        </w:rPr>
        <w:t xml:space="preserve"> </w:t>
      </w:r>
      <w:r>
        <w:rPr>
          <w:rFonts w:ascii="宋体" w:hAnsi="宋体" w:eastAsia="宋体" w:cs="宋体"/>
          <w:spacing w:val="3"/>
          <w:sz w:val="22"/>
          <w:szCs w:val="22"/>
          <w:highlight w:val="none"/>
          <w:u w:val="single" w:color="auto"/>
        </w:rPr>
        <w:t xml:space="preserve">                       </w:t>
      </w:r>
      <w:r>
        <w:rPr>
          <w:rFonts w:ascii="宋体" w:hAnsi="宋体" w:eastAsia="宋体" w:cs="宋体"/>
          <w:spacing w:val="2"/>
          <w:sz w:val="22"/>
          <w:szCs w:val="22"/>
          <w:highlight w:val="none"/>
          <w:u w:val="single" w:color="auto"/>
        </w:rPr>
        <w:t xml:space="preserve">     </w:t>
      </w:r>
      <w:r>
        <w:rPr>
          <w:rFonts w:ascii="宋体" w:hAnsi="宋体" w:eastAsia="宋体" w:cs="宋体"/>
          <w:spacing w:val="-109"/>
          <w:sz w:val="22"/>
          <w:szCs w:val="22"/>
          <w:highlight w:val="none"/>
        </w:rPr>
        <w:t xml:space="preserve"> </w:t>
      </w:r>
      <w:r>
        <w:rPr>
          <w:spacing w:val="-17"/>
          <w:w w:val="95"/>
          <w:position w:val="6"/>
          <w:sz w:val="22"/>
          <w:szCs w:val="22"/>
          <w:highlight w:val="none"/>
        </w:rPr>
        <w:t>_o</w:t>
      </w:r>
    </w:p>
    <w:p w14:paraId="55B909A2">
      <w:pPr>
        <w:pStyle w:val="2"/>
        <w:spacing w:before="214" w:line="189" w:lineRule="auto"/>
        <w:ind w:left="440"/>
        <w:rPr>
          <w:sz w:val="22"/>
          <w:szCs w:val="22"/>
          <w:highlight w:val="none"/>
        </w:rPr>
      </w:pPr>
      <w:r>
        <w:rPr>
          <w:rFonts w:ascii="宋体" w:hAnsi="宋体" w:eastAsia="宋体" w:cs="宋体"/>
          <w:spacing w:val="-11"/>
          <w:highlight w:val="none"/>
        </w:rPr>
        <w:t>预付款担保形式：</w:t>
      </w:r>
      <w:r>
        <w:rPr>
          <w:rFonts w:ascii="宋体" w:hAnsi="宋体" w:eastAsia="宋体" w:cs="宋体"/>
          <w:highlight w:val="none"/>
          <w:u w:val="single" w:color="auto"/>
        </w:rPr>
        <w:t xml:space="preserve">                                  </w:t>
      </w:r>
      <w:r>
        <w:rPr>
          <w:spacing w:val="-11"/>
          <w:position w:val="4"/>
          <w:sz w:val="22"/>
          <w:szCs w:val="22"/>
          <w:highlight w:val="none"/>
        </w:rPr>
        <w:t>_o</w:t>
      </w:r>
    </w:p>
    <w:p w14:paraId="71258EC0">
      <w:pPr>
        <w:pStyle w:val="2"/>
        <w:spacing w:line="316" w:lineRule="auto"/>
        <w:rPr>
          <w:highlight w:val="none"/>
        </w:rPr>
      </w:pPr>
    </w:p>
    <w:sdt>
      <w:sdtPr>
        <w:rPr>
          <w:rFonts w:ascii="黑体" w:hAnsi="黑体" w:eastAsia="黑体" w:cs="黑体"/>
          <w:sz w:val="22"/>
          <w:szCs w:val="22"/>
          <w:highlight w:val="none"/>
        </w:rPr>
        <w:id w:val="147455986"/>
        <w:docPartObj>
          <w:docPartGallery w:val="Table of Contents"/>
          <w:docPartUnique/>
        </w:docPartObj>
      </w:sdtPr>
      <w:sdtEndPr>
        <w:rPr>
          <w:rFonts w:ascii="宋体" w:hAnsi="宋体" w:eastAsia="宋体" w:cs="宋体"/>
          <w:sz w:val="22"/>
          <w:szCs w:val="22"/>
          <w:highlight w:val="none"/>
        </w:rPr>
      </w:sdtEndPr>
      <w:sdtContent>
        <w:p w14:paraId="2B68DD70">
          <w:pPr>
            <w:spacing w:before="72" w:line="222" w:lineRule="auto"/>
            <w:ind w:left="10"/>
            <w:rPr>
              <w:rFonts w:ascii="黑体" w:hAnsi="黑体" w:eastAsia="黑体" w:cs="黑体"/>
              <w:sz w:val="22"/>
              <w:szCs w:val="22"/>
              <w:highlight w:val="none"/>
            </w:rPr>
          </w:pPr>
          <w:r>
            <w:rPr>
              <w:rFonts w:ascii="黑体" w:hAnsi="黑体" w:eastAsia="黑体" w:cs="黑体"/>
              <w:spacing w:val="-7"/>
              <w:sz w:val="22"/>
              <w:szCs w:val="22"/>
              <w:highlight w:val="none"/>
            </w:rPr>
            <w:t>14.3</w:t>
          </w:r>
          <w:r>
            <w:rPr>
              <w:rFonts w:ascii="黑体" w:hAnsi="黑体" w:eastAsia="黑体" w:cs="黑体"/>
              <w:spacing w:val="-23"/>
              <w:sz w:val="22"/>
              <w:szCs w:val="22"/>
              <w:highlight w:val="none"/>
            </w:rPr>
            <w:t xml:space="preserve"> </w:t>
          </w:r>
          <w:r>
            <w:rPr>
              <w:rFonts w:ascii="黑体" w:hAnsi="黑体" w:eastAsia="黑体" w:cs="黑体"/>
              <w:spacing w:val="-7"/>
              <w:sz w:val="22"/>
              <w:szCs w:val="22"/>
              <w:highlight w:val="none"/>
            </w:rPr>
            <w:t>工程进度款</w:t>
          </w:r>
        </w:p>
        <w:p w14:paraId="539A5D31">
          <w:pPr>
            <w:spacing w:before="197" w:line="219" w:lineRule="auto"/>
            <w:ind w:left="440"/>
            <w:rPr>
              <w:rFonts w:ascii="宋体" w:hAnsi="宋体" w:eastAsia="宋体" w:cs="宋体"/>
              <w:sz w:val="22"/>
              <w:szCs w:val="22"/>
              <w:highlight w:val="none"/>
            </w:rPr>
          </w:pPr>
          <w:r>
            <w:rPr>
              <w:rFonts w:ascii="宋体" w:hAnsi="宋体" w:eastAsia="宋体" w:cs="宋体"/>
              <w:spacing w:val="-6"/>
              <w:sz w:val="22"/>
              <w:szCs w:val="22"/>
              <w:highlight w:val="none"/>
            </w:rPr>
            <w:t>14.3.1</w:t>
          </w:r>
          <w:r>
            <w:rPr>
              <w:rFonts w:ascii="宋体" w:hAnsi="宋体" w:eastAsia="宋体" w:cs="宋体"/>
              <w:spacing w:val="-30"/>
              <w:sz w:val="22"/>
              <w:szCs w:val="22"/>
              <w:highlight w:val="none"/>
            </w:rPr>
            <w:t xml:space="preserve"> </w:t>
          </w:r>
          <w:r>
            <w:rPr>
              <w:rFonts w:ascii="宋体" w:hAnsi="宋体" w:eastAsia="宋体" w:cs="宋体"/>
              <w:spacing w:val="-6"/>
              <w:sz w:val="22"/>
              <w:szCs w:val="22"/>
              <w:highlight w:val="none"/>
            </w:rPr>
            <w:t>工程进度付款申请</w:t>
          </w:r>
        </w:p>
        <w:p w14:paraId="48F8BCA5">
          <w:pPr>
            <w:spacing w:before="219" w:line="221" w:lineRule="auto"/>
            <w:ind w:left="430"/>
            <w:rPr>
              <w:rFonts w:ascii="宋体" w:hAnsi="宋体" w:eastAsia="宋体" w:cs="宋体"/>
              <w:sz w:val="22"/>
              <w:szCs w:val="22"/>
              <w:highlight w:val="none"/>
            </w:rPr>
          </w:pPr>
          <w:r>
            <w:rPr>
              <w:rFonts w:ascii="宋体" w:hAnsi="宋体" w:eastAsia="宋体" w:cs="宋体"/>
              <w:spacing w:val="-6"/>
              <w:sz w:val="22"/>
              <w:szCs w:val="22"/>
              <w:highlight w:val="none"/>
            </w:rPr>
            <w:t>工程进度付款申请方式：</w:t>
          </w:r>
          <w:r>
            <w:rPr>
              <w:rFonts w:ascii="宋体" w:hAnsi="宋体" w:eastAsia="宋体" w:cs="宋体"/>
              <w:spacing w:val="-6"/>
              <w:sz w:val="22"/>
              <w:szCs w:val="22"/>
              <w:highlight w:val="none"/>
              <w:u w:val="single" w:color="auto"/>
            </w:rPr>
            <w:t xml:space="preserve">                 </w:t>
          </w:r>
          <w:r>
            <w:rPr>
              <w:rFonts w:ascii="宋体" w:hAnsi="宋体" w:eastAsia="宋体" w:cs="宋体"/>
              <w:spacing w:val="-7"/>
              <w:sz w:val="22"/>
              <w:szCs w:val="22"/>
              <w:highlight w:val="none"/>
              <w:u w:val="single" w:color="auto"/>
            </w:rPr>
            <w:t xml:space="preserve">           </w:t>
          </w:r>
          <w:r>
            <w:rPr>
              <w:rFonts w:ascii="宋体" w:hAnsi="宋体" w:eastAsia="宋体" w:cs="宋体"/>
              <w:spacing w:val="-90"/>
              <w:sz w:val="22"/>
              <w:szCs w:val="22"/>
              <w:highlight w:val="none"/>
            </w:rPr>
            <w:t xml:space="preserve"> </w:t>
          </w:r>
          <w:r>
            <w:rPr>
              <w:highlight w:val="none"/>
            </w:rPr>
            <w:fldChar w:fldCharType="begin"/>
          </w:r>
          <w:r>
            <w:rPr>
              <w:highlight w:val="none"/>
            </w:rPr>
            <w:instrText xml:space="preserve"> HYPERLINK \l "bookmark252" </w:instrText>
          </w:r>
          <w:r>
            <w:rPr>
              <w:highlight w:val="none"/>
            </w:rPr>
            <w:fldChar w:fldCharType="separate"/>
          </w:r>
          <w:r>
            <w:rPr>
              <w:rFonts w:ascii="宋体" w:hAnsi="宋体" w:eastAsia="宋体" w:cs="宋体"/>
              <w:spacing w:val="-7"/>
              <w:sz w:val="22"/>
              <w:szCs w:val="22"/>
              <w:highlight w:val="none"/>
            </w:rPr>
            <w:t>0</w:t>
          </w:r>
          <w:r>
            <w:rPr>
              <w:rFonts w:ascii="宋体" w:hAnsi="宋体" w:eastAsia="宋体" w:cs="宋体"/>
              <w:spacing w:val="-7"/>
              <w:sz w:val="22"/>
              <w:szCs w:val="22"/>
              <w:highlight w:val="none"/>
            </w:rPr>
            <w:fldChar w:fldCharType="end"/>
          </w:r>
        </w:p>
        <w:p w14:paraId="39202474">
          <w:pPr>
            <w:tabs>
              <w:tab w:val="right" w:leader="underscore" w:pos="8302"/>
            </w:tabs>
            <w:spacing w:before="239" w:line="216" w:lineRule="auto"/>
            <w:ind w:left="440"/>
            <w:rPr>
              <w:rFonts w:ascii="Times New Roman" w:hAnsi="Times New Roman" w:eastAsia="Times New Roman" w:cs="Times New Roman"/>
              <w:sz w:val="22"/>
              <w:szCs w:val="22"/>
              <w:highlight w:val="none"/>
            </w:rPr>
          </w:pPr>
          <w:r>
            <w:rPr>
              <w:rFonts w:ascii="宋体" w:hAnsi="宋体" w:eastAsia="宋体" w:cs="宋体"/>
              <w:spacing w:val="-8"/>
              <w:sz w:val="21"/>
              <w:szCs w:val="21"/>
              <w:highlight w:val="none"/>
            </w:rPr>
            <w:t>承包人提交进度付款申请单的格式、内容、份数和时</w:t>
          </w:r>
          <w:r>
            <w:rPr>
              <w:rFonts w:ascii="宋体" w:hAnsi="宋体" w:eastAsia="宋体" w:cs="宋体"/>
              <w:spacing w:val="-9"/>
              <w:sz w:val="21"/>
              <w:szCs w:val="21"/>
              <w:highlight w:val="none"/>
            </w:rPr>
            <w:t>间：</w:t>
          </w:r>
          <w:r>
            <w:rPr>
              <w:rFonts w:ascii="宋体" w:hAnsi="宋体" w:eastAsia="宋体" w:cs="宋体"/>
              <w:sz w:val="21"/>
              <w:szCs w:val="21"/>
              <w:highlight w:val="none"/>
            </w:rPr>
            <w:tab/>
          </w:r>
          <w:r>
            <w:rPr>
              <w:rFonts w:ascii="Times New Roman" w:hAnsi="Times New Roman" w:eastAsia="Times New Roman" w:cs="Times New Roman"/>
              <w:spacing w:val="-6"/>
              <w:w w:val="42"/>
              <w:position w:val="1"/>
              <w:sz w:val="22"/>
              <w:szCs w:val="22"/>
              <w:highlight w:val="none"/>
            </w:rPr>
            <w:t>o</w:t>
          </w:r>
        </w:p>
        <w:p w14:paraId="47893C05">
          <w:pPr>
            <w:spacing w:before="211" w:line="220" w:lineRule="auto"/>
            <w:ind w:left="450"/>
            <w:rPr>
              <w:rFonts w:ascii="宋体" w:hAnsi="宋体" w:eastAsia="宋体" w:cs="宋体"/>
              <w:sz w:val="22"/>
              <w:szCs w:val="22"/>
              <w:highlight w:val="none"/>
            </w:rPr>
          </w:pPr>
          <w:r>
            <w:rPr>
              <w:rFonts w:ascii="宋体" w:hAnsi="宋体" w:eastAsia="宋体" w:cs="宋体"/>
              <w:sz w:val="21"/>
              <w:szCs w:val="21"/>
              <w:highlight w:val="none"/>
            </w:rPr>
            <w:t>进度付款申请单应包括的内容：</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r>
            <w:rPr>
              <w:highlight w:val="none"/>
            </w:rPr>
            <w:fldChar w:fldCharType="begin"/>
          </w:r>
          <w:r>
            <w:rPr>
              <w:highlight w:val="none"/>
            </w:rPr>
            <w:instrText xml:space="preserve"> HYPERLINK \l "bookmark253" </w:instrText>
          </w:r>
          <w:r>
            <w:rPr>
              <w:highlight w:val="none"/>
            </w:rPr>
            <w:fldChar w:fldCharType="separate"/>
          </w:r>
          <w:r>
            <w:rPr>
              <w:rFonts w:ascii="宋体" w:hAnsi="宋体" w:eastAsia="宋体" w:cs="宋体"/>
              <w:spacing w:val="-1"/>
              <w:sz w:val="22"/>
              <w:szCs w:val="22"/>
              <w:highlight w:val="none"/>
            </w:rPr>
            <w:t>0</w:t>
          </w:r>
          <w:r>
            <w:rPr>
              <w:rFonts w:ascii="宋体" w:hAnsi="宋体" w:eastAsia="宋体" w:cs="宋体"/>
              <w:spacing w:val="-1"/>
              <w:sz w:val="22"/>
              <w:szCs w:val="22"/>
              <w:highlight w:val="none"/>
            </w:rPr>
            <w:fldChar w:fldCharType="end"/>
          </w:r>
        </w:p>
      </w:sdtContent>
    </w:sdt>
    <w:p w14:paraId="7D7B21E9">
      <w:pPr>
        <w:spacing w:before="215" w:line="219" w:lineRule="auto"/>
        <w:ind w:left="440"/>
        <w:rPr>
          <w:rFonts w:ascii="宋体" w:hAnsi="宋体" w:eastAsia="宋体" w:cs="宋体"/>
          <w:sz w:val="22"/>
          <w:szCs w:val="22"/>
          <w:highlight w:val="none"/>
        </w:rPr>
      </w:pPr>
      <w:r>
        <w:rPr>
          <w:rFonts w:ascii="宋体" w:hAnsi="宋体" w:eastAsia="宋体" w:cs="宋体"/>
          <w:spacing w:val="-8"/>
          <w:sz w:val="22"/>
          <w:szCs w:val="22"/>
          <w:highlight w:val="none"/>
        </w:rPr>
        <w:t>14.3.2</w:t>
      </w:r>
      <w:r>
        <w:rPr>
          <w:rFonts w:ascii="宋体" w:hAnsi="宋体" w:eastAsia="宋体" w:cs="宋体"/>
          <w:spacing w:val="-25"/>
          <w:sz w:val="22"/>
          <w:szCs w:val="22"/>
          <w:highlight w:val="none"/>
        </w:rPr>
        <w:t xml:space="preserve"> </w:t>
      </w:r>
      <w:r>
        <w:rPr>
          <w:rFonts w:ascii="宋体" w:hAnsi="宋体" w:eastAsia="宋体" w:cs="宋体"/>
          <w:spacing w:val="-8"/>
          <w:sz w:val="22"/>
          <w:szCs w:val="22"/>
          <w:highlight w:val="none"/>
        </w:rPr>
        <w:t>进度付款审核和支付</w:t>
      </w:r>
    </w:p>
    <w:p w14:paraId="2DB46CCC">
      <w:pPr>
        <w:pStyle w:val="2"/>
        <w:spacing w:before="241" w:line="176" w:lineRule="auto"/>
        <w:ind w:left="450"/>
        <w:rPr>
          <w:sz w:val="22"/>
          <w:szCs w:val="22"/>
          <w:highlight w:val="none"/>
        </w:rPr>
      </w:pPr>
      <w:r>
        <w:rPr>
          <w:rFonts w:ascii="宋体" w:hAnsi="宋体" w:eastAsia="宋体" w:cs="宋体"/>
          <w:spacing w:val="-15"/>
          <w:sz w:val="22"/>
          <w:szCs w:val="22"/>
          <w:highlight w:val="none"/>
        </w:rPr>
        <w:t>进度付款的审核方式和支付的约定：_</w:t>
      </w:r>
      <w:r>
        <w:rPr>
          <w:rFonts w:ascii="宋体" w:hAnsi="宋体" w:eastAsia="宋体" w:cs="宋体"/>
          <w:spacing w:val="-101"/>
          <w:sz w:val="22"/>
          <w:szCs w:val="22"/>
          <w:highlight w:val="none"/>
        </w:rPr>
        <w:t xml:space="preserve"> </w:t>
      </w:r>
      <w:r>
        <w:rPr>
          <w:rFonts w:ascii="宋体" w:hAnsi="宋体" w:eastAsia="宋体" w:cs="宋体"/>
          <w:spacing w:val="-15"/>
          <w:sz w:val="22"/>
          <w:szCs w:val="22"/>
          <w:highlight w:val="none"/>
          <w:u w:val="single" w:color="auto"/>
        </w:rPr>
        <w:t xml:space="preserve">     </w:t>
      </w:r>
      <w:r>
        <w:rPr>
          <w:rFonts w:ascii="宋体" w:hAnsi="宋体" w:eastAsia="宋体" w:cs="宋体"/>
          <w:spacing w:val="-16"/>
          <w:sz w:val="22"/>
          <w:szCs w:val="22"/>
          <w:highlight w:val="none"/>
          <w:u w:val="single" w:color="auto"/>
        </w:rPr>
        <w:t xml:space="preserve">              </w:t>
      </w:r>
      <w:r>
        <w:rPr>
          <w:spacing w:val="-16"/>
          <w:position w:val="6"/>
          <w:sz w:val="22"/>
          <w:szCs w:val="22"/>
          <w:highlight w:val="none"/>
        </w:rPr>
        <w:t>_o</w:t>
      </w:r>
    </w:p>
    <w:p w14:paraId="5AF01F55">
      <w:pPr>
        <w:spacing w:before="182" w:line="406" w:lineRule="auto"/>
        <w:ind w:right="23" w:firstLine="420"/>
        <w:rPr>
          <w:rFonts w:ascii="宋体" w:hAnsi="宋体" w:eastAsia="宋体" w:cs="宋体"/>
          <w:sz w:val="22"/>
          <w:szCs w:val="22"/>
          <w:highlight w:val="none"/>
        </w:rPr>
      </w:pPr>
      <w:r>
        <w:rPr>
          <w:rFonts w:ascii="宋体" w:hAnsi="宋体" w:eastAsia="宋体" w:cs="宋体"/>
          <w:spacing w:val="-11"/>
          <w:sz w:val="22"/>
          <w:szCs w:val="22"/>
          <w:highlight w:val="none"/>
        </w:rPr>
        <w:t>发包人应在进度款支付证书或临时进度款支付证书签发后的</w:t>
      </w:r>
      <w:r>
        <w:rPr>
          <w:rFonts w:ascii="宋体" w:hAnsi="宋体" w:eastAsia="宋体" w:cs="宋体"/>
          <w:spacing w:val="-107"/>
          <w:sz w:val="22"/>
          <w:szCs w:val="22"/>
          <w:highlight w:val="none"/>
        </w:rPr>
        <w:t xml:space="preserve"> </w:t>
      </w:r>
      <w:r>
        <w:rPr>
          <w:rFonts w:ascii="宋体" w:hAnsi="宋体" w:eastAsia="宋体" w:cs="宋体"/>
          <w:spacing w:val="4"/>
          <w:sz w:val="22"/>
          <w:szCs w:val="22"/>
          <w:highlight w:val="none"/>
          <w:u w:val="single" w:color="auto"/>
        </w:rPr>
        <w:t xml:space="preserve">     </w:t>
      </w:r>
      <w:r>
        <w:rPr>
          <w:rFonts w:ascii="宋体" w:hAnsi="宋体" w:eastAsia="宋体" w:cs="宋体"/>
          <w:spacing w:val="-100"/>
          <w:sz w:val="22"/>
          <w:szCs w:val="22"/>
          <w:highlight w:val="none"/>
        </w:rPr>
        <w:t xml:space="preserve"> </w:t>
      </w:r>
      <w:r>
        <w:rPr>
          <w:rFonts w:ascii="宋体" w:hAnsi="宋体" w:eastAsia="宋体" w:cs="宋体"/>
          <w:spacing w:val="-11"/>
          <w:sz w:val="22"/>
          <w:szCs w:val="22"/>
          <w:highlight w:val="none"/>
        </w:rPr>
        <w:t>天内完成支付，发包</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人逾期支付进度款的，应按照</w:t>
      </w:r>
      <w:r>
        <w:rPr>
          <w:rFonts w:ascii="宋体" w:hAnsi="宋体" w:eastAsia="宋体" w:cs="宋体"/>
          <w:spacing w:val="-105"/>
          <w:sz w:val="22"/>
          <w:szCs w:val="22"/>
          <w:highlight w:val="none"/>
        </w:rPr>
        <w:t xml:space="preserve"> </w:t>
      </w:r>
      <w:r>
        <w:rPr>
          <w:rFonts w:ascii="宋体" w:hAnsi="宋体" w:eastAsia="宋体" w:cs="宋体"/>
          <w:spacing w:val="7"/>
          <w:sz w:val="22"/>
          <w:szCs w:val="22"/>
          <w:highlight w:val="none"/>
          <w:u w:val="single" w:color="auto"/>
        </w:rPr>
        <w:t xml:space="preserve">    </w:t>
      </w:r>
      <w:r>
        <w:rPr>
          <w:rFonts w:ascii="宋体" w:hAnsi="宋体" w:eastAsia="宋体" w:cs="宋体"/>
          <w:spacing w:val="-13"/>
          <w:sz w:val="22"/>
          <w:szCs w:val="22"/>
          <w:highlight w:val="none"/>
        </w:rPr>
        <w:t>支付违约金。</w:t>
      </w:r>
    </w:p>
    <w:p w14:paraId="42D861EA">
      <w:pPr>
        <w:spacing w:before="175" w:line="223" w:lineRule="auto"/>
        <w:ind w:left="10"/>
        <w:rPr>
          <w:rFonts w:ascii="黑体" w:hAnsi="黑体" w:eastAsia="黑体" w:cs="黑体"/>
          <w:sz w:val="22"/>
          <w:szCs w:val="22"/>
          <w:highlight w:val="none"/>
        </w:rPr>
      </w:pPr>
      <w:r>
        <w:rPr>
          <w:rFonts w:ascii="黑体" w:hAnsi="黑体" w:eastAsia="黑体" w:cs="黑体"/>
          <w:spacing w:val="-6"/>
          <w:sz w:val="22"/>
          <w:szCs w:val="22"/>
          <w:highlight w:val="none"/>
        </w:rPr>
        <w:t>14.4</w:t>
      </w:r>
      <w:r>
        <w:rPr>
          <w:rFonts w:ascii="黑体" w:hAnsi="黑体" w:eastAsia="黑体" w:cs="黑体"/>
          <w:spacing w:val="-31"/>
          <w:sz w:val="22"/>
          <w:szCs w:val="22"/>
          <w:highlight w:val="none"/>
        </w:rPr>
        <w:t xml:space="preserve"> </w:t>
      </w:r>
      <w:r>
        <w:rPr>
          <w:rFonts w:ascii="黑体" w:hAnsi="黑体" w:eastAsia="黑体" w:cs="黑体"/>
          <w:spacing w:val="-6"/>
          <w:sz w:val="22"/>
          <w:szCs w:val="22"/>
          <w:highlight w:val="none"/>
        </w:rPr>
        <w:t>付款计划表</w:t>
      </w:r>
    </w:p>
    <w:p w14:paraId="5DAFB177">
      <w:pPr>
        <w:spacing w:before="216" w:line="213" w:lineRule="auto"/>
        <w:ind w:left="440"/>
        <w:rPr>
          <w:rFonts w:ascii="Times New Roman" w:hAnsi="Times New Roman" w:eastAsia="Times New Roman" w:cs="Times New Roman"/>
          <w:sz w:val="22"/>
          <w:szCs w:val="22"/>
          <w:highlight w:val="none"/>
        </w:rPr>
      </w:pPr>
      <w:r>
        <w:rPr>
          <w:rFonts w:ascii="宋体" w:hAnsi="宋体" w:eastAsia="宋体" w:cs="宋体"/>
          <w:spacing w:val="-9"/>
          <w:sz w:val="22"/>
          <w:szCs w:val="22"/>
          <w:highlight w:val="none"/>
        </w:rPr>
        <w:t>14.4.1 付款计划表的编制要求：_</w:t>
      </w:r>
      <w:r>
        <w:rPr>
          <w:rFonts w:ascii="宋体" w:hAnsi="宋体" w:eastAsia="宋体" w:cs="宋体"/>
          <w:spacing w:val="-9"/>
          <w:sz w:val="22"/>
          <w:szCs w:val="22"/>
          <w:highlight w:val="none"/>
          <w:u w:val="single" w:color="auto"/>
        </w:rPr>
        <w:t xml:space="preserve">         </w:t>
      </w:r>
      <w:r>
        <w:rPr>
          <w:rFonts w:ascii="宋体" w:hAnsi="宋体" w:eastAsia="宋体" w:cs="宋体"/>
          <w:spacing w:val="-10"/>
          <w:sz w:val="22"/>
          <w:szCs w:val="22"/>
          <w:highlight w:val="none"/>
          <w:u w:val="single" w:color="auto"/>
        </w:rPr>
        <w:t xml:space="preserve">            </w:t>
      </w:r>
      <w:r>
        <w:rPr>
          <w:rFonts w:ascii="宋体" w:hAnsi="宋体" w:eastAsia="宋体" w:cs="宋体"/>
          <w:spacing w:val="-90"/>
          <w:sz w:val="22"/>
          <w:szCs w:val="22"/>
          <w:highlight w:val="none"/>
        </w:rPr>
        <w:t xml:space="preserve"> </w:t>
      </w:r>
      <w:r>
        <w:rPr>
          <w:rFonts w:ascii="Times New Roman" w:hAnsi="Times New Roman" w:eastAsia="Times New Roman" w:cs="Times New Roman"/>
          <w:spacing w:val="-10"/>
          <w:position w:val="-2"/>
          <w:sz w:val="22"/>
          <w:szCs w:val="22"/>
          <w:highlight w:val="none"/>
        </w:rPr>
        <w:t>o</w:t>
      </w:r>
    </w:p>
    <w:p w14:paraId="739A8AAD">
      <w:pPr>
        <w:spacing w:before="230" w:line="219" w:lineRule="auto"/>
        <w:ind w:left="440"/>
        <w:rPr>
          <w:rFonts w:ascii="宋体" w:hAnsi="宋体" w:eastAsia="宋体" w:cs="宋体"/>
          <w:sz w:val="21"/>
          <w:szCs w:val="21"/>
          <w:highlight w:val="none"/>
        </w:rPr>
      </w:pPr>
      <w:r>
        <w:rPr>
          <w:rFonts w:ascii="宋体" w:hAnsi="宋体" w:eastAsia="宋体" w:cs="宋体"/>
          <w:spacing w:val="-2"/>
          <w:sz w:val="21"/>
          <w:szCs w:val="21"/>
          <w:highlight w:val="none"/>
        </w:rPr>
        <w:t>14.4.2 付款计划表的编制与审批</w:t>
      </w:r>
    </w:p>
    <w:p w14:paraId="7E234E30">
      <w:pPr>
        <w:spacing w:before="233" w:line="175" w:lineRule="auto"/>
        <w:ind w:left="440"/>
        <w:rPr>
          <w:rFonts w:ascii="Times New Roman" w:hAnsi="Times New Roman" w:eastAsia="Times New Roman" w:cs="Times New Roman"/>
          <w:sz w:val="22"/>
          <w:szCs w:val="22"/>
          <w:highlight w:val="none"/>
        </w:rPr>
      </w:pPr>
      <w:r>
        <w:rPr>
          <w:rFonts w:ascii="宋体" w:hAnsi="宋体" w:eastAsia="宋体" w:cs="宋体"/>
          <w:spacing w:val="-11"/>
          <w:sz w:val="21"/>
          <w:szCs w:val="21"/>
          <w:highlight w:val="none"/>
        </w:rPr>
        <w:t>付款计划表的编制：_</w:t>
      </w:r>
      <w:r>
        <w:rPr>
          <w:rFonts w:ascii="宋体" w:hAnsi="宋体" w:eastAsia="宋体" w:cs="宋体"/>
          <w:spacing w:val="-92"/>
          <w:sz w:val="21"/>
          <w:szCs w:val="21"/>
          <w:highlight w:val="none"/>
        </w:rPr>
        <w:t xml:space="preserve"> </w:t>
      </w:r>
      <w:r>
        <w:rPr>
          <w:rFonts w:ascii="宋体" w:hAnsi="宋体" w:eastAsia="宋体" w:cs="宋体"/>
          <w:spacing w:val="-11"/>
          <w:sz w:val="21"/>
          <w:szCs w:val="21"/>
          <w:highlight w:val="none"/>
          <w:u w:val="single" w:color="auto"/>
        </w:rPr>
        <w:t xml:space="preserve">                                   </w:t>
      </w:r>
      <w:r>
        <w:rPr>
          <w:rFonts w:ascii="Times New Roman" w:hAnsi="Times New Roman" w:eastAsia="Times New Roman" w:cs="Times New Roman"/>
          <w:spacing w:val="-11"/>
          <w:position w:val="5"/>
          <w:sz w:val="22"/>
          <w:szCs w:val="22"/>
          <w:highlight w:val="none"/>
        </w:rPr>
        <w:t>_o</w:t>
      </w:r>
    </w:p>
    <w:p w14:paraId="1F296694">
      <w:pPr>
        <w:spacing w:line="175" w:lineRule="auto"/>
        <w:rPr>
          <w:rFonts w:ascii="Times New Roman" w:hAnsi="Times New Roman" w:eastAsia="Times New Roman" w:cs="Times New Roman"/>
          <w:sz w:val="22"/>
          <w:szCs w:val="22"/>
          <w:highlight w:val="none"/>
        </w:rPr>
        <w:sectPr>
          <w:footerReference r:id="rId158" w:type="default"/>
          <w:pgSz w:w="11910" w:h="16840"/>
          <w:pgMar w:top="400" w:right="1786" w:bottom="1229" w:left="1779" w:header="0" w:footer="943" w:gutter="0"/>
          <w:cols w:space="720" w:num="1"/>
        </w:sectPr>
      </w:pPr>
    </w:p>
    <w:p w14:paraId="560A6DA6">
      <w:pPr>
        <w:pStyle w:val="2"/>
        <w:spacing w:line="259" w:lineRule="auto"/>
        <w:rPr>
          <w:highlight w:val="none"/>
        </w:rPr>
      </w:pPr>
    </w:p>
    <w:p w14:paraId="1D41D979">
      <w:pPr>
        <w:pStyle w:val="2"/>
        <w:spacing w:line="260" w:lineRule="auto"/>
        <w:rPr>
          <w:highlight w:val="none"/>
        </w:rPr>
      </w:pPr>
    </w:p>
    <w:p w14:paraId="5B656FD7">
      <w:pPr>
        <w:pStyle w:val="2"/>
        <w:spacing w:line="260" w:lineRule="auto"/>
        <w:rPr>
          <w:highlight w:val="none"/>
        </w:rPr>
      </w:pPr>
    </w:p>
    <w:p w14:paraId="0299B1E5">
      <w:pPr>
        <w:pStyle w:val="2"/>
        <w:spacing w:line="260" w:lineRule="auto"/>
        <w:rPr>
          <w:highlight w:val="none"/>
        </w:rPr>
      </w:pPr>
    </w:p>
    <w:p w14:paraId="42D02497">
      <w:pPr>
        <w:pStyle w:val="2"/>
        <w:spacing w:before="72" w:line="300" w:lineRule="exact"/>
        <w:rPr>
          <w:rFonts w:ascii="黑体" w:hAnsi="黑体" w:eastAsia="黑体" w:cs="黑体"/>
          <w:sz w:val="22"/>
          <w:szCs w:val="22"/>
          <w:highlight w:val="none"/>
        </w:rPr>
      </w:pPr>
      <w:r>
        <w:rPr>
          <w:spacing w:val="-7"/>
          <w:position w:val="1"/>
          <w:sz w:val="22"/>
          <w:szCs w:val="22"/>
          <w:highlight w:val="none"/>
        </w:rPr>
        <w:t>14.5</w:t>
      </w:r>
      <w:r>
        <w:rPr>
          <w:spacing w:val="51"/>
          <w:w w:val="101"/>
          <w:position w:val="1"/>
          <w:sz w:val="22"/>
          <w:szCs w:val="22"/>
          <w:highlight w:val="none"/>
        </w:rPr>
        <w:t xml:space="preserve"> </w:t>
      </w:r>
      <w:r>
        <w:rPr>
          <w:rFonts w:ascii="黑体" w:hAnsi="黑体" w:eastAsia="黑体" w:cs="黑体"/>
          <w:spacing w:val="-7"/>
          <w:position w:val="1"/>
          <w:sz w:val="22"/>
          <w:szCs w:val="22"/>
          <w:highlight w:val="none"/>
        </w:rPr>
        <w:t>竣工结算</w:t>
      </w:r>
    </w:p>
    <w:p w14:paraId="442CB112">
      <w:pPr>
        <w:spacing w:before="230" w:line="219" w:lineRule="auto"/>
        <w:ind w:left="420"/>
        <w:rPr>
          <w:rFonts w:ascii="宋体" w:hAnsi="宋体" w:eastAsia="宋体" w:cs="宋体"/>
          <w:sz w:val="20"/>
          <w:szCs w:val="20"/>
          <w:highlight w:val="none"/>
        </w:rPr>
      </w:pPr>
      <w:r>
        <w:rPr>
          <w:rFonts w:ascii="Times New Roman" w:hAnsi="Times New Roman" w:eastAsia="Times New Roman" w:cs="Times New Roman"/>
          <w:spacing w:val="3"/>
          <w:sz w:val="20"/>
          <w:szCs w:val="20"/>
          <w:highlight w:val="none"/>
        </w:rPr>
        <w:t>14.5.1</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3"/>
          <w:sz w:val="20"/>
          <w:szCs w:val="20"/>
          <w:highlight w:val="none"/>
        </w:rPr>
        <w:t>竣工结算申请</w:t>
      </w:r>
    </w:p>
    <w:sdt>
      <w:sdtPr>
        <w:rPr>
          <w:rFonts w:ascii="Arial" w:hAnsi="Arial" w:eastAsia="Arial" w:cs="Arial"/>
          <w:sz w:val="21"/>
          <w:szCs w:val="21"/>
          <w:highlight w:val="none"/>
        </w:rPr>
        <w:id w:val="147455301"/>
        <w:docPartObj>
          <w:docPartGallery w:val="Table of Contents"/>
          <w:docPartUnique/>
        </w:docPartObj>
      </w:sdtPr>
      <w:sdtEndPr>
        <w:rPr>
          <w:rFonts w:ascii="Times New Roman" w:hAnsi="Times New Roman" w:eastAsia="Times New Roman" w:cs="Times New Roman"/>
          <w:sz w:val="20"/>
          <w:szCs w:val="20"/>
          <w:highlight w:val="none"/>
        </w:rPr>
      </w:sdtEndPr>
      <w:sdtContent>
        <w:p w14:paraId="7DB6FFB4">
          <w:pPr>
            <w:spacing w:before="253" w:line="219" w:lineRule="auto"/>
            <w:ind w:left="420"/>
            <w:rPr>
              <w:rFonts w:ascii="宋体" w:hAnsi="宋体" w:eastAsia="宋体" w:cs="宋体"/>
              <w:sz w:val="22"/>
              <w:szCs w:val="22"/>
              <w:highlight w:val="none"/>
            </w:rPr>
          </w:pPr>
          <w:r>
            <w:rPr>
              <w:rFonts w:ascii="宋体" w:hAnsi="宋体" w:eastAsia="宋体" w:cs="宋体"/>
              <w:spacing w:val="-14"/>
              <w:sz w:val="22"/>
              <w:szCs w:val="22"/>
              <w:highlight w:val="none"/>
            </w:rPr>
            <w:t>承包人提交竣工结算申请的时间：</w:t>
          </w:r>
          <w:r>
            <w:rPr>
              <w:rFonts w:ascii="宋体" w:hAnsi="宋体" w:eastAsia="宋体" w:cs="宋体"/>
              <w:spacing w:val="1"/>
              <w:sz w:val="22"/>
              <w:szCs w:val="22"/>
              <w:highlight w:val="none"/>
              <w:u w:val="single" w:color="auto"/>
            </w:rPr>
            <w:t xml:space="preserve">                   </w:t>
          </w:r>
          <w:r>
            <w:rPr>
              <w:rFonts w:ascii="宋体" w:hAnsi="宋体" w:eastAsia="宋体" w:cs="宋体"/>
              <w:spacing w:val="-97"/>
              <w:sz w:val="22"/>
              <w:szCs w:val="22"/>
              <w:highlight w:val="none"/>
            </w:rPr>
            <w:t xml:space="preserve"> </w:t>
          </w:r>
          <w:r>
            <w:rPr>
              <w:rFonts w:ascii="宋体" w:hAnsi="宋体" w:eastAsia="宋体" w:cs="宋体"/>
              <w:spacing w:val="-14"/>
              <w:sz w:val="22"/>
              <w:szCs w:val="22"/>
              <w:highlight w:val="none"/>
            </w:rPr>
            <w:t>-</w:t>
          </w:r>
          <w:r>
            <w:rPr>
              <w:highlight w:val="none"/>
            </w:rPr>
            <w:fldChar w:fldCharType="begin"/>
          </w:r>
          <w:r>
            <w:rPr>
              <w:highlight w:val="none"/>
            </w:rPr>
            <w:instrText xml:space="preserve"> HYPERLINK \l "bookmark254" </w:instrText>
          </w:r>
          <w:r>
            <w:rPr>
              <w:highlight w:val="none"/>
            </w:rPr>
            <w:fldChar w:fldCharType="separate"/>
          </w:r>
          <w:r>
            <w:rPr>
              <w:rFonts w:ascii="宋体" w:hAnsi="宋体" w:eastAsia="宋体" w:cs="宋体"/>
              <w:spacing w:val="-14"/>
              <w:sz w:val="22"/>
              <w:szCs w:val="22"/>
              <w:highlight w:val="none"/>
            </w:rPr>
            <w:t>0</w:t>
          </w:r>
          <w:r>
            <w:rPr>
              <w:rFonts w:ascii="宋体" w:hAnsi="宋体" w:eastAsia="宋体" w:cs="宋体"/>
              <w:spacing w:val="-14"/>
              <w:sz w:val="22"/>
              <w:szCs w:val="22"/>
              <w:highlight w:val="none"/>
            </w:rPr>
            <w:fldChar w:fldCharType="end"/>
          </w:r>
        </w:p>
        <w:p w14:paraId="6675749A">
          <w:pPr>
            <w:spacing w:before="195" w:line="212" w:lineRule="auto"/>
            <w:ind w:left="420"/>
            <w:rPr>
              <w:rFonts w:ascii="Times New Roman" w:hAnsi="Times New Roman" w:eastAsia="Times New Roman" w:cs="Times New Roman"/>
              <w:sz w:val="20"/>
              <w:szCs w:val="20"/>
              <w:highlight w:val="none"/>
            </w:rPr>
          </w:pPr>
          <w:r>
            <w:rPr>
              <w:rFonts w:ascii="宋体" w:hAnsi="宋体" w:eastAsia="宋体" w:cs="宋体"/>
              <w:spacing w:val="-4"/>
              <w:sz w:val="20"/>
              <w:szCs w:val="20"/>
              <w:highlight w:val="none"/>
            </w:rPr>
            <w:t>竣工结算申请的资料清单和份数：</w:t>
          </w:r>
          <w:r>
            <w:rPr>
              <w:rFonts w:ascii="宋体" w:hAnsi="宋体" w:eastAsia="宋体" w:cs="宋体"/>
              <w:spacing w:val="44"/>
              <w:sz w:val="20"/>
              <w:szCs w:val="20"/>
              <w:highlight w:val="none"/>
            </w:rPr>
            <w:t xml:space="preserve"> </w:t>
          </w:r>
          <w:r>
            <w:rPr>
              <w:rFonts w:ascii="宋体" w:hAnsi="宋体" w:eastAsia="宋体" w:cs="宋体"/>
              <w:sz w:val="20"/>
              <w:szCs w:val="20"/>
              <w:highlight w:val="none"/>
              <w:u w:val="single" w:color="auto"/>
            </w:rPr>
            <w:t xml:space="preserve">                     </w:t>
          </w:r>
          <w:r>
            <w:rPr>
              <w:rFonts w:ascii="宋体" w:hAnsi="宋体" w:eastAsia="宋体" w:cs="宋体"/>
              <w:spacing w:val="-80"/>
              <w:sz w:val="20"/>
              <w:szCs w:val="20"/>
              <w:highlight w:val="none"/>
            </w:rPr>
            <w:t xml:space="preserve"> </w:t>
          </w:r>
          <w:r>
            <w:rPr>
              <w:rFonts w:ascii="Times New Roman" w:hAnsi="Times New Roman" w:eastAsia="Times New Roman" w:cs="Times New Roman"/>
              <w:spacing w:val="-4"/>
              <w:sz w:val="20"/>
              <w:szCs w:val="20"/>
              <w:highlight w:val="none"/>
            </w:rPr>
            <w:t>_o</w:t>
          </w:r>
        </w:p>
        <w:p w14:paraId="3D1BCFA0">
          <w:pPr>
            <w:spacing w:before="230" w:line="212" w:lineRule="auto"/>
            <w:ind w:left="420"/>
            <w:rPr>
              <w:rFonts w:ascii="Times New Roman" w:hAnsi="Times New Roman" w:eastAsia="Times New Roman" w:cs="Times New Roman"/>
              <w:sz w:val="20"/>
              <w:szCs w:val="20"/>
              <w:highlight w:val="none"/>
            </w:rPr>
          </w:pPr>
          <w:r>
            <w:rPr>
              <w:rFonts w:ascii="宋体" w:hAnsi="宋体" w:eastAsia="宋体" w:cs="宋体"/>
              <w:spacing w:val="-6"/>
              <w:sz w:val="20"/>
              <w:szCs w:val="20"/>
              <w:highlight w:val="none"/>
            </w:rPr>
            <w:t>竣工结算申请单的内容应包括：</w:t>
          </w:r>
          <w:r>
            <w:rPr>
              <w:rFonts w:ascii="宋体" w:hAnsi="宋体" w:eastAsia="宋体" w:cs="宋体"/>
              <w:spacing w:val="52"/>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83"/>
              <w:sz w:val="20"/>
              <w:szCs w:val="20"/>
              <w:highlight w:val="none"/>
            </w:rPr>
            <w:t xml:space="preserve"> </w:t>
          </w:r>
          <w:r>
            <w:rPr>
              <w:rFonts w:ascii="Times New Roman" w:hAnsi="Times New Roman" w:eastAsia="Times New Roman" w:cs="Times New Roman"/>
              <w:spacing w:val="-6"/>
              <w:sz w:val="20"/>
              <w:szCs w:val="20"/>
              <w:highlight w:val="none"/>
            </w:rPr>
            <w:t>_o</w:t>
          </w:r>
        </w:p>
      </w:sdtContent>
    </w:sdt>
    <w:p w14:paraId="525F20DA">
      <w:pPr>
        <w:spacing w:before="254"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14.5.2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7"/>
          <w:sz w:val="22"/>
          <w:szCs w:val="22"/>
          <w:highlight w:val="none"/>
        </w:rPr>
        <w:t>竣工结算审核</w:t>
      </w:r>
    </w:p>
    <w:p w14:paraId="1A68AE3B">
      <w:pPr>
        <w:spacing w:before="238" w:line="219" w:lineRule="auto"/>
        <w:ind w:left="420"/>
        <w:rPr>
          <w:rFonts w:ascii="宋体" w:hAnsi="宋体" w:eastAsia="宋体" w:cs="宋体"/>
          <w:sz w:val="20"/>
          <w:szCs w:val="20"/>
          <w:highlight w:val="none"/>
        </w:rPr>
      </w:pPr>
      <w:r>
        <w:rPr>
          <w:rFonts w:ascii="宋体" w:hAnsi="宋体" w:eastAsia="宋体" w:cs="宋体"/>
          <w:sz w:val="20"/>
          <w:szCs w:val="20"/>
          <w:highlight w:val="none"/>
        </w:rPr>
        <w:t>发包人审批竣工付款申请单的期限：</w:t>
      </w:r>
      <w:r>
        <w:rPr>
          <w:rFonts w:ascii="宋体" w:hAnsi="宋体" w:eastAsia="宋体" w:cs="宋体"/>
          <w:spacing w:val="39"/>
          <w:sz w:val="20"/>
          <w:szCs w:val="20"/>
          <w:highlight w:val="none"/>
        </w:rPr>
        <w:t xml:space="preserve"> </w:t>
      </w:r>
      <w:r>
        <w:rPr>
          <w:rFonts w:ascii="宋体" w:hAnsi="宋体" w:eastAsia="宋体" w:cs="宋体"/>
          <w:sz w:val="20"/>
          <w:szCs w:val="20"/>
          <w:highlight w:val="none"/>
          <w:u w:val="single" w:color="auto"/>
        </w:rPr>
        <w:t xml:space="preserve">                    </w:t>
      </w:r>
    </w:p>
    <w:p w14:paraId="16C63EAA">
      <w:pPr>
        <w:spacing w:before="263" w:line="219" w:lineRule="auto"/>
        <w:ind w:left="420"/>
        <w:rPr>
          <w:rFonts w:ascii="宋体" w:hAnsi="宋体" w:eastAsia="宋体" w:cs="宋体"/>
          <w:sz w:val="20"/>
          <w:szCs w:val="20"/>
          <w:highlight w:val="none"/>
        </w:rPr>
      </w:pPr>
      <w:r>
        <w:rPr>
          <w:rFonts w:ascii="宋体" w:hAnsi="宋体" w:eastAsia="宋体" w:cs="宋体"/>
          <w:spacing w:val="-1"/>
          <w:sz w:val="20"/>
          <w:szCs w:val="20"/>
          <w:highlight w:val="none"/>
        </w:rPr>
        <w:t>发包人完成竣工付款的期限：</w:t>
      </w:r>
      <w:r>
        <w:rPr>
          <w:rFonts w:ascii="宋体" w:hAnsi="宋体" w:eastAsia="宋体" w:cs="宋体"/>
          <w:spacing w:val="42"/>
          <w:sz w:val="20"/>
          <w:szCs w:val="20"/>
          <w:highlight w:val="none"/>
        </w:rPr>
        <w:t xml:space="preserve"> </w:t>
      </w:r>
      <w:r>
        <w:rPr>
          <w:rFonts w:ascii="宋体" w:hAnsi="宋体" w:eastAsia="宋体" w:cs="宋体"/>
          <w:sz w:val="20"/>
          <w:szCs w:val="20"/>
          <w:highlight w:val="none"/>
          <w:u w:val="single" w:color="auto"/>
        </w:rPr>
        <w:t xml:space="preserve">                          </w:t>
      </w:r>
    </w:p>
    <w:p w14:paraId="54049A29">
      <w:pPr>
        <w:spacing w:before="232" w:line="219" w:lineRule="auto"/>
        <w:ind w:left="420"/>
        <w:rPr>
          <w:rFonts w:ascii="Times New Roman" w:hAnsi="Times New Roman" w:eastAsia="Times New Roman" w:cs="Times New Roman"/>
          <w:sz w:val="11"/>
          <w:szCs w:val="11"/>
          <w:highlight w:val="none"/>
        </w:rPr>
      </w:pPr>
      <w:r>
        <w:rPr>
          <w:rFonts w:ascii="宋体" w:hAnsi="宋体" w:eastAsia="宋体" w:cs="宋体"/>
          <w:spacing w:val="-7"/>
          <w:sz w:val="22"/>
          <w:szCs w:val="22"/>
          <w:highlight w:val="none"/>
        </w:rPr>
        <w:t>关于竣工付款证书异议部分复核的方式和程序：</w:t>
      </w:r>
      <w:r>
        <w:rPr>
          <w:rFonts w:ascii="宋体" w:hAnsi="宋体" w:eastAsia="宋体" w:cs="宋体"/>
          <w:spacing w:val="-7"/>
          <w:sz w:val="22"/>
          <w:szCs w:val="22"/>
          <w:highlight w:val="none"/>
          <w:u w:val="single" w:color="auto"/>
        </w:rPr>
        <w:t xml:space="preserve">                                </w:t>
      </w:r>
      <w:r>
        <w:rPr>
          <w:rFonts w:ascii="宋体" w:hAnsi="宋体" w:eastAsia="宋体" w:cs="宋体"/>
          <w:spacing w:val="-84"/>
          <w:sz w:val="22"/>
          <w:szCs w:val="22"/>
          <w:highlight w:val="none"/>
        </w:rPr>
        <w:t xml:space="preserve"> </w:t>
      </w:r>
      <w:r>
        <w:rPr>
          <w:rFonts w:ascii="Times New Roman" w:hAnsi="Times New Roman" w:eastAsia="Times New Roman" w:cs="Times New Roman"/>
          <w:spacing w:val="-7"/>
          <w:position w:val="2"/>
          <w:sz w:val="11"/>
          <w:szCs w:val="11"/>
          <w:highlight w:val="none"/>
        </w:rPr>
        <w:t>o</w:t>
      </w:r>
    </w:p>
    <w:p w14:paraId="300FDF59">
      <w:pPr>
        <w:pStyle w:val="2"/>
        <w:spacing w:line="287" w:lineRule="auto"/>
        <w:rPr>
          <w:highlight w:val="none"/>
        </w:rPr>
      </w:pPr>
    </w:p>
    <w:p w14:paraId="7631A399">
      <w:pPr>
        <w:spacing w:before="72" w:line="222" w:lineRule="auto"/>
        <w:rPr>
          <w:rFonts w:ascii="黑体" w:hAnsi="黑体" w:eastAsia="黑体" w:cs="黑体"/>
          <w:sz w:val="22"/>
          <w:szCs w:val="22"/>
          <w:highlight w:val="none"/>
        </w:rPr>
      </w:pPr>
      <w:r>
        <w:rPr>
          <w:rFonts w:ascii="黑体" w:hAnsi="黑体" w:eastAsia="黑体" w:cs="黑体"/>
          <w:spacing w:val="2"/>
          <w:sz w:val="22"/>
          <w:szCs w:val="22"/>
          <w:highlight w:val="none"/>
        </w:rPr>
        <w:t>14.6质量保证金</w:t>
      </w:r>
    </w:p>
    <w:p w14:paraId="6EA35382">
      <w:pPr>
        <w:spacing w:before="204" w:line="219" w:lineRule="auto"/>
        <w:ind w:left="420"/>
        <w:rPr>
          <w:rFonts w:ascii="宋体" w:hAnsi="宋体" w:eastAsia="宋体" w:cs="宋体"/>
          <w:sz w:val="22"/>
          <w:szCs w:val="22"/>
          <w:highlight w:val="none"/>
        </w:rPr>
      </w:pPr>
      <w:r>
        <w:rPr>
          <w:rFonts w:ascii="宋体" w:hAnsi="宋体" w:eastAsia="宋体" w:cs="宋体"/>
          <w:spacing w:val="-3"/>
          <w:sz w:val="22"/>
          <w:szCs w:val="22"/>
          <w:highlight w:val="none"/>
        </w:rPr>
        <w:t>14.6.1承包人提供质量保证金的方式</w:t>
      </w:r>
    </w:p>
    <w:p w14:paraId="0D155B7C">
      <w:pPr>
        <w:spacing w:before="209" w:line="219" w:lineRule="auto"/>
        <w:ind w:left="420"/>
        <w:rPr>
          <w:rFonts w:ascii="宋体" w:hAnsi="宋体" w:eastAsia="宋体" w:cs="宋体"/>
          <w:sz w:val="22"/>
          <w:szCs w:val="22"/>
          <w:highlight w:val="none"/>
        </w:rPr>
      </w:pPr>
      <w:r>
        <w:rPr>
          <w:rFonts w:ascii="宋体" w:hAnsi="宋体" w:eastAsia="宋体" w:cs="宋体"/>
          <w:spacing w:val="-13"/>
          <w:sz w:val="22"/>
          <w:szCs w:val="22"/>
          <w:highlight w:val="none"/>
        </w:rPr>
        <w:t>质量保证金采用以下第</w:t>
      </w:r>
      <w:r>
        <w:rPr>
          <w:rFonts w:ascii="宋体" w:hAnsi="宋体" w:eastAsia="宋体" w:cs="宋体"/>
          <w:spacing w:val="-90"/>
          <w:sz w:val="22"/>
          <w:szCs w:val="22"/>
          <w:highlight w:val="none"/>
        </w:rPr>
        <w:t xml:space="preserve"> </w:t>
      </w:r>
      <w:r>
        <w:rPr>
          <w:rFonts w:ascii="宋体" w:hAnsi="宋体" w:eastAsia="宋体" w:cs="宋体"/>
          <w:spacing w:val="11"/>
          <w:sz w:val="22"/>
          <w:szCs w:val="22"/>
          <w:highlight w:val="none"/>
          <w:u w:val="single" w:color="auto"/>
        </w:rPr>
        <w:t xml:space="preserve">       </w:t>
      </w:r>
      <w:r>
        <w:rPr>
          <w:rFonts w:ascii="宋体" w:hAnsi="宋体" w:eastAsia="宋体" w:cs="宋体"/>
          <w:spacing w:val="-97"/>
          <w:sz w:val="22"/>
          <w:szCs w:val="22"/>
          <w:highlight w:val="none"/>
        </w:rPr>
        <w:t xml:space="preserve"> </w:t>
      </w:r>
      <w:r>
        <w:rPr>
          <w:rFonts w:ascii="宋体" w:hAnsi="宋体" w:eastAsia="宋体" w:cs="宋体"/>
          <w:spacing w:val="-13"/>
          <w:sz w:val="22"/>
          <w:szCs w:val="22"/>
          <w:highlight w:val="none"/>
        </w:rPr>
        <w:t>种方式：</w:t>
      </w:r>
    </w:p>
    <w:p w14:paraId="515CCAF4">
      <w:pPr>
        <w:spacing w:before="239" w:line="219" w:lineRule="auto"/>
        <w:ind w:left="420"/>
        <w:rPr>
          <w:rFonts w:ascii="宋体" w:hAnsi="宋体" w:eastAsia="宋体" w:cs="宋体"/>
          <w:sz w:val="11"/>
          <w:szCs w:val="11"/>
          <w:highlight w:val="none"/>
        </w:rPr>
      </w:pPr>
      <w:r>
        <w:rPr>
          <w:rFonts w:ascii="宋体" w:hAnsi="宋体" w:eastAsia="宋体" w:cs="宋体"/>
          <w:spacing w:val="4"/>
          <w:sz w:val="20"/>
          <w:szCs w:val="20"/>
          <w:highlight w:val="none"/>
        </w:rPr>
        <w:t>(1)工程质量保证担保，保证金额为：</w:t>
      </w:r>
      <w:r>
        <w:rPr>
          <w:rFonts w:ascii="宋体" w:hAnsi="宋体" w:eastAsia="宋体" w:cs="宋体"/>
          <w:spacing w:val="53"/>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51"/>
          <w:sz w:val="20"/>
          <w:szCs w:val="20"/>
          <w:highlight w:val="none"/>
        </w:rPr>
        <w:t xml:space="preserve"> </w:t>
      </w:r>
      <w:r>
        <w:rPr>
          <w:rFonts w:ascii="宋体" w:hAnsi="宋体" w:eastAsia="宋体" w:cs="宋体"/>
          <w:spacing w:val="4"/>
          <w:sz w:val="11"/>
          <w:szCs w:val="11"/>
          <w:highlight w:val="none"/>
        </w:rPr>
        <w:t>;</w:t>
      </w:r>
    </w:p>
    <w:p w14:paraId="38F6794B">
      <w:pPr>
        <w:spacing w:before="244" w:line="220" w:lineRule="auto"/>
        <w:ind w:left="420"/>
        <w:rPr>
          <w:rFonts w:ascii="宋体" w:hAnsi="宋体" w:eastAsia="宋体" w:cs="宋体"/>
          <w:sz w:val="22"/>
          <w:szCs w:val="22"/>
          <w:highlight w:val="none"/>
        </w:rPr>
      </w:pPr>
      <w:r>
        <w:rPr>
          <w:rFonts w:ascii="宋体" w:hAnsi="宋体" w:eastAsia="宋体" w:cs="宋体"/>
          <w:spacing w:val="-15"/>
          <w:sz w:val="22"/>
          <w:szCs w:val="22"/>
          <w:highlight w:val="none"/>
        </w:rPr>
        <w:t>(2)</w:t>
      </w:r>
      <w:r>
        <w:rPr>
          <w:rFonts w:ascii="宋体" w:hAnsi="宋体" w:eastAsia="宋体" w:cs="宋体"/>
          <w:spacing w:val="42"/>
          <w:sz w:val="22"/>
          <w:szCs w:val="22"/>
          <w:highlight w:val="none"/>
        </w:rPr>
        <w:t xml:space="preserve"> </w:t>
      </w:r>
      <w:r>
        <w:rPr>
          <w:rFonts w:ascii="宋体" w:hAnsi="宋体" w:eastAsia="宋体" w:cs="宋体"/>
          <w:spacing w:val="13"/>
          <w:sz w:val="22"/>
          <w:szCs w:val="22"/>
          <w:highlight w:val="none"/>
          <w:u w:val="single" w:color="auto"/>
        </w:rPr>
        <w:t xml:space="preserve">      </w:t>
      </w:r>
      <w:r>
        <w:rPr>
          <w:rFonts w:ascii="宋体" w:hAnsi="宋体" w:eastAsia="宋体" w:cs="宋体"/>
          <w:spacing w:val="-15"/>
          <w:sz w:val="22"/>
          <w:szCs w:val="22"/>
          <w:highlight w:val="none"/>
        </w:rPr>
        <w:t>%的工程款；</w:t>
      </w:r>
    </w:p>
    <w:p w14:paraId="21007DD4">
      <w:pPr>
        <w:spacing w:before="162" w:line="212" w:lineRule="auto"/>
        <w:ind w:left="420"/>
        <w:rPr>
          <w:rFonts w:ascii="Times New Roman" w:hAnsi="Times New Roman" w:eastAsia="Times New Roman" w:cs="Times New Roman"/>
          <w:sz w:val="22"/>
          <w:szCs w:val="22"/>
          <w:highlight w:val="none"/>
        </w:rPr>
      </w:pPr>
      <w:r>
        <w:rPr>
          <w:rFonts w:ascii="宋体" w:hAnsi="宋体" w:eastAsia="宋体" w:cs="宋体"/>
          <w:spacing w:val="-8"/>
          <w:sz w:val="22"/>
          <w:szCs w:val="22"/>
          <w:highlight w:val="none"/>
        </w:rPr>
        <w:t>(3)其他方式：</w:t>
      </w:r>
      <w:r>
        <w:rPr>
          <w:rFonts w:ascii="宋体" w:hAnsi="宋体" w:eastAsia="宋体" w:cs="宋体"/>
          <w:spacing w:val="-64"/>
          <w:sz w:val="22"/>
          <w:szCs w:val="22"/>
          <w:highlight w:val="none"/>
        </w:rPr>
        <w:t xml:space="preserve"> </w:t>
      </w:r>
      <w:r>
        <w:rPr>
          <w:rFonts w:ascii="宋体" w:hAnsi="宋体" w:eastAsia="宋体" w:cs="宋体"/>
          <w:spacing w:val="1"/>
          <w:sz w:val="22"/>
          <w:szCs w:val="22"/>
          <w:highlight w:val="none"/>
          <w:u w:val="single" w:color="auto"/>
        </w:rPr>
        <w:t xml:space="preserve">                                  </w:t>
      </w:r>
      <w:r>
        <w:rPr>
          <w:rFonts w:ascii="宋体" w:hAnsi="宋体" w:eastAsia="宋体" w:cs="宋体"/>
          <w:spacing w:val="-94"/>
          <w:sz w:val="22"/>
          <w:szCs w:val="22"/>
          <w:highlight w:val="none"/>
        </w:rPr>
        <w:t xml:space="preserve"> </w:t>
      </w:r>
      <w:r>
        <w:rPr>
          <w:rFonts w:ascii="Times New Roman" w:hAnsi="Times New Roman" w:eastAsia="Times New Roman" w:cs="Times New Roman"/>
          <w:spacing w:val="-8"/>
          <w:sz w:val="22"/>
          <w:szCs w:val="22"/>
          <w:highlight w:val="none"/>
        </w:rPr>
        <w:t>_o</w:t>
      </w:r>
    </w:p>
    <w:p w14:paraId="1A0B9F9C">
      <w:pPr>
        <w:spacing w:before="254" w:line="220"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14.6.2</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6"/>
          <w:sz w:val="22"/>
          <w:szCs w:val="22"/>
          <w:highlight w:val="none"/>
        </w:rPr>
        <w:t>质量保证金的预留</w:t>
      </w:r>
    </w:p>
    <w:p w14:paraId="3C203601">
      <w:pPr>
        <w:spacing w:before="245" w:line="219" w:lineRule="auto"/>
        <w:ind w:left="420"/>
        <w:rPr>
          <w:rFonts w:ascii="宋体" w:hAnsi="宋体" w:eastAsia="宋体" w:cs="宋体"/>
          <w:sz w:val="22"/>
          <w:szCs w:val="22"/>
          <w:highlight w:val="none"/>
        </w:rPr>
      </w:pPr>
      <w:r>
        <w:rPr>
          <w:rFonts w:ascii="宋体" w:hAnsi="宋体" w:eastAsia="宋体" w:cs="宋体"/>
          <w:spacing w:val="-19"/>
          <w:sz w:val="22"/>
          <w:szCs w:val="22"/>
          <w:highlight w:val="none"/>
        </w:rPr>
        <w:t>质量保证金的预留采取以下第</w:t>
      </w:r>
      <w:r>
        <w:rPr>
          <w:rFonts w:ascii="宋体" w:hAnsi="宋体" w:eastAsia="宋体" w:cs="宋体"/>
          <w:spacing w:val="-96"/>
          <w:sz w:val="22"/>
          <w:szCs w:val="22"/>
          <w:highlight w:val="none"/>
        </w:rPr>
        <w:t xml:space="preserve"> </w:t>
      </w:r>
      <w:r>
        <w:rPr>
          <w:rFonts w:ascii="宋体" w:hAnsi="宋体" w:eastAsia="宋体" w:cs="宋体"/>
          <w:spacing w:val="15"/>
          <w:sz w:val="22"/>
          <w:szCs w:val="22"/>
          <w:highlight w:val="none"/>
          <w:u w:val="single" w:color="auto"/>
        </w:rPr>
        <w:t xml:space="preserve">      </w:t>
      </w:r>
      <w:r>
        <w:rPr>
          <w:rFonts w:ascii="宋体" w:hAnsi="宋体" w:eastAsia="宋体" w:cs="宋体"/>
          <w:spacing w:val="-100"/>
          <w:sz w:val="22"/>
          <w:szCs w:val="22"/>
          <w:highlight w:val="none"/>
        </w:rPr>
        <w:t xml:space="preserve"> </w:t>
      </w:r>
      <w:r>
        <w:rPr>
          <w:rFonts w:ascii="宋体" w:hAnsi="宋体" w:eastAsia="宋体" w:cs="宋体"/>
          <w:spacing w:val="-19"/>
          <w:sz w:val="22"/>
          <w:szCs w:val="22"/>
          <w:highlight w:val="none"/>
        </w:rPr>
        <w:t>种方式：</w:t>
      </w:r>
    </w:p>
    <w:p w14:paraId="426C3C6D">
      <w:pPr>
        <w:spacing w:before="206" w:line="415" w:lineRule="auto"/>
        <w:ind w:firstLine="420"/>
        <w:rPr>
          <w:rFonts w:ascii="宋体" w:hAnsi="宋体" w:eastAsia="宋体" w:cs="宋体"/>
          <w:sz w:val="21"/>
          <w:szCs w:val="21"/>
          <w:highlight w:val="none"/>
        </w:rPr>
      </w:pPr>
      <w:r>
        <w:rPr>
          <w:rFonts w:ascii="宋体" w:hAnsi="宋体" w:eastAsia="宋体" w:cs="宋体"/>
          <w:spacing w:val="1"/>
          <w:sz w:val="21"/>
          <w:szCs w:val="21"/>
          <w:highlight w:val="none"/>
        </w:rPr>
        <w:t>(1)在支付工程进度款时逐次预留的质量保证金的比例：</w:t>
      </w:r>
      <w:r>
        <w:rPr>
          <w:rFonts w:ascii="宋体" w:hAnsi="宋体" w:eastAsia="宋体" w:cs="宋体"/>
          <w:spacing w:val="-3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36"/>
          <w:sz w:val="21"/>
          <w:szCs w:val="21"/>
          <w:highlight w:val="none"/>
        </w:rPr>
        <w:t xml:space="preserve"> </w:t>
      </w:r>
      <w:r>
        <w:rPr>
          <w:rFonts w:ascii="宋体" w:hAnsi="宋体" w:eastAsia="宋体" w:cs="宋体"/>
          <w:spacing w:val="1"/>
          <w:sz w:val="21"/>
          <w:szCs w:val="21"/>
          <w:highlight w:val="none"/>
        </w:rPr>
        <w:t>,在此情形下，</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质量保证金的计算基数不包括预付款的支付、扣回以及价格调整的金额：</w:t>
      </w:r>
    </w:p>
    <w:p w14:paraId="6B85DF62">
      <w:pPr>
        <w:spacing w:before="3" w:line="377" w:lineRule="auto"/>
        <w:ind w:right="105" w:firstLine="420"/>
        <w:rPr>
          <w:rFonts w:ascii="宋体" w:hAnsi="宋体" w:eastAsia="宋体" w:cs="宋体"/>
          <w:sz w:val="22"/>
          <w:szCs w:val="22"/>
          <w:highlight w:val="none"/>
        </w:rPr>
      </w:pPr>
      <w:r>
        <w:rPr>
          <w:rFonts w:ascii="宋体" w:hAnsi="宋体" w:eastAsia="宋体" w:cs="宋体"/>
          <w:spacing w:val="-4"/>
          <w:sz w:val="22"/>
          <w:szCs w:val="22"/>
          <w:highlight w:val="none"/>
        </w:rPr>
        <w:t>(2)工程竣工结算时一次性预留专用合同条件第1</w:t>
      </w:r>
      <w:r>
        <w:rPr>
          <w:rFonts w:ascii="宋体" w:hAnsi="宋体" w:eastAsia="宋体" w:cs="宋体"/>
          <w:spacing w:val="-5"/>
          <w:sz w:val="22"/>
          <w:szCs w:val="22"/>
          <w:highlight w:val="none"/>
        </w:rPr>
        <w:t>4.6.1 项第(2)目约定的工程款预留</w:t>
      </w:r>
      <w:r>
        <w:rPr>
          <w:rFonts w:ascii="宋体" w:hAnsi="宋体" w:eastAsia="宋体" w:cs="宋体"/>
          <w:sz w:val="22"/>
          <w:szCs w:val="22"/>
          <w:highlight w:val="none"/>
        </w:rPr>
        <w:t xml:space="preserve"> </w:t>
      </w:r>
      <w:r>
        <w:rPr>
          <w:rFonts w:ascii="宋体" w:hAnsi="宋体" w:eastAsia="宋体" w:cs="宋体"/>
          <w:spacing w:val="-15"/>
          <w:sz w:val="22"/>
          <w:szCs w:val="22"/>
          <w:highlight w:val="none"/>
        </w:rPr>
        <w:t>比例的质量保证金；</w:t>
      </w:r>
    </w:p>
    <w:p w14:paraId="5239D6D6">
      <w:pPr>
        <w:spacing w:line="220"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(3)其他预留方式：</w:t>
      </w:r>
      <w:r>
        <w:rPr>
          <w:rFonts w:ascii="宋体" w:hAnsi="宋体" w:eastAsia="宋体" w:cs="宋体"/>
          <w:spacing w:val="2"/>
          <w:sz w:val="22"/>
          <w:szCs w:val="22"/>
          <w:highlight w:val="none"/>
          <w:u w:val="single" w:color="auto"/>
        </w:rPr>
        <w:t xml:space="preserve">                           </w:t>
      </w:r>
      <w:r>
        <w:rPr>
          <w:rFonts w:ascii="宋体" w:hAnsi="宋体" w:eastAsia="宋体" w:cs="宋体"/>
          <w:spacing w:val="1"/>
          <w:sz w:val="22"/>
          <w:szCs w:val="22"/>
          <w:highlight w:val="none"/>
          <w:u w:val="single" w:color="auto"/>
        </w:rPr>
        <w:t xml:space="preserve">   </w:t>
      </w:r>
      <w:r>
        <w:rPr>
          <w:rFonts w:ascii="宋体" w:hAnsi="宋体" w:eastAsia="宋体" w:cs="宋体"/>
          <w:spacing w:val="-100"/>
          <w:sz w:val="22"/>
          <w:szCs w:val="22"/>
          <w:highlight w:val="none"/>
        </w:rPr>
        <w:t xml:space="preserve"> </w:t>
      </w:r>
      <w:r>
        <w:rPr>
          <w:rFonts w:ascii="宋体" w:hAnsi="宋体" w:eastAsia="宋体" w:cs="宋体"/>
          <w:spacing w:val="1"/>
          <w:sz w:val="22"/>
          <w:szCs w:val="22"/>
          <w:highlight w:val="none"/>
        </w:rPr>
        <w:t>□</w:t>
      </w:r>
    </w:p>
    <w:p w14:paraId="696703FD">
      <w:pPr>
        <w:pStyle w:val="2"/>
        <w:spacing w:before="228" w:line="287" w:lineRule="auto"/>
        <w:ind w:left="420"/>
        <w:rPr>
          <w:sz w:val="22"/>
          <w:szCs w:val="22"/>
          <w:highlight w:val="none"/>
        </w:rPr>
      </w:pPr>
      <w:r>
        <w:rPr>
          <w:rFonts w:ascii="宋体" w:hAnsi="宋体" w:eastAsia="宋体" w:cs="宋体"/>
          <w:spacing w:val="-10"/>
          <w:sz w:val="22"/>
          <w:szCs w:val="22"/>
          <w:highlight w:val="none"/>
        </w:rPr>
        <w:t>关于质量保证金的补充约定：</w:t>
      </w:r>
      <w:r>
        <w:rPr>
          <w:rFonts w:ascii="宋体" w:hAnsi="宋体" w:eastAsia="宋体" w:cs="宋体"/>
          <w:spacing w:val="4"/>
          <w:sz w:val="22"/>
          <w:szCs w:val="22"/>
          <w:highlight w:val="none"/>
          <w:u w:val="single" w:color="auto"/>
        </w:rPr>
        <w:t xml:space="preserve">                       </w:t>
      </w:r>
      <w:r>
        <w:rPr>
          <w:rFonts w:ascii="宋体" w:hAnsi="宋体" w:eastAsia="宋体" w:cs="宋体"/>
          <w:spacing w:val="-74"/>
          <w:sz w:val="22"/>
          <w:szCs w:val="22"/>
          <w:highlight w:val="none"/>
        </w:rPr>
        <w:t xml:space="preserve"> </w:t>
      </w:r>
      <w:r>
        <w:rPr>
          <w:spacing w:val="-10"/>
          <w:sz w:val="22"/>
          <w:szCs w:val="22"/>
          <w:highlight w:val="none"/>
        </w:rPr>
        <w:t>0</w:t>
      </w:r>
    </w:p>
    <w:p w14:paraId="15D50DD1">
      <w:pPr>
        <w:pStyle w:val="2"/>
        <w:spacing w:line="312" w:lineRule="auto"/>
        <w:rPr>
          <w:highlight w:val="none"/>
        </w:rPr>
      </w:pPr>
    </w:p>
    <w:p w14:paraId="6FD0B918">
      <w:pPr>
        <w:spacing w:before="62" w:line="223" w:lineRule="auto"/>
        <w:rPr>
          <w:rFonts w:ascii="黑体" w:hAnsi="黑体" w:eastAsia="黑体" w:cs="黑体"/>
          <w:sz w:val="19"/>
          <w:szCs w:val="19"/>
          <w:highlight w:val="none"/>
        </w:rPr>
      </w:pPr>
      <w:r>
        <w:rPr>
          <w:rFonts w:ascii="黑体" w:hAnsi="黑体" w:eastAsia="黑体" w:cs="黑体"/>
          <w:spacing w:val="16"/>
          <w:sz w:val="19"/>
          <w:szCs w:val="19"/>
          <w:highlight w:val="none"/>
        </w:rPr>
        <w:t>14</w:t>
      </w:r>
      <w:r>
        <w:rPr>
          <w:rFonts w:ascii="黑体" w:hAnsi="黑体" w:eastAsia="黑体" w:cs="黑体"/>
          <w:spacing w:val="-45"/>
          <w:sz w:val="19"/>
          <w:szCs w:val="19"/>
          <w:highlight w:val="none"/>
        </w:rPr>
        <w:t xml:space="preserve"> </w:t>
      </w:r>
      <w:r>
        <w:rPr>
          <w:rFonts w:ascii="黑体" w:hAnsi="黑体" w:eastAsia="黑体" w:cs="黑体"/>
          <w:spacing w:val="16"/>
          <w:sz w:val="19"/>
          <w:szCs w:val="19"/>
          <w:highlight w:val="none"/>
        </w:rPr>
        <w:t>.</w:t>
      </w:r>
      <w:r>
        <w:rPr>
          <w:rFonts w:ascii="黑体" w:hAnsi="黑体" w:eastAsia="黑体" w:cs="黑体"/>
          <w:spacing w:val="-53"/>
          <w:sz w:val="19"/>
          <w:szCs w:val="19"/>
          <w:highlight w:val="none"/>
        </w:rPr>
        <w:t xml:space="preserve"> </w:t>
      </w:r>
      <w:r>
        <w:rPr>
          <w:rFonts w:ascii="黑体" w:hAnsi="黑体" w:eastAsia="黑体" w:cs="黑体"/>
          <w:spacing w:val="16"/>
          <w:sz w:val="19"/>
          <w:szCs w:val="19"/>
          <w:highlight w:val="none"/>
        </w:rPr>
        <w:t>7最终结清</w:t>
      </w:r>
    </w:p>
    <w:p w14:paraId="2815ADC2">
      <w:pPr>
        <w:spacing w:before="251" w:line="219" w:lineRule="auto"/>
        <w:ind w:left="420"/>
        <w:rPr>
          <w:rFonts w:ascii="宋体" w:hAnsi="宋体" w:eastAsia="宋体" w:cs="宋体"/>
          <w:sz w:val="20"/>
          <w:szCs w:val="20"/>
          <w:highlight w:val="none"/>
        </w:rPr>
      </w:pPr>
      <w:r>
        <w:rPr>
          <w:rFonts w:ascii="宋体" w:hAnsi="宋体" w:eastAsia="宋体" w:cs="宋体"/>
          <w:spacing w:val="12"/>
          <w:sz w:val="20"/>
          <w:szCs w:val="20"/>
          <w:highlight w:val="none"/>
        </w:rPr>
        <w:t>14.7.</w:t>
      </w:r>
      <w:r>
        <w:rPr>
          <w:rFonts w:ascii="宋体" w:hAnsi="宋体" w:eastAsia="宋体" w:cs="宋体"/>
          <w:spacing w:val="-59"/>
          <w:sz w:val="20"/>
          <w:szCs w:val="20"/>
          <w:highlight w:val="none"/>
        </w:rPr>
        <w:t xml:space="preserve"> </w:t>
      </w:r>
      <w:r>
        <w:rPr>
          <w:rFonts w:ascii="宋体" w:hAnsi="宋体" w:eastAsia="宋体" w:cs="宋体"/>
          <w:spacing w:val="12"/>
          <w:sz w:val="20"/>
          <w:szCs w:val="20"/>
          <w:highlight w:val="none"/>
        </w:rPr>
        <w:t>1最终结清申请单</w:t>
      </w:r>
    </w:p>
    <w:p w14:paraId="7C3EB808">
      <w:pPr>
        <w:spacing w:before="223" w:line="184" w:lineRule="auto"/>
        <w:ind w:left="420"/>
        <w:rPr>
          <w:rFonts w:ascii="宋体" w:hAnsi="宋体" w:eastAsia="宋体" w:cs="宋体"/>
          <w:sz w:val="21"/>
          <w:szCs w:val="21"/>
          <w:highlight w:val="none"/>
        </w:rPr>
      </w:pPr>
      <w:r>
        <w:rPr>
          <w:highlight w:val="none"/>
        </w:rPr>
        <w:pict>
          <v:shape id="_x0000_s1054" o:spid="_x0000_s1054" o:spt="202" type="#_x0000_t202" style="position:absolute;left:0pt;margin-left:283pt;margin-top:18.85pt;height:5.4pt;width:5.55pt;z-index:251693056;mso-width-relative:page;mso-height-relative:page;" filled="f" stroked="f" coordsize="21600,21600">
            <v:path/>
            <v:fill on="f" focussize="0,0"/>
            <v:stroke on="f"/>
            <v:imagedata o:title=""/>
            <o:lock v:ext="edit" aspectratio="f"/>
            <v:textbox inset="0mm,0mm,0mm,0mm">
              <w:txbxContent>
                <w:p w14:paraId="3B5E8C9C">
                  <w:pPr>
                    <w:tabs>
                      <w:tab w:val="left" w:pos="55"/>
                    </w:tabs>
                    <w:spacing w:before="20" w:line="142" w:lineRule="auto"/>
                    <w:ind w:left="20"/>
                    <w:rPr>
                      <w:rFonts w:ascii="Times New Roman" w:hAnsi="Times New Roman" w:eastAsia="Times New Roman" w:cs="Times New Roman"/>
                      <w:sz w:val="7"/>
                      <w:szCs w:val="7"/>
                    </w:rPr>
                  </w:pPr>
                  <w:r>
                    <w:rPr>
                      <w:rFonts w:ascii="Times New Roman" w:hAnsi="Times New Roman" w:eastAsia="Times New Roman" w:cs="Times New Roman"/>
                      <w:sz w:val="7"/>
                      <w:szCs w:val="7"/>
                      <w:u w:val="dotted" w:color="auto"/>
                    </w:rPr>
                    <w:tab/>
                  </w:r>
                  <w:r>
                    <w:rPr>
                      <w:rFonts w:ascii="Times New Roman" w:hAnsi="Times New Roman" w:eastAsia="Times New Roman" w:cs="Times New Roman"/>
                      <w:spacing w:val="-16"/>
                      <w:sz w:val="7"/>
                      <w:szCs w:val="7"/>
                    </w:rPr>
                    <w:t xml:space="preserve"> </w:t>
                  </w:r>
                  <w:r>
                    <w:rPr>
                      <w:rFonts w:ascii="Times New Roman" w:hAnsi="Times New Roman" w:eastAsia="Times New Roman" w:cs="Times New Roman"/>
                      <w:sz w:val="7"/>
                      <w:szCs w:val="7"/>
                    </w:rPr>
                    <w:t>o</w:t>
                  </w:r>
                </w:p>
              </w:txbxContent>
            </v:textbox>
          </v:shape>
        </w:pict>
      </w:r>
      <w:r>
        <w:rPr>
          <w:rFonts w:ascii="宋体" w:hAnsi="宋体" w:eastAsia="宋体" w:cs="宋体"/>
          <w:spacing w:val="-1"/>
          <w:sz w:val="21"/>
          <w:szCs w:val="21"/>
          <w:highlight w:val="none"/>
        </w:rPr>
        <w:t>当事人双方关于最终结清申请的其他约定：</w:t>
      </w:r>
      <w:r>
        <w:rPr>
          <w:rFonts w:ascii="宋体" w:hAnsi="宋体" w:eastAsia="宋体" w:cs="宋体"/>
          <w:sz w:val="21"/>
          <w:szCs w:val="21"/>
          <w:highlight w:val="none"/>
          <w:u w:val="single" w:color="auto"/>
        </w:rPr>
        <w:t xml:space="preserve">             </w:t>
      </w:r>
    </w:p>
    <w:p w14:paraId="7DF9A404">
      <w:pPr>
        <w:spacing w:before="269" w:line="219" w:lineRule="auto"/>
        <w:ind w:left="420"/>
        <w:rPr>
          <w:rFonts w:ascii="宋体" w:hAnsi="宋体" w:eastAsia="宋体" w:cs="宋体"/>
          <w:sz w:val="21"/>
          <w:szCs w:val="21"/>
          <w:highlight w:val="none"/>
        </w:rPr>
      </w:pPr>
      <w:r>
        <w:rPr>
          <w:rFonts w:ascii="宋体" w:hAnsi="宋体" w:eastAsia="宋体" w:cs="宋体"/>
          <w:spacing w:val="7"/>
          <w:sz w:val="21"/>
          <w:szCs w:val="21"/>
          <w:highlight w:val="none"/>
        </w:rPr>
        <w:t>14.7.2最终结清证书和支付</w:t>
      </w:r>
    </w:p>
    <w:p w14:paraId="2A52C1CF">
      <w:pPr>
        <w:spacing w:before="213" w:line="184" w:lineRule="auto"/>
        <w:ind w:left="420"/>
        <w:rPr>
          <w:rFonts w:ascii="宋体" w:hAnsi="宋体" w:eastAsia="宋体" w:cs="宋体"/>
          <w:sz w:val="21"/>
          <w:szCs w:val="21"/>
          <w:highlight w:val="none"/>
        </w:rPr>
      </w:pPr>
      <w:r>
        <w:rPr>
          <w:highlight w:val="none"/>
        </w:rPr>
        <w:pict>
          <v:shape id="_x0000_s1055" o:spid="_x0000_s1055" o:spt="202" type="#_x0000_t202" style="position:absolute;left:0pt;margin-left:289pt;margin-top:16.95pt;height:5.25pt;width:5.4pt;z-index:251694080;mso-width-relative:page;mso-height-relative:page;" filled="f" stroked="f" coordsize="21600,21600">
            <v:path/>
            <v:fill on="f" focussize="0,0"/>
            <v:stroke on="f"/>
            <v:imagedata o:title=""/>
            <o:lock v:ext="edit" aspectratio="f"/>
            <v:textbox inset="0mm,0mm,0mm,0mm">
              <w:txbxContent>
                <w:p w14:paraId="0E788488">
                  <w:pPr>
                    <w:pStyle w:val="2"/>
                    <w:tabs>
                      <w:tab w:val="left" w:pos="54"/>
                    </w:tabs>
                    <w:spacing w:before="20" w:line="156" w:lineRule="auto"/>
                    <w:ind w:left="20"/>
                    <w:rPr>
                      <w:sz w:val="6"/>
                      <w:szCs w:val="6"/>
                    </w:rPr>
                  </w:pPr>
                  <w:r>
                    <w:rPr>
                      <w:sz w:val="6"/>
                      <w:szCs w:val="6"/>
                      <w:u w:val="dotted" w:color="auto"/>
                    </w:rPr>
                    <w:tab/>
                  </w:r>
                  <w:r>
                    <w:rPr>
                      <w:spacing w:val="-15"/>
                      <w:sz w:val="6"/>
                      <w:szCs w:val="6"/>
                    </w:rPr>
                    <w:t xml:space="preserve"> </w:t>
                  </w:r>
                  <w:r>
                    <w:rPr>
                      <w:sz w:val="6"/>
                      <w:szCs w:val="6"/>
                    </w:rPr>
                    <w:t>o</w:t>
                  </w:r>
                </w:p>
              </w:txbxContent>
            </v:textbox>
          </v:shape>
        </w:pict>
      </w:r>
      <w:r>
        <w:rPr>
          <w:rFonts w:ascii="宋体" w:hAnsi="宋体" w:eastAsia="宋体" w:cs="宋体"/>
          <w:spacing w:val="-2"/>
          <w:sz w:val="21"/>
          <w:szCs w:val="21"/>
          <w:highlight w:val="none"/>
        </w:rPr>
        <w:t>当事人双方关于最终结清支付的其他约定：</w:t>
      </w:r>
      <w:r>
        <w:rPr>
          <w:rFonts w:ascii="宋体" w:hAnsi="宋体" w:eastAsia="宋体" w:cs="宋体"/>
          <w:spacing w:val="-69"/>
          <w:sz w:val="21"/>
          <w:szCs w:val="21"/>
          <w:highlight w:val="none"/>
        </w:rPr>
        <w:t xml:space="preserve"> </w:t>
      </w:r>
      <w:r>
        <w:rPr>
          <w:rFonts w:ascii="宋体" w:hAnsi="宋体" w:eastAsia="宋体" w:cs="宋体"/>
          <w:sz w:val="21"/>
          <w:szCs w:val="21"/>
          <w:highlight w:val="none"/>
          <w:u w:val="single" w:color="auto"/>
        </w:rPr>
        <w:t xml:space="preserve">              </w:t>
      </w:r>
    </w:p>
    <w:p w14:paraId="1FE3A0D5">
      <w:pPr>
        <w:spacing w:line="184" w:lineRule="auto"/>
        <w:rPr>
          <w:rFonts w:ascii="宋体" w:hAnsi="宋体" w:eastAsia="宋体" w:cs="宋体"/>
          <w:sz w:val="21"/>
          <w:szCs w:val="21"/>
          <w:highlight w:val="none"/>
        </w:rPr>
        <w:sectPr>
          <w:footerReference r:id="rId159" w:type="default"/>
          <w:pgSz w:w="11910" w:h="16840"/>
          <w:pgMar w:top="400" w:right="1764" w:bottom="1197" w:left="1779" w:header="0" w:footer="993" w:gutter="0"/>
          <w:cols w:space="720" w:num="1"/>
        </w:sectPr>
      </w:pPr>
    </w:p>
    <w:p w14:paraId="5411C9DF">
      <w:pPr>
        <w:pStyle w:val="2"/>
        <w:spacing w:line="277" w:lineRule="auto"/>
        <w:rPr>
          <w:highlight w:val="none"/>
        </w:rPr>
      </w:pPr>
    </w:p>
    <w:p w14:paraId="556A3037">
      <w:pPr>
        <w:pStyle w:val="2"/>
        <w:spacing w:line="278" w:lineRule="auto"/>
        <w:rPr>
          <w:highlight w:val="none"/>
        </w:rPr>
      </w:pPr>
    </w:p>
    <w:p w14:paraId="6EB436CB">
      <w:pPr>
        <w:pStyle w:val="2"/>
        <w:spacing w:line="278" w:lineRule="auto"/>
        <w:rPr>
          <w:highlight w:val="none"/>
        </w:rPr>
      </w:pPr>
    </w:p>
    <w:p w14:paraId="4A68E69B">
      <w:pPr>
        <w:pStyle w:val="2"/>
        <w:spacing w:line="278" w:lineRule="auto"/>
        <w:rPr>
          <w:highlight w:val="none"/>
        </w:rPr>
      </w:pPr>
    </w:p>
    <w:p w14:paraId="2CC7F113">
      <w:pPr>
        <w:spacing w:before="91" w:line="222" w:lineRule="auto"/>
        <w:ind w:left="10"/>
        <w:outlineLvl w:val="1"/>
        <w:rPr>
          <w:rFonts w:ascii="黑体" w:hAnsi="黑体" w:eastAsia="黑体" w:cs="黑体"/>
          <w:sz w:val="28"/>
          <w:szCs w:val="28"/>
          <w:highlight w:val="none"/>
        </w:rPr>
      </w:pPr>
      <w:bookmarkStart w:id="141" w:name="bookmark255"/>
      <w:bookmarkEnd w:id="141"/>
      <w:bookmarkStart w:id="142" w:name="bookmark82"/>
      <w:bookmarkEnd w:id="142"/>
      <w:r>
        <w:rPr>
          <w:rFonts w:ascii="黑体" w:hAnsi="黑体" w:eastAsia="黑体" w:cs="黑体"/>
          <w:spacing w:val="50"/>
          <w:sz w:val="28"/>
          <w:szCs w:val="28"/>
          <w:highlight w:val="none"/>
        </w:rPr>
        <w:t>第15条违约</w:t>
      </w:r>
    </w:p>
    <w:p w14:paraId="741833D6">
      <w:pPr>
        <w:pStyle w:val="2"/>
        <w:spacing w:line="337" w:lineRule="auto"/>
        <w:rPr>
          <w:highlight w:val="none"/>
        </w:rPr>
      </w:pPr>
    </w:p>
    <w:p w14:paraId="63C92995">
      <w:pPr>
        <w:spacing w:before="71" w:line="221" w:lineRule="auto"/>
        <w:ind w:left="20"/>
        <w:rPr>
          <w:rFonts w:ascii="黑体" w:hAnsi="黑体" w:eastAsia="黑体" w:cs="黑体"/>
          <w:sz w:val="22"/>
          <w:szCs w:val="22"/>
          <w:highlight w:val="none"/>
        </w:rPr>
      </w:pPr>
      <w:r>
        <w:rPr>
          <w:rFonts w:ascii="黑体" w:hAnsi="黑体" w:eastAsia="黑体" w:cs="黑体"/>
          <w:spacing w:val="-6"/>
          <w:sz w:val="22"/>
          <w:szCs w:val="22"/>
          <w:highlight w:val="none"/>
        </w:rPr>
        <w:t>15.1</w:t>
      </w:r>
      <w:r>
        <w:rPr>
          <w:rFonts w:ascii="黑体" w:hAnsi="黑体" w:eastAsia="黑体" w:cs="黑体"/>
          <w:spacing w:val="-31"/>
          <w:sz w:val="22"/>
          <w:szCs w:val="22"/>
          <w:highlight w:val="none"/>
        </w:rPr>
        <w:t xml:space="preserve"> </w:t>
      </w:r>
      <w:r>
        <w:rPr>
          <w:rFonts w:ascii="黑体" w:hAnsi="黑体" w:eastAsia="黑体" w:cs="黑体"/>
          <w:spacing w:val="-6"/>
          <w:sz w:val="22"/>
          <w:szCs w:val="22"/>
          <w:highlight w:val="none"/>
        </w:rPr>
        <w:t>发包人违约</w:t>
      </w:r>
    </w:p>
    <w:p w14:paraId="1FBBF362">
      <w:pPr>
        <w:spacing w:before="199" w:line="220" w:lineRule="auto"/>
        <w:ind w:left="440"/>
        <w:rPr>
          <w:rFonts w:ascii="宋体" w:hAnsi="宋体" w:eastAsia="宋体" w:cs="宋体"/>
          <w:sz w:val="22"/>
          <w:szCs w:val="22"/>
          <w:highlight w:val="none"/>
        </w:rPr>
      </w:pPr>
      <w:r>
        <w:rPr>
          <w:rFonts w:ascii="宋体" w:hAnsi="宋体" w:eastAsia="宋体" w:cs="宋体"/>
          <w:spacing w:val="-9"/>
          <w:sz w:val="22"/>
          <w:szCs w:val="22"/>
          <w:highlight w:val="none"/>
        </w:rPr>
        <w:t>15.1.1 发包人违约的情形</w:t>
      </w:r>
    </w:p>
    <w:p w14:paraId="0338D965">
      <w:pPr>
        <w:spacing w:before="229" w:line="227" w:lineRule="auto"/>
        <w:ind w:left="430"/>
        <w:rPr>
          <w:rFonts w:ascii="宋体" w:hAnsi="宋体" w:eastAsia="宋体" w:cs="宋体"/>
          <w:sz w:val="22"/>
          <w:szCs w:val="22"/>
          <w:highlight w:val="none"/>
        </w:rPr>
      </w:pPr>
      <w:r>
        <w:rPr>
          <w:rFonts w:ascii="宋体" w:hAnsi="宋体" w:eastAsia="宋体" w:cs="宋体"/>
          <w:spacing w:val="-9"/>
          <w:sz w:val="22"/>
          <w:szCs w:val="22"/>
          <w:highlight w:val="none"/>
        </w:rPr>
        <w:t>发包人违约的其他情形</w:t>
      </w:r>
      <w:r>
        <w:rPr>
          <w:rFonts w:ascii="宋体" w:hAnsi="宋体" w:eastAsia="宋体" w:cs="宋体"/>
          <w:spacing w:val="2"/>
          <w:sz w:val="22"/>
          <w:szCs w:val="22"/>
          <w:highlight w:val="none"/>
          <w:u w:val="single" w:color="auto"/>
        </w:rPr>
        <w:t xml:space="preserve">                            </w:t>
      </w:r>
      <w:r>
        <w:rPr>
          <w:rFonts w:ascii="宋体" w:hAnsi="宋体" w:eastAsia="宋体" w:cs="宋体"/>
          <w:spacing w:val="-9"/>
          <w:sz w:val="22"/>
          <w:szCs w:val="22"/>
          <w:highlight w:val="none"/>
        </w:rPr>
        <w:t>0</w:t>
      </w:r>
    </w:p>
    <w:p w14:paraId="0A8AA9B4">
      <w:pPr>
        <w:spacing w:before="207" w:line="219" w:lineRule="auto"/>
        <w:ind w:left="430"/>
        <w:rPr>
          <w:rFonts w:ascii="宋体" w:hAnsi="宋体" w:eastAsia="宋体" w:cs="宋体"/>
          <w:sz w:val="22"/>
          <w:szCs w:val="22"/>
          <w:highlight w:val="none"/>
        </w:rPr>
      </w:pPr>
      <w:r>
        <w:rPr>
          <w:rFonts w:ascii="宋体" w:hAnsi="宋体" w:eastAsia="宋体" w:cs="宋体"/>
          <w:spacing w:val="-7"/>
          <w:sz w:val="22"/>
          <w:szCs w:val="22"/>
          <w:highlight w:val="none"/>
        </w:rPr>
        <w:t>15.1.3</w:t>
      </w:r>
      <w:r>
        <w:rPr>
          <w:rFonts w:ascii="宋体" w:hAnsi="宋体" w:eastAsia="宋体" w:cs="宋体"/>
          <w:spacing w:val="-16"/>
          <w:sz w:val="22"/>
          <w:szCs w:val="22"/>
          <w:highlight w:val="none"/>
        </w:rPr>
        <w:t xml:space="preserve"> </w:t>
      </w:r>
      <w:r>
        <w:rPr>
          <w:rFonts w:ascii="宋体" w:hAnsi="宋体" w:eastAsia="宋体" w:cs="宋体"/>
          <w:spacing w:val="-7"/>
          <w:sz w:val="22"/>
          <w:szCs w:val="22"/>
          <w:highlight w:val="none"/>
        </w:rPr>
        <w:t>发包人违约的责任</w:t>
      </w:r>
    </w:p>
    <w:p w14:paraId="17F3D6BE">
      <w:pPr>
        <w:spacing w:before="239" w:line="219" w:lineRule="auto"/>
        <w:ind w:left="440"/>
        <w:rPr>
          <w:rFonts w:ascii="宋体" w:hAnsi="宋体" w:eastAsia="宋体" w:cs="宋体"/>
          <w:sz w:val="22"/>
          <w:szCs w:val="22"/>
          <w:highlight w:val="none"/>
        </w:rPr>
      </w:pPr>
      <w:r>
        <w:rPr>
          <w:rFonts w:ascii="宋体" w:hAnsi="宋体" w:eastAsia="宋体" w:cs="宋体"/>
          <w:spacing w:val="-11"/>
          <w:sz w:val="22"/>
          <w:szCs w:val="22"/>
          <w:highlight w:val="none"/>
        </w:rPr>
        <w:t>发包人违约责任的承担方式和计算方法：</w:t>
      </w:r>
      <w:r>
        <w:rPr>
          <w:rFonts w:ascii="宋体" w:hAnsi="宋体" w:eastAsia="宋体" w:cs="宋体"/>
          <w:sz w:val="22"/>
          <w:szCs w:val="22"/>
          <w:highlight w:val="none"/>
          <w:u w:val="single" w:color="auto"/>
        </w:rPr>
        <w:t xml:space="preserve">              </w:t>
      </w:r>
    </w:p>
    <w:p w14:paraId="1F6FE2FC">
      <w:pPr>
        <w:pStyle w:val="2"/>
        <w:spacing w:line="295" w:lineRule="auto"/>
        <w:rPr>
          <w:highlight w:val="none"/>
        </w:rPr>
      </w:pPr>
    </w:p>
    <w:p w14:paraId="3E2CD5B9">
      <w:pPr>
        <w:spacing w:before="72" w:line="222" w:lineRule="auto"/>
        <w:ind w:left="10"/>
        <w:rPr>
          <w:rFonts w:ascii="黑体" w:hAnsi="黑体" w:eastAsia="黑体" w:cs="黑体"/>
          <w:sz w:val="22"/>
          <w:szCs w:val="22"/>
          <w:highlight w:val="none"/>
        </w:rPr>
      </w:pPr>
      <w:r>
        <w:rPr>
          <w:rFonts w:ascii="黑体" w:hAnsi="黑体" w:eastAsia="黑体" w:cs="黑体"/>
          <w:spacing w:val="-6"/>
          <w:sz w:val="22"/>
          <w:szCs w:val="22"/>
          <w:highlight w:val="none"/>
        </w:rPr>
        <w:t>15.2</w:t>
      </w:r>
      <w:r>
        <w:rPr>
          <w:rFonts w:ascii="黑体" w:hAnsi="黑体" w:eastAsia="黑体" w:cs="黑体"/>
          <w:spacing w:val="-33"/>
          <w:sz w:val="22"/>
          <w:szCs w:val="22"/>
          <w:highlight w:val="none"/>
        </w:rPr>
        <w:t xml:space="preserve"> </w:t>
      </w:r>
      <w:r>
        <w:rPr>
          <w:rFonts w:ascii="黑体" w:hAnsi="黑体" w:eastAsia="黑体" w:cs="黑体"/>
          <w:spacing w:val="-6"/>
          <w:sz w:val="22"/>
          <w:szCs w:val="22"/>
          <w:highlight w:val="none"/>
        </w:rPr>
        <w:t>承包人违约</w:t>
      </w:r>
    </w:p>
    <w:p w14:paraId="655202E6">
      <w:pPr>
        <w:spacing w:before="186" w:line="219" w:lineRule="auto"/>
        <w:ind w:left="440"/>
        <w:rPr>
          <w:rFonts w:ascii="宋体" w:hAnsi="宋体" w:eastAsia="宋体" w:cs="宋体"/>
          <w:sz w:val="22"/>
          <w:szCs w:val="22"/>
          <w:highlight w:val="none"/>
        </w:rPr>
      </w:pPr>
      <w:r>
        <w:rPr>
          <w:rFonts w:ascii="宋体" w:hAnsi="宋体" w:eastAsia="宋体" w:cs="宋体"/>
          <w:spacing w:val="-6"/>
          <w:sz w:val="22"/>
          <w:szCs w:val="22"/>
          <w:highlight w:val="none"/>
        </w:rPr>
        <w:t>15.2.1</w:t>
      </w:r>
      <w:r>
        <w:rPr>
          <w:rFonts w:ascii="宋体" w:hAnsi="宋体" w:eastAsia="宋体" w:cs="宋体"/>
          <w:spacing w:val="-20"/>
          <w:sz w:val="22"/>
          <w:szCs w:val="22"/>
          <w:highlight w:val="none"/>
        </w:rPr>
        <w:t xml:space="preserve"> </w:t>
      </w:r>
      <w:r>
        <w:rPr>
          <w:rFonts w:ascii="宋体" w:hAnsi="宋体" w:eastAsia="宋体" w:cs="宋体"/>
          <w:spacing w:val="-6"/>
          <w:sz w:val="22"/>
          <w:szCs w:val="22"/>
          <w:highlight w:val="none"/>
        </w:rPr>
        <w:t>承包人违约的情形</w:t>
      </w:r>
    </w:p>
    <w:p w14:paraId="119B3596">
      <w:pPr>
        <w:spacing w:before="229" w:line="221" w:lineRule="auto"/>
        <w:ind w:left="430"/>
        <w:rPr>
          <w:rFonts w:ascii="宋体" w:hAnsi="宋体" w:eastAsia="宋体" w:cs="宋体"/>
          <w:sz w:val="22"/>
          <w:szCs w:val="22"/>
          <w:highlight w:val="none"/>
        </w:rPr>
      </w:pPr>
      <w:r>
        <w:rPr>
          <w:rFonts w:ascii="宋体" w:hAnsi="宋体" w:eastAsia="宋体" w:cs="宋体"/>
          <w:spacing w:val="-6"/>
          <w:sz w:val="22"/>
          <w:szCs w:val="22"/>
          <w:highlight w:val="none"/>
        </w:rPr>
        <w:t>承包人违约的其他情形：</w:t>
      </w:r>
      <w:r>
        <w:rPr>
          <w:rFonts w:ascii="宋体" w:hAnsi="宋体" w:eastAsia="宋体" w:cs="宋体"/>
          <w:spacing w:val="-6"/>
          <w:sz w:val="22"/>
          <w:szCs w:val="22"/>
          <w:highlight w:val="none"/>
          <w:u w:val="single" w:color="auto"/>
        </w:rPr>
        <w:t xml:space="preserve">                             </w:t>
      </w:r>
      <w:r>
        <w:rPr>
          <w:rFonts w:ascii="宋体" w:hAnsi="宋体" w:eastAsia="宋体" w:cs="宋体"/>
          <w:spacing w:val="-106"/>
          <w:sz w:val="22"/>
          <w:szCs w:val="22"/>
          <w:highlight w:val="none"/>
        </w:rPr>
        <w:t xml:space="preserve"> </w:t>
      </w:r>
      <w:r>
        <w:rPr>
          <w:rFonts w:ascii="宋体" w:hAnsi="宋体" w:eastAsia="宋体" w:cs="宋体"/>
          <w:spacing w:val="-6"/>
          <w:sz w:val="22"/>
          <w:szCs w:val="22"/>
          <w:highlight w:val="none"/>
        </w:rPr>
        <w:t>9</w:t>
      </w:r>
    </w:p>
    <w:p w14:paraId="33783905">
      <w:pPr>
        <w:spacing w:before="216" w:line="219" w:lineRule="auto"/>
        <w:ind w:left="440"/>
        <w:rPr>
          <w:rFonts w:ascii="宋体" w:hAnsi="宋体" w:eastAsia="宋体" w:cs="宋体"/>
          <w:sz w:val="22"/>
          <w:szCs w:val="22"/>
          <w:highlight w:val="none"/>
        </w:rPr>
      </w:pPr>
      <w:r>
        <w:rPr>
          <w:rFonts w:ascii="宋体" w:hAnsi="宋体" w:eastAsia="宋体" w:cs="宋体"/>
          <w:spacing w:val="-9"/>
          <w:sz w:val="22"/>
          <w:szCs w:val="22"/>
          <w:highlight w:val="none"/>
        </w:rPr>
        <w:t>15.2.2 通知改正</w:t>
      </w:r>
    </w:p>
    <w:p w14:paraId="45B585B1">
      <w:pPr>
        <w:spacing w:before="209" w:line="214" w:lineRule="auto"/>
        <w:ind w:left="440"/>
        <w:rPr>
          <w:rFonts w:ascii="宋体" w:hAnsi="宋体" w:eastAsia="宋体" w:cs="宋体"/>
          <w:sz w:val="22"/>
          <w:szCs w:val="22"/>
          <w:highlight w:val="none"/>
        </w:rPr>
      </w:pPr>
      <w:r>
        <w:rPr>
          <w:rFonts w:ascii="宋体" w:hAnsi="宋体" w:eastAsia="宋体" w:cs="宋体"/>
          <w:spacing w:val="-9"/>
          <w:sz w:val="22"/>
          <w:szCs w:val="22"/>
          <w:highlight w:val="none"/>
        </w:rPr>
        <w:t>工程师通知承包人改正的合理期限是：</w:t>
      </w:r>
      <w:r>
        <w:rPr>
          <w:rFonts w:ascii="宋体" w:hAnsi="宋体" w:eastAsia="宋体" w:cs="宋体"/>
          <w:spacing w:val="-9"/>
          <w:sz w:val="22"/>
          <w:szCs w:val="22"/>
          <w:highlight w:val="none"/>
          <w:u w:val="single" w:color="auto"/>
        </w:rPr>
        <w:t xml:space="preserve">  </w:t>
      </w:r>
      <w:r>
        <w:rPr>
          <w:rFonts w:ascii="宋体" w:hAnsi="宋体" w:eastAsia="宋体" w:cs="宋体"/>
          <w:spacing w:val="-10"/>
          <w:sz w:val="22"/>
          <w:szCs w:val="22"/>
          <w:highlight w:val="none"/>
          <w:u w:val="single" w:color="auto"/>
        </w:rPr>
        <w:t xml:space="preserve">               </w:t>
      </w:r>
      <w:r>
        <w:rPr>
          <w:rFonts w:ascii="宋体" w:hAnsi="宋体" w:eastAsia="宋体" w:cs="宋体"/>
          <w:spacing w:val="-10"/>
          <w:position w:val="-2"/>
          <w:sz w:val="22"/>
          <w:szCs w:val="22"/>
          <w:highlight w:val="none"/>
        </w:rPr>
        <w:t>_。</w:t>
      </w:r>
    </w:p>
    <w:p w14:paraId="3C0C9353">
      <w:pPr>
        <w:spacing w:before="205" w:line="219" w:lineRule="auto"/>
        <w:ind w:left="440"/>
        <w:rPr>
          <w:rFonts w:ascii="宋体" w:hAnsi="宋体" w:eastAsia="宋体" w:cs="宋体"/>
          <w:sz w:val="22"/>
          <w:szCs w:val="22"/>
          <w:highlight w:val="none"/>
        </w:rPr>
      </w:pPr>
      <w:r>
        <w:rPr>
          <w:rFonts w:ascii="宋体" w:hAnsi="宋体" w:eastAsia="宋体" w:cs="宋体"/>
          <w:spacing w:val="-7"/>
          <w:sz w:val="22"/>
          <w:szCs w:val="22"/>
          <w:highlight w:val="none"/>
        </w:rPr>
        <w:t>15.2.3 承包人违约的责任</w:t>
      </w:r>
    </w:p>
    <w:p w14:paraId="7CE4B228">
      <w:pPr>
        <w:pStyle w:val="2"/>
        <w:spacing w:before="258" w:line="172" w:lineRule="auto"/>
        <w:ind w:left="450"/>
        <w:rPr>
          <w:sz w:val="22"/>
          <w:szCs w:val="22"/>
          <w:highlight w:val="none"/>
        </w:rPr>
      </w:pPr>
      <w:r>
        <w:rPr>
          <w:rFonts w:ascii="宋体" w:hAnsi="宋体" w:eastAsia="宋体" w:cs="宋体"/>
          <w:spacing w:val="-6"/>
          <w:highlight w:val="none"/>
        </w:rPr>
        <w:t>承包人违约责任的承担方式和计算方法：</w:t>
      </w:r>
      <w:r>
        <w:rPr>
          <w:rFonts w:ascii="宋体" w:hAnsi="宋体" w:eastAsia="宋体" w:cs="宋体"/>
          <w:spacing w:val="1"/>
          <w:highlight w:val="none"/>
          <w:u w:val="single" w:color="auto"/>
        </w:rPr>
        <w:t xml:space="preserve">              </w:t>
      </w:r>
      <w:r>
        <w:rPr>
          <w:spacing w:val="-6"/>
          <w:position w:val="7"/>
          <w:sz w:val="22"/>
          <w:szCs w:val="22"/>
          <w:highlight w:val="none"/>
        </w:rPr>
        <w:t>_o</w:t>
      </w:r>
    </w:p>
    <w:p w14:paraId="701E228E">
      <w:pPr>
        <w:spacing w:before="302" w:line="222" w:lineRule="auto"/>
        <w:ind w:left="10"/>
        <w:outlineLvl w:val="1"/>
        <w:rPr>
          <w:rFonts w:ascii="黑体" w:hAnsi="黑体" w:eastAsia="黑体" w:cs="黑体"/>
          <w:sz w:val="28"/>
          <w:szCs w:val="28"/>
          <w:highlight w:val="none"/>
        </w:rPr>
      </w:pPr>
      <w:bookmarkStart w:id="143" w:name="bookmark83"/>
      <w:bookmarkEnd w:id="143"/>
      <w:r>
        <w:rPr>
          <w:rFonts w:ascii="黑体" w:hAnsi="黑体" w:eastAsia="黑体" w:cs="黑体"/>
          <w:spacing w:val="39"/>
          <w:sz w:val="28"/>
          <w:szCs w:val="28"/>
          <w:highlight w:val="none"/>
        </w:rPr>
        <w:t>第16条合同解除</w:t>
      </w:r>
    </w:p>
    <w:p w14:paraId="194CEB4B">
      <w:pPr>
        <w:pStyle w:val="2"/>
        <w:spacing w:line="337" w:lineRule="auto"/>
        <w:rPr>
          <w:highlight w:val="none"/>
        </w:rPr>
      </w:pPr>
    </w:p>
    <w:p w14:paraId="64D03207">
      <w:pPr>
        <w:spacing w:before="72" w:line="221" w:lineRule="auto"/>
        <w:ind w:left="20"/>
        <w:rPr>
          <w:rFonts w:ascii="黑体" w:hAnsi="黑体" w:eastAsia="黑体" w:cs="黑体"/>
          <w:sz w:val="22"/>
          <w:szCs w:val="22"/>
          <w:highlight w:val="none"/>
        </w:rPr>
      </w:pPr>
      <w:r>
        <w:rPr>
          <w:rFonts w:ascii="黑体" w:hAnsi="黑体" w:eastAsia="黑体" w:cs="黑体"/>
          <w:spacing w:val="-9"/>
          <w:sz w:val="22"/>
          <w:szCs w:val="22"/>
          <w:highlight w:val="none"/>
        </w:rPr>
        <w:t>16.1</w:t>
      </w:r>
      <w:r>
        <w:rPr>
          <w:rFonts w:ascii="黑体" w:hAnsi="黑体" w:eastAsia="黑体" w:cs="黑体"/>
          <w:spacing w:val="-13"/>
          <w:sz w:val="22"/>
          <w:szCs w:val="22"/>
          <w:highlight w:val="none"/>
        </w:rPr>
        <w:t xml:space="preserve"> </w:t>
      </w:r>
      <w:r>
        <w:rPr>
          <w:rFonts w:ascii="黑体" w:hAnsi="黑体" w:eastAsia="黑体" w:cs="黑体"/>
          <w:spacing w:val="-9"/>
          <w:sz w:val="22"/>
          <w:szCs w:val="22"/>
          <w:highlight w:val="none"/>
        </w:rPr>
        <w:t>由发包人解除合同</w:t>
      </w:r>
    </w:p>
    <w:p w14:paraId="74604EAC">
      <w:pPr>
        <w:spacing w:before="218" w:line="219" w:lineRule="auto"/>
        <w:ind w:left="450"/>
        <w:rPr>
          <w:rFonts w:ascii="宋体" w:hAnsi="宋体" w:eastAsia="宋体" w:cs="宋体"/>
          <w:sz w:val="22"/>
          <w:szCs w:val="22"/>
          <w:highlight w:val="none"/>
        </w:rPr>
      </w:pPr>
      <w:r>
        <w:rPr>
          <w:rFonts w:ascii="宋体" w:hAnsi="宋体" w:eastAsia="宋体" w:cs="宋体"/>
          <w:spacing w:val="-7"/>
          <w:sz w:val="22"/>
          <w:szCs w:val="22"/>
          <w:highlight w:val="none"/>
        </w:rPr>
        <w:t>16.1.1</w:t>
      </w:r>
      <w:r>
        <w:rPr>
          <w:rFonts w:ascii="宋体" w:hAnsi="宋体" w:eastAsia="宋体" w:cs="宋体"/>
          <w:spacing w:val="-42"/>
          <w:sz w:val="22"/>
          <w:szCs w:val="22"/>
          <w:highlight w:val="none"/>
        </w:rPr>
        <w:t xml:space="preserve"> </w:t>
      </w:r>
      <w:r>
        <w:rPr>
          <w:rFonts w:ascii="宋体" w:hAnsi="宋体" w:eastAsia="宋体" w:cs="宋体"/>
          <w:spacing w:val="-7"/>
          <w:sz w:val="22"/>
          <w:szCs w:val="22"/>
          <w:highlight w:val="none"/>
        </w:rPr>
        <w:t>因承包人违约解除合同</w:t>
      </w:r>
    </w:p>
    <w:p w14:paraId="3BD2D0AC">
      <w:pPr>
        <w:spacing w:before="219" w:line="184" w:lineRule="auto"/>
        <w:ind w:left="440"/>
        <w:rPr>
          <w:rFonts w:ascii="宋体" w:hAnsi="宋体" w:eastAsia="宋体" w:cs="宋体"/>
          <w:sz w:val="21"/>
          <w:szCs w:val="21"/>
          <w:highlight w:val="none"/>
        </w:rPr>
      </w:pPr>
      <w:r>
        <w:rPr>
          <w:rFonts w:ascii="宋体" w:hAnsi="宋体" w:eastAsia="宋体" w:cs="宋体"/>
          <w:spacing w:val="-2"/>
          <w:sz w:val="21"/>
          <w:szCs w:val="21"/>
          <w:highlight w:val="none"/>
        </w:rPr>
        <w:t>双方约定可由发包人解除合同的其他事由：</w:t>
      </w:r>
      <w:r>
        <w:rPr>
          <w:rFonts w:ascii="宋体" w:hAnsi="宋体" w:eastAsia="宋体" w:cs="宋体"/>
          <w:spacing w:val="1"/>
          <w:sz w:val="21"/>
          <w:szCs w:val="21"/>
          <w:highlight w:val="none"/>
          <w:u w:val="single" w:color="auto"/>
        </w:rPr>
        <w:t xml:space="preserve">              </w:t>
      </w:r>
    </w:p>
    <w:p w14:paraId="683143D9">
      <w:pPr>
        <w:spacing w:before="17" w:line="39" w:lineRule="exact"/>
        <w:ind w:left="5780"/>
        <w:rPr>
          <w:rFonts w:ascii="宋体" w:hAnsi="宋体" w:eastAsia="宋体" w:cs="宋体"/>
          <w:sz w:val="22"/>
          <w:szCs w:val="22"/>
          <w:highlight w:val="none"/>
        </w:rPr>
      </w:pPr>
      <w:r>
        <w:rPr>
          <w:rFonts w:ascii="宋体" w:hAnsi="宋体" w:eastAsia="宋体" w:cs="宋体"/>
          <w:position w:val="2"/>
          <w:sz w:val="22"/>
          <w:szCs w:val="22"/>
          <w:highlight w:val="none"/>
        </w:rPr>
        <w:t>_</w:t>
      </w:r>
    </w:p>
    <w:p w14:paraId="455B7ECD">
      <w:pPr>
        <w:pStyle w:val="2"/>
        <w:spacing w:line="310" w:lineRule="auto"/>
        <w:rPr>
          <w:highlight w:val="none"/>
        </w:rPr>
      </w:pPr>
    </w:p>
    <w:p w14:paraId="41B24A81">
      <w:pPr>
        <w:spacing w:before="71" w:line="222" w:lineRule="auto"/>
        <w:ind w:left="10"/>
        <w:rPr>
          <w:rFonts w:ascii="黑体" w:hAnsi="黑体" w:eastAsia="黑体" w:cs="黑体"/>
          <w:sz w:val="22"/>
          <w:szCs w:val="22"/>
          <w:highlight w:val="none"/>
        </w:rPr>
      </w:pPr>
      <w:r>
        <w:rPr>
          <w:rFonts w:ascii="黑体" w:hAnsi="黑体" w:eastAsia="黑体" w:cs="黑体"/>
          <w:spacing w:val="-8"/>
          <w:sz w:val="22"/>
          <w:szCs w:val="22"/>
          <w:highlight w:val="none"/>
        </w:rPr>
        <w:t>16.2 由承包人解除合同</w:t>
      </w:r>
    </w:p>
    <w:p w14:paraId="2DC4ED03">
      <w:pPr>
        <w:spacing w:before="198" w:line="219" w:lineRule="auto"/>
        <w:ind w:left="440"/>
        <w:rPr>
          <w:rFonts w:ascii="宋体" w:hAnsi="宋体" w:eastAsia="宋体" w:cs="宋体"/>
          <w:sz w:val="22"/>
          <w:szCs w:val="22"/>
          <w:highlight w:val="none"/>
        </w:rPr>
      </w:pPr>
      <w:r>
        <w:rPr>
          <w:rFonts w:ascii="宋体" w:hAnsi="宋体" w:eastAsia="宋体" w:cs="宋体"/>
          <w:spacing w:val="-2"/>
          <w:sz w:val="22"/>
          <w:szCs w:val="22"/>
          <w:highlight w:val="none"/>
        </w:rPr>
        <w:t>16.2.1因发包人违约解除合同</w:t>
      </w:r>
    </w:p>
    <w:p w14:paraId="1143C232">
      <w:pPr>
        <w:spacing w:before="218" w:line="184" w:lineRule="auto"/>
        <w:ind w:left="450"/>
        <w:rPr>
          <w:rFonts w:ascii="宋体" w:hAnsi="宋体" w:eastAsia="宋体" w:cs="宋体"/>
          <w:sz w:val="21"/>
          <w:szCs w:val="21"/>
          <w:highlight w:val="none"/>
        </w:rPr>
      </w:pPr>
      <w:r>
        <w:rPr>
          <w:rFonts w:ascii="宋体" w:hAnsi="宋体" w:eastAsia="宋体" w:cs="宋体"/>
          <w:spacing w:val="-2"/>
          <w:sz w:val="21"/>
          <w:szCs w:val="21"/>
          <w:highlight w:val="none"/>
        </w:rPr>
        <w:t>双方约定可由承包人解除合同的其他事由：</w:t>
      </w:r>
      <w:r>
        <w:rPr>
          <w:rFonts w:ascii="宋体" w:hAnsi="宋体" w:eastAsia="宋体" w:cs="宋体"/>
          <w:sz w:val="21"/>
          <w:szCs w:val="21"/>
          <w:highlight w:val="none"/>
          <w:u w:val="single" w:color="auto"/>
        </w:rPr>
        <w:t xml:space="preserve">              </w:t>
      </w:r>
    </w:p>
    <w:p w14:paraId="2C361D1E">
      <w:pPr>
        <w:spacing w:before="17" w:line="39" w:lineRule="exact"/>
        <w:ind w:left="5780"/>
        <w:rPr>
          <w:rFonts w:ascii="宋体" w:hAnsi="宋体" w:eastAsia="宋体" w:cs="宋体"/>
          <w:sz w:val="22"/>
          <w:szCs w:val="22"/>
          <w:highlight w:val="none"/>
        </w:rPr>
      </w:pPr>
      <w:r>
        <w:rPr>
          <w:rFonts w:ascii="宋体" w:hAnsi="宋体" w:eastAsia="宋体" w:cs="宋体"/>
          <w:position w:val="2"/>
          <w:sz w:val="22"/>
          <w:szCs w:val="22"/>
          <w:highlight w:val="none"/>
        </w:rPr>
        <w:t>_</w:t>
      </w:r>
    </w:p>
    <w:p w14:paraId="0BF18423">
      <w:pPr>
        <w:spacing w:before="325" w:line="221" w:lineRule="auto"/>
        <w:ind w:left="20"/>
        <w:outlineLvl w:val="1"/>
        <w:rPr>
          <w:rFonts w:ascii="黑体" w:hAnsi="黑体" w:eastAsia="黑体" w:cs="黑体"/>
          <w:sz w:val="28"/>
          <w:szCs w:val="28"/>
          <w:highlight w:val="none"/>
        </w:rPr>
      </w:pPr>
      <w:bookmarkStart w:id="144" w:name="bookmark84"/>
      <w:bookmarkEnd w:id="144"/>
      <w:r>
        <w:rPr>
          <w:rFonts w:ascii="黑体" w:hAnsi="黑体" w:eastAsia="黑体" w:cs="黑体"/>
          <w:spacing w:val="40"/>
          <w:sz w:val="28"/>
          <w:szCs w:val="28"/>
          <w:highlight w:val="none"/>
        </w:rPr>
        <w:t>第17条不可抗力</w:t>
      </w:r>
    </w:p>
    <w:p w14:paraId="4E54AD69">
      <w:pPr>
        <w:pStyle w:val="2"/>
        <w:spacing w:line="349" w:lineRule="auto"/>
        <w:rPr>
          <w:highlight w:val="none"/>
        </w:rPr>
      </w:pPr>
    </w:p>
    <w:p w14:paraId="658115D9">
      <w:pPr>
        <w:spacing w:before="72" w:line="221" w:lineRule="auto"/>
        <w:ind w:left="20"/>
        <w:rPr>
          <w:rFonts w:ascii="黑体" w:hAnsi="黑体" w:eastAsia="黑体" w:cs="黑体"/>
          <w:sz w:val="22"/>
          <w:szCs w:val="22"/>
          <w:highlight w:val="none"/>
        </w:rPr>
      </w:pPr>
      <w:r>
        <w:rPr>
          <w:rFonts w:ascii="黑体" w:hAnsi="黑体" w:eastAsia="黑体" w:cs="黑体"/>
          <w:spacing w:val="-6"/>
          <w:sz w:val="22"/>
          <w:szCs w:val="22"/>
          <w:highlight w:val="none"/>
        </w:rPr>
        <w:t>17.1</w:t>
      </w:r>
      <w:r>
        <w:rPr>
          <w:rFonts w:ascii="黑体" w:hAnsi="黑体" w:eastAsia="黑体" w:cs="黑体"/>
          <w:spacing w:val="-26"/>
          <w:sz w:val="22"/>
          <w:szCs w:val="22"/>
          <w:highlight w:val="none"/>
        </w:rPr>
        <w:t xml:space="preserve"> </w:t>
      </w:r>
      <w:r>
        <w:rPr>
          <w:rFonts w:ascii="黑体" w:hAnsi="黑体" w:eastAsia="黑体" w:cs="黑体"/>
          <w:spacing w:val="-6"/>
          <w:sz w:val="22"/>
          <w:szCs w:val="22"/>
          <w:highlight w:val="none"/>
        </w:rPr>
        <w:t>不可抗力的定义</w:t>
      </w:r>
    </w:p>
    <w:p w14:paraId="50925872">
      <w:pPr>
        <w:pStyle w:val="2"/>
        <w:spacing w:before="198" w:line="211" w:lineRule="auto"/>
        <w:ind w:left="430"/>
        <w:rPr>
          <w:sz w:val="22"/>
          <w:szCs w:val="22"/>
          <w:highlight w:val="none"/>
        </w:rPr>
      </w:pPr>
      <w:r>
        <w:rPr>
          <w:rFonts w:ascii="宋体" w:hAnsi="宋体" w:eastAsia="宋体" w:cs="宋体"/>
          <w:spacing w:val="-10"/>
          <w:sz w:val="22"/>
          <w:szCs w:val="22"/>
          <w:highlight w:val="none"/>
        </w:rPr>
        <w:t>除通用合同条件约定的不可抗力事件之外，视为</w:t>
      </w:r>
      <w:r>
        <w:rPr>
          <w:rFonts w:ascii="宋体" w:hAnsi="宋体" w:eastAsia="宋体" w:cs="宋体"/>
          <w:spacing w:val="-11"/>
          <w:sz w:val="22"/>
          <w:szCs w:val="22"/>
          <w:highlight w:val="none"/>
        </w:rPr>
        <w:t>不可抗力的其他情形：</w:t>
      </w:r>
      <w:r>
        <w:rPr>
          <w:rFonts w:ascii="宋体" w:hAnsi="宋体" w:eastAsia="宋体" w:cs="宋体"/>
          <w:spacing w:val="-11"/>
          <w:sz w:val="22"/>
          <w:szCs w:val="22"/>
          <w:highlight w:val="none"/>
          <w:u w:val="single" w:color="auto"/>
        </w:rPr>
        <w:t xml:space="preserve">         </w:t>
      </w:r>
      <w:r>
        <w:rPr>
          <w:rFonts w:ascii="宋体" w:hAnsi="宋体" w:eastAsia="宋体" w:cs="宋体"/>
          <w:spacing w:val="-100"/>
          <w:sz w:val="22"/>
          <w:szCs w:val="22"/>
          <w:highlight w:val="none"/>
        </w:rPr>
        <w:t xml:space="preserve"> </w:t>
      </w:r>
      <w:r>
        <w:rPr>
          <w:spacing w:val="-11"/>
          <w:sz w:val="22"/>
          <w:szCs w:val="22"/>
          <w:highlight w:val="none"/>
        </w:rPr>
        <w:t>_o</w:t>
      </w:r>
    </w:p>
    <w:p w14:paraId="2E411CCE">
      <w:pPr>
        <w:pStyle w:val="2"/>
        <w:spacing w:line="323" w:lineRule="auto"/>
        <w:rPr>
          <w:highlight w:val="none"/>
        </w:rPr>
      </w:pPr>
    </w:p>
    <w:p w14:paraId="0E59611D">
      <w:pPr>
        <w:spacing w:before="72" w:line="221" w:lineRule="auto"/>
        <w:ind w:left="20"/>
        <w:rPr>
          <w:rFonts w:ascii="黑体" w:hAnsi="黑体" w:eastAsia="黑体" w:cs="黑体"/>
          <w:sz w:val="22"/>
          <w:szCs w:val="22"/>
          <w:highlight w:val="none"/>
        </w:rPr>
      </w:pPr>
      <w:r>
        <w:rPr>
          <w:rFonts w:ascii="黑体" w:hAnsi="黑体" w:eastAsia="黑体" w:cs="黑体"/>
          <w:spacing w:val="-8"/>
          <w:sz w:val="22"/>
          <w:szCs w:val="22"/>
          <w:highlight w:val="none"/>
        </w:rPr>
        <w:t>17.6</w:t>
      </w:r>
      <w:r>
        <w:rPr>
          <w:rFonts w:ascii="黑体" w:hAnsi="黑体" w:eastAsia="黑体" w:cs="黑体"/>
          <w:spacing w:val="-28"/>
          <w:sz w:val="22"/>
          <w:szCs w:val="22"/>
          <w:highlight w:val="none"/>
        </w:rPr>
        <w:t xml:space="preserve"> </w:t>
      </w:r>
      <w:r>
        <w:rPr>
          <w:rFonts w:ascii="黑体" w:hAnsi="黑体" w:eastAsia="黑体" w:cs="黑体"/>
          <w:spacing w:val="-8"/>
          <w:sz w:val="22"/>
          <w:szCs w:val="22"/>
          <w:highlight w:val="none"/>
        </w:rPr>
        <w:t>因不可抗力解除合同</w:t>
      </w:r>
    </w:p>
    <w:p w14:paraId="67AB0222">
      <w:pPr>
        <w:spacing w:before="198" w:line="375" w:lineRule="auto"/>
        <w:ind w:right="37" w:firstLine="420"/>
        <w:rPr>
          <w:rFonts w:ascii="宋体" w:hAnsi="宋体" w:eastAsia="宋体" w:cs="宋体"/>
          <w:sz w:val="22"/>
          <w:szCs w:val="22"/>
          <w:highlight w:val="none"/>
        </w:rPr>
      </w:pPr>
      <w:r>
        <w:rPr>
          <w:rFonts w:ascii="宋体" w:hAnsi="宋体" w:eastAsia="宋体" w:cs="宋体"/>
          <w:spacing w:val="-12"/>
          <w:sz w:val="22"/>
          <w:szCs w:val="22"/>
          <w:highlight w:val="none"/>
        </w:rPr>
        <w:t>合同解除后，发包人应当在商定或确定发包人应支付款项后的_</w:t>
      </w:r>
      <w:r>
        <w:rPr>
          <w:rFonts w:ascii="宋体" w:hAnsi="宋体" w:eastAsia="宋体" w:cs="宋体"/>
          <w:spacing w:val="-81"/>
          <w:sz w:val="22"/>
          <w:szCs w:val="22"/>
          <w:highlight w:val="none"/>
        </w:rPr>
        <w:t xml:space="preserve"> </w:t>
      </w:r>
      <w:r>
        <w:rPr>
          <w:rFonts w:ascii="宋体" w:hAnsi="宋体" w:eastAsia="宋体" w:cs="宋体"/>
          <w:spacing w:val="-12"/>
          <w:sz w:val="22"/>
          <w:szCs w:val="22"/>
          <w:highlight w:val="none"/>
          <w:u w:val="single" w:color="auto"/>
        </w:rPr>
        <w:t xml:space="preserve">       </w:t>
      </w:r>
      <w:r>
        <w:rPr>
          <w:rFonts w:ascii="宋体" w:hAnsi="宋体" w:eastAsia="宋体" w:cs="宋体"/>
          <w:spacing w:val="-12"/>
          <w:position w:val="2"/>
          <w:sz w:val="22"/>
          <w:szCs w:val="22"/>
          <w:highlight w:val="none"/>
        </w:rPr>
        <w:t>天内完成款项的</w:t>
      </w:r>
      <w:r>
        <w:rPr>
          <w:rFonts w:ascii="宋体" w:hAnsi="宋体" w:eastAsia="宋体" w:cs="宋体"/>
          <w:position w:val="2"/>
          <w:sz w:val="22"/>
          <w:szCs w:val="22"/>
          <w:highlight w:val="none"/>
        </w:rPr>
        <w:t xml:space="preserve"> </w:t>
      </w:r>
      <w:r>
        <w:rPr>
          <w:rFonts w:ascii="宋体" w:hAnsi="宋体" w:eastAsia="宋体" w:cs="宋体"/>
          <w:spacing w:val="-10"/>
          <w:sz w:val="22"/>
          <w:szCs w:val="22"/>
          <w:highlight w:val="none"/>
        </w:rPr>
        <w:t>支付。</w:t>
      </w:r>
    </w:p>
    <w:p w14:paraId="01DE9062">
      <w:pPr>
        <w:spacing w:line="375" w:lineRule="auto"/>
        <w:rPr>
          <w:rFonts w:ascii="宋体" w:hAnsi="宋体" w:eastAsia="宋体" w:cs="宋体"/>
          <w:sz w:val="22"/>
          <w:szCs w:val="22"/>
          <w:highlight w:val="none"/>
        </w:rPr>
        <w:sectPr>
          <w:footerReference r:id="rId160" w:type="default"/>
          <w:pgSz w:w="11910" w:h="16840"/>
          <w:pgMar w:top="400" w:right="1786" w:bottom="1229" w:left="1779" w:header="0" w:footer="943" w:gutter="0"/>
          <w:cols w:space="720" w:num="1"/>
        </w:sectPr>
      </w:pPr>
    </w:p>
    <w:p w14:paraId="61F81DE0">
      <w:pPr>
        <w:pStyle w:val="2"/>
        <w:spacing w:line="275" w:lineRule="auto"/>
        <w:rPr>
          <w:highlight w:val="none"/>
        </w:rPr>
      </w:pPr>
    </w:p>
    <w:p w14:paraId="0389C3C3">
      <w:pPr>
        <w:pStyle w:val="2"/>
        <w:spacing w:line="275" w:lineRule="auto"/>
        <w:rPr>
          <w:highlight w:val="none"/>
        </w:rPr>
      </w:pPr>
    </w:p>
    <w:p w14:paraId="6BE3111C">
      <w:pPr>
        <w:pStyle w:val="2"/>
        <w:spacing w:line="275" w:lineRule="auto"/>
        <w:rPr>
          <w:highlight w:val="none"/>
        </w:rPr>
      </w:pPr>
    </w:p>
    <w:p w14:paraId="75DD4764">
      <w:pPr>
        <w:pStyle w:val="2"/>
        <w:spacing w:line="276" w:lineRule="auto"/>
        <w:rPr>
          <w:highlight w:val="none"/>
        </w:rPr>
      </w:pPr>
    </w:p>
    <w:p w14:paraId="520763D3">
      <w:pPr>
        <w:spacing w:before="91" w:line="222" w:lineRule="auto"/>
        <w:outlineLvl w:val="1"/>
        <w:rPr>
          <w:rFonts w:ascii="黑体" w:hAnsi="黑体" w:eastAsia="黑体" w:cs="黑体"/>
          <w:sz w:val="28"/>
          <w:szCs w:val="28"/>
          <w:highlight w:val="none"/>
        </w:rPr>
      </w:pPr>
      <w:bookmarkStart w:id="145" w:name="bookmark85"/>
      <w:bookmarkEnd w:id="145"/>
      <w:bookmarkStart w:id="146" w:name="bookmark256"/>
      <w:bookmarkEnd w:id="146"/>
      <w:r>
        <w:rPr>
          <w:rFonts w:ascii="黑体" w:hAnsi="黑体" w:eastAsia="黑体" w:cs="黑体"/>
          <w:spacing w:val="49"/>
          <w:sz w:val="28"/>
          <w:szCs w:val="28"/>
          <w:highlight w:val="none"/>
        </w:rPr>
        <w:t>第18条保险</w:t>
      </w:r>
    </w:p>
    <w:p w14:paraId="5FD87D3F">
      <w:pPr>
        <w:pStyle w:val="2"/>
        <w:spacing w:line="352" w:lineRule="auto"/>
        <w:rPr>
          <w:highlight w:val="none"/>
        </w:rPr>
      </w:pPr>
    </w:p>
    <w:p w14:paraId="3B89103B">
      <w:pPr>
        <w:pStyle w:val="2"/>
        <w:spacing w:before="62" w:line="259" w:lineRule="exact"/>
        <w:rPr>
          <w:rFonts w:ascii="黑体" w:hAnsi="黑体" w:eastAsia="黑体" w:cs="黑体"/>
          <w:sz w:val="19"/>
          <w:szCs w:val="19"/>
          <w:highlight w:val="none"/>
        </w:rPr>
      </w:pPr>
      <w:r>
        <w:rPr>
          <w:spacing w:val="11"/>
          <w:position w:val="1"/>
          <w:sz w:val="19"/>
          <w:szCs w:val="19"/>
          <w:highlight w:val="none"/>
        </w:rPr>
        <w:t>18.1</w:t>
      </w:r>
      <w:r>
        <w:rPr>
          <w:spacing w:val="24"/>
          <w:position w:val="1"/>
          <w:sz w:val="19"/>
          <w:szCs w:val="19"/>
          <w:highlight w:val="none"/>
        </w:rPr>
        <w:t xml:space="preserve">  </w:t>
      </w:r>
      <w:r>
        <w:rPr>
          <w:rFonts w:ascii="黑体" w:hAnsi="黑体" w:eastAsia="黑体" w:cs="黑体"/>
          <w:spacing w:val="11"/>
          <w:position w:val="1"/>
          <w:sz w:val="19"/>
          <w:szCs w:val="19"/>
          <w:highlight w:val="none"/>
        </w:rPr>
        <w:t>设计和工程保险</w:t>
      </w:r>
    </w:p>
    <w:p w14:paraId="25B5A3BE">
      <w:pPr>
        <w:spacing w:before="226" w:line="184" w:lineRule="auto"/>
        <w:ind w:left="420"/>
        <w:rPr>
          <w:rFonts w:ascii="宋体" w:hAnsi="宋体" w:eastAsia="宋体" w:cs="宋体"/>
          <w:sz w:val="20"/>
          <w:szCs w:val="20"/>
          <w:highlight w:val="none"/>
        </w:rPr>
      </w:pPr>
      <w:r>
        <w:rPr>
          <w:highlight w:val="none"/>
        </w:rPr>
        <w:pict>
          <v:shape id="_x0000_s1056" o:spid="_x0000_s1056" o:spt="202" type="#_x0000_t202" style="position:absolute;left:0pt;margin-left:398.5pt;margin-top:11.5pt;height:39.1pt;width:4.5pt;z-index:251695104;mso-width-relative:page;mso-height-relative:page;" filled="f" stroked="f" coordsize="21600,21600">
            <v:path/>
            <v:fill on="f" focussize="0,0"/>
            <v:stroke on="f"/>
            <v:imagedata o:title=""/>
            <o:lock v:ext="edit" aspectratio="f"/>
            <v:textbox inset="0mm,0mm,0mm,0mm">
              <w:txbxContent>
                <w:p w14:paraId="14C4B9B7">
                  <w:pPr>
                    <w:pStyle w:val="2"/>
                    <w:tabs>
                      <w:tab w:val="left" w:pos="70"/>
                    </w:tabs>
                    <w:spacing w:before="20"/>
                    <w:ind w:left="20"/>
                  </w:pPr>
                  <w:r>
                    <w:rPr>
                      <w:u w:val="single" w:color="auto"/>
                    </w:rPr>
                    <w:tab/>
                  </w:r>
                </w:p>
                <w:p w14:paraId="23471B2B">
                  <w:pPr>
                    <w:pStyle w:val="2"/>
                    <w:tabs>
                      <w:tab w:val="left" w:pos="65"/>
                    </w:tabs>
                    <w:spacing w:before="238"/>
                    <w:ind w:left="20"/>
                  </w:pPr>
                  <w:r>
                    <w:rPr>
                      <w:u w:val="single" w:color="auto"/>
                    </w:rPr>
                    <w:tab/>
                  </w:r>
                </w:p>
              </w:txbxContent>
            </v:textbox>
          </v:shape>
        </w:pict>
      </w:r>
      <w:r>
        <w:rPr>
          <w:rFonts w:ascii="Times New Roman" w:hAnsi="Times New Roman" w:eastAsia="Times New Roman" w:cs="Times New Roman"/>
          <w:spacing w:val="2"/>
          <w:sz w:val="20"/>
          <w:szCs w:val="20"/>
          <w:highlight w:val="none"/>
        </w:rPr>
        <w:t xml:space="preserve">18.1.1    </w:t>
      </w:r>
      <w:r>
        <w:rPr>
          <w:rFonts w:ascii="宋体" w:hAnsi="宋体" w:eastAsia="宋体" w:cs="宋体"/>
          <w:spacing w:val="2"/>
          <w:sz w:val="20"/>
          <w:szCs w:val="20"/>
          <w:highlight w:val="none"/>
        </w:rPr>
        <w:t>双方当事人关于设计和工程保险的特别约定：</w:t>
      </w:r>
      <w:r>
        <w:rPr>
          <w:rFonts w:ascii="宋体" w:hAnsi="宋体" w:eastAsia="宋体" w:cs="宋体"/>
          <w:spacing w:val="69"/>
          <w:sz w:val="20"/>
          <w:szCs w:val="20"/>
          <w:highlight w:val="none"/>
        </w:rPr>
        <w:t xml:space="preserve"> </w:t>
      </w:r>
      <w:r>
        <w:rPr>
          <w:rFonts w:ascii="宋体" w:hAnsi="宋体" w:eastAsia="宋体" w:cs="宋体"/>
          <w:sz w:val="20"/>
          <w:szCs w:val="20"/>
          <w:highlight w:val="none"/>
          <w:u w:val="single" w:color="auto"/>
        </w:rPr>
        <w:t xml:space="preserve">                           </w:t>
      </w:r>
    </w:p>
    <w:p w14:paraId="768847D1">
      <w:pPr>
        <w:spacing w:before="280" w:line="184" w:lineRule="auto"/>
        <w:ind w:left="420"/>
        <w:rPr>
          <w:rFonts w:ascii="宋体" w:hAnsi="宋体" w:eastAsia="宋体" w:cs="宋体"/>
          <w:sz w:val="20"/>
          <w:szCs w:val="20"/>
          <w:highlight w:val="none"/>
        </w:rPr>
      </w:pPr>
      <w:r>
        <w:rPr>
          <w:rFonts w:ascii="Times New Roman" w:hAnsi="Times New Roman" w:eastAsia="Times New Roman" w:cs="Times New Roman"/>
          <w:spacing w:val="2"/>
          <w:sz w:val="20"/>
          <w:szCs w:val="20"/>
          <w:highlight w:val="none"/>
        </w:rPr>
        <w:t xml:space="preserve">18.1.2    </w:t>
      </w:r>
      <w:r>
        <w:rPr>
          <w:rFonts w:ascii="宋体" w:hAnsi="宋体" w:eastAsia="宋体" w:cs="宋体"/>
          <w:spacing w:val="2"/>
          <w:sz w:val="20"/>
          <w:szCs w:val="20"/>
          <w:highlight w:val="none"/>
        </w:rPr>
        <w:t>双方当事人关于第三</w:t>
      </w:r>
      <w:r>
        <w:rPr>
          <w:rFonts w:ascii="宋体" w:hAnsi="宋体" w:eastAsia="宋体" w:cs="宋体"/>
          <w:spacing w:val="1"/>
          <w:sz w:val="20"/>
          <w:szCs w:val="20"/>
          <w:highlight w:val="none"/>
        </w:rPr>
        <w:t>方责任险的特别约定：</w:t>
      </w:r>
      <w:r>
        <w:rPr>
          <w:rFonts w:ascii="宋体" w:hAnsi="宋体" w:eastAsia="宋体" w:cs="宋体"/>
          <w:spacing w:val="70"/>
          <w:sz w:val="20"/>
          <w:szCs w:val="20"/>
          <w:highlight w:val="none"/>
        </w:rPr>
        <w:t xml:space="preserve"> </w:t>
      </w:r>
      <w:r>
        <w:rPr>
          <w:rFonts w:ascii="宋体" w:hAnsi="宋体" w:eastAsia="宋体" w:cs="宋体"/>
          <w:sz w:val="20"/>
          <w:szCs w:val="20"/>
          <w:highlight w:val="none"/>
          <w:u w:val="single" w:color="auto"/>
        </w:rPr>
        <w:t xml:space="preserve">                             </w:t>
      </w:r>
    </w:p>
    <w:p w14:paraId="176BC81E">
      <w:pPr>
        <w:spacing w:before="271" w:line="219" w:lineRule="auto"/>
        <w:ind w:left="42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18.2</w:t>
      </w:r>
      <w:r>
        <w:rPr>
          <w:rFonts w:ascii="Times New Roman" w:hAnsi="Times New Roman" w:eastAsia="Times New Roman" w:cs="Times New Roman"/>
          <w:spacing w:val="23"/>
          <w:sz w:val="22"/>
          <w:szCs w:val="22"/>
          <w:highlight w:val="none"/>
        </w:rPr>
        <w:t xml:space="preserve">  </w:t>
      </w:r>
      <w:r>
        <w:rPr>
          <w:rFonts w:ascii="宋体" w:hAnsi="宋体" w:eastAsia="宋体" w:cs="宋体"/>
          <w:spacing w:val="-8"/>
          <w:sz w:val="22"/>
          <w:szCs w:val="22"/>
          <w:highlight w:val="none"/>
        </w:rPr>
        <w:t>工伤和意外伤害保险</w:t>
      </w:r>
    </w:p>
    <w:p w14:paraId="72168F9C">
      <w:pPr>
        <w:spacing w:before="239" w:line="219" w:lineRule="auto"/>
        <w:ind w:left="420"/>
        <w:rPr>
          <w:rFonts w:ascii="宋体" w:hAnsi="宋体" w:eastAsia="宋体" w:cs="宋体"/>
          <w:sz w:val="20"/>
          <w:szCs w:val="20"/>
          <w:highlight w:val="none"/>
        </w:rPr>
      </w:pPr>
      <w:r>
        <w:rPr>
          <w:rFonts w:ascii="宋体" w:hAnsi="宋体" w:eastAsia="宋体" w:cs="宋体"/>
          <w:spacing w:val="6"/>
          <w:sz w:val="20"/>
          <w:szCs w:val="20"/>
          <w:highlight w:val="none"/>
        </w:rPr>
        <w:t>18.2.3关于工伤保险和意外伤害保险的特别约定：</w:t>
      </w:r>
      <w:r>
        <w:rPr>
          <w:rFonts w:ascii="宋体" w:hAnsi="宋体" w:eastAsia="宋体" w:cs="宋体"/>
          <w:spacing w:val="39"/>
          <w:sz w:val="20"/>
          <w:szCs w:val="20"/>
          <w:highlight w:val="none"/>
        </w:rPr>
        <w:t xml:space="preserve"> </w:t>
      </w:r>
      <w:r>
        <w:rPr>
          <w:rFonts w:ascii="宋体" w:hAnsi="宋体" w:eastAsia="宋体" w:cs="宋体"/>
          <w:sz w:val="20"/>
          <w:szCs w:val="20"/>
          <w:highlight w:val="none"/>
          <w:u w:val="single" w:color="auto"/>
        </w:rPr>
        <w:t xml:space="preserve">                              </w:t>
      </w:r>
    </w:p>
    <w:p w14:paraId="5D63FDA3">
      <w:pPr>
        <w:pStyle w:val="2"/>
        <w:spacing w:line="279" w:lineRule="auto"/>
        <w:rPr>
          <w:highlight w:val="none"/>
        </w:rPr>
      </w:pPr>
    </w:p>
    <w:p w14:paraId="1DB19A33">
      <w:pPr>
        <w:pStyle w:val="2"/>
        <w:spacing w:before="72" w:line="300" w:lineRule="exact"/>
        <w:rPr>
          <w:rFonts w:ascii="黑体" w:hAnsi="黑体" w:eastAsia="黑体" w:cs="黑体"/>
          <w:sz w:val="22"/>
          <w:szCs w:val="22"/>
          <w:highlight w:val="none"/>
        </w:rPr>
      </w:pPr>
      <w:r>
        <w:rPr>
          <w:spacing w:val="-8"/>
          <w:position w:val="1"/>
          <w:sz w:val="22"/>
          <w:szCs w:val="22"/>
          <w:highlight w:val="none"/>
        </w:rPr>
        <w:t>18.3</w:t>
      </w:r>
      <w:r>
        <w:rPr>
          <w:spacing w:val="51"/>
          <w:position w:val="1"/>
          <w:sz w:val="22"/>
          <w:szCs w:val="22"/>
          <w:highlight w:val="none"/>
        </w:rPr>
        <w:t xml:space="preserve"> </w:t>
      </w:r>
      <w:r>
        <w:rPr>
          <w:rFonts w:ascii="黑体" w:hAnsi="黑体" w:eastAsia="黑体" w:cs="黑体"/>
          <w:spacing w:val="-8"/>
          <w:position w:val="1"/>
          <w:sz w:val="22"/>
          <w:szCs w:val="22"/>
          <w:highlight w:val="none"/>
        </w:rPr>
        <w:t>货物保险</w:t>
      </w:r>
    </w:p>
    <w:p w14:paraId="130A9CBC">
      <w:pPr>
        <w:spacing w:before="181" w:line="406" w:lineRule="auto"/>
        <w:ind w:right="15" w:firstLine="420"/>
        <w:rPr>
          <w:rFonts w:ascii="Times New Roman" w:hAnsi="Times New Roman" w:eastAsia="Times New Roman" w:cs="Times New Roman"/>
          <w:sz w:val="22"/>
          <w:szCs w:val="22"/>
          <w:highlight w:val="none"/>
        </w:rPr>
      </w:pPr>
      <w:r>
        <w:rPr>
          <w:rFonts w:ascii="宋体" w:hAnsi="宋体" w:eastAsia="宋体" w:cs="宋体"/>
          <w:sz w:val="22"/>
          <w:szCs w:val="22"/>
          <w:highlight w:val="none"/>
        </w:rPr>
        <w:t>关于承包人应为其施工设备、材料、工程设备和临</w:t>
      </w:r>
      <w:r>
        <w:rPr>
          <w:rFonts w:ascii="宋体" w:hAnsi="宋体" w:eastAsia="宋体" w:cs="宋体"/>
          <w:spacing w:val="-1"/>
          <w:sz w:val="22"/>
          <w:szCs w:val="22"/>
          <w:highlight w:val="none"/>
        </w:rPr>
        <w:t>时工程等办理财产保险的特别约</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定：</w:t>
      </w:r>
      <w:r>
        <w:rPr>
          <w:rFonts w:ascii="宋体" w:hAnsi="宋体" w:eastAsia="宋体" w:cs="宋体"/>
          <w:sz w:val="22"/>
          <w:szCs w:val="22"/>
          <w:highlight w:val="none"/>
          <w:u w:val="single" w:color="auto"/>
        </w:rPr>
        <w:t xml:space="preserve">                  </w:t>
      </w:r>
      <w:r>
        <w:rPr>
          <w:rFonts w:ascii="宋体" w:hAnsi="宋体" w:eastAsia="宋体" w:cs="宋体"/>
          <w:spacing w:val="-81"/>
          <w:sz w:val="22"/>
          <w:szCs w:val="22"/>
          <w:highlight w:val="none"/>
        </w:rPr>
        <w:t xml:space="preserve"> </w:t>
      </w:r>
      <w:r>
        <w:rPr>
          <w:rFonts w:ascii="Times New Roman" w:hAnsi="Times New Roman" w:eastAsia="Times New Roman" w:cs="Times New Roman"/>
          <w:spacing w:val="-7"/>
          <w:sz w:val="22"/>
          <w:szCs w:val="22"/>
          <w:highlight w:val="none"/>
        </w:rPr>
        <w:t>o</w:t>
      </w:r>
    </w:p>
    <w:p w14:paraId="02095400">
      <w:pPr>
        <w:spacing w:before="182" w:line="222" w:lineRule="auto"/>
        <w:rPr>
          <w:rFonts w:ascii="黑体" w:hAnsi="黑体" w:eastAsia="黑体" w:cs="黑体"/>
          <w:sz w:val="22"/>
          <w:szCs w:val="22"/>
          <w:highlight w:val="none"/>
        </w:rPr>
      </w:pPr>
      <w:r>
        <w:rPr>
          <w:rFonts w:ascii="黑体" w:hAnsi="黑体" w:eastAsia="黑体" w:cs="黑体"/>
          <w:spacing w:val="3"/>
          <w:sz w:val="22"/>
          <w:szCs w:val="22"/>
          <w:highlight w:val="none"/>
        </w:rPr>
        <w:t>18.4其他保险</w:t>
      </w:r>
    </w:p>
    <w:sdt>
      <w:sdtPr>
        <w:rPr>
          <w:rFonts w:ascii="宋体" w:hAnsi="宋体" w:eastAsia="宋体" w:cs="宋体"/>
          <w:sz w:val="22"/>
          <w:szCs w:val="22"/>
          <w:highlight w:val="none"/>
        </w:rPr>
        <w:id w:val="147479513"/>
        <w:docPartObj>
          <w:docPartGallery w:val="Table of Contents"/>
          <w:docPartUnique/>
        </w:docPartObj>
      </w:sdtPr>
      <w:sdtEndPr>
        <w:rPr>
          <w:rFonts w:ascii="Times New Roman" w:hAnsi="Times New Roman" w:eastAsia="Times New Roman" w:cs="Times New Roman"/>
          <w:position w:val="1"/>
          <w:sz w:val="7"/>
          <w:szCs w:val="7"/>
          <w:highlight w:val="none"/>
        </w:rPr>
      </w:sdtEndPr>
      <w:sdtContent>
        <w:p w14:paraId="35080CAD">
          <w:pPr>
            <w:spacing w:before="180" w:line="212" w:lineRule="auto"/>
            <w:ind w:left="420"/>
            <w:rPr>
              <w:rFonts w:ascii="Times New Roman" w:hAnsi="Times New Roman" w:eastAsia="Times New Roman" w:cs="Times New Roman"/>
              <w:sz w:val="22"/>
              <w:szCs w:val="22"/>
              <w:highlight w:val="none"/>
            </w:rPr>
          </w:pPr>
          <w:r>
            <w:rPr>
              <w:rFonts w:ascii="宋体" w:hAnsi="宋体" w:eastAsia="宋体" w:cs="宋体"/>
              <w:spacing w:val="-5"/>
              <w:sz w:val="22"/>
              <w:szCs w:val="22"/>
              <w:highlight w:val="none"/>
            </w:rPr>
            <w:t>关于其他保险的约定</w:t>
          </w:r>
          <w:r>
            <w:rPr>
              <w:rFonts w:ascii="宋体" w:hAnsi="宋体" w:eastAsia="宋体" w:cs="宋体"/>
              <w:spacing w:val="-5"/>
              <w:sz w:val="22"/>
              <w:szCs w:val="22"/>
              <w:highlight w:val="none"/>
              <w:u w:val="single" w:color="auto"/>
            </w:rPr>
            <w:t xml:space="preserve">：                     </w:t>
          </w:r>
          <w:r>
            <w:rPr>
              <w:rFonts w:ascii="宋体" w:hAnsi="宋体" w:eastAsia="宋体" w:cs="宋体"/>
              <w:spacing w:val="-6"/>
              <w:sz w:val="22"/>
              <w:szCs w:val="22"/>
              <w:highlight w:val="none"/>
              <w:u w:val="single" w:color="auto"/>
            </w:rPr>
            <w:t xml:space="preserve">        </w:t>
          </w:r>
          <w:r>
            <w:rPr>
              <w:rFonts w:ascii="Times New Roman" w:hAnsi="Times New Roman" w:eastAsia="Times New Roman" w:cs="Times New Roman"/>
              <w:spacing w:val="-6"/>
              <w:sz w:val="22"/>
              <w:szCs w:val="22"/>
              <w:highlight w:val="none"/>
            </w:rPr>
            <w:t>_o</w:t>
          </w:r>
        </w:p>
        <w:p w14:paraId="694AF0BF">
          <w:pPr>
            <w:pStyle w:val="2"/>
            <w:spacing w:line="297" w:lineRule="auto"/>
            <w:rPr>
              <w:highlight w:val="none"/>
            </w:rPr>
          </w:pPr>
        </w:p>
        <w:p w14:paraId="0250BB12">
          <w:pPr>
            <w:pStyle w:val="2"/>
            <w:spacing w:before="72" w:line="300" w:lineRule="exact"/>
            <w:rPr>
              <w:rFonts w:ascii="黑体" w:hAnsi="黑体" w:eastAsia="黑体" w:cs="黑体"/>
              <w:sz w:val="22"/>
              <w:szCs w:val="22"/>
              <w:highlight w:val="none"/>
            </w:rPr>
          </w:pPr>
          <w:r>
            <w:rPr>
              <w:spacing w:val="-8"/>
              <w:position w:val="1"/>
              <w:sz w:val="22"/>
              <w:szCs w:val="22"/>
              <w:highlight w:val="none"/>
            </w:rPr>
            <w:t>18.5</w:t>
          </w:r>
          <w:r>
            <w:rPr>
              <w:spacing w:val="51"/>
              <w:position w:val="1"/>
              <w:sz w:val="22"/>
              <w:szCs w:val="22"/>
              <w:highlight w:val="none"/>
            </w:rPr>
            <w:t xml:space="preserve"> </w:t>
          </w:r>
          <w:r>
            <w:rPr>
              <w:rFonts w:ascii="黑体" w:hAnsi="黑体" w:eastAsia="黑体" w:cs="黑体"/>
              <w:spacing w:val="-8"/>
              <w:position w:val="1"/>
              <w:sz w:val="22"/>
              <w:szCs w:val="22"/>
              <w:highlight w:val="none"/>
            </w:rPr>
            <w:t>对各项保险的一般要求</w:t>
          </w:r>
        </w:p>
        <w:p w14:paraId="5E4FD2AE">
          <w:pPr>
            <w:spacing w:before="222" w:line="219" w:lineRule="auto"/>
            <w:ind w:left="420"/>
            <w:rPr>
              <w:rFonts w:ascii="宋体" w:hAnsi="宋体" w:eastAsia="宋体" w:cs="宋体"/>
              <w:sz w:val="22"/>
              <w:szCs w:val="22"/>
              <w:highlight w:val="none"/>
            </w:rPr>
          </w:pPr>
          <w:r>
            <w:rPr>
              <w:rFonts w:ascii="宋体" w:hAnsi="宋体" w:eastAsia="宋体" w:cs="宋体"/>
              <w:spacing w:val="1"/>
              <w:sz w:val="22"/>
              <w:szCs w:val="22"/>
              <w:highlight w:val="none"/>
            </w:rPr>
            <w:t>18.5.2保险凭证</w:t>
          </w:r>
        </w:p>
        <w:p w14:paraId="0A3B1005">
          <w:pPr>
            <w:spacing w:before="239" w:line="219" w:lineRule="auto"/>
            <w:ind w:left="420"/>
            <w:rPr>
              <w:rFonts w:ascii="Times New Roman" w:hAnsi="Times New Roman" w:eastAsia="Times New Roman" w:cs="Times New Roman"/>
              <w:sz w:val="7"/>
              <w:szCs w:val="7"/>
              <w:highlight w:val="none"/>
            </w:rPr>
          </w:pPr>
          <w:r>
            <w:rPr>
              <w:rFonts w:ascii="宋体" w:hAnsi="宋体" w:eastAsia="宋体" w:cs="宋体"/>
              <w:spacing w:val="-5"/>
              <w:sz w:val="22"/>
              <w:szCs w:val="22"/>
              <w:highlight w:val="none"/>
            </w:rPr>
            <w:t>保险单的条件：</w:t>
          </w:r>
          <w:r>
            <w:rPr>
              <w:rFonts w:ascii="宋体" w:hAnsi="宋体" w:eastAsia="宋体" w:cs="宋体"/>
              <w:spacing w:val="-5"/>
              <w:sz w:val="22"/>
              <w:szCs w:val="22"/>
              <w:highlight w:val="none"/>
              <w:u w:val="single" w:color="auto"/>
            </w:rPr>
            <w:t xml:space="preserve">               </w:t>
          </w:r>
          <w:r>
            <w:rPr>
              <w:rFonts w:ascii="宋体" w:hAnsi="宋体" w:eastAsia="宋体" w:cs="宋体"/>
              <w:spacing w:val="-6"/>
              <w:sz w:val="22"/>
              <w:szCs w:val="22"/>
              <w:highlight w:val="none"/>
              <w:u w:val="single" w:color="auto"/>
            </w:rPr>
            <w:t xml:space="preserve">                     </w:t>
          </w:r>
          <w:r>
            <w:rPr>
              <w:highlight w:val="none"/>
            </w:rPr>
            <w:fldChar w:fldCharType="begin"/>
          </w:r>
          <w:r>
            <w:rPr>
              <w:highlight w:val="none"/>
            </w:rPr>
            <w:instrText xml:space="preserve"> HYPERLINK \l "bookmark257" </w:instrText>
          </w:r>
          <w:r>
            <w:rPr>
              <w:highlight w:val="none"/>
            </w:rPr>
            <w:fldChar w:fldCharType="separate"/>
          </w:r>
          <w:r>
            <w:rPr>
              <w:rFonts w:ascii="Times New Roman" w:hAnsi="Times New Roman" w:eastAsia="Times New Roman" w:cs="Times New Roman"/>
              <w:spacing w:val="-6"/>
              <w:position w:val="2"/>
              <w:sz w:val="7"/>
              <w:szCs w:val="7"/>
              <w:highlight w:val="none"/>
            </w:rPr>
            <w:t>0</w:t>
          </w:r>
          <w:r>
            <w:rPr>
              <w:rFonts w:ascii="Times New Roman" w:hAnsi="Times New Roman" w:eastAsia="Times New Roman" w:cs="Times New Roman"/>
              <w:spacing w:val="-6"/>
              <w:position w:val="2"/>
              <w:sz w:val="7"/>
              <w:szCs w:val="7"/>
              <w:highlight w:val="none"/>
            </w:rPr>
            <w:fldChar w:fldCharType="end"/>
          </w:r>
        </w:p>
      </w:sdtContent>
    </w:sdt>
    <w:p w14:paraId="229916B9">
      <w:pPr>
        <w:spacing w:before="218" w:line="219" w:lineRule="auto"/>
        <w:ind w:left="420"/>
        <w:rPr>
          <w:rFonts w:ascii="宋体" w:hAnsi="宋体" w:eastAsia="宋体" w:cs="宋体"/>
          <w:sz w:val="20"/>
          <w:szCs w:val="20"/>
          <w:highlight w:val="none"/>
        </w:rPr>
      </w:pPr>
      <w:r>
        <w:rPr>
          <w:rFonts w:ascii="宋体" w:hAnsi="宋体" w:eastAsia="宋体" w:cs="宋体"/>
          <w:spacing w:val="15"/>
          <w:sz w:val="20"/>
          <w:szCs w:val="20"/>
          <w:highlight w:val="none"/>
        </w:rPr>
        <w:t>18.5.4通知义务</w:t>
      </w:r>
    </w:p>
    <w:p w14:paraId="53E3AE27">
      <w:pPr>
        <w:spacing w:before="263" w:line="184" w:lineRule="auto"/>
        <w:ind w:left="420"/>
        <w:rPr>
          <w:rFonts w:ascii="宋体" w:hAnsi="宋体" w:eastAsia="宋体" w:cs="宋体"/>
          <w:sz w:val="20"/>
          <w:szCs w:val="20"/>
          <w:highlight w:val="none"/>
        </w:rPr>
      </w:pPr>
      <w:r>
        <w:rPr>
          <w:highlight w:val="none"/>
        </w:rPr>
        <w:pict>
          <v:shape id="_x0000_s1057" o:spid="_x0000_s1057" o:spt="202" type="#_x0000_t202" style="position:absolute;left:0pt;margin-left:289pt;margin-top:16.7pt;height:6.5pt;width:5.1pt;z-index:251696128;mso-width-relative:page;mso-height-relative:page;" filled="f" stroked="f" coordsize="21600,21600">
            <v:path/>
            <v:fill on="f" focussize="0,0"/>
            <v:stroke on="f"/>
            <v:imagedata o:title=""/>
            <o:lock v:ext="edit" aspectratio="f"/>
            <v:textbox inset="0mm,0mm,0mm,0mm">
              <w:txbxContent>
                <w:p w14:paraId="3AF30FFB">
                  <w:pPr>
                    <w:spacing w:before="19" w:line="237" w:lineRule="auto"/>
                    <w:ind w:left="20"/>
                    <w:rPr>
                      <w:rFonts w:ascii="宋体" w:hAnsi="宋体" w:eastAsia="宋体" w:cs="宋体"/>
                      <w:sz w:val="7"/>
                      <w:szCs w:val="7"/>
                    </w:rPr>
                  </w:pPr>
                  <w:r>
                    <w:rPr>
                      <w:rFonts w:ascii="宋体" w:hAnsi="宋体" w:eastAsia="宋体" w:cs="宋体"/>
                      <w:sz w:val="7"/>
                      <w:szCs w:val="7"/>
                    </w:rPr>
                    <w:t>◎</w:t>
                  </w:r>
                </w:p>
              </w:txbxContent>
            </v:textbox>
          </v:shape>
        </w:pict>
      </w:r>
      <w:r>
        <w:rPr>
          <w:rFonts w:ascii="宋体" w:hAnsi="宋体" w:eastAsia="宋体" w:cs="宋体"/>
          <w:spacing w:val="2"/>
          <w:sz w:val="20"/>
          <w:szCs w:val="20"/>
          <w:highlight w:val="none"/>
        </w:rPr>
        <w:t>关于变更保险合同时的通知义务的约定：</w:t>
      </w:r>
      <w:r>
        <w:rPr>
          <w:rFonts w:ascii="宋体" w:hAnsi="宋体" w:eastAsia="宋体" w:cs="宋体"/>
          <w:spacing w:val="53"/>
          <w:sz w:val="20"/>
          <w:szCs w:val="20"/>
          <w:highlight w:val="none"/>
        </w:rPr>
        <w:t xml:space="preserve"> </w:t>
      </w:r>
      <w:r>
        <w:rPr>
          <w:rFonts w:ascii="宋体" w:hAnsi="宋体" w:eastAsia="宋体" w:cs="宋体"/>
          <w:sz w:val="20"/>
          <w:szCs w:val="20"/>
          <w:highlight w:val="none"/>
          <w:u w:val="single" w:color="auto"/>
        </w:rPr>
        <w:t xml:space="preserve">                </w:t>
      </w:r>
    </w:p>
    <w:p w14:paraId="1A275B14">
      <w:pPr>
        <w:spacing w:before="332" w:line="222" w:lineRule="auto"/>
        <w:outlineLvl w:val="1"/>
        <w:rPr>
          <w:rFonts w:ascii="黑体" w:hAnsi="黑体" w:eastAsia="黑体" w:cs="黑体"/>
          <w:sz w:val="28"/>
          <w:szCs w:val="28"/>
          <w:highlight w:val="none"/>
        </w:rPr>
      </w:pPr>
      <w:bookmarkStart w:id="147" w:name="bookmark86"/>
      <w:bookmarkEnd w:id="147"/>
      <w:r>
        <w:rPr>
          <w:rFonts w:ascii="黑体" w:hAnsi="黑体" w:eastAsia="黑体" w:cs="黑体"/>
          <w:spacing w:val="39"/>
          <w:sz w:val="28"/>
          <w:szCs w:val="28"/>
          <w:highlight w:val="none"/>
        </w:rPr>
        <w:t>第20条争议解决</w:t>
      </w:r>
    </w:p>
    <w:p w14:paraId="1ADA7460">
      <w:pPr>
        <w:pStyle w:val="2"/>
        <w:spacing w:line="347" w:lineRule="auto"/>
        <w:rPr>
          <w:highlight w:val="none"/>
        </w:rPr>
      </w:pPr>
    </w:p>
    <w:p w14:paraId="277B4F3A">
      <w:pPr>
        <w:spacing w:before="72" w:line="222" w:lineRule="auto"/>
        <w:rPr>
          <w:rFonts w:ascii="黑体" w:hAnsi="黑体" w:eastAsia="黑体" w:cs="黑体"/>
          <w:sz w:val="22"/>
          <w:szCs w:val="22"/>
          <w:highlight w:val="none"/>
        </w:rPr>
      </w:pPr>
      <w:r>
        <w:rPr>
          <w:rFonts w:ascii="黑体" w:hAnsi="黑体" w:eastAsia="黑体" w:cs="黑体"/>
          <w:spacing w:val="4"/>
          <w:sz w:val="22"/>
          <w:szCs w:val="22"/>
          <w:highlight w:val="none"/>
        </w:rPr>
        <w:t>20.3争议评审</w:t>
      </w:r>
    </w:p>
    <w:p w14:paraId="35135D49">
      <w:pPr>
        <w:spacing w:before="217" w:line="184" w:lineRule="auto"/>
        <w:ind w:left="420"/>
        <w:rPr>
          <w:rFonts w:ascii="宋体" w:hAnsi="宋体" w:eastAsia="宋体" w:cs="宋体"/>
          <w:sz w:val="22"/>
          <w:szCs w:val="22"/>
          <w:highlight w:val="none"/>
        </w:rPr>
      </w:pPr>
      <w:r>
        <w:rPr>
          <w:highlight w:val="none"/>
        </w:rPr>
        <w:pict>
          <v:shape id="_x0000_s1058" o:spid="_x0000_s1058" o:spt="202" type="#_x0000_t202" style="position:absolute;left:0pt;margin-left:383.5pt;margin-top:17.75pt;height:4.25pt;width:3.6pt;z-index:251697152;mso-width-relative:page;mso-height-relative:page;" filled="f" stroked="f" coordsize="21600,21600">
            <v:path/>
            <v:fill on="f" focussize="0,0"/>
            <v:stroke on="f"/>
            <v:imagedata o:title=""/>
            <o:lock v:ext="edit" aspectratio="f"/>
            <v:textbox inset="0mm,0mm,0mm,0mm">
              <w:txbxContent>
                <w:p w14:paraId="42EF3322">
                  <w:pPr>
                    <w:pStyle w:val="2"/>
                    <w:spacing w:before="20" w:line="44" w:lineRule="exact"/>
                    <w:ind w:left="20"/>
                    <w:rPr>
                      <w:sz w:val="6"/>
                      <w:szCs w:val="6"/>
                    </w:rPr>
                  </w:pPr>
                  <w:r>
                    <w:rPr>
                      <w:sz w:val="6"/>
                      <w:szCs w:val="6"/>
                    </w:rPr>
                    <w:t>o</w:t>
                  </w:r>
                </w:p>
              </w:txbxContent>
            </v:textbox>
          </v:shape>
        </w:pict>
      </w:r>
      <w:r>
        <w:rPr>
          <w:rFonts w:ascii="宋体" w:hAnsi="宋体" w:eastAsia="宋体" w:cs="宋体"/>
          <w:spacing w:val="-10"/>
          <w:sz w:val="22"/>
          <w:szCs w:val="22"/>
          <w:highlight w:val="none"/>
        </w:rPr>
        <w:t xml:space="preserve">合同当事人是否同意将工程争议提交争议评审小组决定： </w:t>
      </w:r>
      <w:r>
        <w:rPr>
          <w:rFonts w:ascii="宋体" w:hAnsi="宋体" w:eastAsia="宋体" w:cs="宋体"/>
          <w:spacing w:val="1"/>
          <w:sz w:val="22"/>
          <w:szCs w:val="22"/>
          <w:highlight w:val="none"/>
          <w:u w:val="single" w:color="auto"/>
        </w:rPr>
        <w:t xml:space="preserve">                  </w:t>
      </w:r>
    </w:p>
    <w:sdt>
      <w:sdtPr>
        <w:rPr>
          <w:rFonts w:ascii="Arial" w:hAnsi="Arial" w:eastAsia="Arial" w:cs="Arial"/>
          <w:sz w:val="21"/>
          <w:szCs w:val="21"/>
          <w:highlight w:val="none"/>
        </w:rPr>
        <w:id w:val="147483139"/>
        <w:docPartObj>
          <w:docPartGallery w:val="Table of Contents"/>
          <w:docPartUnique/>
        </w:docPartObj>
      </w:sdtPr>
      <w:sdtEndPr>
        <w:rPr>
          <w:rFonts w:ascii="Times New Roman" w:hAnsi="Times New Roman" w:eastAsia="Times New Roman" w:cs="Times New Roman"/>
          <w:sz w:val="20"/>
          <w:szCs w:val="20"/>
          <w:highlight w:val="none"/>
        </w:rPr>
      </w:sdtEndPr>
      <w:sdtContent>
        <w:p w14:paraId="37FB1E86">
          <w:pPr>
            <w:spacing w:before="271"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20.3.1</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5"/>
              <w:sz w:val="22"/>
              <w:szCs w:val="22"/>
              <w:highlight w:val="none"/>
            </w:rPr>
            <w:t>争议评审小组的确定</w:t>
          </w:r>
        </w:p>
        <w:p w14:paraId="484ACC2E">
          <w:pPr>
            <w:spacing w:before="79" w:line="219" w:lineRule="auto"/>
            <w:ind w:left="420"/>
            <w:rPr>
              <w:rFonts w:ascii="Times New Roman" w:hAnsi="Times New Roman" w:eastAsia="Times New Roman" w:cs="Times New Roman"/>
              <w:sz w:val="22"/>
              <w:szCs w:val="22"/>
              <w:highlight w:val="none"/>
            </w:rPr>
          </w:pPr>
          <w:r>
            <w:rPr>
              <w:rFonts w:ascii="宋体" w:hAnsi="宋体" w:eastAsia="宋体" w:cs="宋体"/>
              <w:spacing w:val="-6"/>
              <w:sz w:val="22"/>
              <w:szCs w:val="22"/>
              <w:highlight w:val="none"/>
            </w:rPr>
            <w:t>争议评审小组成员的人数：</w:t>
          </w:r>
          <w:r>
            <w:rPr>
              <w:rFonts w:ascii="宋体" w:hAnsi="宋体" w:eastAsia="宋体" w:cs="宋体"/>
              <w:spacing w:val="-6"/>
              <w:sz w:val="22"/>
              <w:szCs w:val="22"/>
              <w:highlight w:val="none"/>
              <w:u w:val="single" w:color="auto"/>
            </w:rPr>
            <w:t xml:space="preserve">                   </w:t>
          </w:r>
          <w:r>
            <w:rPr>
              <w:rFonts w:ascii="宋体" w:hAnsi="宋体" w:eastAsia="宋体" w:cs="宋体"/>
              <w:spacing w:val="-7"/>
              <w:sz w:val="22"/>
              <w:szCs w:val="22"/>
              <w:highlight w:val="none"/>
              <w:u w:val="single" w:color="auto"/>
            </w:rPr>
            <w:t xml:space="preserve">       </w:t>
          </w:r>
          <w:r>
            <w:rPr>
              <w:highlight w:val="none"/>
            </w:rPr>
            <w:fldChar w:fldCharType="begin"/>
          </w:r>
          <w:r>
            <w:rPr>
              <w:highlight w:val="none"/>
            </w:rPr>
            <w:instrText xml:space="preserve"> HYPERLINK \l "bookmark258" </w:instrText>
          </w:r>
          <w:r>
            <w:rPr>
              <w:highlight w:val="none"/>
            </w:rPr>
            <w:fldChar w:fldCharType="separate"/>
          </w:r>
          <w:r>
            <w:rPr>
              <w:rFonts w:ascii="Times New Roman" w:hAnsi="Times New Roman" w:eastAsia="Times New Roman" w:cs="Times New Roman"/>
              <w:spacing w:val="-7"/>
              <w:sz w:val="22"/>
              <w:szCs w:val="22"/>
              <w:highlight w:val="none"/>
            </w:rPr>
            <w:t>0</w:t>
          </w:r>
          <w:r>
            <w:rPr>
              <w:rFonts w:ascii="Times New Roman" w:hAnsi="Times New Roman" w:eastAsia="Times New Roman" w:cs="Times New Roman"/>
              <w:spacing w:val="-7"/>
              <w:sz w:val="22"/>
              <w:szCs w:val="22"/>
              <w:highlight w:val="none"/>
            </w:rPr>
            <w:fldChar w:fldCharType="end"/>
          </w:r>
        </w:p>
        <w:p w14:paraId="78070027">
          <w:pPr>
            <w:spacing w:before="249" w:line="219" w:lineRule="auto"/>
            <w:ind w:left="420"/>
            <w:rPr>
              <w:rFonts w:ascii="Times New Roman" w:hAnsi="Times New Roman" w:eastAsia="Times New Roman" w:cs="Times New Roman"/>
              <w:sz w:val="22"/>
              <w:szCs w:val="22"/>
              <w:highlight w:val="none"/>
            </w:rPr>
          </w:pPr>
          <w:r>
            <w:rPr>
              <w:rFonts w:ascii="宋体" w:hAnsi="宋体" w:eastAsia="宋体" w:cs="宋体"/>
              <w:spacing w:val="-12"/>
              <w:sz w:val="22"/>
              <w:szCs w:val="22"/>
              <w:highlight w:val="none"/>
            </w:rPr>
            <w:t>争议评审小组成员的确定：</w:t>
          </w:r>
          <w:r>
            <w:rPr>
              <w:rFonts w:ascii="宋体" w:hAnsi="宋体" w:eastAsia="宋体" w:cs="宋体"/>
              <w:spacing w:val="1"/>
              <w:sz w:val="22"/>
              <w:szCs w:val="22"/>
              <w:highlight w:val="none"/>
              <w:u w:val="single" w:color="auto"/>
            </w:rPr>
            <w:t xml:space="preserve">                       </w:t>
          </w:r>
          <w:r>
            <w:rPr>
              <w:rFonts w:ascii="宋体" w:hAnsi="宋体" w:eastAsia="宋体" w:cs="宋体"/>
              <w:sz w:val="22"/>
              <w:szCs w:val="22"/>
              <w:highlight w:val="none"/>
              <w:u w:val="single" w:color="auto"/>
            </w:rPr>
            <w:t xml:space="preserve">  </w:t>
          </w:r>
          <w:r>
            <w:rPr>
              <w:rFonts w:ascii="宋体" w:hAnsi="宋体" w:eastAsia="宋体" w:cs="宋体"/>
              <w:spacing w:val="-109"/>
              <w:sz w:val="22"/>
              <w:szCs w:val="22"/>
              <w:highlight w:val="none"/>
            </w:rPr>
            <w:t xml:space="preserve"> </w:t>
          </w:r>
          <w:r>
            <w:rPr>
              <w:highlight w:val="none"/>
            </w:rPr>
            <w:fldChar w:fldCharType="begin"/>
          </w:r>
          <w:r>
            <w:rPr>
              <w:highlight w:val="none"/>
            </w:rPr>
            <w:instrText xml:space="preserve"> HYPERLINK \l "bookmark242" </w:instrText>
          </w:r>
          <w:r>
            <w:rPr>
              <w:highlight w:val="none"/>
            </w:rPr>
            <w:fldChar w:fldCharType="separate"/>
          </w:r>
          <w:r>
            <w:rPr>
              <w:rFonts w:ascii="Times New Roman" w:hAnsi="Times New Roman" w:eastAsia="Times New Roman" w:cs="Times New Roman"/>
              <w:spacing w:val="-12"/>
              <w:sz w:val="22"/>
              <w:szCs w:val="22"/>
              <w:highlight w:val="none"/>
            </w:rPr>
            <w:t>0</w:t>
          </w:r>
          <w:r>
            <w:rPr>
              <w:rFonts w:ascii="Times New Roman" w:hAnsi="Times New Roman" w:eastAsia="Times New Roman" w:cs="Times New Roman"/>
              <w:spacing w:val="-12"/>
              <w:sz w:val="22"/>
              <w:szCs w:val="22"/>
              <w:highlight w:val="none"/>
            </w:rPr>
            <w:fldChar w:fldCharType="end"/>
          </w:r>
        </w:p>
        <w:p w14:paraId="553C63A6">
          <w:pPr>
            <w:spacing w:before="250" w:line="213" w:lineRule="auto"/>
            <w:ind w:left="420"/>
            <w:rPr>
              <w:rFonts w:ascii="宋体" w:hAnsi="宋体" w:eastAsia="宋体" w:cs="宋体"/>
              <w:sz w:val="20"/>
              <w:szCs w:val="20"/>
              <w:highlight w:val="none"/>
            </w:rPr>
          </w:pPr>
          <w:r>
            <w:rPr>
              <w:rFonts w:ascii="宋体" w:hAnsi="宋体" w:eastAsia="宋体" w:cs="宋体"/>
              <w:spacing w:val="1"/>
              <w:sz w:val="20"/>
              <w:szCs w:val="20"/>
              <w:highlight w:val="none"/>
            </w:rPr>
            <w:t xml:space="preserve">选定争议避免/评审组的期限： </w:t>
          </w:r>
          <w:r>
            <w:rPr>
              <w:rFonts w:ascii="宋体" w:hAnsi="宋体" w:eastAsia="宋体" w:cs="宋体"/>
              <w:spacing w:val="1"/>
              <w:sz w:val="20"/>
              <w:szCs w:val="20"/>
              <w:highlight w:val="none"/>
              <w:u w:val="single" w:color="auto"/>
            </w:rPr>
            <w:t xml:space="preserve">                        </w:t>
          </w:r>
          <w:r>
            <w:rPr>
              <w:rFonts w:ascii="宋体" w:hAnsi="宋体" w:eastAsia="宋体" w:cs="宋体"/>
              <w:spacing w:val="1"/>
              <w:sz w:val="20"/>
              <w:szCs w:val="20"/>
              <w:highlight w:val="none"/>
            </w:rPr>
            <w:t>_</w:t>
          </w:r>
        </w:p>
        <w:p w14:paraId="4D2B3EC8">
          <w:pPr>
            <w:spacing w:before="256" w:line="219" w:lineRule="auto"/>
            <w:ind w:left="420"/>
            <w:rPr>
              <w:rFonts w:ascii="Times New Roman" w:hAnsi="Times New Roman" w:eastAsia="Times New Roman" w:cs="Times New Roman"/>
              <w:sz w:val="22"/>
              <w:szCs w:val="22"/>
              <w:highlight w:val="none"/>
            </w:rPr>
          </w:pPr>
          <w:r>
            <w:rPr>
              <w:rFonts w:ascii="宋体" w:hAnsi="宋体" w:eastAsia="宋体" w:cs="宋体"/>
              <w:spacing w:val="-9"/>
              <w:sz w:val="22"/>
              <w:szCs w:val="22"/>
              <w:highlight w:val="none"/>
            </w:rPr>
            <w:t>评审机构：</w:t>
          </w:r>
          <w:r>
            <w:rPr>
              <w:rFonts w:ascii="宋体" w:hAnsi="宋体" w:eastAsia="宋体" w:cs="宋体"/>
              <w:spacing w:val="1"/>
              <w:sz w:val="22"/>
              <w:szCs w:val="22"/>
              <w:highlight w:val="none"/>
              <w:u w:val="single" w:color="auto"/>
            </w:rPr>
            <w:t xml:space="preserve">                               </w:t>
          </w:r>
          <w:r>
            <w:rPr>
              <w:rFonts w:ascii="宋体" w:hAnsi="宋体" w:eastAsia="宋体" w:cs="宋体"/>
              <w:sz w:val="22"/>
              <w:szCs w:val="22"/>
              <w:highlight w:val="none"/>
              <w:u w:val="single" w:color="auto"/>
            </w:rPr>
            <w:t xml:space="preserve">       </w:t>
          </w:r>
          <w:r>
            <w:rPr>
              <w:rFonts w:ascii="宋体" w:hAnsi="宋体" w:eastAsia="宋体" w:cs="宋体"/>
              <w:spacing w:val="-109"/>
              <w:sz w:val="22"/>
              <w:szCs w:val="22"/>
              <w:highlight w:val="none"/>
            </w:rPr>
            <w:t xml:space="preserve"> </w:t>
          </w:r>
          <w:r>
            <w:rPr>
              <w:highlight w:val="none"/>
            </w:rPr>
            <w:fldChar w:fldCharType="begin"/>
          </w:r>
          <w:r>
            <w:rPr>
              <w:highlight w:val="none"/>
            </w:rPr>
            <w:instrText xml:space="preserve"> HYPERLINK \l "bookmark247" </w:instrText>
          </w:r>
          <w:r>
            <w:rPr>
              <w:highlight w:val="none"/>
            </w:rPr>
            <w:fldChar w:fldCharType="separate"/>
          </w:r>
          <w:r>
            <w:rPr>
              <w:rFonts w:ascii="Times New Roman" w:hAnsi="Times New Roman" w:eastAsia="Times New Roman" w:cs="Times New Roman"/>
              <w:spacing w:val="-9"/>
              <w:sz w:val="22"/>
              <w:szCs w:val="22"/>
              <w:highlight w:val="none"/>
            </w:rPr>
            <w:t>0</w:t>
          </w:r>
          <w:r>
            <w:rPr>
              <w:rFonts w:ascii="Times New Roman" w:hAnsi="Times New Roman" w:eastAsia="Times New Roman" w:cs="Times New Roman"/>
              <w:spacing w:val="-9"/>
              <w:sz w:val="22"/>
              <w:szCs w:val="22"/>
              <w:highlight w:val="none"/>
            </w:rPr>
            <w:fldChar w:fldCharType="end"/>
          </w:r>
        </w:p>
        <w:p w14:paraId="582F1198">
          <w:pPr>
            <w:spacing w:before="242" w:line="220" w:lineRule="auto"/>
            <w:ind w:left="420"/>
            <w:rPr>
              <w:rFonts w:ascii="Times New Roman" w:hAnsi="Times New Roman" w:eastAsia="Times New Roman" w:cs="Times New Roman"/>
              <w:sz w:val="22"/>
              <w:szCs w:val="22"/>
              <w:highlight w:val="none"/>
            </w:rPr>
          </w:pPr>
          <w:r>
            <w:rPr>
              <w:rFonts w:ascii="宋体" w:hAnsi="宋体" w:eastAsia="宋体" w:cs="宋体"/>
              <w:spacing w:val="-8"/>
              <w:sz w:val="22"/>
              <w:szCs w:val="22"/>
              <w:highlight w:val="none"/>
            </w:rPr>
            <w:t>其他事项的约定：</w:t>
          </w:r>
          <w:r>
            <w:rPr>
              <w:rFonts w:ascii="宋体" w:hAnsi="宋体" w:eastAsia="宋体" w:cs="宋体"/>
              <w:spacing w:val="1"/>
              <w:sz w:val="22"/>
              <w:szCs w:val="22"/>
              <w:highlight w:val="none"/>
              <w:u w:val="single" w:color="auto"/>
            </w:rPr>
            <w:t xml:space="preserve">                                </w:t>
          </w:r>
          <w:r>
            <w:rPr>
              <w:highlight w:val="none"/>
            </w:rPr>
            <w:fldChar w:fldCharType="begin"/>
          </w:r>
          <w:r>
            <w:rPr>
              <w:highlight w:val="none"/>
            </w:rPr>
            <w:instrText xml:space="preserve"> HYPERLINK \l "bookmark259" </w:instrText>
          </w:r>
          <w:r>
            <w:rPr>
              <w:highlight w:val="none"/>
            </w:rPr>
            <w:fldChar w:fldCharType="separate"/>
          </w:r>
          <w:r>
            <w:rPr>
              <w:rFonts w:ascii="Times New Roman" w:hAnsi="Times New Roman" w:eastAsia="Times New Roman" w:cs="Times New Roman"/>
              <w:spacing w:val="-8"/>
              <w:sz w:val="22"/>
              <w:szCs w:val="22"/>
              <w:highlight w:val="none"/>
            </w:rPr>
            <w:t>0</w:t>
          </w:r>
          <w:r>
            <w:rPr>
              <w:rFonts w:ascii="Times New Roman" w:hAnsi="Times New Roman" w:eastAsia="Times New Roman" w:cs="Times New Roman"/>
              <w:spacing w:val="-8"/>
              <w:sz w:val="22"/>
              <w:szCs w:val="22"/>
              <w:highlight w:val="none"/>
            </w:rPr>
            <w:fldChar w:fldCharType="end"/>
          </w:r>
        </w:p>
        <w:p w14:paraId="5FA1C667">
          <w:pPr>
            <w:spacing w:before="256" w:line="219" w:lineRule="auto"/>
            <w:ind w:left="420"/>
            <w:rPr>
              <w:rFonts w:ascii="Times New Roman" w:hAnsi="Times New Roman" w:eastAsia="Times New Roman" w:cs="Times New Roman"/>
              <w:sz w:val="20"/>
              <w:szCs w:val="20"/>
              <w:highlight w:val="none"/>
            </w:rPr>
          </w:pPr>
          <w:r>
            <w:rPr>
              <w:rFonts w:ascii="宋体" w:hAnsi="宋体" w:eastAsia="宋体" w:cs="宋体"/>
              <w:spacing w:val="1"/>
              <w:sz w:val="20"/>
              <w:szCs w:val="20"/>
              <w:highlight w:val="none"/>
            </w:rPr>
            <w:t>争议评审员报酬的承担人：</w:t>
          </w:r>
          <w:r>
            <w:rPr>
              <w:rFonts w:ascii="宋体" w:hAnsi="宋体" w:eastAsia="宋体" w:cs="宋体"/>
              <w:spacing w:val="30"/>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z w:val="20"/>
              <w:szCs w:val="20"/>
              <w:highlight w:val="none"/>
              <w:u w:val="single" w:color="auto"/>
            </w:rPr>
            <w:t xml:space="preserve">           </w:t>
          </w:r>
          <w:r>
            <w:rPr>
              <w:highlight w:val="none"/>
            </w:rPr>
            <w:fldChar w:fldCharType="begin"/>
          </w:r>
          <w:r>
            <w:rPr>
              <w:highlight w:val="none"/>
            </w:rPr>
            <w:instrText xml:space="preserve"> HYPERLINK \l "bookmark260" </w:instrText>
          </w:r>
          <w:r>
            <w:rPr>
              <w:highlight w:val="none"/>
            </w:rPr>
            <w:fldChar w:fldCharType="separate"/>
          </w:r>
          <w:r>
            <w:rPr>
              <w:rFonts w:ascii="Times New Roman" w:hAnsi="Times New Roman" w:eastAsia="Times New Roman" w:cs="Times New Roman"/>
              <w:sz w:val="20"/>
              <w:szCs w:val="20"/>
              <w:highlight w:val="none"/>
            </w:rPr>
            <w:t>0</w:t>
          </w:r>
          <w:r>
            <w:rPr>
              <w:rFonts w:ascii="Times New Roman" w:hAnsi="Times New Roman" w:eastAsia="Times New Roman" w:cs="Times New Roman"/>
              <w:sz w:val="20"/>
              <w:szCs w:val="20"/>
              <w:highlight w:val="none"/>
            </w:rPr>
            <w:fldChar w:fldCharType="end"/>
          </w:r>
        </w:p>
      </w:sdtContent>
    </w:sdt>
    <w:p w14:paraId="14B48B11">
      <w:pPr>
        <w:spacing w:line="219" w:lineRule="auto"/>
        <w:rPr>
          <w:rFonts w:ascii="Times New Roman" w:hAnsi="Times New Roman" w:eastAsia="Times New Roman" w:cs="Times New Roman"/>
          <w:sz w:val="20"/>
          <w:szCs w:val="20"/>
          <w:highlight w:val="none"/>
        </w:rPr>
        <w:sectPr>
          <w:footerReference r:id="rId161" w:type="default"/>
          <w:pgSz w:w="11910" w:h="16840"/>
          <w:pgMar w:top="400" w:right="1786" w:bottom="1197" w:left="1779" w:header="0" w:footer="993" w:gutter="0"/>
          <w:cols w:space="720" w:num="1"/>
        </w:sectPr>
      </w:pPr>
    </w:p>
    <w:p w14:paraId="0E091AF8">
      <w:pPr>
        <w:pStyle w:val="2"/>
        <w:spacing w:line="270" w:lineRule="auto"/>
        <w:rPr>
          <w:highlight w:val="none"/>
        </w:rPr>
      </w:pPr>
    </w:p>
    <w:p w14:paraId="108F05E7">
      <w:pPr>
        <w:pStyle w:val="2"/>
        <w:spacing w:line="270" w:lineRule="auto"/>
        <w:rPr>
          <w:highlight w:val="none"/>
        </w:rPr>
      </w:pPr>
    </w:p>
    <w:p w14:paraId="0A4FC7FF">
      <w:pPr>
        <w:pStyle w:val="2"/>
        <w:spacing w:line="270" w:lineRule="auto"/>
        <w:rPr>
          <w:highlight w:val="none"/>
        </w:rPr>
      </w:pPr>
    </w:p>
    <w:p w14:paraId="07B818D2">
      <w:pPr>
        <w:pStyle w:val="2"/>
        <w:spacing w:line="271" w:lineRule="auto"/>
        <w:rPr>
          <w:highlight w:val="none"/>
        </w:rPr>
      </w:pPr>
    </w:p>
    <w:p w14:paraId="393612D7">
      <w:pPr>
        <w:spacing w:before="71" w:line="219" w:lineRule="auto"/>
        <w:ind w:left="430"/>
        <w:rPr>
          <w:rFonts w:ascii="宋体" w:hAnsi="宋体" w:eastAsia="宋体" w:cs="宋体"/>
          <w:sz w:val="22"/>
          <w:szCs w:val="22"/>
          <w:highlight w:val="none"/>
        </w:rPr>
      </w:pPr>
      <w:bookmarkStart w:id="148" w:name="bookmark261"/>
      <w:bookmarkEnd w:id="148"/>
      <w:r>
        <w:rPr>
          <w:rFonts w:ascii="Times New Roman" w:hAnsi="Times New Roman" w:eastAsia="Times New Roman" w:cs="Times New Roman"/>
          <w:spacing w:val="-5"/>
          <w:sz w:val="22"/>
          <w:szCs w:val="22"/>
          <w:highlight w:val="none"/>
        </w:rPr>
        <w:t>20.3.2</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5"/>
          <w:sz w:val="22"/>
          <w:szCs w:val="22"/>
          <w:highlight w:val="none"/>
        </w:rPr>
        <w:t>争议的避免</w:t>
      </w:r>
    </w:p>
    <w:p w14:paraId="4EDDD168">
      <w:pPr>
        <w:spacing w:before="248" w:line="219" w:lineRule="auto"/>
        <w:ind w:left="430"/>
        <w:rPr>
          <w:rFonts w:ascii="Times New Roman" w:hAnsi="Times New Roman" w:eastAsia="Times New Roman" w:cs="Times New Roman"/>
          <w:sz w:val="9"/>
          <w:szCs w:val="9"/>
          <w:highlight w:val="none"/>
        </w:rPr>
      </w:pPr>
      <w:r>
        <w:rPr>
          <w:rFonts w:ascii="宋体" w:hAnsi="宋体" w:eastAsia="宋体" w:cs="宋体"/>
          <w:spacing w:val="3"/>
          <w:sz w:val="20"/>
          <w:szCs w:val="20"/>
          <w:highlight w:val="none"/>
        </w:rPr>
        <w:t>发包人和承包人是否均出席争议避免的非正式讨论：</w:t>
      </w:r>
      <w:r>
        <w:rPr>
          <w:rFonts w:ascii="宋体" w:hAnsi="宋体" w:eastAsia="宋体" w:cs="宋体"/>
          <w:spacing w:val="56"/>
          <w:sz w:val="20"/>
          <w:szCs w:val="20"/>
          <w:highlight w:val="none"/>
        </w:rPr>
        <w:t xml:space="preserve"> </w:t>
      </w:r>
      <w:r>
        <w:rPr>
          <w:rFonts w:ascii="宋体" w:hAnsi="宋体" w:eastAsia="宋体" w:cs="宋体"/>
          <w:spacing w:val="3"/>
          <w:sz w:val="20"/>
          <w:szCs w:val="20"/>
          <w:highlight w:val="none"/>
          <w:u w:val="single" w:color="auto"/>
        </w:rPr>
        <w:t xml:space="preserve">                            </w:t>
      </w:r>
      <w:r>
        <w:rPr>
          <w:rFonts w:ascii="宋体" w:hAnsi="宋体" w:eastAsia="宋体" w:cs="宋体"/>
          <w:spacing w:val="-95"/>
          <w:sz w:val="20"/>
          <w:szCs w:val="20"/>
          <w:highlight w:val="none"/>
        </w:rPr>
        <w:t xml:space="preserve"> </w:t>
      </w:r>
      <w:r>
        <w:rPr>
          <w:rFonts w:ascii="Times New Roman" w:hAnsi="Times New Roman" w:eastAsia="Times New Roman" w:cs="Times New Roman"/>
          <w:spacing w:val="3"/>
          <w:sz w:val="9"/>
          <w:szCs w:val="9"/>
          <w:highlight w:val="none"/>
        </w:rPr>
        <w:t>o</w:t>
      </w:r>
    </w:p>
    <w:p w14:paraId="59DCF5F5">
      <w:pPr>
        <w:spacing w:before="213" w:line="219" w:lineRule="auto"/>
        <w:ind w:left="430"/>
        <w:rPr>
          <w:rFonts w:ascii="宋体" w:hAnsi="宋体" w:eastAsia="宋体" w:cs="宋体"/>
          <w:sz w:val="21"/>
          <w:szCs w:val="21"/>
          <w:highlight w:val="none"/>
        </w:rPr>
      </w:pPr>
      <w:r>
        <w:rPr>
          <w:rFonts w:ascii="Times New Roman" w:hAnsi="Times New Roman" w:eastAsia="Times New Roman" w:cs="Times New Roman"/>
          <w:sz w:val="21"/>
          <w:szCs w:val="21"/>
          <w:highlight w:val="none"/>
        </w:rPr>
        <w:t>20.3.3</w:t>
      </w:r>
      <w:r>
        <w:rPr>
          <w:rFonts w:ascii="Times New Roman" w:hAnsi="Times New Roman" w:eastAsia="Times New Roman" w:cs="Times New Roman"/>
          <w:spacing w:val="20"/>
          <w:sz w:val="21"/>
          <w:szCs w:val="21"/>
          <w:highlight w:val="none"/>
        </w:rPr>
        <w:t xml:space="preserve">   </w:t>
      </w:r>
      <w:r>
        <w:rPr>
          <w:rFonts w:ascii="宋体" w:hAnsi="宋体" w:eastAsia="宋体" w:cs="宋体"/>
          <w:sz w:val="21"/>
          <w:szCs w:val="21"/>
          <w:highlight w:val="none"/>
        </w:rPr>
        <w:t>争议评审小组的决定</w:t>
      </w:r>
    </w:p>
    <w:p w14:paraId="08459EE6">
      <w:pPr>
        <w:spacing w:before="206" w:line="212" w:lineRule="auto"/>
        <w:ind w:left="430"/>
        <w:rPr>
          <w:rFonts w:ascii="Times New Roman" w:hAnsi="Times New Roman" w:eastAsia="Times New Roman" w:cs="Times New Roman"/>
          <w:sz w:val="21"/>
          <w:szCs w:val="21"/>
          <w:highlight w:val="none"/>
        </w:rPr>
      </w:pPr>
      <w:r>
        <w:rPr>
          <w:rFonts w:ascii="宋体" w:hAnsi="宋体" w:eastAsia="宋体" w:cs="宋体"/>
          <w:spacing w:val="-2"/>
          <w:sz w:val="21"/>
          <w:szCs w:val="21"/>
          <w:highlight w:val="none"/>
        </w:rPr>
        <w:t>关于争议评审小组的决定的特别约定：</w:t>
      </w:r>
      <w:r>
        <w:rPr>
          <w:rFonts w:ascii="宋体" w:hAnsi="宋体" w:eastAsia="宋体" w:cs="宋体"/>
          <w:spacing w:val="-2"/>
          <w:sz w:val="21"/>
          <w:szCs w:val="21"/>
          <w:highlight w:val="none"/>
          <w:u w:val="single" w:color="auto"/>
        </w:rPr>
        <w:t xml:space="preserve">         </w:t>
      </w:r>
      <w:r>
        <w:rPr>
          <w:rFonts w:ascii="宋体" w:hAnsi="宋体" w:eastAsia="宋体" w:cs="宋体"/>
          <w:spacing w:val="-3"/>
          <w:sz w:val="21"/>
          <w:szCs w:val="21"/>
          <w:highlight w:val="none"/>
          <w:u w:val="single" w:color="auto"/>
        </w:rPr>
        <w:t xml:space="preserve">       </w:t>
      </w:r>
      <w:r>
        <w:rPr>
          <w:rFonts w:ascii="宋体" w:hAnsi="宋体" w:eastAsia="宋体" w:cs="宋体"/>
          <w:spacing w:val="-75"/>
          <w:sz w:val="21"/>
          <w:szCs w:val="21"/>
          <w:highlight w:val="none"/>
        </w:rPr>
        <w:t xml:space="preserve"> </w:t>
      </w:r>
      <w:r>
        <w:rPr>
          <w:rFonts w:ascii="Times New Roman" w:hAnsi="Times New Roman" w:eastAsia="Times New Roman" w:cs="Times New Roman"/>
          <w:spacing w:val="-3"/>
          <w:sz w:val="21"/>
          <w:szCs w:val="21"/>
          <w:highlight w:val="none"/>
        </w:rPr>
        <w:t>_o</w:t>
      </w:r>
    </w:p>
    <w:p w14:paraId="2AFCB2A5">
      <w:pPr>
        <w:pStyle w:val="2"/>
        <w:spacing w:line="337" w:lineRule="auto"/>
        <w:rPr>
          <w:highlight w:val="none"/>
        </w:rPr>
      </w:pPr>
    </w:p>
    <w:p w14:paraId="414CC9F2">
      <w:pPr>
        <w:spacing w:before="71" w:line="220" w:lineRule="auto"/>
        <w:rPr>
          <w:rFonts w:ascii="黑体" w:hAnsi="黑体" w:eastAsia="黑体" w:cs="黑体"/>
          <w:sz w:val="22"/>
          <w:szCs w:val="22"/>
          <w:highlight w:val="none"/>
        </w:rPr>
      </w:pPr>
      <w:r>
        <w:rPr>
          <w:rFonts w:ascii="黑体" w:hAnsi="黑体" w:eastAsia="黑体" w:cs="黑体"/>
          <w:spacing w:val="4"/>
          <w:sz w:val="22"/>
          <w:szCs w:val="22"/>
          <w:highlight w:val="none"/>
        </w:rPr>
        <w:t>20.4仲裁或诉讼</w:t>
      </w:r>
    </w:p>
    <w:p w14:paraId="79C4A15A">
      <w:pPr>
        <w:spacing w:before="220" w:line="219" w:lineRule="auto"/>
        <w:ind w:left="430"/>
        <w:rPr>
          <w:rFonts w:ascii="宋体" w:hAnsi="宋体" w:eastAsia="宋体" w:cs="宋体"/>
          <w:sz w:val="22"/>
          <w:szCs w:val="22"/>
          <w:highlight w:val="none"/>
        </w:rPr>
      </w:pPr>
      <w:r>
        <w:rPr>
          <w:rFonts w:ascii="宋体" w:hAnsi="宋体" w:eastAsia="宋体" w:cs="宋体"/>
          <w:spacing w:val="2"/>
          <w:sz w:val="20"/>
          <w:szCs w:val="20"/>
          <w:highlight w:val="none"/>
        </w:rPr>
        <w:t>因合同及合同有关事项发生的争议，按下列第</w:t>
      </w:r>
      <w:r>
        <w:rPr>
          <w:rFonts w:ascii="宋体" w:hAnsi="宋体" w:eastAsia="宋体" w:cs="宋体"/>
          <w:spacing w:val="20"/>
          <w:sz w:val="20"/>
          <w:szCs w:val="20"/>
          <w:highlight w:val="none"/>
          <w:u w:val="single" w:color="auto"/>
        </w:rPr>
        <w:t xml:space="preserve">    </w:t>
      </w:r>
      <w:r>
        <w:rPr>
          <w:rFonts w:ascii="宋体" w:hAnsi="宋体" w:eastAsia="宋体" w:cs="宋体"/>
          <w:spacing w:val="2"/>
          <w:sz w:val="22"/>
          <w:szCs w:val="22"/>
          <w:highlight w:val="none"/>
        </w:rPr>
        <w:t>种方式解决：</w:t>
      </w:r>
    </w:p>
    <w:p w14:paraId="373CA7A6">
      <w:pPr>
        <w:spacing w:before="238" w:line="216" w:lineRule="auto"/>
        <w:ind w:left="539"/>
        <w:rPr>
          <w:rFonts w:ascii="宋体" w:hAnsi="宋体" w:eastAsia="宋体" w:cs="宋体"/>
          <w:sz w:val="20"/>
          <w:szCs w:val="20"/>
          <w:highlight w:val="none"/>
        </w:rPr>
      </w:pPr>
      <w:r>
        <w:rPr>
          <w:rFonts w:ascii="宋体" w:hAnsi="宋体" w:eastAsia="宋体" w:cs="宋体"/>
          <w:spacing w:val="3"/>
          <w:sz w:val="20"/>
          <w:szCs w:val="20"/>
          <w:highlight w:val="none"/>
        </w:rPr>
        <w:t>(1)向_</w:t>
      </w:r>
      <w:r>
        <w:rPr>
          <w:rFonts w:ascii="宋体" w:hAnsi="宋体" w:eastAsia="宋体" w:cs="宋体"/>
          <w:spacing w:val="-76"/>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86"/>
          <w:sz w:val="20"/>
          <w:szCs w:val="20"/>
          <w:highlight w:val="none"/>
        </w:rPr>
        <w:t xml:space="preserve"> </w:t>
      </w:r>
      <w:r>
        <w:rPr>
          <w:rFonts w:ascii="宋体" w:hAnsi="宋体" w:eastAsia="宋体" w:cs="宋体"/>
          <w:spacing w:val="3"/>
          <w:sz w:val="20"/>
          <w:szCs w:val="20"/>
          <w:highlight w:val="none"/>
        </w:rPr>
        <w:t>仲裁委员会申请仲裁：</w:t>
      </w:r>
    </w:p>
    <w:p w14:paraId="13A4E503">
      <w:pPr>
        <w:spacing w:before="228" w:line="224" w:lineRule="auto"/>
        <w:ind w:left="539"/>
        <w:rPr>
          <w:rFonts w:ascii="宋体" w:hAnsi="宋体" w:eastAsia="宋体" w:cs="宋体"/>
          <w:sz w:val="21"/>
          <w:szCs w:val="21"/>
          <w:highlight w:val="none"/>
        </w:rPr>
      </w:pPr>
      <w:r>
        <w:rPr>
          <w:rFonts w:ascii="宋体" w:hAnsi="宋体" w:eastAsia="宋体" w:cs="宋体"/>
          <w:spacing w:val="-3"/>
          <w:sz w:val="20"/>
          <w:szCs w:val="20"/>
          <w:highlight w:val="none"/>
        </w:rPr>
        <w:t>(2)向_</w:t>
      </w:r>
      <w:r>
        <w:rPr>
          <w:rFonts w:ascii="宋体" w:hAnsi="宋体" w:eastAsia="宋体" w:cs="宋体"/>
          <w:spacing w:val="-71"/>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3"/>
          <w:sz w:val="21"/>
          <w:szCs w:val="21"/>
          <w:highlight w:val="none"/>
        </w:rPr>
        <w:t>人民法院起诉。</w:t>
      </w:r>
    </w:p>
    <w:p w14:paraId="5BC93F1A">
      <w:pPr>
        <w:spacing w:before="90" w:line="219" w:lineRule="auto"/>
        <w:ind w:left="3313"/>
        <w:outlineLvl w:val="1"/>
        <w:rPr>
          <w:rFonts w:ascii="宋体" w:hAnsi="宋体" w:eastAsia="宋体" w:cs="宋体"/>
          <w:sz w:val="22"/>
          <w:szCs w:val="22"/>
          <w:highlight w:val="none"/>
        </w:rPr>
      </w:pPr>
      <w:bookmarkStart w:id="149" w:name="bookmark87"/>
      <w:bookmarkEnd w:id="149"/>
      <w:r>
        <w:rPr>
          <w:rFonts w:ascii="宋体" w:hAnsi="宋体" w:eastAsia="宋体" w:cs="宋体"/>
          <w:b/>
          <w:bCs/>
          <w:spacing w:val="-7"/>
          <w:sz w:val="22"/>
          <w:szCs w:val="22"/>
          <w:highlight w:val="none"/>
        </w:rPr>
        <w:t>专用合同条件附件</w:t>
      </w:r>
    </w:p>
    <w:p w14:paraId="4AF76C3F">
      <w:pPr>
        <w:pStyle w:val="2"/>
        <w:spacing w:line="253" w:lineRule="auto"/>
        <w:rPr>
          <w:highlight w:val="none"/>
        </w:rPr>
      </w:pPr>
    </w:p>
    <w:p w14:paraId="4FCD14B2">
      <w:pPr>
        <w:pStyle w:val="2"/>
        <w:spacing w:line="253" w:lineRule="auto"/>
        <w:rPr>
          <w:highlight w:val="none"/>
        </w:rPr>
      </w:pPr>
    </w:p>
    <w:p w14:paraId="360155D1">
      <w:pPr>
        <w:pStyle w:val="2"/>
        <w:spacing w:line="253" w:lineRule="auto"/>
        <w:rPr>
          <w:highlight w:val="none"/>
        </w:rPr>
      </w:pPr>
    </w:p>
    <w:p w14:paraId="7ACF11C1">
      <w:pPr>
        <w:spacing w:before="68" w:line="219" w:lineRule="auto"/>
        <w:ind w:left="620"/>
        <w:rPr>
          <w:rFonts w:ascii="宋体" w:hAnsi="宋体" w:eastAsia="宋体" w:cs="宋体"/>
          <w:sz w:val="21"/>
          <w:szCs w:val="21"/>
          <w:highlight w:val="none"/>
        </w:rPr>
      </w:pPr>
      <w:r>
        <w:rPr>
          <w:rFonts w:ascii="宋体" w:hAnsi="宋体" w:eastAsia="宋体" w:cs="宋体"/>
          <w:spacing w:val="16"/>
          <w:sz w:val="21"/>
          <w:szCs w:val="21"/>
          <w:highlight w:val="none"/>
        </w:rPr>
        <w:t>附件1:发包人要求</w:t>
      </w:r>
    </w:p>
    <w:p w14:paraId="12BB2756">
      <w:pPr>
        <w:spacing w:before="231" w:line="219" w:lineRule="auto"/>
        <w:ind w:left="620"/>
        <w:rPr>
          <w:rFonts w:ascii="宋体" w:hAnsi="宋体" w:eastAsia="宋体" w:cs="宋体"/>
          <w:sz w:val="22"/>
          <w:szCs w:val="22"/>
          <w:highlight w:val="none"/>
        </w:rPr>
      </w:pPr>
      <w:r>
        <w:rPr>
          <w:rFonts w:ascii="宋体" w:hAnsi="宋体" w:eastAsia="宋体" w:cs="宋体"/>
          <w:sz w:val="22"/>
          <w:szCs w:val="22"/>
          <w:highlight w:val="none"/>
        </w:rPr>
        <w:t>附件2:发包人供应材料设备一览表</w:t>
      </w:r>
    </w:p>
    <w:p w14:paraId="0C5E0D13">
      <w:pPr>
        <w:spacing w:before="229" w:line="219" w:lineRule="auto"/>
        <w:ind w:left="620"/>
        <w:rPr>
          <w:rFonts w:ascii="宋体" w:hAnsi="宋体" w:eastAsia="宋体" w:cs="宋体"/>
          <w:sz w:val="20"/>
          <w:szCs w:val="20"/>
          <w:highlight w:val="none"/>
        </w:rPr>
      </w:pPr>
      <w:r>
        <w:rPr>
          <w:rFonts w:ascii="宋体" w:hAnsi="宋体" w:eastAsia="宋体" w:cs="宋体"/>
          <w:spacing w:val="23"/>
          <w:sz w:val="20"/>
          <w:szCs w:val="20"/>
          <w:highlight w:val="none"/>
        </w:rPr>
        <w:t>附件3:工程质量保修书</w:t>
      </w:r>
    </w:p>
    <w:p w14:paraId="2BC69AE0">
      <w:pPr>
        <w:spacing w:before="233" w:line="219" w:lineRule="auto"/>
        <w:ind w:left="620"/>
        <w:rPr>
          <w:rFonts w:ascii="宋体" w:hAnsi="宋体" w:eastAsia="宋体" w:cs="宋体"/>
          <w:sz w:val="22"/>
          <w:szCs w:val="22"/>
          <w:highlight w:val="none"/>
        </w:rPr>
      </w:pPr>
      <w:r>
        <w:rPr>
          <w:rFonts w:ascii="宋体" w:hAnsi="宋体" w:eastAsia="宋体" w:cs="宋体"/>
          <w:spacing w:val="2"/>
          <w:sz w:val="22"/>
          <w:szCs w:val="22"/>
          <w:highlight w:val="none"/>
        </w:rPr>
        <w:t>附件4:主要建设工程文件目录</w:t>
      </w:r>
    </w:p>
    <w:p w14:paraId="078A2A82">
      <w:pPr>
        <w:spacing w:before="228" w:line="219" w:lineRule="auto"/>
        <w:ind w:left="620"/>
        <w:rPr>
          <w:rFonts w:ascii="宋体" w:hAnsi="宋体" w:eastAsia="宋体" w:cs="宋体"/>
          <w:sz w:val="20"/>
          <w:szCs w:val="20"/>
          <w:highlight w:val="none"/>
        </w:rPr>
      </w:pPr>
      <w:r>
        <w:rPr>
          <w:rFonts w:ascii="宋体" w:hAnsi="宋体" w:eastAsia="宋体" w:cs="宋体"/>
          <w:spacing w:val="21"/>
          <w:sz w:val="20"/>
          <w:szCs w:val="20"/>
          <w:highlight w:val="none"/>
        </w:rPr>
        <w:t>附件5:承包人主要管理人员表</w:t>
      </w:r>
    </w:p>
    <w:p w14:paraId="20E2D8AE">
      <w:pPr>
        <w:spacing w:before="223" w:line="218" w:lineRule="auto"/>
        <w:ind w:left="620"/>
        <w:rPr>
          <w:rFonts w:ascii="宋体" w:hAnsi="宋体" w:eastAsia="宋体" w:cs="宋体"/>
          <w:sz w:val="22"/>
          <w:szCs w:val="22"/>
          <w:highlight w:val="none"/>
        </w:rPr>
      </w:pPr>
      <w:r>
        <w:rPr>
          <w:rFonts w:ascii="宋体" w:hAnsi="宋体" w:eastAsia="宋体" w:cs="宋体"/>
          <w:spacing w:val="5"/>
          <w:sz w:val="22"/>
          <w:szCs w:val="22"/>
          <w:highlight w:val="none"/>
        </w:rPr>
        <w:t>附件6:价格指数权重表</w:t>
      </w:r>
    </w:p>
    <w:p w14:paraId="75C734BA">
      <w:pPr>
        <w:spacing w:line="218" w:lineRule="auto"/>
        <w:rPr>
          <w:rFonts w:ascii="宋体" w:hAnsi="宋体" w:eastAsia="宋体" w:cs="宋体"/>
          <w:sz w:val="22"/>
          <w:szCs w:val="22"/>
          <w:highlight w:val="none"/>
        </w:rPr>
        <w:sectPr>
          <w:footerReference r:id="rId162" w:type="default"/>
          <w:pgSz w:w="11910" w:h="16840"/>
          <w:pgMar w:top="400" w:right="1786" w:bottom="1218" w:left="1769" w:header="0" w:footer="986" w:gutter="0"/>
          <w:cols w:space="720" w:num="1"/>
        </w:sectPr>
      </w:pPr>
    </w:p>
    <w:p w14:paraId="159E4CA7">
      <w:pPr>
        <w:pStyle w:val="2"/>
        <w:spacing w:line="255" w:lineRule="auto"/>
        <w:rPr>
          <w:highlight w:val="none"/>
        </w:rPr>
      </w:pPr>
    </w:p>
    <w:p w14:paraId="62916D7E">
      <w:pPr>
        <w:pStyle w:val="2"/>
        <w:spacing w:line="255" w:lineRule="auto"/>
        <w:rPr>
          <w:highlight w:val="none"/>
        </w:rPr>
      </w:pPr>
    </w:p>
    <w:p w14:paraId="4A25FE3F">
      <w:pPr>
        <w:pStyle w:val="2"/>
        <w:spacing w:line="255" w:lineRule="auto"/>
        <w:rPr>
          <w:highlight w:val="none"/>
        </w:rPr>
      </w:pPr>
    </w:p>
    <w:p w14:paraId="5D592664">
      <w:pPr>
        <w:pStyle w:val="2"/>
        <w:spacing w:line="255" w:lineRule="auto"/>
        <w:rPr>
          <w:highlight w:val="none"/>
        </w:rPr>
      </w:pPr>
    </w:p>
    <w:p w14:paraId="2C270D77">
      <w:pPr>
        <w:pStyle w:val="2"/>
        <w:spacing w:line="256" w:lineRule="auto"/>
        <w:rPr>
          <w:highlight w:val="none"/>
        </w:rPr>
      </w:pPr>
    </w:p>
    <w:p w14:paraId="5E31CC09">
      <w:pPr>
        <w:spacing w:before="72" w:line="227" w:lineRule="auto"/>
        <w:ind w:left="3046"/>
        <w:outlineLvl w:val="1"/>
        <w:rPr>
          <w:rFonts w:ascii="宋体" w:hAnsi="宋体" w:eastAsia="宋体" w:cs="宋体"/>
          <w:sz w:val="22"/>
          <w:szCs w:val="22"/>
          <w:highlight w:val="none"/>
        </w:rPr>
      </w:pPr>
      <w:bookmarkStart w:id="150" w:name="bookmark88"/>
      <w:bookmarkEnd w:id="150"/>
      <w:bookmarkStart w:id="151" w:name="bookmark262"/>
      <w:bookmarkEnd w:id="151"/>
      <w:r>
        <w:rPr>
          <w:rFonts w:ascii="楷体" w:hAnsi="楷体" w:eastAsia="楷体" w:cs="楷体"/>
          <w:b/>
          <w:bCs/>
          <w:spacing w:val="-8"/>
          <w:sz w:val="22"/>
          <w:szCs w:val="22"/>
          <w:highlight w:val="none"/>
        </w:rPr>
        <w:t>附</w:t>
      </w:r>
      <w:r>
        <w:rPr>
          <w:rFonts w:ascii="楷体" w:hAnsi="楷体" w:eastAsia="楷体" w:cs="楷体"/>
          <w:spacing w:val="-39"/>
          <w:sz w:val="22"/>
          <w:szCs w:val="22"/>
          <w:highlight w:val="none"/>
        </w:rPr>
        <w:t xml:space="preserve"> </w:t>
      </w:r>
      <w:r>
        <w:rPr>
          <w:rFonts w:ascii="楷体" w:hAnsi="楷体" w:eastAsia="楷体" w:cs="楷体"/>
          <w:b/>
          <w:bCs/>
          <w:spacing w:val="-8"/>
          <w:sz w:val="22"/>
          <w:szCs w:val="22"/>
          <w:highlight w:val="none"/>
        </w:rPr>
        <w:t>件</w:t>
      </w:r>
      <w:r>
        <w:rPr>
          <w:rFonts w:ascii="楷体" w:hAnsi="楷体" w:eastAsia="楷体" w:cs="楷体"/>
          <w:spacing w:val="-34"/>
          <w:sz w:val="22"/>
          <w:szCs w:val="22"/>
          <w:highlight w:val="none"/>
        </w:rPr>
        <w:t xml:space="preserve"> </w:t>
      </w:r>
      <w:r>
        <w:rPr>
          <w:rFonts w:ascii="楷体" w:hAnsi="楷体" w:eastAsia="楷体" w:cs="楷体"/>
          <w:b/>
          <w:bCs/>
          <w:spacing w:val="-8"/>
          <w:sz w:val="22"/>
          <w:szCs w:val="22"/>
          <w:highlight w:val="none"/>
        </w:rPr>
        <w:t>1</w:t>
      </w:r>
      <w:r>
        <w:rPr>
          <w:rFonts w:ascii="宋体" w:hAnsi="宋体" w:eastAsia="宋体" w:cs="宋体"/>
          <w:b/>
          <w:bCs/>
          <w:spacing w:val="-8"/>
          <w:sz w:val="22"/>
          <w:szCs w:val="22"/>
          <w:highlight w:val="none"/>
        </w:rPr>
        <w:t>《发包人要求》</w:t>
      </w:r>
    </w:p>
    <w:p w14:paraId="5FDAF1AB">
      <w:pPr>
        <w:pStyle w:val="2"/>
        <w:spacing w:line="300" w:lineRule="auto"/>
        <w:rPr>
          <w:highlight w:val="none"/>
        </w:rPr>
      </w:pPr>
    </w:p>
    <w:p w14:paraId="4D07C9DE">
      <w:pPr>
        <w:pStyle w:val="2"/>
        <w:spacing w:line="301" w:lineRule="auto"/>
        <w:rPr>
          <w:highlight w:val="none"/>
        </w:rPr>
      </w:pPr>
    </w:p>
    <w:p w14:paraId="0340F3F1">
      <w:pPr>
        <w:spacing w:before="65" w:line="219" w:lineRule="auto"/>
        <w:ind w:left="13"/>
        <w:rPr>
          <w:rFonts w:ascii="宋体" w:hAnsi="宋体" w:eastAsia="宋体" w:cs="宋体"/>
          <w:sz w:val="20"/>
          <w:szCs w:val="20"/>
          <w:highlight w:val="none"/>
        </w:rPr>
      </w:pPr>
      <w:r>
        <w:rPr>
          <w:rFonts w:ascii="宋体" w:hAnsi="宋体" w:eastAsia="宋体" w:cs="宋体"/>
          <w:spacing w:val="16"/>
          <w:sz w:val="20"/>
          <w:szCs w:val="20"/>
          <w:highlight w:val="none"/>
        </w:rPr>
        <w:t>同本招标文件第五章“发包人要求”</w:t>
      </w:r>
    </w:p>
    <w:p w14:paraId="4FC5B7C5">
      <w:pPr>
        <w:spacing w:line="219" w:lineRule="auto"/>
        <w:rPr>
          <w:rFonts w:ascii="宋体" w:hAnsi="宋体" w:eastAsia="宋体" w:cs="宋体"/>
          <w:sz w:val="20"/>
          <w:szCs w:val="20"/>
          <w:highlight w:val="none"/>
        </w:rPr>
        <w:sectPr>
          <w:footerReference r:id="rId163" w:type="default"/>
          <w:pgSz w:w="11910" w:h="16840"/>
          <w:pgMar w:top="400" w:right="1786" w:bottom="1217" w:left="1786" w:header="0" w:footer="1013" w:gutter="0"/>
          <w:cols w:space="720" w:num="1"/>
        </w:sectPr>
      </w:pPr>
    </w:p>
    <w:p w14:paraId="03602355">
      <w:pPr>
        <w:pStyle w:val="2"/>
        <w:spacing w:line="255" w:lineRule="auto"/>
        <w:rPr>
          <w:highlight w:val="none"/>
        </w:rPr>
      </w:pPr>
    </w:p>
    <w:p w14:paraId="6BE8E7B3">
      <w:pPr>
        <w:pStyle w:val="2"/>
        <w:spacing w:line="255" w:lineRule="auto"/>
        <w:rPr>
          <w:highlight w:val="none"/>
        </w:rPr>
      </w:pPr>
    </w:p>
    <w:p w14:paraId="4FF91D8E">
      <w:pPr>
        <w:pStyle w:val="2"/>
        <w:spacing w:line="255" w:lineRule="auto"/>
        <w:rPr>
          <w:highlight w:val="none"/>
        </w:rPr>
      </w:pPr>
    </w:p>
    <w:p w14:paraId="2751519A">
      <w:pPr>
        <w:pStyle w:val="2"/>
        <w:spacing w:line="255" w:lineRule="auto"/>
        <w:rPr>
          <w:highlight w:val="none"/>
        </w:rPr>
      </w:pPr>
    </w:p>
    <w:p w14:paraId="72FDA09B">
      <w:pPr>
        <w:pStyle w:val="2"/>
        <w:spacing w:line="255" w:lineRule="auto"/>
        <w:rPr>
          <w:highlight w:val="none"/>
        </w:rPr>
      </w:pPr>
    </w:p>
    <w:p w14:paraId="495CAF2D">
      <w:pPr>
        <w:spacing w:before="71" w:line="219" w:lineRule="auto"/>
        <w:ind w:left="2988"/>
        <w:outlineLvl w:val="1"/>
        <w:rPr>
          <w:rFonts w:ascii="宋体" w:hAnsi="宋体" w:eastAsia="宋体" w:cs="宋体"/>
          <w:sz w:val="22"/>
          <w:szCs w:val="22"/>
          <w:highlight w:val="none"/>
        </w:rPr>
      </w:pPr>
      <w:bookmarkStart w:id="152" w:name="bookmark263"/>
      <w:bookmarkEnd w:id="152"/>
      <w:bookmarkStart w:id="153" w:name="bookmark89"/>
      <w:bookmarkEnd w:id="153"/>
      <w:r>
        <w:rPr>
          <w:rFonts w:ascii="宋体" w:hAnsi="宋体" w:eastAsia="宋体" w:cs="宋体"/>
          <w:b/>
          <w:bCs/>
          <w:spacing w:val="1"/>
          <w:sz w:val="22"/>
          <w:szCs w:val="22"/>
          <w:highlight w:val="none"/>
        </w:rPr>
        <w:t>附件2发包人供应材料设备一览表</w:t>
      </w:r>
    </w:p>
    <w:p w14:paraId="6C088043">
      <w:pPr>
        <w:spacing w:before="48"/>
        <w:rPr>
          <w:highlight w:val="none"/>
        </w:rPr>
      </w:pPr>
    </w:p>
    <w:tbl>
      <w:tblPr>
        <w:tblStyle w:val="5"/>
        <w:tblW w:w="91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4"/>
        <w:gridCol w:w="1158"/>
        <w:gridCol w:w="1149"/>
        <w:gridCol w:w="539"/>
        <w:gridCol w:w="689"/>
        <w:gridCol w:w="989"/>
        <w:gridCol w:w="1149"/>
        <w:gridCol w:w="1119"/>
        <w:gridCol w:w="1129"/>
        <w:gridCol w:w="724"/>
      </w:tblGrid>
      <w:tr w14:paraId="36B82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544" w:type="dxa"/>
            <w:vAlign w:val="top"/>
          </w:tcPr>
          <w:p w14:paraId="18BC0733">
            <w:pPr>
              <w:pStyle w:val="6"/>
              <w:spacing w:before="244" w:line="221" w:lineRule="auto"/>
              <w:ind w:left="25"/>
              <w:rPr>
                <w:highlight w:val="none"/>
              </w:rPr>
            </w:pPr>
            <w:r>
              <w:rPr>
                <w:spacing w:val="6"/>
                <w:highlight w:val="none"/>
              </w:rPr>
              <w:t>序号</w:t>
            </w:r>
          </w:p>
        </w:tc>
        <w:tc>
          <w:tcPr>
            <w:tcW w:w="1158" w:type="dxa"/>
            <w:vAlign w:val="top"/>
          </w:tcPr>
          <w:p w14:paraId="26F98402">
            <w:pPr>
              <w:pStyle w:val="6"/>
              <w:spacing w:before="83" w:line="264" w:lineRule="auto"/>
              <w:ind w:left="361" w:right="65" w:hanging="320"/>
              <w:rPr>
                <w:highlight w:val="none"/>
              </w:rPr>
            </w:pPr>
            <w:r>
              <w:rPr>
                <w:spacing w:val="-2"/>
                <w:highlight w:val="none"/>
              </w:rPr>
              <w:t>材料、设备</w:t>
            </w:r>
            <w:r>
              <w:rPr>
                <w:highlight w:val="none"/>
              </w:rPr>
              <w:t xml:space="preserve"> </w:t>
            </w:r>
            <w:r>
              <w:rPr>
                <w:spacing w:val="7"/>
                <w:highlight w:val="none"/>
              </w:rPr>
              <w:t>品种</w:t>
            </w:r>
          </w:p>
        </w:tc>
        <w:tc>
          <w:tcPr>
            <w:tcW w:w="1149" w:type="dxa"/>
            <w:vAlign w:val="top"/>
          </w:tcPr>
          <w:p w14:paraId="31E5E73D">
            <w:pPr>
              <w:pStyle w:val="6"/>
              <w:spacing w:before="243" w:line="219" w:lineRule="auto"/>
              <w:ind w:left="152"/>
              <w:rPr>
                <w:highlight w:val="none"/>
              </w:rPr>
            </w:pPr>
            <w:r>
              <w:rPr>
                <w:spacing w:val="3"/>
                <w:highlight w:val="none"/>
              </w:rPr>
              <w:t>规格型号</w:t>
            </w:r>
          </w:p>
        </w:tc>
        <w:tc>
          <w:tcPr>
            <w:tcW w:w="539" w:type="dxa"/>
            <w:vAlign w:val="top"/>
          </w:tcPr>
          <w:p w14:paraId="064A0256">
            <w:pPr>
              <w:pStyle w:val="6"/>
              <w:spacing w:before="244" w:line="220" w:lineRule="auto"/>
              <w:ind w:left="73"/>
              <w:rPr>
                <w:highlight w:val="none"/>
              </w:rPr>
            </w:pPr>
            <w:r>
              <w:rPr>
                <w:spacing w:val="-3"/>
                <w:highlight w:val="none"/>
              </w:rPr>
              <w:t>单位</w:t>
            </w:r>
          </w:p>
        </w:tc>
        <w:tc>
          <w:tcPr>
            <w:tcW w:w="689" w:type="dxa"/>
            <w:vAlign w:val="top"/>
          </w:tcPr>
          <w:p w14:paraId="510DF4E6">
            <w:pPr>
              <w:pStyle w:val="6"/>
              <w:spacing w:before="243" w:line="219" w:lineRule="auto"/>
              <w:ind w:left="145"/>
              <w:rPr>
                <w:highlight w:val="none"/>
              </w:rPr>
            </w:pPr>
            <w:r>
              <w:rPr>
                <w:spacing w:val="-3"/>
                <w:highlight w:val="none"/>
              </w:rPr>
              <w:t>数量</w:t>
            </w:r>
          </w:p>
        </w:tc>
        <w:tc>
          <w:tcPr>
            <w:tcW w:w="989" w:type="dxa"/>
            <w:vAlign w:val="top"/>
          </w:tcPr>
          <w:p w14:paraId="58389516">
            <w:pPr>
              <w:pStyle w:val="6"/>
              <w:spacing w:before="241" w:line="218" w:lineRule="auto"/>
              <w:ind w:left="16"/>
              <w:rPr>
                <w:highlight w:val="none"/>
              </w:rPr>
            </w:pPr>
            <w:r>
              <w:rPr>
                <w:spacing w:val="9"/>
                <w:highlight w:val="none"/>
              </w:rPr>
              <w:t>单价(元)</w:t>
            </w:r>
          </w:p>
        </w:tc>
        <w:tc>
          <w:tcPr>
            <w:tcW w:w="1149" w:type="dxa"/>
            <w:vAlign w:val="top"/>
          </w:tcPr>
          <w:p w14:paraId="7F254416">
            <w:pPr>
              <w:pStyle w:val="6"/>
              <w:spacing w:before="243" w:line="219" w:lineRule="auto"/>
              <w:ind w:left="157"/>
              <w:rPr>
                <w:highlight w:val="none"/>
              </w:rPr>
            </w:pPr>
            <w:r>
              <w:rPr>
                <w:spacing w:val="3"/>
                <w:highlight w:val="none"/>
              </w:rPr>
              <w:t>质量等级</w:t>
            </w:r>
          </w:p>
        </w:tc>
        <w:tc>
          <w:tcPr>
            <w:tcW w:w="1119" w:type="dxa"/>
            <w:vAlign w:val="top"/>
          </w:tcPr>
          <w:p w14:paraId="788147B9">
            <w:pPr>
              <w:pStyle w:val="6"/>
              <w:spacing w:before="242" w:line="219" w:lineRule="auto"/>
              <w:ind w:left="157"/>
              <w:rPr>
                <w:highlight w:val="none"/>
              </w:rPr>
            </w:pPr>
            <w:r>
              <w:rPr>
                <w:spacing w:val="5"/>
                <w:highlight w:val="none"/>
              </w:rPr>
              <w:t>供应时间</w:t>
            </w:r>
          </w:p>
        </w:tc>
        <w:tc>
          <w:tcPr>
            <w:tcW w:w="1129" w:type="dxa"/>
            <w:vAlign w:val="top"/>
          </w:tcPr>
          <w:p w14:paraId="55D5ACD9">
            <w:pPr>
              <w:pStyle w:val="6"/>
              <w:spacing w:before="248" w:line="224" w:lineRule="auto"/>
              <w:ind w:left="158"/>
              <w:rPr>
                <w:highlight w:val="none"/>
              </w:rPr>
            </w:pPr>
            <w:r>
              <w:rPr>
                <w:spacing w:val="4"/>
                <w:highlight w:val="none"/>
              </w:rPr>
              <w:t>送达地点</w:t>
            </w:r>
          </w:p>
        </w:tc>
        <w:tc>
          <w:tcPr>
            <w:tcW w:w="724" w:type="dxa"/>
            <w:vAlign w:val="top"/>
          </w:tcPr>
          <w:p w14:paraId="47F3862E">
            <w:pPr>
              <w:pStyle w:val="6"/>
              <w:spacing w:before="244" w:line="221" w:lineRule="auto"/>
              <w:ind w:left="169"/>
              <w:rPr>
                <w:highlight w:val="none"/>
              </w:rPr>
            </w:pPr>
            <w:r>
              <w:rPr>
                <w:spacing w:val="5"/>
                <w:highlight w:val="none"/>
              </w:rPr>
              <w:t>备注</w:t>
            </w:r>
          </w:p>
        </w:tc>
      </w:tr>
      <w:tr w14:paraId="0AA50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44" w:type="dxa"/>
            <w:vAlign w:val="top"/>
          </w:tcPr>
          <w:p w14:paraId="5F76C53C">
            <w:pPr>
              <w:rPr>
                <w:rFonts w:ascii="Arial"/>
                <w:sz w:val="21"/>
                <w:highlight w:val="none"/>
              </w:rPr>
            </w:pPr>
          </w:p>
        </w:tc>
        <w:tc>
          <w:tcPr>
            <w:tcW w:w="1158" w:type="dxa"/>
            <w:vAlign w:val="top"/>
          </w:tcPr>
          <w:p w14:paraId="130348C1">
            <w:pPr>
              <w:rPr>
                <w:rFonts w:ascii="Arial"/>
                <w:sz w:val="21"/>
                <w:highlight w:val="none"/>
              </w:rPr>
            </w:pPr>
          </w:p>
        </w:tc>
        <w:tc>
          <w:tcPr>
            <w:tcW w:w="1149" w:type="dxa"/>
            <w:vAlign w:val="top"/>
          </w:tcPr>
          <w:p w14:paraId="34A9830E">
            <w:pPr>
              <w:rPr>
                <w:rFonts w:ascii="Arial"/>
                <w:sz w:val="21"/>
                <w:highlight w:val="none"/>
              </w:rPr>
            </w:pPr>
          </w:p>
        </w:tc>
        <w:tc>
          <w:tcPr>
            <w:tcW w:w="539" w:type="dxa"/>
            <w:vAlign w:val="top"/>
          </w:tcPr>
          <w:p w14:paraId="37FD80C1">
            <w:pPr>
              <w:rPr>
                <w:rFonts w:ascii="Arial"/>
                <w:sz w:val="21"/>
                <w:highlight w:val="none"/>
              </w:rPr>
            </w:pPr>
          </w:p>
        </w:tc>
        <w:tc>
          <w:tcPr>
            <w:tcW w:w="689" w:type="dxa"/>
            <w:vAlign w:val="top"/>
          </w:tcPr>
          <w:p w14:paraId="5DD08DD3">
            <w:pPr>
              <w:rPr>
                <w:rFonts w:ascii="Arial"/>
                <w:sz w:val="21"/>
                <w:highlight w:val="none"/>
              </w:rPr>
            </w:pPr>
          </w:p>
        </w:tc>
        <w:tc>
          <w:tcPr>
            <w:tcW w:w="989" w:type="dxa"/>
            <w:vAlign w:val="top"/>
          </w:tcPr>
          <w:p w14:paraId="27F7F068">
            <w:pPr>
              <w:rPr>
                <w:rFonts w:ascii="Arial"/>
                <w:sz w:val="21"/>
                <w:highlight w:val="none"/>
              </w:rPr>
            </w:pPr>
          </w:p>
        </w:tc>
        <w:tc>
          <w:tcPr>
            <w:tcW w:w="1149" w:type="dxa"/>
            <w:vAlign w:val="top"/>
          </w:tcPr>
          <w:p w14:paraId="09201540">
            <w:pPr>
              <w:rPr>
                <w:rFonts w:ascii="Arial"/>
                <w:sz w:val="21"/>
                <w:highlight w:val="none"/>
              </w:rPr>
            </w:pPr>
          </w:p>
        </w:tc>
        <w:tc>
          <w:tcPr>
            <w:tcW w:w="1119" w:type="dxa"/>
            <w:vAlign w:val="top"/>
          </w:tcPr>
          <w:p w14:paraId="50985B6E">
            <w:pPr>
              <w:rPr>
                <w:rFonts w:ascii="Arial"/>
                <w:sz w:val="21"/>
                <w:highlight w:val="none"/>
              </w:rPr>
            </w:pPr>
          </w:p>
        </w:tc>
        <w:tc>
          <w:tcPr>
            <w:tcW w:w="1129" w:type="dxa"/>
            <w:vAlign w:val="top"/>
          </w:tcPr>
          <w:p w14:paraId="729A4020">
            <w:pPr>
              <w:rPr>
                <w:rFonts w:ascii="Arial"/>
                <w:sz w:val="21"/>
                <w:highlight w:val="none"/>
              </w:rPr>
            </w:pPr>
          </w:p>
        </w:tc>
        <w:tc>
          <w:tcPr>
            <w:tcW w:w="724" w:type="dxa"/>
            <w:vAlign w:val="top"/>
          </w:tcPr>
          <w:p w14:paraId="57A998F9">
            <w:pPr>
              <w:rPr>
                <w:rFonts w:ascii="Arial"/>
                <w:sz w:val="21"/>
                <w:highlight w:val="none"/>
              </w:rPr>
            </w:pPr>
          </w:p>
        </w:tc>
      </w:tr>
      <w:tr w14:paraId="6C799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44" w:type="dxa"/>
            <w:vAlign w:val="top"/>
          </w:tcPr>
          <w:p w14:paraId="1BA5B03D">
            <w:pPr>
              <w:rPr>
                <w:rFonts w:ascii="Arial"/>
                <w:sz w:val="21"/>
                <w:highlight w:val="none"/>
              </w:rPr>
            </w:pPr>
          </w:p>
        </w:tc>
        <w:tc>
          <w:tcPr>
            <w:tcW w:w="1158" w:type="dxa"/>
            <w:vAlign w:val="top"/>
          </w:tcPr>
          <w:p w14:paraId="76F0E6C6">
            <w:pPr>
              <w:rPr>
                <w:rFonts w:ascii="Arial"/>
                <w:sz w:val="21"/>
                <w:highlight w:val="none"/>
              </w:rPr>
            </w:pPr>
          </w:p>
        </w:tc>
        <w:tc>
          <w:tcPr>
            <w:tcW w:w="1149" w:type="dxa"/>
            <w:vAlign w:val="top"/>
          </w:tcPr>
          <w:p w14:paraId="0367A66D">
            <w:pPr>
              <w:rPr>
                <w:rFonts w:ascii="Arial"/>
                <w:sz w:val="21"/>
                <w:highlight w:val="none"/>
              </w:rPr>
            </w:pPr>
          </w:p>
        </w:tc>
        <w:tc>
          <w:tcPr>
            <w:tcW w:w="539" w:type="dxa"/>
            <w:vAlign w:val="top"/>
          </w:tcPr>
          <w:p w14:paraId="052BC73F">
            <w:pPr>
              <w:rPr>
                <w:rFonts w:ascii="Arial"/>
                <w:sz w:val="21"/>
                <w:highlight w:val="none"/>
              </w:rPr>
            </w:pPr>
          </w:p>
        </w:tc>
        <w:tc>
          <w:tcPr>
            <w:tcW w:w="689" w:type="dxa"/>
            <w:vAlign w:val="top"/>
          </w:tcPr>
          <w:p w14:paraId="796134DF">
            <w:pPr>
              <w:rPr>
                <w:rFonts w:ascii="Arial"/>
                <w:sz w:val="21"/>
                <w:highlight w:val="none"/>
              </w:rPr>
            </w:pPr>
          </w:p>
        </w:tc>
        <w:tc>
          <w:tcPr>
            <w:tcW w:w="989" w:type="dxa"/>
            <w:vAlign w:val="top"/>
          </w:tcPr>
          <w:p w14:paraId="2510C1C4">
            <w:pPr>
              <w:rPr>
                <w:rFonts w:ascii="Arial"/>
                <w:sz w:val="21"/>
                <w:highlight w:val="none"/>
              </w:rPr>
            </w:pPr>
          </w:p>
        </w:tc>
        <w:tc>
          <w:tcPr>
            <w:tcW w:w="1149" w:type="dxa"/>
            <w:vAlign w:val="top"/>
          </w:tcPr>
          <w:p w14:paraId="77064A84">
            <w:pPr>
              <w:rPr>
                <w:rFonts w:ascii="Arial"/>
                <w:sz w:val="21"/>
                <w:highlight w:val="none"/>
              </w:rPr>
            </w:pPr>
          </w:p>
        </w:tc>
        <w:tc>
          <w:tcPr>
            <w:tcW w:w="1119" w:type="dxa"/>
            <w:vAlign w:val="top"/>
          </w:tcPr>
          <w:p w14:paraId="70E38A2F">
            <w:pPr>
              <w:rPr>
                <w:rFonts w:ascii="Arial"/>
                <w:sz w:val="21"/>
                <w:highlight w:val="none"/>
              </w:rPr>
            </w:pPr>
          </w:p>
        </w:tc>
        <w:tc>
          <w:tcPr>
            <w:tcW w:w="1129" w:type="dxa"/>
            <w:vAlign w:val="top"/>
          </w:tcPr>
          <w:p w14:paraId="68E1436C">
            <w:pPr>
              <w:rPr>
                <w:rFonts w:ascii="Arial"/>
                <w:sz w:val="21"/>
                <w:highlight w:val="none"/>
              </w:rPr>
            </w:pPr>
          </w:p>
        </w:tc>
        <w:tc>
          <w:tcPr>
            <w:tcW w:w="724" w:type="dxa"/>
            <w:vAlign w:val="top"/>
          </w:tcPr>
          <w:p w14:paraId="480E8AB9">
            <w:pPr>
              <w:rPr>
                <w:rFonts w:ascii="Arial"/>
                <w:sz w:val="21"/>
                <w:highlight w:val="none"/>
              </w:rPr>
            </w:pPr>
          </w:p>
        </w:tc>
      </w:tr>
      <w:tr w14:paraId="6EAAF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544" w:type="dxa"/>
            <w:vAlign w:val="top"/>
          </w:tcPr>
          <w:p w14:paraId="4E348DED">
            <w:pPr>
              <w:rPr>
                <w:rFonts w:ascii="Arial"/>
                <w:sz w:val="21"/>
                <w:highlight w:val="none"/>
              </w:rPr>
            </w:pPr>
          </w:p>
        </w:tc>
        <w:tc>
          <w:tcPr>
            <w:tcW w:w="1158" w:type="dxa"/>
            <w:vAlign w:val="top"/>
          </w:tcPr>
          <w:p w14:paraId="77A050C5">
            <w:pPr>
              <w:rPr>
                <w:rFonts w:ascii="Arial"/>
                <w:sz w:val="21"/>
                <w:highlight w:val="none"/>
              </w:rPr>
            </w:pPr>
          </w:p>
        </w:tc>
        <w:tc>
          <w:tcPr>
            <w:tcW w:w="1149" w:type="dxa"/>
            <w:vAlign w:val="top"/>
          </w:tcPr>
          <w:p w14:paraId="09FF7C30">
            <w:pPr>
              <w:rPr>
                <w:rFonts w:ascii="Arial"/>
                <w:sz w:val="21"/>
                <w:highlight w:val="none"/>
              </w:rPr>
            </w:pPr>
          </w:p>
        </w:tc>
        <w:tc>
          <w:tcPr>
            <w:tcW w:w="539" w:type="dxa"/>
            <w:vAlign w:val="top"/>
          </w:tcPr>
          <w:p w14:paraId="26F4E447">
            <w:pPr>
              <w:rPr>
                <w:rFonts w:ascii="Arial"/>
                <w:sz w:val="21"/>
                <w:highlight w:val="none"/>
              </w:rPr>
            </w:pPr>
          </w:p>
        </w:tc>
        <w:tc>
          <w:tcPr>
            <w:tcW w:w="689" w:type="dxa"/>
            <w:vAlign w:val="top"/>
          </w:tcPr>
          <w:p w14:paraId="07E69D54">
            <w:pPr>
              <w:rPr>
                <w:rFonts w:ascii="Arial"/>
                <w:sz w:val="21"/>
                <w:highlight w:val="none"/>
              </w:rPr>
            </w:pPr>
          </w:p>
        </w:tc>
        <w:tc>
          <w:tcPr>
            <w:tcW w:w="989" w:type="dxa"/>
            <w:vAlign w:val="top"/>
          </w:tcPr>
          <w:p w14:paraId="4788AB7D">
            <w:pPr>
              <w:rPr>
                <w:rFonts w:ascii="Arial"/>
                <w:sz w:val="21"/>
                <w:highlight w:val="none"/>
              </w:rPr>
            </w:pPr>
          </w:p>
        </w:tc>
        <w:tc>
          <w:tcPr>
            <w:tcW w:w="1149" w:type="dxa"/>
            <w:vAlign w:val="top"/>
          </w:tcPr>
          <w:p w14:paraId="2B3C67F8">
            <w:pPr>
              <w:rPr>
                <w:rFonts w:ascii="Arial"/>
                <w:sz w:val="21"/>
                <w:highlight w:val="none"/>
              </w:rPr>
            </w:pPr>
          </w:p>
        </w:tc>
        <w:tc>
          <w:tcPr>
            <w:tcW w:w="1119" w:type="dxa"/>
            <w:vAlign w:val="top"/>
          </w:tcPr>
          <w:p w14:paraId="119FBF25">
            <w:pPr>
              <w:rPr>
                <w:rFonts w:ascii="Arial"/>
                <w:sz w:val="21"/>
                <w:highlight w:val="none"/>
              </w:rPr>
            </w:pPr>
          </w:p>
        </w:tc>
        <w:tc>
          <w:tcPr>
            <w:tcW w:w="1129" w:type="dxa"/>
            <w:vAlign w:val="top"/>
          </w:tcPr>
          <w:p w14:paraId="54D1C377">
            <w:pPr>
              <w:rPr>
                <w:rFonts w:ascii="Arial"/>
                <w:sz w:val="21"/>
                <w:highlight w:val="none"/>
              </w:rPr>
            </w:pPr>
          </w:p>
        </w:tc>
        <w:tc>
          <w:tcPr>
            <w:tcW w:w="724" w:type="dxa"/>
            <w:vAlign w:val="top"/>
          </w:tcPr>
          <w:p w14:paraId="1CB97BDB">
            <w:pPr>
              <w:rPr>
                <w:rFonts w:ascii="Arial"/>
                <w:sz w:val="21"/>
                <w:highlight w:val="none"/>
              </w:rPr>
            </w:pPr>
          </w:p>
        </w:tc>
      </w:tr>
      <w:tr w14:paraId="3F3B9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44" w:type="dxa"/>
            <w:vAlign w:val="top"/>
          </w:tcPr>
          <w:p w14:paraId="7ADE3F7B">
            <w:pPr>
              <w:rPr>
                <w:rFonts w:ascii="Arial"/>
                <w:sz w:val="21"/>
                <w:highlight w:val="none"/>
              </w:rPr>
            </w:pPr>
          </w:p>
        </w:tc>
        <w:tc>
          <w:tcPr>
            <w:tcW w:w="1158" w:type="dxa"/>
            <w:vAlign w:val="top"/>
          </w:tcPr>
          <w:p w14:paraId="303E53AF">
            <w:pPr>
              <w:rPr>
                <w:rFonts w:ascii="Arial"/>
                <w:sz w:val="21"/>
                <w:highlight w:val="none"/>
              </w:rPr>
            </w:pPr>
          </w:p>
        </w:tc>
        <w:tc>
          <w:tcPr>
            <w:tcW w:w="1149" w:type="dxa"/>
            <w:vAlign w:val="top"/>
          </w:tcPr>
          <w:p w14:paraId="7C4C1AFB">
            <w:pPr>
              <w:rPr>
                <w:rFonts w:ascii="Arial"/>
                <w:sz w:val="21"/>
                <w:highlight w:val="none"/>
              </w:rPr>
            </w:pPr>
          </w:p>
        </w:tc>
        <w:tc>
          <w:tcPr>
            <w:tcW w:w="539" w:type="dxa"/>
            <w:vAlign w:val="top"/>
          </w:tcPr>
          <w:p w14:paraId="2DCBFD93">
            <w:pPr>
              <w:rPr>
                <w:rFonts w:ascii="Arial"/>
                <w:sz w:val="21"/>
                <w:highlight w:val="none"/>
              </w:rPr>
            </w:pPr>
          </w:p>
        </w:tc>
        <w:tc>
          <w:tcPr>
            <w:tcW w:w="689" w:type="dxa"/>
            <w:vAlign w:val="top"/>
          </w:tcPr>
          <w:p w14:paraId="56C42E42">
            <w:pPr>
              <w:rPr>
                <w:rFonts w:ascii="Arial"/>
                <w:sz w:val="21"/>
                <w:highlight w:val="none"/>
              </w:rPr>
            </w:pPr>
          </w:p>
        </w:tc>
        <w:tc>
          <w:tcPr>
            <w:tcW w:w="989" w:type="dxa"/>
            <w:vAlign w:val="top"/>
          </w:tcPr>
          <w:p w14:paraId="0C51A0DF">
            <w:pPr>
              <w:rPr>
                <w:rFonts w:ascii="Arial"/>
                <w:sz w:val="21"/>
                <w:highlight w:val="none"/>
              </w:rPr>
            </w:pPr>
          </w:p>
        </w:tc>
        <w:tc>
          <w:tcPr>
            <w:tcW w:w="1149" w:type="dxa"/>
            <w:vAlign w:val="top"/>
          </w:tcPr>
          <w:p w14:paraId="211638D8">
            <w:pPr>
              <w:rPr>
                <w:rFonts w:ascii="Arial"/>
                <w:sz w:val="21"/>
                <w:highlight w:val="none"/>
              </w:rPr>
            </w:pPr>
          </w:p>
        </w:tc>
        <w:tc>
          <w:tcPr>
            <w:tcW w:w="1119" w:type="dxa"/>
            <w:vAlign w:val="top"/>
          </w:tcPr>
          <w:p w14:paraId="0B45EFD7">
            <w:pPr>
              <w:rPr>
                <w:rFonts w:ascii="Arial"/>
                <w:sz w:val="21"/>
                <w:highlight w:val="none"/>
              </w:rPr>
            </w:pPr>
          </w:p>
        </w:tc>
        <w:tc>
          <w:tcPr>
            <w:tcW w:w="1129" w:type="dxa"/>
            <w:vAlign w:val="top"/>
          </w:tcPr>
          <w:p w14:paraId="370143CD">
            <w:pPr>
              <w:rPr>
                <w:rFonts w:ascii="Arial"/>
                <w:sz w:val="21"/>
                <w:highlight w:val="none"/>
              </w:rPr>
            </w:pPr>
          </w:p>
        </w:tc>
        <w:tc>
          <w:tcPr>
            <w:tcW w:w="724" w:type="dxa"/>
            <w:vAlign w:val="top"/>
          </w:tcPr>
          <w:p w14:paraId="0993E470">
            <w:pPr>
              <w:rPr>
                <w:rFonts w:ascii="Arial"/>
                <w:sz w:val="21"/>
                <w:highlight w:val="none"/>
              </w:rPr>
            </w:pPr>
          </w:p>
        </w:tc>
      </w:tr>
      <w:tr w14:paraId="118AE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44" w:type="dxa"/>
            <w:vAlign w:val="top"/>
          </w:tcPr>
          <w:p w14:paraId="33D6481F">
            <w:pPr>
              <w:rPr>
                <w:rFonts w:ascii="Arial"/>
                <w:sz w:val="21"/>
                <w:highlight w:val="none"/>
              </w:rPr>
            </w:pPr>
          </w:p>
        </w:tc>
        <w:tc>
          <w:tcPr>
            <w:tcW w:w="1158" w:type="dxa"/>
            <w:vAlign w:val="top"/>
          </w:tcPr>
          <w:p w14:paraId="3DFAE163">
            <w:pPr>
              <w:rPr>
                <w:rFonts w:ascii="Arial"/>
                <w:sz w:val="21"/>
                <w:highlight w:val="none"/>
              </w:rPr>
            </w:pPr>
          </w:p>
        </w:tc>
        <w:tc>
          <w:tcPr>
            <w:tcW w:w="1149" w:type="dxa"/>
            <w:vAlign w:val="top"/>
          </w:tcPr>
          <w:p w14:paraId="0BD8E697">
            <w:pPr>
              <w:rPr>
                <w:rFonts w:ascii="Arial"/>
                <w:sz w:val="21"/>
                <w:highlight w:val="none"/>
              </w:rPr>
            </w:pPr>
          </w:p>
        </w:tc>
        <w:tc>
          <w:tcPr>
            <w:tcW w:w="539" w:type="dxa"/>
            <w:vAlign w:val="top"/>
          </w:tcPr>
          <w:p w14:paraId="2A57EBEE">
            <w:pPr>
              <w:rPr>
                <w:rFonts w:ascii="Arial"/>
                <w:sz w:val="21"/>
                <w:highlight w:val="none"/>
              </w:rPr>
            </w:pPr>
          </w:p>
        </w:tc>
        <w:tc>
          <w:tcPr>
            <w:tcW w:w="689" w:type="dxa"/>
            <w:vAlign w:val="top"/>
          </w:tcPr>
          <w:p w14:paraId="243E4824">
            <w:pPr>
              <w:rPr>
                <w:rFonts w:ascii="Arial"/>
                <w:sz w:val="21"/>
                <w:highlight w:val="none"/>
              </w:rPr>
            </w:pPr>
          </w:p>
        </w:tc>
        <w:tc>
          <w:tcPr>
            <w:tcW w:w="989" w:type="dxa"/>
            <w:vAlign w:val="top"/>
          </w:tcPr>
          <w:p w14:paraId="397B3E8C">
            <w:pPr>
              <w:rPr>
                <w:rFonts w:ascii="Arial"/>
                <w:sz w:val="21"/>
                <w:highlight w:val="none"/>
              </w:rPr>
            </w:pPr>
          </w:p>
        </w:tc>
        <w:tc>
          <w:tcPr>
            <w:tcW w:w="1149" w:type="dxa"/>
            <w:vAlign w:val="top"/>
          </w:tcPr>
          <w:p w14:paraId="41CD565E">
            <w:pPr>
              <w:rPr>
                <w:rFonts w:ascii="Arial"/>
                <w:sz w:val="21"/>
                <w:highlight w:val="none"/>
              </w:rPr>
            </w:pPr>
          </w:p>
        </w:tc>
        <w:tc>
          <w:tcPr>
            <w:tcW w:w="1119" w:type="dxa"/>
            <w:vAlign w:val="top"/>
          </w:tcPr>
          <w:p w14:paraId="79516E87">
            <w:pPr>
              <w:rPr>
                <w:rFonts w:ascii="Arial"/>
                <w:sz w:val="21"/>
                <w:highlight w:val="none"/>
              </w:rPr>
            </w:pPr>
          </w:p>
        </w:tc>
        <w:tc>
          <w:tcPr>
            <w:tcW w:w="1129" w:type="dxa"/>
            <w:vAlign w:val="top"/>
          </w:tcPr>
          <w:p w14:paraId="0D46636E">
            <w:pPr>
              <w:rPr>
                <w:rFonts w:ascii="Arial"/>
                <w:sz w:val="21"/>
                <w:highlight w:val="none"/>
              </w:rPr>
            </w:pPr>
          </w:p>
        </w:tc>
        <w:tc>
          <w:tcPr>
            <w:tcW w:w="724" w:type="dxa"/>
            <w:vAlign w:val="top"/>
          </w:tcPr>
          <w:p w14:paraId="366A6550">
            <w:pPr>
              <w:rPr>
                <w:rFonts w:ascii="Arial"/>
                <w:sz w:val="21"/>
                <w:highlight w:val="none"/>
              </w:rPr>
            </w:pPr>
          </w:p>
        </w:tc>
      </w:tr>
      <w:tr w14:paraId="19FB2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44" w:type="dxa"/>
            <w:vAlign w:val="top"/>
          </w:tcPr>
          <w:p w14:paraId="076BD1C7">
            <w:pPr>
              <w:rPr>
                <w:rFonts w:ascii="Arial"/>
                <w:sz w:val="21"/>
                <w:highlight w:val="none"/>
              </w:rPr>
            </w:pPr>
          </w:p>
        </w:tc>
        <w:tc>
          <w:tcPr>
            <w:tcW w:w="1158" w:type="dxa"/>
            <w:vAlign w:val="top"/>
          </w:tcPr>
          <w:p w14:paraId="7AEB3540">
            <w:pPr>
              <w:rPr>
                <w:rFonts w:ascii="Arial"/>
                <w:sz w:val="21"/>
                <w:highlight w:val="none"/>
              </w:rPr>
            </w:pPr>
          </w:p>
        </w:tc>
        <w:tc>
          <w:tcPr>
            <w:tcW w:w="1149" w:type="dxa"/>
            <w:vAlign w:val="top"/>
          </w:tcPr>
          <w:p w14:paraId="313AA91A">
            <w:pPr>
              <w:rPr>
                <w:rFonts w:ascii="Arial"/>
                <w:sz w:val="21"/>
                <w:highlight w:val="none"/>
              </w:rPr>
            </w:pPr>
          </w:p>
        </w:tc>
        <w:tc>
          <w:tcPr>
            <w:tcW w:w="539" w:type="dxa"/>
            <w:vAlign w:val="top"/>
          </w:tcPr>
          <w:p w14:paraId="76BBAFFF">
            <w:pPr>
              <w:rPr>
                <w:rFonts w:ascii="Arial"/>
                <w:sz w:val="21"/>
                <w:highlight w:val="none"/>
              </w:rPr>
            </w:pPr>
          </w:p>
        </w:tc>
        <w:tc>
          <w:tcPr>
            <w:tcW w:w="689" w:type="dxa"/>
            <w:vAlign w:val="top"/>
          </w:tcPr>
          <w:p w14:paraId="4F17048E">
            <w:pPr>
              <w:rPr>
                <w:rFonts w:ascii="Arial"/>
                <w:sz w:val="21"/>
                <w:highlight w:val="none"/>
              </w:rPr>
            </w:pPr>
          </w:p>
        </w:tc>
        <w:tc>
          <w:tcPr>
            <w:tcW w:w="989" w:type="dxa"/>
            <w:vAlign w:val="top"/>
          </w:tcPr>
          <w:p w14:paraId="00D373CE">
            <w:pPr>
              <w:rPr>
                <w:rFonts w:ascii="Arial"/>
                <w:sz w:val="21"/>
                <w:highlight w:val="none"/>
              </w:rPr>
            </w:pPr>
          </w:p>
        </w:tc>
        <w:tc>
          <w:tcPr>
            <w:tcW w:w="1149" w:type="dxa"/>
            <w:vAlign w:val="top"/>
          </w:tcPr>
          <w:p w14:paraId="3152421E">
            <w:pPr>
              <w:rPr>
                <w:rFonts w:ascii="Arial"/>
                <w:sz w:val="21"/>
                <w:highlight w:val="none"/>
              </w:rPr>
            </w:pPr>
          </w:p>
        </w:tc>
        <w:tc>
          <w:tcPr>
            <w:tcW w:w="1119" w:type="dxa"/>
            <w:vAlign w:val="top"/>
          </w:tcPr>
          <w:p w14:paraId="64C5B228">
            <w:pPr>
              <w:rPr>
                <w:rFonts w:ascii="Arial"/>
                <w:sz w:val="21"/>
                <w:highlight w:val="none"/>
              </w:rPr>
            </w:pPr>
          </w:p>
        </w:tc>
        <w:tc>
          <w:tcPr>
            <w:tcW w:w="1129" w:type="dxa"/>
            <w:vAlign w:val="top"/>
          </w:tcPr>
          <w:p w14:paraId="03193A6D">
            <w:pPr>
              <w:rPr>
                <w:rFonts w:ascii="Arial"/>
                <w:sz w:val="21"/>
                <w:highlight w:val="none"/>
              </w:rPr>
            </w:pPr>
          </w:p>
        </w:tc>
        <w:tc>
          <w:tcPr>
            <w:tcW w:w="724" w:type="dxa"/>
            <w:vAlign w:val="top"/>
          </w:tcPr>
          <w:p w14:paraId="4801EBAF">
            <w:pPr>
              <w:rPr>
                <w:rFonts w:ascii="Arial"/>
                <w:sz w:val="21"/>
                <w:highlight w:val="none"/>
              </w:rPr>
            </w:pPr>
          </w:p>
        </w:tc>
      </w:tr>
      <w:tr w14:paraId="4B4E9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544" w:type="dxa"/>
            <w:vAlign w:val="top"/>
          </w:tcPr>
          <w:p w14:paraId="3D3F6363">
            <w:pPr>
              <w:rPr>
                <w:rFonts w:ascii="Arial"/>
                <w:sz w:val="21"/>
                <w:highlight w:val="none"/>
              </w:rPr>
            </w:pPr>
          </w:p>
        </w:tc>
        <w:tc>
          <w:tcPr>
            <w:tcW w:w="1158" w:type="dxa"/>
            <w:vAlign w:val="top"/>
          </w:tcPr>
          <w:p w14:paraId="4DAB71BF">
            <w:pPr>
              <w:rPr>
                <w:rFonts w:ascii="Arial"/>
                <w:sz w:val="21"/>
                <w:highlight w:val="none"/>
              </w:rPr>
            </w:pPr>
          </w:p>
        </w:tc>
        <w:tc>
          <w:tcPr>
            <w:tcW w:w="1149" w:type="dxa"/>
            <w:vAlign w:val="top"/>
          </w:tcPr>
          <w:p w14:paraId="06AD6B6C">
            <w:pPr>
              <w:rPr>
                <w:rFonts w:ascii="Arial"/>
                <w:sz w:val="21"/>
                <w:highlight w:val="none"/>
              </w:rPr>
            </w:pPr>
          </w:p>
        </w:tc>
        <w:tc>
          <w:tcPr>
            <w:tcW w:w="539" w:type="dxa"/>
            <w:vAlign w:val="top"/>
          </w:tcPr>
          <w:p w14:paraId="3D13C479">
            <w:pPr>
              <w:rPr>
                <w:rFonts w:ascii="Arial"/>
                <w:sz w:val="21"/>
                <w:highlight w:val="none"/>
              </w:rPr>
            </w:pPr>
          </w:p>
        </w:tc>
        <w:tc>
          <w:tcPr>
            <w:tcW w:w="689" w:type="dxa"/>
            <w:vAlign w:val="top"/>
          </w:tcPr>
          <w:p w14:paraId="1F0F1F19">
            <w:pPr>
              <w:rPr>
                <w:rFonts w:ascii="Arial"/>
                <w:sz w:val="21"/>
                <w:highlight w:val="none"/>
              </w:rPr>
            </w:pPr>
          </w:p>
        </w:tc>
        <w:tc>
          <w:tcPr>
            <w:tcW w:w="989" w:type="dxa"/>
            <w:vAlign w:val="top"/>
          </w:tcPr>
          <w:p w14:paraId="6639A38F">
            <w:pPr>
              <w:rPr>
                <w:rFonts w:ascii="Arial"/>
                <w:sz w:val="21"/>
                <w:highlight w:val="none"/>
              </w:rPr>
            </w:pPr>
          </w:p>
        </w:tc>
        <w:tc>
          <w:tcPr>
            <w:tcW w:w="1149" w:type="dxa"/>
            <w:vAlign w:val="top"/>
          </w:tcPr>
          <w:p w14:paraId="1743C08F">
            <w:pPr>
              <w:rPr>
                <w:rFonts w:ascii="Arial"/>
                <w:sz w:val="21"/>
                <w:highlight w:val="none"/>
              </w:rPr>
            </w:pPr>
          </w:p>
        </w:tc>
        <w:tc>
          <w:tcPr>
            <w:tcW w:w="1119" w:type="dxa"/>
            <w:vAlign w:val="top"/>
          </w:tcPr>
          <w:p w14:paraId="58DCBD2D">
            <w:pPr>
              <w:rPr>
                <w:rFonts w:ascii="Arial"/>
                <w:sz w:val="21"/>
                <w:highlight w:val="none"/>
              </w:rPr>
            </w:pPr>
          </w:p>
        </w:tc>
        <w:tc>
          <w:tcPr>
            <w:tcW w:w="1129" w:type="dxa"/>
            <w:vAlign w:val="top"/>
          </w:tcPr>
          <w:p w14:paraId="2CF89533">
            <w:pPr>
              <w:rPr>
                <w:rFonts w:ascii="Arial"/>
                <w:sz w:val="21"/>
                <w:highlight w:val="none"/>
              </w:rPr>
            </w:pPr>
          </w:p>
        </w:tc>
        <w:tc>
          <w:tcPr>
            <w:tcW w:w="724" w:type="dxa"/>
            <w:vAlign w:val="top"/>
          </w:tcPr>
          <w:p w14:paraId="059A9C43">
            <w:pPr>
              <w:rPr>
                <w:rFonts w:ascii="Arial"/>
                <w:sz w:val="21"/>
                <w:highlight w:val="none"/>
              </w:rPr>
            </w:pPr>
          </w:p>
        </w:tc>
      </w:tr>
      <w:tr w14:paraId="305D4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544" w:type="dxa"/>
            <w:vAlign w:val="top"/>
          </w:tcPr>
          <w:p w14:paraId="38BD2696">
            <w:pPr>
              <w:rPr>
                <w:rFonts w:ascii="Arial"/>
                <w:sz w:val="21"/>
                <w:highlight w:val="none"/>
              </w:rPr>
            </w:pPr>
          </w:p>
        </w:tc>
        <w:tc>
          <w:tcPr>
            <w:tcW w:w="1158" w:type="dxa"/>
            <w:vAlign w:val="top"/>
          </w:tcPr>
          <w:p w14:paraId="50C83B8C">
            <w:pPr>
              <w:rPr>
                <w:rFonts w:ascii="Arial"/>
                <w:sz w:val="21"/>
                <w:highlight w:val="none"/>
              </w:rPr>
            </w:pPr>
          </w:p>
        </w:tc>
        <w:tc>
          <w:tcPr>
            <w:tcW w:w="1149" w:type="dxa"/>
            <w:vAlign w:val="top"/>
          </w:tcPr>
          <w:p w14:paraId="68D73CBE">
            <w:pPr>
              <w:rPr>
                <w:rFonts w:ascii="Arial"/>
                <w:sz w:val="21"/>
                <w:highlight w:val="none"/>
              </w:rPr>
            </w:pPr>
          </w:p>
        </w:tc>
        <w:tc>
          <w:tcPr>
            <w:tcW w:w="539" w:type="dxa"/>
            <w:vAlign w:val="top"/>
          </w:tcPr>
          <w:p w14:paraId="56F033CB">
            <w:pPr>
              <w:rPr>
                <w:rFonts w:ascii="Arial"/>
                <w:sz w:val="21"/>
                <w:highlight w:val="none"/>
              </w:rPr>
            </w:pPr>
          </w:p>
        </w:tc>
        <w:tc>
          <w:tcPr>
            <w:tcW w:w="689" w:type="dxa"/>
            <w:vAlign w:val="top"/>
          </w:tcPr>
          <w:p w14:paraId="1097636D">
            <w:pPr>
              <w:rPr>
                <w:rFonts w:ascii="Arial"/>
                <w:sz w:val="21"/>
                <w:highlight w:val="none"/>
              </w:rPr>
            </w:pPr>
          </w:p>
        </w:tc>
        <w:tc>
          <w:tcPr>
            <w:tcW w:w="989" w:type="dxa"/>
            <w:vAlign w:val="top"/>
          </w:tcPr>
          <w:p w14:paraId="7508748E">
            <w:pPr>
              <w:rPr>
                <w:rFonts w:ascii="Arial"/>
                <w:sz w:val="21"/>
                <w:highlight w:val="none"/>
              </w:rPr>
            </w:pPr>
          </w:p>
        </w:tc>
        <w:tc>
          <w:tcPr>
            <w:tcW w:w="1149" w:type="dxa"/>
            <w:vAlign w:val="top"/>
          </w:tcPr>
          <w:p w14:paraId="350D400D">
            <w:pPr>
              <w:rPr>
                <w:rFonts w:ascii="Arial"/>
                <w:sz w:val="21"/>
                <w:highlight w:val="none"/>
              </w:rPr>
            </w:pPr>
          </w:p>
        </w:tc>
        <w:tc>
          <w:tcPr>
            <w:tcW w:w="1119" w:type="dxa"/>
            <w:vAlign w:val="top"/>
          </w:tcPr>
          <w:p w14:paraId="6B7D070C">
            <w:pPr>
              <w:rPr>
                <w:rFonts w:ascii="Arial"/>
                <w:sz w:val="21"/>
                <w:highlight w:val="none"/>
              </w:rPr>
            </w:pPr>
          </w:p>
        </w:tc>
        <w:tc>
          <w:tcPr>
            <w:tcW w:w="1129" w:type="dxa"/>
            <w:vAlign w:val="top"/>
          </w:tcPr>
          <w:p w14:paraId="2B8D9215">
            <w:pPr>
              <w:rPr>
                <w:rFonts w:ascii="Arial"/>
                <w:sz w:val="21"/>
                <w:highlight w:val="none"/>
              </w:rPr>
            </w:pPr>
          </w:p>
        </w:tc>
        <w:tc>
          <w:tcPr>
            <w:tcW w:w="724" w:type="dxa"/>
            <w:vAlign w:val="top"/>
          </w:tcPr>
          <w:p w14:paraId="7E69680B">
            <w:pPr>
              <w:rPr>
                <w:rFonts w:ascii="Arial"/>
                <w:sz w:val="21"/>
                <w:highlight w:val="none"/>
              </w:rPr>
            </w:pPr>
          </w:p>
        </w:tc>
      </w:tr>
      <w:tr w14:paraId="0D4F7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44" w:type="dxa"/>
            <w:vAlign w:val="top"/>
          </w:tcPr>
          <w:p w14:paraId="56756AEE">
            <w:pPr>
              <w:rPr>
                <w:rFonts w:ascii="Arial"/>
                <w:sz w:val="21"/>
                <w:highlight w:val="none"/>
              </w:rPr>
            </w:pPr>
          </w:p>
        </w:tc>
        <w:tc>
          <w:tcPr>
            <w:tcW w:w="1158" w:type="dxa"/>
            <w:vAlign w:val="top"/>
          </w:tcPr>
          <w:p w14:paraId="21F490F4">
            <w:pPr>
              <w:rPr>
                <w:rFonts w:ascii="Arial"/>
                <w:sz w:val="21"/>
                <w:highlight w:val="none"/>
              </w:rPr>
            </w:pPr>
          </w:p>
        </w:tc>
        <w:tc>
          <w:tcPr>
            <w:tcW w:w="1149" w:type="dxa"/>
            <w:vAlign w:val="top"/>
          </w:tcPr>
          <w:p w14:paraId="478CE84C">
            <w:pPr>
              <w:rPr>
                <w:rFonts w:ascii="Arial"/>
                <w:sz w:val="21"/>
                <w:highlight w:val="none"/>
              </w:rPr>
            </w:pPr>
          </w:p>
        </w:tc>
        <w:tc>
          <w:tcPr>
            <w:tcW w:w="539" w:type="dxa"/>
            <w:vAlign w:val="top"/>
          </w:tcPr>
          <w:p w14:paraId="799FF45C">
            <w:pPr>
              <w:rPr>
                <w:rFonts w:ascii="Arial"/>
                <w:sz w:val="21"/>
                <w:highlight w:val="none"/>
              </w:rPr>
            </w:pPr>
          </w:p>
        </w:tc>
        <w:tc>
          <w:tcPr>
            <w:tcW w:w="689" w:type="dxa"/>
            <w:vAlign w:val="top"/>
          </w:tcPr>
          <w:p w14:paraId="573D9ACE">
            <w:pPr>
              <w:rPr>
                <w:rFonts w:ascii="Arial"/>
                <w:sz w:val="21"/>
                <w:highlight w:val="none"/>
              </w:rPr>
            </w:pPr>
          </w:p>
        </w:tc>
        <w:tc>
          <w:tcPr>
            <w:tcW w:w="989" w:type="dxa"/>
            <w:vAlign w:val="top"/>
          </w:tcPr>
          <w:p w14:paraId="018880A9">
            <w:pPr>
              <w:rPr>
                <w:rFonts w:ascii="Arial"/>
                <w:sz w:val="21"/>
                <w:highlight w:val="none"/>
              </w:rPr>
            </w:pPr>
          </w:p>
        </w:tc>
        <w:tc>
          <w:tcPr>
            <w:tcW w:w="1149" w:type="dxa"/>
            <w:vAlign w:val="top"/>
          </w:tcPr>
          <w:p w14:paraId="432B7531">
            <w:pPr>
              <w:rPr>
                <w:rFonts w:ascii="Arial"/>
                <w:sz w:val="21"/>
                <w:highlight w:val="none"/>
              </w:rPr>
            </w:pPr>
          </w:p>
        </w:tc>
        <w:tc>
          <w:tcPr>
            <w:tcW w:w="1119" w:type="dxa"/>
            <w:vAlign w:val="top"/>
          </w:tcPr>
          <w:p w14:paraId="3E5DA597">
            <w:pPr>
              <w:rPr>
                <w:rFonts w:ascii="Arial"/>
                <w:sz w:val="21"/>
                <w:highlight w:val="none"/>
              </w:rPr>
            </w:pPr>
          </w:p>
        </w:tc>
        <w:tc>
          <w:tcPr>
            <w:tcW w:w="1129" w:type="dxa"/>
            <w:vAlign w:val="top"/>
          </w:tcPr>
          <w:p w14:paraId="650E88CE">
            <w:pPr>
              <w:rPr>
                <w:rFonts w:ascii="Arial"/>
                <w:sz w:val="21"/>
                <w:highlight w:val="none"/>
              </w:rPr>
            </w:pPr>
          </w:p>
        </w:tc>
        <w:tc>
          <w:tcPr>
            <w:tcW w:w="724" w:type="dxa"/>
            <w:vAlign w:val="top"/>
          </w:tcPr>
          <w:p w14:paraId="16FC6801">
            <w:pPr>
              <w:rPr>
                <w:rFonts w:ascii="Arial"/>
                <w:sz w:val="21"/>
                <w:highlight w:val="none"/>
              </w:rPr>
            </w:pPr>
          </w:p>
        </w:tc>
      </w:tr>
      <w:tr w14:paraId="59C8A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44" w:type="dxa"/>
            <w:vAlign w:val="top"/>
          </w:tcPr>
          <w:p w14:paraId="387F4BC2">
            <w:pPr>
              <w:rPr>
                <w:rFonts w:ascii="Arial"/>
                <w:sz w:val="21"/>
                <w:highlight w:val="none"/>
              </w:rPr>
            </w:pPr>
          </w:p>
        </w:tc>
        <w:tc>
          <w:tcPr>
            <w:tcW w:w="1158" w:type="dxa"/>
            <w:vAlign w:val="top"/>
          </w:tcPr>
          <w:p w14:paraId="39D3717D">
            <w:pPr>
              <w:rPr>
                <w:rFonts w:ascii="Arial"/>
                <w:sz w:val="21"/>
                <w:highlight w:val="none"/>
              </w:rPr>
            </w:pPr>
          </w:p>
        </w:tc>
        <w:tc>
          <w:tcPr>
            <w:tcW w:w="1149" w:type="dxa"/>
            <w:vAlign w:val="top"/>
          </w:tcPr>
          <w:p w14:paraId="15E3098A">
            <w:pPr>
              <w:rPr>
                <w:rFonts w:ascii="Arial"/>
                <w:sz w:val="21"/>
                <w:highlight w:val="none"/>
              </w:rPr>
            </w:pPr>
          </w:p>
        </w:tc>
        <w:tc>
          <w:tcPr>
            <w:tcW w:w="539" w:type="dxa"/>
            <w:vAlign w:val="top"/>
          </w:tcPr>
          <w:p w14:paraId="6F673820">
            <w:pPr>
              <w:rPr>
                <w:rFonts w:ascii="Arial"/>
                <w:sz w:val="21"/>
                <w:highlight w:val="none"/>
              </w:rPr>
            </w:pPr>
          </w:p>
        </w:tc>
        <w:tc>
          <w:tcPr>
            <w:tcW w:w="689" w:type="dxa"/>
            <w:vAlign w:val="top"/>
          </w:tcPr>
          <w:p w14:paraId="44195A54">
            <w:pPr>
              <w:rPr>
                <w:rFonts w:ascii="Arial"/>
                <w:sz w:val="21"/>
                <w:highlight w:val="none"/>
              </w:rPr>
            </w:pPr>
          </w:p>
        </w:tc>
        <w:tc>
          <w:tcPr>
            <w:tcW w:w="989" w:type="dxa"/>
            <w:vAlign w:val="top"/>
          </w:tcPr>
          <w:p w14:paraId="025BF989">
            <w:pPr>
              <w:rPr>
                <w:rFonts w:ascii="Arial"/>
                <w:sz w:val="21"/>
                <w:highlight w:val="none"/>
              </w:rPr>
            </w:pPr>
          </w:p>
        </w:tc>
        <w:tc>
          <w:tcPr>
            <w:tcW w:w="1149" w:type="dxa"/>
            <w:vAlign w:val="top"/>
          </w:tcPr>
          <w:p w14:paraId="45E1A35B">
            <w:pPr>
              <w:rPr>
                <w:rFonts w:ascii="Arial"/>
                <w:sz w:val="21"/>
                <w:highlight w:val="none"/>
              </w:rPr>
            </w:pPr>
          </w:p>
        </w:tc>
        <w:tc>
          <w:tcPr>
            <w:tcW w:w="1119" w:type="dxa"/>
            <w:vAlign w:val="top"/>
          </w:tcPr>
          <w:p w14:paraId="25995C53">
            <w:pPr>
              <w:rPr>
                <w:rFonts w:ascii="Arial"/>
                <w:sz w:val="21"/>
                <w:highlight w:val="none"/>
              </w:rPr>
            </w:pPr>
          </w:p>
        </w:tc>
        <w:tc>
          <w:tcPr>
            <w:tcW w:w="1129" w:type="dxa"/>
            <w:vAlign w:val="top"/>
          </w:tcPr>
          <w:p w14:paraId="52743E5B">
            <w:pPr>
              <w:rPr>
                <w:rFonts w:ascii="Arial"/>
                <w:sz w:val="21"/>
                <w:highlight w:val="none"/>
              </w:rPr>
            </w:pPr>
          </w:p>
        </w:tc>
        <w:tc>
          <w:tcPr>
            <w:tcW w:w="724" w:type="dxa"/>
            <w:vAlign w:val="top"/>
          </w:tcPr>
          <w:p w14:paraId="1234BE80">
            <w:pPr>
              <w:rPr>
                <w:rFonts w:ascii="Arial"/>
                <w:sz w:val="21"/>
                <w:highlight w:val="none"/>
              </w:rPr>
            </w:pPr>
          </w:p>
        </w:tc>
      </w:tr>
      <w:tr w14:paraId="65C3C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544" w:type="dxa"/>
            <w:vAlign w:val="top"/>
          </w:tcPr>
          <w:p w14:paraId="2B23E778">
            <w:pPr>
              <w:rPr>
                <w:rFonts w:ascii="Arial"/>
                <w:sz w:val="21"/>
                <w:highlight w:val="none"/>
              </w:rPr>
            </w:pPr>
          </w:p>
        </w:tc>
        <w:tc>
          <w:tcPr>
            <w:tcW w:w="1158" w:type="dxa"/>
            <w:vAlign w:val="top"/>
          </w:tcPr>
          <w:p w14:paraId="443E6543">
            <w:pPr>
              <w:rPr>
                <w:rFonts w:ascii="Arial"/>
                <w:sz w:val="21"/>
                <w:highlight w:val="none"/>
              </w:rPr>
            </w:pPr>
          </w:p>
        </w:tc>
        <w:tc>
          <w:tcPr>
            <w:tcW w:w="1149" w:type="dxa"/>
            <w:vAlign w:val="top"/>
          </w:tcPr>
          <w:p w14:paraId="5A022BBA">
            <w:pPr>
              <w:rPr>
                <w:rFonts w:ascii="Arial"/>
                <w:sz w:val="21"/>
                <w:highlight w:val="none"/>
              </w:rPr>
            </w:pPr>
          </w:p>
        </w:tc>
        <w:tc>
          <w:tcPr>
            <w:tcW w:w="539" w:type="dxa"/>
            <w:vAlign w:val="top"/>
          </w:tcPr>
          <w:p w14:paraId="6AF62A96">
            <w:pPr>
              <w:rPr>
                <w:rFonts w:ascii="Arial"/>
                <w:sz w:val="21"/>
                <w:highlight w:val="none"/>
              </w:rPr>
            </w:pPr>
          </w:p>
        </w:tc>
        <w:tc>
          <w:tcPr>
            <w:tcW w:w="689" w:type="dxa"/>
            <w:vAlign w:val="top"/>
          </w:tcPr>
          <w:p w14:paraId="7EC32419">
            <w:pPr>
              <w:rPr>
                <w:rFonts w:ascii="Arial"/>
                <w:sz w:val="21"/>
                <w:highlight w:val="none"/>
              </w:rPr>
            </w:pPr>
          </w:p>
        </w:tc>
        <w:tc>
          <w:tcPr>
            <w:tcW w:w="989" w:type="dxa"/>
            <w:vAlign w:val="top"/>
          </w:tcPr>
          <w:p w14:paraId="4173CCFE">
            <w:pPr>
              <w:rPr>
                <w:rFonts w:ascii="Arial"/>
                <w:sz w:val="21"/>
                <w:highlight w:val="none"/>
              </w:rPr>
            </w:pPr>
          </w:p>
        </w:tc>
        <w:tc>
          <w:tcPr>
            <w:tcW w:w="1149" w:type="dxa"/>
            <w:vAlign w:val="top"/>
          </w:tcPr>
          <w:p w14:paraId="6B190B97">
            <w:pPr>
              <w:rPr>
                <w:rFonts w:ascii="Arial"/>
                <w:sz w:val="21"/>
                <w:highlight w:val="none"/>
              </w:rPr>
            </w:pPr>
          </w:p>
        </w:tc>
        <w:tc>
          <w:tcPr>
            <w:tcW w:w="1119" w:type="dxa"/>
            <w:vAlign w:val="top"/>
          </w:tcPr>
          <w:p w14:paraId="58A566DD">
            <w:pPr>
              <w:rPr>
                <w:rFonts w:ascii="Arial"/>
                <w:sz w:val="21"/>
                <w:highlight w:val="none"/>
              </w:rPr>
            </w:pPr>
          </w:p>
        </w:tc>
        <w:tc>
          <w:tcPr>
            <w:tcW w:w="1129" w:type="dxa"/>
            <w:vAlign w:val="top"/>
          </w:tcPr>
          <w:p w14:paraId="68C54E69">
            <w:pPr>
              <w:rPr>
                <w:rFonts w:ascii="Arial"/>
                <w:sz w:val="21"/>
                <w:highlight w:val="none"/>
              </w:rPr>
            </w:pPr>
          </w:p>
        </w:tc>
        <w:tc>
          <w:tcPr>
            <w:tcW w:w="724" w:type="dxa"/>
            <w:vAlign w:val="top"/>
          </w:tcPr>
          <w:p w14:paraId="2B5F0F17">
            <w:pPr>
              <w:rPr>
                <w:rFonts w:ascii="Arial"/>
                <w:sz w:val="21"/>
                <w:highlight w:val="none"/>
              </w:rPr>
            </w:pPr>
          </w:p>
        </w:tc>
      </w:tr>
      <w:tr w14:paraId="25FBC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544" w:type="dxa"/>
            <w:vAlign w:val="top"/>
          </w:tcPr>
          <w:p w14:paraId="2FDDFA33">
            <w:pPr>
              <w:rPr>
                <w:rFonts w:ascii="Arial"/>
                <w:sz w:val="21"/>
                <w:highlight w:val="none"/>
              </w:rPr>
            </w:pPr>
          </w:p>
        </w:tc>
        <w:tc>
          <w:tcPr>
            <w:tcW w:w="1158" w:type="dxa"/>
            <w:vAlign w:val="top"/>
          </w:tcPr>
          <w:p w14:paraId="5A331C3D">
            <w:pPr>
              <w:rPr>
                <w:rFonts w:ascii="Arial"/>
                <w:sz w:val="21"/>
                <w:highlight w:val="none"/>
              </w:rPr>
            </w:pPr>
          </w:p>
        </w:tc>
        <w:tc>
          <w:tcPr>
            <w:tcW w:w="1149" w:type="dxa"/>
            <w:vAlign w:val="top"/>
          </w:tcPr>
          <w:p w14:paraId="50187DAB">
            <w:pPr>
              <w:rPr>
                <w:rFonts w:ascii="Arial"/>
                <w:sz w:val="21"/>
                <w:highlight w:val="none"/>
              </w:rPr>
            </w:pPr>
          </w:p>
        </w:tc>
        <w:tc>
          <w:tcPr>
            <w:tcW w:w="539" w:type="dxa"/>
            <w:vAlign w:val="top"/>
          </w:tcPr>
          <w:p w14:paraId="477170EB">
            <w:pPr>
              <w:rPr>
                <w:rFonts w:ascii="Arial"/>
                <w:sz w:val="21"/>
                <w:highlight w:val="none"/>
              </w:rPr>
            </w:pPr>
          </w:p>
        </w:tc>
        <w:tc>
          <w:tcPr>
            <w:tcW w:w="689" w:type="dxa"/>
            <w:vAlign w:val="top"/>
          </w:tcPr>
          <w:p w14:paraId="7EB93542">
            <w:pPr>
              <w:rPr>
                <w:rFonts w:ascii="Arial"/>
                <w:sz w:val="21"/>
                <w:highlight w:val="none"/>
              </w:rPr>
            </w:pPr>
          </w:p>
        </w:tc>
        <w:tc>
          <w:tcPr>
            <w:tcW w:w="989" w:type="dxa"/>
            <w:vAlign w:val="top"/>
          </w:tcPr>
          <w:p w14:paraId="75ACED62">
            <w:pPr>
              <w:rPr>
                <w:rFonts w:ascii="Arial"/>
                <w:sz w:val="21"/>
                <w:highlight w:val="none"/>
              </w:rPr>
            </w:pPr>
          </w:p>
        </w:tc>
        <w:tc>
          <w:tcPr>
            <w:tcW w:w="1149" w:type="dxa"/>
            <w:vAlign w:val="top"/>
          </w:tcPr>
          <w:p w14:paraId="19688ED2">
            <w:pPr>
              <w:rPr>
                <w:rFonts w:ascii="Arial"/>
                <w:sz w:val="21"/>
                <w:highlight w:val="none"/>
              </w:rPr>
            </w:pPr>
          </w:p>
        </w:tc>
        <w:tc>
          <w:tcPr>
            <w:tcW w:w="1119" w:type="dxa"/>
            <w:vAlign w:val="top"/>
          </w:tcPr>
          <w:p w14:paraId="45BFF0B1">
            <w:pPr>
              <w:rPr>
                <w:rFonts w:ascii="Arial"/>
                <w:sz w:val="21"/>
                <w:highlight w:val="none"/>
              </w:rPr>
            </w:pPr>
          </w:p>
        </w:tc>
        <w:tc>
          <w:tcPr>
            <w:tcW w:w="1129" w:type="dxa"/>
            <w:vAlign w:val="top"/>
          </w:tcPr>
          <w:p w14:paraId="45009BF2">
            <w:pPr>
              <w:rPr>
                <w:rFonts w:ascii="Arial"/>
                <w:sz w:val="21"/>
                <w:highlight w:val="none"/>
              </w:rPr>
            </w:pPr>
          </w:p>
        </w:tc>
        <w:tc>
          <w:tcPr>
            <w:tcW w:w="724" w:type="dxa"/>
            <w:vAlign w:val="top"/>
          </w:tcPr>
          <w:p w14:paraId="55B7AF36">
            <w:pPr>
              <w:rPr>
                <w:rFonts w:ascii="Arial"/>
                <w:sz w:val="21"/>
                <w:highlight w:val="none"/>
              </w:rPr>
            </w:pPr>
          </w:p>
        </w:tc>
      </w:tr>
      <w:tr w14:paraId="3E225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44" w:type="dxa"/>
            <w:vAlign w:val="top"/>
          </w:tcPr>
          <w:p w14:paraId="38360C7E">
            <w:pPr>
              <w:rPr>
                <w:rFonts w:ascii="Arial"/>
                <w:sz w:val="21"/>
                <w:highlight w:val="none"/>
              </w:rPr>
            </w:pPr>
          </w:p>
        </w:tc>
        <w:tc>
          <w:tcPr>
            <w:tcW w:w="1158" w:type="dxa"/>
            <w:vAlign w:val="top"/>
          </w:tcPr>
          <w:p w14:paraId="515206BF">
            <w:pPr>
              <w:rPr>
                <w:rFonts w:ascii="Arial"/>
                <w:sz w:val="21"/>
                <w:highlight w:val="none"/>
              </w:rPr>
            </w:pPr>
          </w:p>
        </w:tc>
        <w:tc>
          <w:tcPr>
            <w:tcW w:w="1149" w:type="dxa"/>
            <w:vAlign w:val="top"/>
          </w:tcPr>
          <w:p w14:paraId="4AFFF71B">
            <w:pPr>
              <w:rPr>
                <w:rFonts w:ascii="Arial"/>
                <w:sz w:val="21"/>
                <w:highlight w:val="none"/>
              </w:rPr>
            </w:pPr>
          </w:p>
        </w:tc>
        <w:tc>
          <w:tcPr>
            <w:tcW w:w="539" w:type="dxa"/>
            <w:vAlign w:val="top"/>
          </w:tcPr>
          <w:p w14:paraId="20D80E70">
            <w:pPr>
              <w:rPr>
                <w:rFonts w:ascii="Arial"/>
                <w:sz w:val="21"/>
                <w:highlight w:val="none"/>
              </w:rPr>
            </w:pPr>
          </w:p>
        </w:tc>
        <w:tc>
          <w:tcPr>
            <w:tcW w:w="689" w:type="dxa"/>
            <w:vAlign w:val="top"/>
          </w:tcPr>
          <w:p w14:paraId="7F38E2FA">
            <w:pPr>
              <w:rPr>
                <w:rFonts w:ascii="Arial"/>
                <w:sz w:val="21"/>
                <w:highlight w:val="none"/>
              </w:rPr>
            </w:pPr>
          </w:p>
        </w:tc>
        <w:tc>
          <w:tcPr>
            <w:tcW w:w="989" w:type="dxa"/>
            <w:vAlign w:val="top"/>
          </w:tcPr>
          <w:p w14:paraId="4033C833">
            <w:pPr>
              <w:rPr>
                <w:rFonts w:ascii="Arial"/>
                <w:sz w:val="21"/>
                <w:highlight w:val="none"/>
              </w:rPr>
            </w:pPr>
          </w:p>
        </w:tc>
        <w:tc>
          <w:tcPr>
            <w:tcW w:w="1149" w:type="dxa"/>
            <w:vAlign w:val="top"/>
          </w:tcPr>
          <w:p w14:paraId="75279851">
            <w:pPr>
              <w:rPr>
                <w:rFonts w:ascii="Arial"/>
                <w:sz w:val="21"/>
                <w:highlight w:val="none"/>
              </w:rPr>
            </w:pPr>
          </w:p>
        </w:tc>
        <w:tc>
          <w:tcPr>
            <w:tcW w:w="1119" w:type="dxa"/>
            <w:vAlign w:val="top"/>
          </w:tcPr>
          <w:p w14:paraId="4FD684C2">
            <w:pPr>
              <w:rPr>
                <w:rFonts w:ascii="Arial"/>
                <w:sz w:val="21"/>
                <w:highlight w:val="none"/>
              </w:rPr>
            </w:pPr>
          </w:p>
        </w:tc>
        <w:tc>
          <w:tcPr>
            <w:tcW w:w="1129" w:type="dxa"/>
            <w:vAlign w:val="top"/>
          </w:tcPr>
          <w:p w14:paraId="02D0F005">
            <w:pPr>
              <w:rPr>
                <w:rFonts w:ascii="Arial"/>
                <w:sz w:val="21"/>
                <w:highlight w:val="none"/>
              </w:rPr>
            </w:pPr>
          </w:p>
        </w:tc>
        <w:tc>
          <w:tcPr>
            <w:tcW w:w="724" w:type="dxa"/>
            <w:vAlign w:val="top"/>
          </w:tcPr>
          <w:p w14:paraId="7919933D">
            <w:pPr>
              <w:rPr>
                <w:rFonts w:ascii="Arial"/>
                <w:sz w:val="21"/>
                <w:highlight w:val="none"/>
              </w:rPr>
            </w:pPr>
          </w:p>
        </w:tc>
      </w:tr>
      <w:tr w14:paraId="6933D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544" w:type="dxa"/>
            <w:vAlign w:val="top"/>
          </w:tcPr>
          <w:p w14:paraId="4837B08F">
            <w:pPr>
              <w:rPr>
                <w:rFonts w:ascii="Arial"/>
                <w:sz w:val="21"/>
                <w:highlight w:val="none"/>
              </w:rPr>
            </w:pPr>
          </w:p>
        </w:tc>
        <w:tc>
          <w:tcPr>
            <w:tcW w:w="1158" w:type="dxa"/>
            <w:vAlign w:val="top"/>
          </w:tcPr>
          <w:p w14:paraId="46A93ED9">
            <w:pPr>
              <w:rPr>
                <w:rFonts w:ascii="Arial"/>
                <w:sz w:val="21"/>
                <w:highlight w:val="none"/>
              </w:rPr>
            </w:pPr>
          </w:p>
        </w:tc>
        <w:tc>
          <w:tcPr>
            <w:tcW w:w="1149" w:type="dxa"/>
            <w:vAlign w:val="top"/>
          </w:tcPr>
          <w:p w14:paraId="4AB1FD29">
            <w:pPr>
              <w:rPr>
                <w:rFonts w:ascii="Arial"/>
                <w:sz w:val="21"/>
                <w:highlight w:val="none"/>
              </w:rPr>
            </w:pPr>
          </w:p>
        </w:tc>
        <w:tc>
          <w:tcPr>
            <w:tcW w:w="539" w:type="dxa"/>
            <w:vAlign w:val="top"/>
          </w:tcPr>
          <w:p w14:paraId="75F05328">
            <w:pPr>
              <w:rPr>
                <w:rFonts w:ascii="Arial"/>
                <w:sz w:val="21"/>
                <w:highlight w:val="none"/>
              </w:rPr>
            </w:pPr>
          </w:p>
        </w:tc>
        <w:tc>
          <w:tcPr>
            <w:tcW w:w="689" w:type="dxa"/>
            <w:vAlign w:val="top"/>
          </w:tcPr>
          <w:p w14:paraId="4389E2AB">
            <w:pPr>
              <w:rPr>
                <w:rFonts w:ascii="Arial"/>
                <w:sz w:val="21"/>
                <w:highlight w:val="none"/>
              </w:rPr>
            </w:pPr>
          </w:p>
        </w:tc>
        <w:tc>
          <w:tcPr>
            <w:tcW w:w="989" w:type="dxa"/>
            <w:vAlign w:val="top"/>
          </w:tcPr>
          <w:p w14:paraId="3D8DFD90">
            <w:pPr>
              <w:rPr>
                <w:rFonts w:ascii="Arial"/>
                <w:sz w:val="21"/>
                <w:highlight w:val="none"/>
              </w:rPr>
            </w:pPr>
          </w:p>
        </w:tc>
        <w:tc>
          <w:tcPr>
            <w:tcW w:w="1149" w:type="dxa"/>
            <w:vAlign w:val="top"/>
          </w:tcPr>
          <w:p w14:paraId="04715FD5">
            <w:pPr>
              <w:rPr>
                <w:rFonts w:ascii="Arial"/>
                <w:sz w:val="21"/>
                <w:highlight w:val="none"/>
              </w:rPr>
            </w:pPr>
          </w:p>
        </w:tc>
        <w:tc>
          <w:tcPr>
            <w:tcW w:w="1119" w:type="dxa"/>
            <w:vAlign w:val="top"/>
          </w:tcPr>
          <w:p w14:paraId="0962AD8C">
            <w:pPr>
              <w:rPr>
                <w:rFonts w:ascii="Arial"/>
                <w:sz w:val="21"/>
                <w:highlight w:val="none"/>
              </w:rPr>
            </w:pPr>
          </w:p>
        </w:tc>
        <w:tc>
          <w:tcPr>
            <w:tcW w:w="1129" w:type="dxa"/>
            <w:vAlign w:val="top"/>
          </w:tcPr>
          <w:p w14:paraId="4909D6A9">
            <w:pPr>
              <w:rPr>
                <w:rFonts w:ascii="Arial"/>
                <w:sz w:val="21"/>
                <w:highlight w:val="none"/>
              </w:rPr>
            </w:pPr>
          </w:p>
        </w:tc>
        <w:tc>
          <w:tcPr>
            <w:tcW w:w="724" w:type="dxa"/>
            <w:vAlign w:val="top"/>
          </w:tcPr>
          <w:p w14:paraId="263547A0">
            <w:pPr>
              <w:rPr>
                <w:rFonts w:ascii="Arial"/>
                <w:sz w:val="21"/>
                <w:highlight w:val="none"/>
              </w:rPr>
            </w:pPr>
          </w:p>
        </w:tc>
      </w:tr>
      <w:tr w14:paraId="638BA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544" w:type="dxa"/>
            <w:vAlign w:val="top"/>
          </w:tcPr>
          <w:p w14:paraId="59A990CA">
            <w:pPr>
              <w:rPr>
                <w:rFonts w:ascii="Arial"/>
                <w:sz w:val="21"/>
                <w:highlight w:val="none"/>
              </w:rPr>
            </w:pPr>
          </w:p>
        </w:tc>
        <w:tc>
          <w:tcPr>
            <w:tcW w:w="1158" w:type="dxa"/>
            <w:vAlign w:val="top"/>
          </w:tcPr>
          <w:p w14:paraId="49749F01">
            <w:pPr>
              <w:rPr>
                <w:rFonts w:ascii="Arial"/>
                <w:sz w:val="21"/>
                <w:highlight w:val="none"/>
              </w:rPr>
            </w:pPr>
          </w:p>
        </w:tc>
        <w:tc>
          <w:tcPr>
            <w:tcW w:w="1149" w:type="dxa"/>
            <w:vAlign w:val="top"/>
          </w:tcPr>
          <w:p w14:paraId="62106B31">
            <w:pPr>
              <w:rPr>
                <w:rFonts w:ascii="Arial"/>
                <w:sz w:val="21"/>
                <w:highlight w:val="none"/>
              </w:rPr>
            </w:pPr>
          </w:p>
        </w:tc>
        <w:tc>
          <w:tcPr>
            <w:tcW w:w="539" w:type="dxa"/>
            <w:vAlign w:val="top"/>
          </w:tcPr>
          <w:p w14:paraId="6A6E112F">
            <w:pPr>
              <w:rPr>
                <w:rFonts w:ascii="Arial"/>
                <w:sz w:val="21"/>
                <w:highlight w:val="none"/>
              </w:rPr>
            </w:pPr>
          </w:p>
        </w:tc>
        <w:tc>
          <w:tcPr>
            <w:tcW w:w="689" w:type="dxa"/>
            <w:vAlign w:val="top"/>
          </w:tcPr>
          <w:p w14:paraId="5F1F4993">
            <w:pPr>
              <w:rPr>
                <w:rFonts w:ascii="Arial"/>
                <w:sz w:val="21"/>
                <w:highlight w:val="none"/>
              </w:rPr>
            </w:pPr>
          </w:p>
        </w:tc>
        <w:tc>
          <w:tcPr>
            <w:tcW w:w="989" w:type="dxa"/>
            <w:vAlign w:val="top"/>
          </w:tcPr>
          <w:p w14:paraId="37C00B5F">
            <w:pPr>
              <w:rPr>
                <w:rFonts w:ascii="Arial"/>
                <w:sz w:val="21"/>
                <w:highlight w:val="none"/>
              </w:rPr>
            </w:pPr>
          </w:p>
        </w:tc>
        <w:tc>
          <w:tcPr>
            <w:tcW w:w="1149" w:type="dxa"/>
            <w:vAlign w:val="top"/>
          </w:tcPr>
          <w:p w14:paraId="6ED8F6BC">
            <w:pPr>
              <w:rPr>
                <w:rFonts w:ascii="Arial"/>
                <w:sz w:val="21"/>
                <w:highlight w:val="none"/>
              </w:rPr>
            </w:pPr>
          </w:p>
        </w:tc>
        <w:tc>
          <w:tcPr>
            <w:tcW w:w="1119" w:type="dxa"/>
            <w:vAlign w:val="top"/>
          </w:tcPr>
          <w:p w14:paraId="04E5166A">
            <w:pPr>
              <w:rPr>
                <w:rFonts w:ascii="Arial"/>
                <w:sz w:val="21"/>
                <w:highlight w:val="none"/>
              </w:rPr>
            </w:pPr>
          </w:p>
        </w:tc>
        <w:tc>
          <w:tcPr>
            <w:tcW w:w="1129" w:type="dxa"/>
            <w:vAlign w:val="top"/>
          </w:tcPr>
          <w:p w14:paraId="2643B087">
            <w:pPr>
              <w:rPr>
                <w:rFonts w:ascii="Arial"/>
                <w:sz w:val="21"/>
                <w:highlight w:val="none"/>
              </w:rPr>
            </w:pPr>
          </w:p>
        </w:tc>
        <w:tc>
          <w:tcPr>
            <w:tcW w:w="724" w:type="dxa"/>
            <w:vAlign w:val="top"/>
          </w:tcPr>
          <w:p w14:paraId="54560317">
            <w:pPr>
              <w:rPr>
                <w:rFonts w:ascii="Arial"/>
                <w:sz w:val="21"/>
                <w:highlight w:val="none"/>
              </w:rPr>
            </w:pPr>
          </w:p>
        </w:tc>
      </w:tr>
      <w:tr w14:paraId="57DB8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44" w:type="dxa"/>
            <w:vAlign w:val="top"/>
          </w:tcPr>
          <w:p w14:paraId="0F5A6892">
            <w:pPr>
              <w:rPr>
                <w:rFonts w:ascii="Arial"/>
                <w:sz w:val="21"/>
                <w:highlight w:val="none"/>
              </w:rPr>
            </w:pPr>
          </w:p>
        </w:tc>
        <w:tc>
          <w:tcPr>
            <w:tcW w:w="1158" w:type="dxa"/>
            <w:vAlign w:val="top"/>
          </w:tcPr>
          <w:p w14:paraId="2482BF63">
            <w:pPr>
              <w:rPr>
                <w:rFonts w:ascii="Arial"/>
                <w:sz w:val="21"/>
                <w:highlight w:val="none"/>
              </w:rPr>
            </w:pPr>
          </w:p>
        </w:tc>
        <w:tc>
          <w:tcPr>
            <w:tcW w:w="1149" w:type="dxa"/>
            <w:vAlign w:val="top"/>
          </w:tcPr>
          <w:p w14:paraId="3DE25C75">
            <w:pPr>
              <w:rPr>
                <w:rFonts w:ascii="Arial"/>
                <w:sz w:val="21"/>
                <w:highlight w:val="none"/>
              </w:rPr>
            </w:pPr>
          </w:p>
        </w:tc>
        <w:tc>
          <w:tcPr>
            <w:tcW w:w="539" w:type="dxa"/>
            <w:vAlign w:val="top"/>
          </w:tcPr>
          <w:p w14:paraId="77263930">
            <w:pPr>
              <w:rPr>
                <w:rFonts w:ascii="Arial"/>
                <w:sz w:val="21"/>
                <w:highlight w:val="none"/>
              </w:rPr>
            </w:pPr>
          </w:p>
        </w:tc>
        <w:tc>
          <w:tcPr>
            <w:tcW w:w="689" w:type="dxa"/>
            <w:vAlign w:val="top"/>
          </w:tcPr>
          <w:p w14:paraId="1846919F">
            <w:pPr>
              <w:rPr>
                <w:rFonts w:ascii="Arial"/>
                <w:sz w:val="21"/>
                <w:highlight w:val="none"/>
              </w:rPr>
            </w:pPr>
          </w:p>
        </w:tc>
        <w:tc>
          <w:tcPr>
            <w:tcW w:w="989" w:type="dxa"/>
            <w:vAlign w:val="top"/>
          </w:tcPr>
          <w:p w14:paraId="7D4F13AD">
            <w:pPr>
              <w:rPr>
                <w:rFonts w:ascii="Arial"/>
                <w:sz w:val="21"/>
                <w:highlight w:val="none"/>
              </w:rPr>
            </w:pPr>
          </w:p>
        </w:tc>
        <w:tc>
          <w:tcPr>
            <w:tcW w:w="1149" w:type="dxa"/>
            <w:vAlign w:val="top"/>
          </w:tcPr>
          <w:p w14:paraId="5FF98E93">
            <w:pPr>
              <w:rPr>
                <w:rFonts w:ascii="Arial"/>
                <w:sz w:val="21"/>
                <w:highlight w:val="none"/>
              </w:rPr>
            </w:pPr>
          </w:p>
        </w:tc>
        <w:tc>
          <w:tcPr>
            <w:tcW w:w="1119" w:type="dxa"/>
            <w:vAlign w:val="top"/>
          </w:tcPr>
          <w:p w14:paraId="256247AD">
            <w:pPr>
              <w:rPr>
                <w:rFonts w:ascii="Arial"/>
                <w:sz w:val="21"/>
                <w:highlight w:val="none"/>
              </w:rPr>
            </w:pPr>
          </w:p>
        </w:tc>
        <w:tc>
          <w:tcPr>
            <w:tcW w:w="1129" w:type="dxa"/>
            <w:vAlign w:val="top"/>
          </w:tcPr>
          <w:p w14:paraId="38CE7A76">
            <w:pPr>
              <w:rPr>
                <w:rFonts w:ascii="Arial"/>
                <w:sz w:val="21"/>
                <w:highlight w:val="none"/>
              </w:rPr>
            </w:pPr>
          </w:p>
        </w:tc>
        <w:tc>
          <w:tcPr>
            <w:tcW w:w="724" w:type="dxa"/>
            <w:vAlign w:val="top"/>
          </w:tcPr>
          <w:p w14:paraId="016B81AF">
            <w:pPr>
              <w:rPr>
                <w:rFonts w:ascii="Arial"/>
                <w:sz w:val="21"/>
                <w:highlight w:val="none"/>
              </w:rPr>
            </w:pPr>
          </w:p>
        </w:tc>
      </w:tr>
      <w:tr w14:paraId="09F9A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544" w:type="dxa"/>
            <w:vAlign w:val="top"/>
          </w:tcPr>
          <w:p w14:paraId="10C4C908">
            <w:pPr>
              <w:rPr>
                <w:rFonts w:ascii="Arial"/>
                <w:sz w:val="21"/>
                <w:highlight w:val="none"/>
              </w:rPr>
            </w:pPr>
          </w:p>
        </w:tc>
        <w:tc>
          <w:tcPr>
            <w:tcW w:w="1158" w:type="dxa"/>
            <w:vAlign w:val="top"/>
          </w:tcPr>
          <w:p w14:paraId="5A4619C6">
            <w:pPr>
              <w:rPr>
                <w:rFonts w:ascii="Arial"/>
                <w:sz w:val="21"/>
                <w:highlight w:val="none"/>
              </w:rPr>
            </w:pPr>
          </w:p>
        </w:tc>
        <w:tc>
          <w:tcPr>
            <w:tcW w:w="1149" w:type="dxa"/>
            <w:vAlign w:val="top"/>
          </w:tcPr>
          <w:p w14:paraId="2BE9AB6F">
            <w:pPr>
              <w:rPr>
                <w:rFonts w:ascii="Arial"/>
                <w:sz w:val="21"/>
                <w:highlight w:val="none"/>
              </w:rPr>
            </w:pPr>
          </w:p>
        </w:tc>
        <w:tc>
          <w:tcPr>
            <w:tcW w:w="539" w:type="dxa"/>
            <w:vAlign w:val="top"/>
          </w:tcPr>
          <w:p w14:paraId="5938C5E1">
            <w:pPr>
              <w:rPr>
                <w:rFonts w:ascii="Arial"/>
                <w:sz w:val="21"/>
                <w:highlight w:val="none"/>
              </w:rPr>
            </w:pPr>
          </w:p>
        </w:tc>
        <w:tc>
          <w:tcPr>
            <w:tcW w:w="689" w:type="dxa"/>
            <w:vAlign w:val="top"/>
          </w:tcPr>
          <w:p w14:paraId="011A28E5">
            <w:pPr>
              <w:rPr>
                <w:rFonts w:ascii="Arial"/>
                <w:sz w:val="21"/>
                <w:highlight w:val="none"/>
              </w:rPr>
            </w:pPr>
          </w:p>
        </w:tc>
        <w:tc>
          <w:tcPr>
            <w:tcW w:w="989" w:type="dxa"/>
            <w:vAlign w:val="top"/>
          </w:tcPr>
          <w:p w14:paraId="15C4DCE8">
            <w:pPr>
              <w:rPr>
                <w:rFonts w:ascii="Arial"/>
                <w:sz w:val="21"/>
                <w:highlight w:val="none"/>
              </w:rPr>
            </w:pPr>
          </w:p>
        </w:tc>
        <w:tc>
          <w:tcPr>
            <w:tcW w:w="1149" w:type="dxa"/>
            <w:vAlign w:val="top"/>
          </w:tcPr>
          <w:p w14:paraId="294FA890">
            <w:pPr>
              <w:rPr>
                <w:rFonts w:ascii="Arial"/>
                <w:sz w:val="21"/>
                <w:highlight w:val="none"/>
              </w:rPr>
            </w:pPr>
          </w:p>
        </w:tc>
        <w:tc>
          <w:tcPr>
            <w:tcW w:w="1119" w:type="dxa"/>
            <w:vAlign w:val="top"/>
          </w:tcPr>
          <w:p w14:paraId="3015F467">
            <w:pPr>
              <w:rPr>
                <w:rFonts w:ascii="Arial"/>
                <w:sz w:val="21"/>
                <w:highlight w:val="none"/>
              </w:rPr>
            </w:pPr>
          </w:p>
        </w:tc>
        <w:tc>
          <w:tcPr>
            <w:tcW w:w="1129" w:type="dxa"/>
            <w:vAlign w:val="top"/>
          </w:tcPr>
          <w:p w14:paraId="0E83C483">
            <w:pPr>
              <w:rPr>
                <w:rFonts w:ascii="Arial"/>
                <w:sz w:val="21"/>
                <w:highlight w:val="none"/>
              </w:rPr>
            </w:pPr>
          </w:p>
        </w:tc>
        <w:tc>
          <w:tcPr>
            <w:tcW w:w="724" w:type="dxa"/>
            <w:vAlign w:val="top"/>
          </w:tcPr>
          <w:p w14:paraId="1E4078BF">
            <w:pPr>
              <w:rPr>
                <w:rFonts w:ascii="Arial"/>
                <w:sz w:val="21"/>
                <w:highlight w:val="none"/>
              </w:rPr>
            </w:pPr>
          </w:p>
        </w:tc>
      </w:tr>
      <w:tr w14:paraId="0ECA2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544" w:type="dxa"/>
            <w:vAlign w:val="top"/>
          </w:tcPr>
          <w:p w14:paraId="72DFD200">
            <w:pPr>
              <w:rPr>
                <w:rFonts w:ascii="Arial"/>
                <w:sz w:val="21"/>
                <w:highlight w:val="none"/>
              </w:rPr>
            </w:pPr>
          </w:p>
        </w:tc>
        <w:tc>
          <w:tcPr>
            <w:tcW w:w="1158" w:type="dxa"/>
            <w:vAlign w:val="top"/>
          </w:tcPr>
          <w:p w14:paraId="57FDA8A0">
            <w:pPr>
              <w:rPr>
                <w:rFonts w:ascii="Arial"/>
                <w:sz w:val="21"/>
                <w:highlight w:val="none"/>
              </w:rPr>
            </w:pPr>
          </w:p>
        </w:tc>
        <w:tc>
          <w:tcPr>
            <w:tcW w:w="1149" w:type="dxa"/>
            <w:vAlign w:val="top"/>
          </w:tcPr>
          <w:p w14:paraId="7473EF42">
            <w:pPr>
              <w:rPr>
                <w:rFonts w:ascii="Arial"/>
                <w:sz w:val="21"/>
                <w:highlight w:val="none"/>
              </w:rPr>
            </w:pPr>
          </w:p>
        </w:tc>
        <w:tc>
          <w:tcPr>
            <w:tcW w:w="539" w:type="dxa"/>
            <w:vAlign w:val="top"/>
          </w:tcPr>
          <w:p w14:paraId="21F0FD5C">
            <w:pPr>
              <w:rPr>
                <w:rFonts w:ascii="Arial"/>
                <w:sz w:val="21"/>
                <w:highlight w:val="none"/>
              </w:rPr>
            </w:pPr>
          </w:p>
        </w:tc>
        <w:tc>
          <w:tcPr>
            <w:tcW w:w="689" w:type="dxa"/>
            <w:vAlign w:val="top"/>
          </w:tcPr>
          <w:p w14:paraId="16FCE66A">
            <w:pPr>
              <w:rPr>
                <w:rFonts w:ascii="Arial"/>
                <w:sz w:val="21"/>
                <w:highlight w:val="none"/>
              </w:rPr>
            </w:pPr>
          </w:p>
        </w:tc>
        <w:tc>
          <w:tcPr>
            <w:tcW w:w="989" w:type="dxa"/>
            <w:vAlign w:val="top"/>
          </w:tcPr>
          <w:p w14:paraId="18288057">
            <w:pPr>
              <w:rPr>
                <w:rFonts w:ascii="Arial"/>
                <w:sz w:val="21"/>
                <w:highlight w:val="none"/>
              </w:rPr>
            </w:pPr>
          </w:p>
        </w:tc>
        <w:tc>
          <w:tcPr>
            <w:tcW w:w="1149" w:type="dxa"/>
            <w:vAlign w:val="top"/>
          </w:tcPr>
          <w:p w14:paraId="5B0145E1">
            <w:pPr>
              <w:rPr>
                <w:rFonts w:ascii="Arial"/>
                <w:sz w:val="21"/>
                <w:highlight w:val="none"/>
              </w:rPr>
            </w:pPr>
          </w:p>
        </w:tc>
        <w:tc>
          <w:tcPr>
            <w:tcW w:w="1119" w:type="dxa"/>
            <w:vAlign w:val="top"/>
          </w:tcPr>
          <w:p w14:paraId="6ACEF21F">
            <w:pPr>
              <w:rPr>
                <w:rFonts w:ascii="Arial"/>
                <w:sz w:val="21"/>
                <w:highlight w:val="none"/>
              </w:rPr>
            </w:pPr>
          </w:p>
        </w:tc>
        <w:tc>
          <w:tcPr>
            <w:tcW w:w="1129" w:type="dxa"/>
            <w:vAlign w:val="top"/>
          </w:tcPr>
          <w:p w14:paraId="40C7797D">
            <w:pPr>
              <w:rPr>
                <w:rFonts w:ascii="Arial"/>
                <w:sz w:val="21"/>
                <w:highlight w:val="none"/>
              </w:rPr>
            </w:pPr>
          </w:p>
        </w:tc>
        <w:tc>
          <w:tcPr>
            <w:tcW w:w="724" w:type="dxa"/>
            <w:vAlign w:val="top"/>
          </w:tcPr>
          <w:p w14:paraId="20A65AE2">
            <w:pPr>
              <w:rPr>
                <w:rFonts w:ascii="Arial"/>
                <w:sz w:val="21"/>
                <w:highlight w:val="none"/>
              </w:rPr>
            </w:pPr>
          </w:p>
        </w:tc>
      </w:tr>
    </w:tbl>
    <w:p w14:paraId="1F77B2D6">
      <w:pPr>
        <w:pStyle w:val="2"/>
        <w:rPr>
          <w:highlight w:val="none"/>
        </w:rPr>
      </w:pPr>
    </w:p>
    <w:p w14:paraId="0571F07A">
      <w:pPr>
        <w:rPr>
          <w:highlight w:val="none"/>
        </w:rPr>
        <w:sectPr>
          <w:footerReference r:id="rId164" w:type="default"/>
          <w:pgSz w:w="11910" w:h="16840"/>
          <w:pgMar w:top="400" w:right="1375" w:bottom="1238" w:left="1334" w:header="0" w:footer="1006" w:gutter="0"/>
          <w:cols w:space="720" w:num="1"/>
        </w:sectPr>
      </w:pPr>
    </w:p>
    <w:p w14:paraId="52433698">
      <w:pPr>
        <w:pStyle w:val="2"/>
        <w:spacing w:line="272" w:lineRule="auto"/>
        <w:rPr>
          <w:highlight w:val="none"/>
        </w:rPr>
      </w:pPr>
    </w:p>
    <w:p w14:paraId="52F7E5DB">
      <w:pPr>
        <w:pStyle w:val="2"/>
        <w:spacing w:line="273" w:lineRule="auto"/>
        <w:rPr>
          <w:highlight w:val="none"/>
        </w:rPr>
      </w:pPr>
    </w:p>
    <w:p w14:paraId="05AC21A8">
      <w:pPr>
        <w:pStyle w:val="2"/>
        <w:spacing w:line="273" w:lineRule="auto"/>
        <w:rPr>
          <w:highlight w:val="none"/>
        </w:rPr>
      </w:pPr>
    </w:p>
    <w:p w14:paraId="19C3EFDE">
      <w:pPr>
        <w:pStyle w:val="2"/>
        <w:spacing w:line="273" w:lineRule="auto"/>
        <w:rPr>
          <w:highlight w:val="none"/>
        </w:rPr>
      </w:pPr>
    </w:p>
    <w:p w14:paraId="2F76F0C1">
      <w:pPr>
        <w:pStyle w:val="2"/>
        <w:spacing w:line="273" w:lineRule="auto"/>
        <w:rPr>
          <w:highlight w:val="none"/>
        </w:rPr>
      </w:pPr>
    </w:p>
    <w:p w14:paraId="39B1DFDD">
      <w:pPr>
        <w:spacing w:before="72" w:line="219" w:lineRule="auto"/>
        <w:ind w:left="3063"/>
        <w:outlineLvl w:val="1"/>
        <w:rPr>
          <w:rFonts w:ascii="宋体" w:hAnsi="宋体" w:eastAsia="宋体" w:cs="宋体"/>
          <w:sz w:val="22"/>
          <w:szCs w:val="22"/>
          <w:highlight w:val="none"/>
        </w:rPr>
      </w:pPr>
      <w:bookmarkStart w:id="154" w:name="bookmark90"/>
      <w:bookmarkEnd w:id="154"/>
      <w:r>
        <w:rPr>
          <w:rFonts w:ascii="宋体" w:hAnsi="宋体" w:eastAsia="宋体" w:cs="宋体"/>
          <w:b/>
          <w:bCs/>
          <w:spacing w:val="8"/>
          <w:sz w:val="22"/>
          <w:szCs w:val="22"/>
          <w:highlight w:val="none"/>
        </w:rPr>
        <w:t>附件3工程质量保修书</w:t>
      </w:r>
    </w:p>
    <w:p w14:paraId="3E0C28C6">
      <w:pPr>
        <w:pStyle w:val="2"/>
        <w:spacing w:line="350" w:lineRule="auto"/>
        <w:rPr>
          <w:highlight w:val="none"/>
        </w:rPr>
      </w:pPr>
    </w:p>
    <w:p w14:paraId="2EC8BC0C">
      <w:pPr>
        <w:spacing w:before="72" w:line="220" w:lineRule="auto"/>
        <w:rPr>
          <w:rFonts w:ascii="宋体" w:hAnsi="宋体" w:eastAsia="宋体" w:cs="宋体"/>
          <w:sz w:val="22"/>
          <w:szCs w:val="22"/>
          <w:highlight w:val="none"/>
        </w:rPr>
      </w:pPr>
      <w:r>
        <w:rPr>
          <w:rFonts w:ascii="宋体" w:hAnsi="宋体" w:eastAsia="宋体" w:cs="宋体"/>
          <w:spacing w:val="6"/>
          <w:sz w:val="22"/>
          <w:szCs w:val="22"/>
          <w:highlight w:val="none"/>
        </w:rPr>
        <w:t>发包人(全称):</w:t>
      </w:r>
      <w:r>
        <w:rPr>
          <w:rFonts w:ascii="宋体" w:hAnsi="宋体" w:eastAsia="宋体" w:cs="宋体"/>
          <w:spacing w:val="-99"/>
          <w:sz w:val="22"/>
          <w:szCs w:val="22"/>
          <w:highlight w:val="none"/>
        </w:rPr>
        <w:t xml:space="preserve"> </w:t>
      </w:r>
      <w:r>
        <w:rPr>
          <w:rFonts w:ascii="宋体" w:hAnsi="宋体" w:eastAsia="宋体" w:cs="宋体"/>
          <w:sz w:val="22"/>
          <w:szCs w:val="22"/>
          <w:highlight w:val="none"/>
          <w:u w:val="single" w:color="auto"/>
        </w:rPr>
        <w:t xml:space="preserve">                                  </w:t>
      </w:r>
    </w:p>
    <w:p w14:paraId="6113B161">
      <w:pPr>
        <w:spacing w:before="207" w:line="219" w:lineRule="auto"/>
        <w:rPr>
          <w:rFonts w:ascii="宋体" w:hAnsi="宋体" w:eastAsia="宋体" w:cs="宋体"/>
          <w:sz w:val="22"/>
          <w:szCs w:val="22"/>
          <w:highlight w:val="none"/>
        </w:rPr>
      </w:pPr>
      <w:r>
        <w:rPr>
          <w:rFonts w:ascii="宋体" w:hAnsi="宋体" w:eastAsia="宋体" w:cs="宋体"/>
          <w:spacing w:val="2"/>
          <w:sz w:val="22"/>
          <w:szCs w:val="22"/>
          <w:highlight w:val="none"/>
        </w:rPr>
        <w:t xml:space="preserve">承包人(全称): </w:t>
      </w:r>
      <w:r>
        <w:rPr>
          <w:rFonts w:ascii="宋体" w:hAnsi="宋体" w:eastAsia="宋体" w:cs="宋体"/>
          <w:sz w:val="22"/>
          <w:szCs w:val="22"/>
          <w:highlight w:val="none"/>
          <w:u w:val="single" w:color="auto"/>
        </w:rPr>
        <w:t xml:space="preserve">                                 </w:t>
      </w:r>
    </w:p>
    <w:p w14:paraId="59583A4E">
      <w:pPr>
        <w:spacing w:before="234" w:line="415" w:lineRule="auto"/>
        <w:ind w:right="101" w:firstLine="420"/>
        <w:rPr>
          <w:rFonts w:ascii="宋体" w:hAnsi="宋体" w:eastAsia="宋体" w:cs="宋体"/>
          <w:sz w:val="21"/>
          <w:szCs w:val="21"/>
          <w:highlight w:val="none"/>
        </w:rPr>
      </w:pPr>
      <w:r>
        <w:rPr>
          <w:rFonts w:ascii="宋体" w:hAnsi="宋体" w:eastAsia="宋体" w:cs="宋体"/>
          <w:sz w:val="21"/>
          <w:szCs w:val="21"/>
          <w:highlight w:val="none"/>
        </w:rPr>
        <w:t>发包人和承包人根据《中华人民共和国建筑法》和《建设</w:t>
      </w:r>
      <w:r>
        <w:rPr>
          <w:rFonts w:ascii="宋体" w:hAnsi="宋体" w:eastAsia="宋体" w:cs="宋体"/>
          <w:spacing w:val="-1"/>
          <w:sz w:val="21"/>
          <w:szCs w:val="21"/>
          <w:highlight w:val="none"/>
        </w:rPr>
        <w:t>工程质量管理条例》,经协商</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一致就</w:t>
      </w:r>
      <w:r>
        <w:rPr>
          <w:rFonts w:ascii="宋体" w:hAnsi="宋体" w:eastAsia="宋体" w:cs="宋体"/>
          <w:spacing w:val="-78"/>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 xml:space="preserve"> (工程全称)订立工程质量保修书。</w:t>
      </w:r>
    </w:p>
    <w:p w14:paraId="2648E4F4">
      <w:pPr>
        <w:spacing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一、工程质量保修范围和内容</w:t>
      </w:r>
    </w:p>
    <w:p w14:paraId="5782627D">
      <w:pPr>
        <w:spacing w:before="218" w:line="219" w:lineRule="auto"/>
        <w:ind w:left="420"/>
        <w:rPr>
          <w:rFonts w:ascii="宋体" w:hAnsi="宋体" w:eastAsia="宋体" w:cs="宋体"/>
          <w:sz w:val="21"/>
          <w:szCs w:val="21"/>
          <w:highlight w:val="none"/>
        </w:rPr>
      </w:pPr>
      <w:r>
        <w:rPr>
          <w:rFonts w:ascii="宋体" w:hAnsi="宋体" w:eastAsia="宋体" w:cs="宋体"/>
          <w:sz w:val="21"/>
          <w:szCs w:val="21"/>
          <w:highlight w:val="none"/>
        </w:rPr>
        <w:t>承包人在质量保修期内，按照有关法律规定和合同约定，承担工程质</w:t>
      </w:r>
      <w:r>
        <w:rPr>
          <w:rFonts w:ascii="宋体" w:hAnsi="宋体" w:eastAsia="宋体" w:cs="宋体"/>
          <w:spacing w:val="-1"/>
          <w:sz w:val="21"/>
          <w:szCs w:val="21"/>
          <w:highlight w:val="none"/>
        </w:rPr>
        <w:t>量保修责任。</w:t>
      </w:r>
    </w:p>
    <w:p w14:paraId="53B1CB90">
      <w:pPr>
        <w:spacing w:before="231" w:line="423" w:lineRule="auto"/>
        <w:ind w:firstLine="420"/>
        <w:rPr>
          <w:rFonts w:ascii="宋体" w:hAnsi="宋体" w:eastAsia="宋体" w:cs="宋体"/>
          <w:sz w:val="21"/>
          <w:szCs w:val="21"/>
          <w:highlight w:val="none"/>
        </w:rPr>
      </w:pPr>
      <w:r>
        <w:rPr>
          <w:rFonts w:ascii="宋体" w:hAnsi="宋体" w:eastAsia="宋体" w:cs="宋体"/>
          <w:spacing w:val="-6"/>
          <w:sz w:val="21"/>
          <w:szCs w:val="21"/>
          <w:highlight w:val="none"/>
        </w:rPr>
        <w:t>质量保修范围包括地基基础工程、主体结构工程，屋面防水工程、有防水要求的卫生间、</w:t>
      </w:r>
      <w:r>
        <w:rPr>
          <w:rFonts w:ascii="宋体" w:hAnsi="宋体" w:eastAsia="宋体" w:cs="宋体"/>
          <w:spacing w:val="7"/>
          <w:sz w:val="21"/>
          <w:szCs w:val="21"/>
          <w:highlight w:val="none"/>
        </w:rPr>
        <w:t xml:space="preserve"> </w:t>
      </w:r>
      <w:r>
        <w:rPr>
          <w:rFonts w:ascii="宋体" w:hAnsi="宋体" w:eastAsia="宋体" w:cs="宋体"/>
          <w:sz w:val="21"/>
          <w:szCs w:val="21"/>
          <w:highlight w:val="none"/>
        </w:rPr>
        <w:t>房间和外墙面的防渗漏，供热与供冷系统，电气管线</w:t>
      </w:r>
      <w:r>
        <w:rPr>
          <w:rFonts w:ascii="宋体" w:hAnsi="宋体" w:eastAsia="宋体" w:cs="宋体"/>
          <w:spacing w:val="-1"/>
          <w:sz w:val="21"/>
          <w:szCs w:val="21"/>
          <w:highlight w:val="none"/>
        </w:rPr>
        <w:t>、给排水管道、设备安装和装修工程，</w:t>
      </w:r>
      <w:r>
        <w:rPr>
          <w:rFonts w:ascii="宋体" w:hAnsi="宋体" w:eastAsia="宋体" w:cs="宋体"/>
          <w:sz w:val="21"/>
          <w:szCs w:val="21"/>
          <w:highlight w:val="none"/>
        </w:rPr>
        <w:t xml:space="preserve"> 以及双方约定的其他项目。具体保修的内容，双方约定如下：</w:t>
      </w:r>
      <w:r>
        <w:rPr>
          <w:rFonts w:ascii="宋体" w:hAnsi="宋体" w:eastAsia="宋体" w:cs="宋体"/>
          <w:spacing w:val="-85"/>
          <w:sz w:val="21"/>
          <w:szCs w:val="21"/>
          <w:highlight w:val="none"/>
        </w:rPr>
        <w:t xml:space="preserve"> </w:t>
      </w:r>
      <w:r>
        <w:rPr>
          <w:rFonts w:ascii="宋体" w:hAnsi="宋体" w:eastAsia="宋体" w:cs="宋体"/>
          <w:sz w:val="21"/>
          <w:szCs w:val="21"/>
          <w:highlight w:val="none"/>
          <w:u w:val="single" w:color="auto"/>
        </w:rPr>
        <w:t xml:space="preserve">                       </w:t>
      </w:r>
    </w:p>
    <w:p w14:paraId="02C8479A">
      <w:pPr>
        <w:spacing w:before="5" w:line="219" w:lineRule="auto"/>
        <w:ind w:left="420"/>
        <w:rPr>
          <w:rFonts w:ascii="宋体" w:hAnsi="宋体" w:eastAsia="宋体" w:cs="宋体"/>
          <w:sz w:val="20"/>
          <w:szCs w:val="20"/>
          <w:highlight w:val="none"/>
        </w:rPr>
      </w:pPr>
      <w:r>
        <w:rPr>
          <w:rFonts w:ascii="宋体" w:hAnsi="宋体" w:eastAsia="宋体" w:cs="宋体"/>
          <w:spacing w:val="7"/>
          <w:sz w:val="20"/>
          <w:szCs w:val="20"/>
          <w:highlight w:val="none"/>
        </w:rPr>
        <w:t>二、质量保修期</w:t>
      </w:r>
    </w:p>
    <w:p w14:paraId="7576138F">
      <w:pPr>
        <w:spacing w:before="204" w:line="219"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根据《建设工程质量管理条例》及有关规定，工程的质量保修期如下：</w:t>
      </w:r>
    </w:p>
    <w:p w14:paraId="1EC575A3">
      <w:pPr>
        <w:spacing w:before="219" w:line="219" w:lineRule="auto"/>
        <w:ind w:left="42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1.</w:t>
      </w:r>
      <w:r>
        <w:rPr>
          <w:rFonts w:ascii="Times New Roman" w:hAnsi="Times New Roman" w:eastAsia="Times New Roman" w:cs="Times New Roman"/>
          <w:spacing w:val="21"/>
          <w:w w:val="101"/>
          <w:sz w:val="22"/>
          <w:szCs w:val="22"/>
          <w:highlight w:val="none"/>
        </w:rPr>
        <w:t xml:space="preserve">  </w:t>
      </w:r>
      <w:r>
        <w:rPr>
          <w:rFonts w:ascii="宋体" w:hAnsi="宋体" w:eastAsia="宋体" w:cs="宋体"/>
          <w:spacing w:val="-10"/>
          <w:sz w:val="22"/>
          <w:szCs w:val="22"/>
          <w:highlight w:val="none"/>
        </w:rPr>
        <w:t>地基基础工程和主体结构工程为设计文件规定的工程合理使用年限：</w:t>
      </w:r>
    </w:p>
    <w:p w14:paraId="2DC95A15">
      <w:pPr>
        <w:spacing w:before="239" w:line="219" w:lineRule="auto"/>
        <w:ind w:left="42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2.</w:t>
      </w:r>
      <w:r>
        <w:rPr>
          <w:rFonts w:ascii="Times New Roman" w:hAnsi="Times New Roman" w:eastAsia="Times New Roman" w:cs="Times New Roman"/>
          <w:spacing w:val="20"/>
          <w:sz w:val="22"/>
          <w:szCs w:val="22"/>
          <w:highlight w:val="none"/>
        </w:rPr>
        <w:t xml:space="preserve">  </w:t>
      </w:r>
      <w:r>
        <w:rPr>
          <w:rFonts w:ascii="宋体" w:hAnsi="宋体" w:eastAsia="宋体" w:cs="宋体"/>
          <w:spacing w:val="-8"/>
          <w:sz w:val="22"/>
          <w:szCs w:val="22"/>
          <w:highlight w:val="none"/>
        </w:rPr>
        <w:t>屋面防水工程、有防水要求的卫生间、房间和外墙面的</w:t>
      </w:r>
      <w:r>
        <w:rPr>
          <w:rFonts w:ascii="宋体" w:hAnsi="宋体" w:eastAsia="宋体" w:cs="宋体"/>
          <w:spacing w:val="-9"/>
          <w:sz w:val="22"/>
          <w:szCs w:val="22"/>
          <w:highlight w:val="none"/>
        </w:rPr>
        <w:t>防渗为</w:t>
      </w:r>
      <w:r>
        <w:rPr>
          <w:rFonts w:ascii="宋体" w:hAnsi="宋体" w:eastAsia="宋体" w:cs="宋体"/>
          <w:spacing w:val="-101"/>
          <w:sz w:val="22"/>
          <w:szCs w:val="22"/>
          <w:highlight w:val="none"/>
        </w:rPr>
        <w:t xml:space="preserve"> </w:t>
      </w:r>
      <w:r>
        <w:rPr>
          <w:rFonts w:ascii="宋体" w:hAnsi="宋体" w:eastAsia="宋体" w:cs="宋体"/>
          <w:spacing w:val="-9"/>
          <w:sz w:val="22"/>
          <w:szCs w:val="22"/>
          <w:highlight w:val="none"/>
          <w:u w:val="single" w:color="auto"/>
        </w:rPr>
        <w:t xml:space="preserve">       </w:t>
      </w:r>
      <w:r>
        <w:rPr>
          <w:rFonts w:ascii="宋体" w:hAnsi="宋体" w:eastAsia="宋体" w:cs="宋体"/>
          <w:spacing w:val="-9"/>
          <w:sz w:val="22"/>
          <w:szCs w:val="22"/>
          <w:highlight w:val="none"/>
        </w:rPr>
        <w:t>年；</w:t>
      </w:r>
    </w:p>
    <w:p w14:paraId="0BEEF922">
      <w:pPr>
        <w:spacing w:before="229" w:line="219" w:lineRule="auto"/>
        <w:ind w:left="420"/>
        <w:rPr>
          <w:rFonts w:ascii="宋体" w:hAnsi="宋体" w:eastAsia="宋体" w:cs="宋体"/>
          <w:sz w:val="22"/>
          <w:szCs w:val="22"/>
          <w:highlight w:val="none"/>
        </w:rPr>
      </w:pPr>
      <w:r>
        <w:rPr>
          <w:rFonts w:ascii="Times New Roman" w:hAnsi="Times New Roman" w:eastAsia="Times New Roman" w:cs="Times New Roman"/>
          <w:spacing w:val="-24"/>
          <w:sz w:val="22"/>
          <w:szCs w:val="22"/>
          <w:highlight w:val="none"/>
        </w:rPr>
        <w:t>3.</w:t>
      </w:r>
      <w:r>
        <w:rPr>
          <w:rFonts w:ascii="Times New Roman" w:hAnsi="Times New Roman" w:eastAsia="Times New Roman" w:cs="Times New Roman"/>
          <w:spacing w:val="19"/>
          <w:sz w:val="22"/>
          <w:szCs w:val="22"/>
          <w:highlight w:val="none"/>
        </w:rPr>
        <w:t xml:space="preserve">  </w:t>
      </w:r>
      <w:r>
        <w:rPr>
          <w:rFonts w:ascii="宋体" w:hAnsi="宋体" w:eastAsia="宋体" w:cs="宋体"/>
          <w:spacing w:val="-24"/>
          <w:sz w:val="22"/>
          <w:szCs w:val="22"/>
          <w:highlight w:val="none"/>
        </w:rPr>
        <w:t>装修工程为</w:t>
      </w:r>
      <w:r>
        <w:rPr>
          <w:rFonts w:ascii="宋体" w:hAnsi="宋体" w:eastAsia="宋体" w:cs="宋体"/>
          <w:spacing w:val="-69"/>
          <w:sz w:val="22"/>
          <w:szCs w:val="22"/>
          <w:highlight w:val="none"/>
        </w:rPr>
        <w:t xml:space="preserve"> </w:t>
      </w:r>
      <w:r>
        <w:rPr>
          <w:rFonts w:ascii="宋体" w:hAnsi="宋体" w:eastAsia="宋体" w:cs="宋体"/>
          <w:spacing w:val="8"/>
          <w:sz w:val="22"/>
          <w:szCs w:val="22"/>
          <w:highlight w:val="none"/>
          <w:u w:val="single" w:color="auto"/>
        </w:rPr>
        <w:t xml:space="preserve">         </w:t>
      </w:r>
      <w:r>
        <w:rPr>
          <w:rFonts w:ascii="宋体" w:hAnsi="宋体" w:eastAsia="宋体" w:cs="宋体"/>
          <w:spacing w:val="-102"/>
          <w:sz w:val="22"/>
          <w:szCs w:val="22"/>
          <w:highlight w:val="none"/>
        </w:rPr>
        <w:t xml:space="preserve"> </w:t>
      </w:r>
      <w:r>
        <w:rPr>
          <w:rFonts w:ascii="宋体" w:hAnsi="宋体" w:eastAsia="宋体" w:cs="宋体"/>
          <w:spacing w:val="-24"/>
          <w:sz w:val="22"/>
          <w:szCs w:val="22"/>
          <w:highlight w:val="none"/>
        </w:rPr>
        <w:t>年；</w:t>
      </w:r>
    </w:p>
    <w:p w14:paraId="163030ED">
      <w:pPr>
        <w:spacing w:before="228" w:line="219" w:lineRule="auto"/>
        <w:ind w:left="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4.   </w:t>
      </w:r>
      <w:r>
        <w:rPr>
          <w:rFonts w:ascii="宋体" w:hAnsi="宋体" w:eastAsia="宋体" w:cs="宋体"/>
          <w:spacing w:val="7"/>
          <w:sz w:val="20"/>
          <w:szCs w:val="20"/>
          <w:highlight w:val="none"/>
        </w:rPr>
        <w:t>电气管线、给排水管道、设备安装</w:t>
      </w:r>
      <w:r>
        <w:rPr>
          <w:rFonts w:ascii="宋体" w:hAnsi="宋体" w:eastAsia="宋体" w:cs="宋体"/>
          <w:spacing w:val="6"/>
          <w:sz w:val="20"/>
          <w:szCs w:val="20"/>
          <w:highlight w:val="none"/>
        </w:rPr>
        <w:t>工程为</w:t>
      </w:r>
      <w:r>
        <w:rPr>
          <w:rFonts w:ascii="宋体" w:hAnsi="宋体" w:eastAsia="宋体" w:cs="宋体"/>
          <w:spacing w:val="-90"/>
          <w:sz w:val="20"/>
          <w:szCs w:val="20"/>
          <w:highlight w:val="none"/>
        </w:rPr>
        <w:t xml:space="preserve"> </w:t>
      </w:r>
      <w:r>
        <w:rPr>
          <w:rFonts w:ascii="宋体" w:hAnsi="宋体" w:eastAsia="宋体" w:cs="宋体"/>
          <w:spacing w:val="8"/>
          <w:sz w:val="20"/>
          <w:szCs w:val="20"/>
          <w:highlight w:val="none"/>
          <w:u w:val="single" w:color="auto"/>
        </w:rPr>
        <w:t xml:space="preserve">           </w:t>
      </w:r>
      <w:r>
        <w:rPr>
          <w:rFonts w:ascii="宋体" w:hAnsi="宋体" w:eastAsia="宋体" w:cs="宋体"/>
          <w:spacing w:val="6"/>
          <w:sz w:val="20"/>
          <w:szCs w:val="20"/>
          <w:highlight w:val="none"/>
        </w:rPr>
        <w:t>年；</w:t>
      </w:r>
    </w:p>
    <w:p w14:paraId="139F058E">
      <w:pPr>
        <w:spacing w:before="222" w:line="219" w:lineRule="auto"/>
        <w:ind w:left="42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5.  </w:t>
      </w:r>
      <w:r>
        <w:rPr>
          <w:rFonts w:ascii="宋体" w:hAnsi="宋体" w:eastAsia="宋体" w:cs="宋体"/>
          <w:spacing w:val="-9"/>
          <w:sz w:val="22"/>
          <w:szCs w:val="22"/>
          <w:highlight w:val="none"/>
        </w:rPr>
        <w:t>供热与供冷系统为</w:t>
      </w:r>
      <w:r>
        <w:rPr>
          <w:rFonts w:ascii="宋体" w:hAnsi="宋体" w:eastAsia="宋体" w:cs="宋体"/>
          <w:spacing w:val="-94"/>
          <w:sz w:val="22"/>
          <w:szCs w:val="22"/>
          <w:highlight w:val="none"/>
        </w:rPr>
        <w:t xml:space="preserve"> </w:t>
      </w:r>
      <w:r>
        <w:rPr>
          <w:rFonts w:ascii="宋体" w:hAnsi="宋体" w:eastAsia="宋体" w:cs="宋体"/>
          <w:spacing w:val="11"/>
          <w:sz w:val="22"/>
          <w:szCs w:val="22"/>
          <w:highlight w:val="none"/>
          <w:u w:val="single" w:color="auto"/>
        </w:rPr>
        <w:t xml:space="preserve">       </w:t>
      </w:r>
      <w:r>
        <w:rPr>
          <w:rFonts w:ascii="宋体" w:hAnsi="宋体" w:eastAsia="宋体" w:cs="宋体"/>
          <w:spacing w:val="-87"/>
          <w:sz w:val="22"/>
          <w:szCs w:val="22"/>
          <w:highlight w:val="none"/>
        </w:rPr>
        <w:t xml:space="preserve"> </w:t>
      </w:r>
      <w:r>
        <w:rPr>
          <w:rFonts w:ascii="宋体" w:hAnsi="宋体" w:eastAsia="宋体" w:cs="宋体"/>
          <w:spacing w:val="-9"/>
          <w:sz w:val="22"/>
          <w:szCs w:val="22"/>
          <w:highlight w:val="none"/>
        </w:rPr>
        <w:t>个采暖期、供冷期；</w:t>
      </w:r>
    </w:p>
    <w:p w14:paraId="41DEBC5F">
      <w:pPr>
        <w:spacing w:before="250" w:line="219" w:lineRule="auto"/>
        <w:ind w:left="420"/>
        <w:rPr>
          <w:rFonts w:ascii="宋体" w:hAnsi="宋体" w:eastAsia="宋体" w:cs="宋体"/>
          <w:sz w:val="20"/>
          <w:szCs w:val="20"/>
          <w:highlight w:val="none"/>
        </w:rPr>
      </w:pPr>
      <w:r>
        <w:rPr>
          <w:rFonts w:ascii="Times New Roman" w:hAnsi="Times New Roman" w:eastAsia="Times New Roman" w:cs="Times New Roman"/>
          <w:spacing w:val="8"/>
          <w:sz w:val="20"/>
          <w:szCs w:val="20"/>
          <w:highlight w:val="none"/>
        </w:rPr>
        <w:t>6.</w:t>
      </w:r>
      <w:r>
        <w:rPr>
          <w:rFonts w:ascii="Times New Roman" w:hAnsi="Times New Roman" w:eastAsia="Times New Roman" w:cs="Times New Roman"/>
          <w:spacing w:val="20"/>
          <w:sz w:val="20"/>
          <w:szCs w:val="20"/>
          <w:highlight w:val="none"/>
        </w:rPr>
        <w:t xml:space="preserve">  </w:t>
      </w:r>
      <w:r>
        <w:rPr>
          <w:rFonts w:ascii="宋体" w:hAnsi="宋体" w:eastAsia="宋体" w:cs="宋体"/>
          <w:spacing w:val="8"/>
          <w:sz w:val="20"/>
          <w:szCs w:val="20"/>
          <w:highlight w:val="none"/>
        </w:rPr>
        <w:t>住宅小区内的给排水设施、道路等配套工程为</w:t>
      </w:r>
      <w:r>
        <w:rPr>
          <w:rFonts w:ascii="宋体" w:hAnsi="宋体" w:eastAsia="宋体" w:cs="宋体"/>
          <w:spacing w:val="8"/>
          <w:sz w:val="20"/>
          <w:szCs w:val="20"/>
          <w:highlight w:val="none"/>
          <w:u w:val="single" w:color="auto"/>
        </w:rPr>
        <w:t xml:space="preserve">         </w:t>
      </w:r>
      <w:r>
        <w:rPr>
          <w:rFonts w:ascii="宋体" w:hAnsi="宋体" w:eastAsia="宋体" w:cs="宋体"/>
          <w:spacing w:val="8"/>
          <w:sz w:val="20"/>
          <w:szCs w:val="20"/>
          <w:highlight w:val="none"/>
        </w:rPr>
        <w:t>年；</w:t>
      </w:r>
    </w:p>
    <w:p w14:paraId="7BE36E8B">
      <w:pPr>
        <w:spacing w:before="204"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7.  </w:t>
      </w:r>
      <w:r>
        <w:rPr>
          <w:rFonts w:ascii="宋体" w:hAnsi="宋体" w:eastAsia="宋体" w:cs="宋体"/>
          <w:spacing w:val="-6"/>
          <w:sz w:val="22"/>
          <w:szCs w:val="22"/>
          <w:highlight w:val="none"/>
        </w:rPr>
        <w:t>其他项目保修期限约定如下：</w:t>
      </w:r>
      <w:r>
        <w:rPr>
          <w:rFonts w:ascii="宋体" w:hAnsi="宋体" w:eastAsia="宋体" w:cs="宋体"/>
          <w:sz w:val="22"/>
          <w:szCs w:val="22"/>
          <w:highlight w:val="none"/>
          <w:u w:val="single" w:color="auto"/>
        </w:rPr>
        <w:t xml:space="preserve">                      </w:t>
      </w:r>
    </w:p>
    <w:p w14:paraId="1D9AE580">
      <w:pPr>
        <w:spacing w:before="229" w:line="219"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质量保修期自工程竣工验收合格之日起计算。</w:t>
      </w:r>
    </w:p>
    <w:p w14:paraId="281525A3">
      <w:pPr>
        <w:spacing w:before="238" w:line="219" w:lineRule="auto"/>
        <w:ind w:left="420"/>
        <w:rPr>
          <w:rFonts w:ascii="宋体" w:hAnsi="宋体" w:eastAsia="宋体" w:cs="宋体"/>
          <w:sz w:val="20"/>
          <w:szCs w:val="20"/>
          <w:highlight w:val="none"/>
        </w:rPr>
      </w:pPr>
      <w:r>
        <w:rPr>
          <w:rFonts w:ascii="宋体" w:hAnsi="宋体" w:eastAsia="宋体" w:cs="宋体"/>
          <w:spacing w:val="7"/>
          <w:sz w:val="20"/>
          <w:szCs w:val="20"/>
          <w:highlight w:val="none"/>
        </w:rPr>
        <w:t>三、缺陷责任期</w:t>
      </w:r>
    </w:p>
    <w:p w14:paraId="6C13778D">
      <w:pPr>
        <w:spacing w:before="213" w:line="437" w:lineRule="auto"/>
        <w:ind w:right="76" w:firstLine="420"/>
        <w:jc w:val="both"/>
        <w:rPr>
          <w:rFonts w:ascii="宋体" w:hAnsi="宋体" w:eastAsia="宋体" w:cs="宋体"/>
          <w:sz w:val="20"/>
          <w:szCs w:val="20"/>
          <w:highlight w:val="none"/>
        </w:rPr>
      </w:pPr>
      <w:r>
        <w:rPr>
          <w:rFonts w:ascii="宋体" w:hAnsi="宋体" w:eastAsia="宋体" w:cs="宋体"/>
          <w:spacing w:val="6"/>
          <w:sz w:val="20"/>
          <w:szCs w:val="20"/>
          <w:highlight w:val="none"/>
        </w:rPr>
        <w:t>工程缺陷责任期为</w:t>
      </w:r>
      <w:r>
        <w:rPr>
          <w:rFonts w:ascii="宋体" w:hAnsi="宋体" w:eastAsia="宋体" w:cs="宋体"/>
          <w:spacing w:val="6"/>
          <w:sz w:val="20"/>
          <w:szCs w:val="20"/>
          <w:highlight w:val="none"/>
          <w:u w:val="single" w:color="auto"/>
        </w:rPr>
        <w:t xml:space="preserve">       </w:t>
      </w:r>
      <w:r>
        <w:rPr>
          <w:rFonts w:ascii="宋体" w:hAnsi="宋体" w:eastAsia="宋体" w:cs="宋体"/>
          <w:spacing w:val="-77"/>
          <w:sz w:val="20"/>
          <w:szCs w:val="20"/>
          <w:highlight w:val="none"/>
        </w:rPr>
        <w:t xml:space="preserve"> </w:t>
      </w:r>
      <w:r>
        <w:rPr>
          <w:rFonts w:ascii="宋体" w:hAnsi="宋体" w:eastAsia="宋体" w:cs="宋体"/>
          <w:spacing w:val="6"/>
          <w:sz w:val="20"/>
          <w:szCs w:val="20"/>
          <w:highlight w:val="none"/>
        </w:rPr>
        <w:t>个月，缺陷责任期自工程通过竣工验收之日起计算。单位/区</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段工程先于全部工程进行验收，单位/区段工程</w:t>
      </w:r>
      <w:r>
        <w:rPr>
          <w:rFonts w:ascii="宋体" w:hAnsi="宋体" w:eastAsia="宋体" w:cs="宋体"/>
          <w:spacing w:val="7"/>
          <w:sz w:val="20"/>
          <w:szCs w:val="20"/>
          <w:highlight w:val="none"/>
        </w:rPr>
        <w:t>缺陷责任期自单位/区段工程验收合格之日起</w:t>
      </w:r>
      <w:r>
        <w:rPr>
          <w:rFonts w:ascii="宋体" w:hAnsi="宋体" w:eastAsia="宋体" w:cs="宋体"/>
          <w:sz w:val="20"/>
          <w:szCs w:val="20"/>
          <w:highlight w:val="none"/>
        </w:rPr>
        <w:t xml:space="preserve"> </w:t>
      </w:r>
      <w:r>
        <w:rPr>
          <w:rFonts w:ascii="宋体" w:hAnsi="宋体" w:eastAsia="宋体" w:cs="宋体"/>
          <w:spacing w:val="-3"/>
          <w:sz w:val="20"/>
          <w:szCs w:val="20"/>
          <w:highlight w:val="none"/>
        </w:rPr>
        <w:t>算。</w:t>
      </w:r>
    </w:p>
    <w:p w14:paraId="74EF092C">
      <w:pPr>
        <w:spacing w:line="219"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缺陷责任期终止后，发包人应返还剩余的质量保证金。</w:t>
      </w:r>
    </w:p>
    <w:p w14:paraId="1C3EECFD">
      <w:pPr>
        <w:spacing w:before="229" w:line="219" w:lineRule="auto"/>
        <w:ind w:left="420"/>
        <w:rPr>
          <w:rFonts w:ascii="宋体" w:hAnsi="宋体" w:eastAsia="宋体" w:cs="宋体"/>
          <w:sz w:val="21"/>
          <w:szCs w:val="21"/>
          <w:highlight w:val="none"/>
        </w:rPr>
      </w:pPr>
      <w:r>
        <w:rPr>
          <w:rFonts w:ascii="宋体" w:hAnsi="宋体" w:eastAsia="宋体" w:cs="宋体"/>
          <w:spacing w:val="-2"/>
          <w:sz w:val="21"/>
          <w:szCs w:val="21"/>
          <w:highlight w:val="none"/>
        </w:rPr>
        <w:t>四、质量保修责任</w:t>
      </w:r>
    </w:p>
    <w:p w14:paraId="2C840469">
      <w:pPr>
        <w:spacing w:before="220" w:line="405" w:lineRule="auto"/>
        <w:ind w:right="85" w:firstLine="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1.   </w:t>
      </w:r>
      <w:r>
        <w:rPr>
          <w:rFonts w:ascii="宋体" w:hAnsi="宋体" w:eastAsia="宋体" w:cs="宋体"/>
          <w:spacing w:val="-6"/>
          <w:sz w:val="22"/>
          <w:szCs w:val="22"/>
          <w:highlight w:val="none"/>
        </w:rPr>
        <w:t>属于保修范围、内容的项目，承包人应当在接</w:t>
      </w:r>
      <w:r>
        <w:rPr>
          <w:rFonts w:ascii="宋体" w:hAnsi="宋体" w:eastAsia="宋体" w:cs="宋体"/>
          <w:spacing w:val="-7"/>
          <w:sz w:val="22"/>
          <w:szCs w:val="22"/>
          <w:highlight w:val="none"/>
        </w:rPr>
        <w:t>到保修通知之日起7天内派人保修。</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承包人不在约定期限内派人保修的，发包人可以委托他人修理。</w:t>
      </w:r>
    </w:p>
    <w:p w14:paraId="58DB9B96">
      <w:pPr>
        <w:spacing w:line="405" w:lineRule="auto"/>
        <w:rPr>
          <w:rFonts w:ascii="宋体" w:hAnsi="宋体" w:eastAsia="宋体" w:cs="宋体"/>
          <w:sz w:val="22"/>
          <w:szCs w:val="22"/>
          <w:highlight w:val="none"/>
        </w:rPr>
        <w:sectPr>
          <w:footerReference r:id="rId165" w:type="default"/>
          <w:pgSz w:w="11910" w:h="16840"/>
          <w:pgMar w:top="400" w:right="1754" w:bottom="1238" w:left="1769" w:header="0" w:footer="1006" w:gutter="0"/>
          <w:cols w:space="720" w:num="1"/>
        </w:sectPr>
      </w:pPr>
    </w:p>
    <w:p w14:paraId="620BB759">
      <w:pPr>
        <w:pStyle w:val="2"/>
        <w:spacing w:line="273" w:lineRule="auto"/>
        <w:rPr>
          <w:highlight w:val="none"/>
        </w:rPr>
      </w:pPr>
    </w:p>
    <w:p w14:paraId="295A2B34">
      <w:pPr>
        <w:pStyle w:val="2"/>
        <w:spacing w:line="273" w:lineRule="auto"/>
        <w:rPr>
          <w:highlight w:val="none"/>
        </w:rPr>
      </w:pPr>
    </w:p>
    <w:p w14:paraId="66EE7F0F">
      <w:pPr>
        <w:pStyle w:val="2"/>
        <w:spacing w:line="273" w:lineRule="auto"/>
        <w:rPr>
          <w:highlight w:val="none"/>
        </w:rPr>
      </w:pPr>
    </w:p>
    <w:p w14:paraId="34B6459E">
      <w:pPr>
        <w:pStyle w:val="2"/>
        <w:spacing w:line="274" w:lineRule="auto"/>
        <w:rPr>
          <w:highlight w:val="none"/>
        </w:rPr>
      </w:pPr>
    </w:p>
    <w:p w14:paraId="16647542">
      <w:pPr>
        <w:spacing w:before="69" w:line="219" w:lineRule="auto"/>
        <w:ind w:left="403"/>
        <w:rPr>
          <w:rFonts w:ascii="宋体" w:hAnsi="宋体" w:eastAsia="宋体" w:cs="宋体"/>
          <w:sz w:val="21"/>
          <w:szCs w:val="21"/>
          <w:highlight w:val="none"/>
        </w:rPr>
      </w:pPr>
      <w:r>
        <w:rPr>
          <w:rFonts w:ascii="Times New Roman" w:hAnsi="Times New Roman" w:eastAsia="Times New Roman" w:cs="Times New Roman"/>
          <w:sz w:val="21"/>
          <w:szCs w:val="21"/>
          <w:highlight w:val="none"/>
        </w:rPr>
        <w:t>2.</w:t>
      </w:r>
      <w:r>
        <w:rPr>
          <w:rFonts w:ascii="Times New Roman" w:hAnsi="Times New Roman" w:eastAsia="Times New Roman" w:cs="Times New Roman"/>
          <w:spacing w:val="25"/>
          <w:w w:val="101"/>
          <w:sz w:val="21"/>
          <w:szCs w:val="21"/>
          <w:highlight w:val="none"/>
        </w:rPr>
        <w:t xml:space="preserve">  </w:t>
      </w:r>
      <w:r>
        <w:rPr>
          <w:rFonts w:ascii="宋体" w:hAnsi="宋体" w:eastAsia="宋体" w:cs="宋体"/>
          <w:sz w:val="21"/>
          <w:szCs w:val="21"/>
          <w:highlight w:val="none"/>
        </w:rPr>
        <w:t>发生紧急事故需抢修的，承包人在接到事故通知后，应当立即到达事故现场抢修。</w:t>
      </w:r>
    </w:p>
    <w:p w14:paraId="07D151BF">
      <w:pPr>
        <w:spacing w:before="221" w:line="371" w:lineRule="auto"/>
        <w:ind w:left="3" w:firstLine="40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3.</w:t>
      </w:r>
      <w:r>
        <w:rPr>
          <w:rFonts w:ascii="Times New Roman" w:hAnsi="Times New Roman" w:eastAsia="Times New Roman" w:cs="Times New Roman"/>
          <w:spacing w:val="23"/>
          <w:sz w:val="21"/>
          <w:szCs w:val="21"/>
          <w:highlight w:val="none"/>
        </w:rPr>
        <w:t xml:space="preserve">  </w:t>
      </w:r>
      <w:r>
        <w:rPr>
          <w:rFonts w:ascii="宋体" w:hAnsi="宋体" w:eastAsia="宋体" w:cs="宋体"/>
          <w:spacing w:val="1"/>
          <w:sz w:val="21"/>
          <w:szCs w:val="21"/>
          <w:highlight w:val="none"/>
        </w:rPr>
        <w:t>对于涉及结构安全的质量问题，应当按照《建</w:t>
      </w:r>
      <w:r>
        <w:rPr>
          <w:rFonts w:ascii="宋体" w:hAnsi="宋体" w:eastAsia="宋体" w:cs="宋体"/>
          <w:sz w:val="21"/>
          <w:szCs w:val="21"/>
          <w:highlight w:val="none"/>
        </w:rPr>
        <w:t xml:space="preserve">设工程质量管理条例》的规定，立即 </w:t>
      </w:r>
      <w:r>
        <w:rPr>
          <w:rFonts w:ascii="宋体" w:hAnsi="宋体" w:eastAsia="宋体" w:cs="宋体"/>
          <w:spacing w:val="-1"/>
          <w:sz w:val="21"/>
          <w:szCs w:val="21"/>
          <w:highlight w:val="none"/>
        </w:rPr>
        <w:t>向当地建设行政主管部门和有关部门报告，采取安全防范措施，并由承包人提出保修方案，</w:t>
      </w:r>
      <w:r>
        <w:rPr>
          <w:rFonts w:ascii="宋体" w:hAnsi="宋体" w:eastAsia="宋体" w:cs="宋体"/>
          <w:spacing w:val="14"/>
          <w:sz w:val="21"/>
          <w:szCs w:val="21"/>
          <w:highlight w:val="none"/>
        </w:rPr>
        <w:t xml:space="preserve"> </w:t>
      </w:r>
      <w:r>
        <w:rPr>
          <w:rFonts w:ascii="宋体" w:hAnsi="宋体" w:eastAsia="宋体" w:cs="宋体"/>
          <w:spacing w:val="-1"/>
          <w:sz w:val="21"/>
          <w:szCs w:val="21"/>
          <w:highlight w:val="none"/>
        </w:rPr>
        <w:t>承包人将设计业务分包的，应由原设计分包人或具有相应资质等级的设计人提出保修方案，</w:t>
      </w:r>
      <w:r>
        <w:rPr>
          <w:rFonts w:ascii="宋体" w:hAnsi="宋体" w:eastAsia="宋体" w:cs="宋体"/>
          <w:spacing w:val="14"/>
          <w:sz w:val="21"/>
          <w:szCs w:val="21"/>
          <w:highlight w:val="none"/>
        </w:rPr>
        <w:t xml:space="preserve"> </w:t>
      </w:r>
      <w:r>
        <w:rPr>
          <w:rFonts w:ascii="宋体" w:hAnsi="宋体" w:eastAsia="宋体" w:cs="宋体"/>
          <w:spacing w:val="-5"/>
          <w:sz w:val="21"/>
          <w:szCs w:val="21"/>
          <w:highlight w:val="none"/>
        </w:rPr>
        <w:t>承包人实施保修。</w:t>
      </w:r>
    </w:p>
    <w:p w14:paraId="08518AAC">
      <w:pPr>
        <w:spacing w:before="230" w:line="219" w:lineRule="auto"/>
        <w:ind w:left="403"/>
        <w:rPr>
          <w:rFonts w:ascii="宋体" w:hAnsi="宋体" w:eastAsia="宋体" w:cs="宋体"/>
          <w:sz w:val="20"/>
          <w:szCs w:val="20"/>
          <w:highlight w:val="none"/>
        </w:rPr>
      </w:pPr>
      <w:r>
        <w:rPr>
          <w:rFonts w:ascii="Times New Roman" w:hAnsi="Times New Roman" w:eastAsia="Times New Roman" w:cs="Times New Roman"/>
          <w:spacing w:val="8"/>
          <w:sz w:val="20"/>
          <w:szCs w:val="20"/>
          <w:highlight w:val="none"/>
        </w:rPr>
        <w:t>4.</w:t>
      </w:r>
      <w:r>
        <w:rPr>
          <w:rFonts w:ascii="Times New Roman" w:hAnsi="Times New Roman" w:eastAsia="Times New Roman" w:cs="Times New Roman"/>
          <w:spacing w:val="2"/>
          <w:sz w:val="20"/>
          <w:szCs w:val="20"/>
          <w:highlight w:val="none"/>
        </w:rPr>
        <w:t xml:space="preserve">   </w:t>
      </w:r>
      <w:r>
        <w:rPr>
          <w:rFonts w:ascii="宋体" w:hAnsi="宋体" w:eastAsia="宋体" w:cs="宋体"/>
          <w:spacing w:val="8"/>
          <w:sz w:val="20"/>
          <w:szCs w:val="20"/>
          <w:highlight w:val="none"/>
        </w:rPr>
        <w:t>质量保修完成后，由发包人组织验收。</w:t>
      </w:r>
    </w:p>
    <w:p w14:paraId="1BB1D42A">
      <w:pPr>
        <w:spacing w:before="223" w:line="219" w:lineRule="auto"/>
        <w:ind w:left="403"/>
        <w:rPr>
          <w:rFonts w:ascii="宋体" w:hAnsi="宋体" w:eastAsia="宋体" w:cs="宋体"/>
          <w:sz w:val="22"/>
          <w:szCs w:val="22"/>
          <w:highlight w:val="none"/>
        </w:rPr>
      </w:pPr>
      <w:r>
        <w:rPr>
          <w:rFonts w:ascii="宋体" w:hAnsi="宋体" w:eastAsia="宋体" w:cs="宋体"/>
          <w:spacing w:val="-8"/>
          <w:sz w:val="22"/>
          <w:szCs w:val="22"/>
          <w:highlight w:val="none"/>
        </w:rPr>
        <w:t>五、保修费用</w:t>
      </w:r>
    </w:p>
    <w:p w14:paraId="4EE2C8D1">
      <w:pPr>
        <w:spacing w:before="228" w:line="219" w:lineRule="auto"/>
        <w:ind w:left="403"/>
        <w:rPr>
          <w:rFonts w:ascii="宋体" w:hAnsi="宋体" w:eastAsia="宋体" w:cs="宋体"/>
          <w:sz w:val="21"/>
          <w:szCs w:val="21"/>
          <w:highlight w:val="none"/>
        </w:rPr>
      </w:pPr>
      <w:r>
        <w:rPr>
          <w:rFonts w:ascii="宋体" w:hAnsi="宋体" w:eastAsia="宋体" w:cs="宋体"/>
          <w:spacing w:val="-3"/>
          <w:sz w:val="21"/>
          <w:szCs w:val="21"/>
          <w:highlight w:val="none"/>
        </w:rPr>
        <w:t>保修费用由造成质量缺陷的责任方承担。</w:t>
      </w:r>
    </w:p>
    <w:p w14:paraId="7FA91CCD">
      <w:pPr>
        <w:spacing w:before="261" w:line="219" w:lineRule="auto"/>
        <w:ind w:left="403"/>
        <w:rPr>
          <w:rFonts w:ascii="宋体" w:hAnsi="宋体" w:eastAsia="宋体" w:cs="宋体"/>
          <w:sz w:val="21"/>
          <w:szCs w:val="21"/>
          <w:highlight w:val="none"/>
        </w:rPr>
      </w:pPr>
      <w:r>
        <w:rPr>
          <w:rFonts w:ascii="宋体" w:hAnsi="宋体" w:eastAsia="宋体" w:cs="宋体"/>
          <w:spacing w:val="-4"/>
          <w:sz w:val="21"/>
          <w:szCs w:val="21"/>
          <w:highlight w:val="none"/>
        </w:rPr>
        <w:t>六、双方约定的其他工程质量保修事项：</w:t>
      </w:r>
      <w:r>
        <w:rPr>
          <w:rFonts w:ascii="宋体" w:hAnsi="宋体" w:eastAsia="宋体" w:cs="宋体"/>
          <w:sz w:val="21"/>
          <w:szCs w:val="21"/>
          <w:highlight w:val="none"/>
          <w:u w:val="single" w:color="auto"/>
        </w:rPr>
        <w:t xml:space="preserve">                  </w:t>
      </w:r>
    </w:p>
    <w:p w14:paraId="2183AAA1">
      <w:pPr>
        <w:spacing w:before="191" w:line="433" w:lineRule="auto"/>
        <w:ind w:left="3" w:right="96" w:firstLine="400"/>
        <w:rPr>
          <w:rFonts w:ascii="宋体" w:hAnsi="宋体" w:eastAsia="宋体" w:cs="宋体"/>
          <w:sz w:val="21"/>
          <w:szCs w:val="21"/>
          <w:highlight w:val="none"/>
        </w:rPr>
      </w:pPr>
      <w:r>
        <w:rPr>
          <w:rFonts w:ascii="宋体" w:hAnsi="宋体" w:eastAsia="宋体" w:cs="宋体"/>
          <w:spacing w:val="-3"/>
          <w:sz w:val="21"/>
          <w:szCs w:val="21"/>
          <w:highlight w:val="none"/>
        </w:rPr>
        <w:t>工程质量保修书由发包人、承包人在工程竣工验收前共同签署，作为工程总承包合同附</w:t>
      </w:r>
      <w:r>
        <w:rPr>
          <w:rFonts w:ascii="宋体" w:hAnsi="宋体" w:eastAsia="宋体" w:cs="宋体"/>
          <w:spacing w:val="11"/>
          <w:sz w:val="21"/>
          <w:szCs w:val="21"/>
          <w:highlight w:val="none"/>
        </w:rPr>
        <w:t xml:space="preserve"> </w:t>
      </w:r>
      <w:r>
        <w:rPr>
          <w:rFonts w:ascii="宋体" w:hAnsi="宋体" w:eastAsia="宋体" w:cs="宋体"/>
          <w:spacing w:val="-3"/>
          <w:sz w:val="21"/>
          <w:szCs w:val="21"/>
          <w:highlight w:val="none"/>
        </w:rPr>
        <w:t>件，其有效期限至保修期满。</w:t>
      </w:r>
    </w:p>
    <w:p w14:paraId="37A50976">
      <w:pPr>
        <w:pStyle w:val="2"/>
        <w:spacing w:line="405" w:lineRule="auto"/>
        <w:rPr>
          <w:highlight w:val="none"/>
        </w:rPr>
      </w:pPr>
    </w:p>
    <w:p w14:paraId="78C757C7">
      <w:pPr>
        <w:spacing w:before="66" w:line="219" w:lineRule="auto"/>
        <w:ind w:left="593"/>
        <w:rPr>
          <w:rFonts w:ascii="宋体" w:hAnsi="宋体" w:eastAsia="宋体" w:cs="宋体"/>
          <w:sz w:val="20"/>
          <w:szCs w:val="20"/>
          <w:highlight w:val="none"/>
        </w:rPr>
      </w:pPr>
      <w:r>
        <w:rPr>
          <w:rFonts w:ascii="宋体" w:hAnsi="宋体" w:eastAsia="宋体" w:cs="宋体"/>
          <w:spacing w:val="5"/>
          <w:sz w:val="20"/>
          <w:szCs w:val="20"/>
          <w:highlight w:val="none"/>
        </w:rPr>
        <w:t>发包人(公章):</w:t>
      </w:r>
      <w:r>
        <w:rPr>
          <w:rFonts w:ascii="宋体" w:hAnsi="宋体" w:eastAsia="宋体" w:cs="宋体"/>
          <w:spacing w:val="6"/>
          <w:sz w:val="20"/>
          <w:szCs w:val="20"/>
          <w:highlight w:val="none"/>
        </w:rPr>
        <w:t xml:space="preserve">                </w:t>
      </w:r>
      <w:r>
        <w:rPr>
          <w:rFonts w:ascii="宋体" w:hAnsi="宋体" w:eastAsia="宋体" w:cs="宋体"/>
          <w:spacing w:val="5"/>
          <w:sz w:val="20"/>
          <w:szCs w:val="20"/>
          <w:highlight w:val="none"/>
        </w:rPr>
        <w:t>承包人(公章):</w:t>
      </w:r>
    </w:p>
    <w:p w14:paraId="57643BEA">
      <w:pPr>
        <w:spacing w:before="242" w:line="232" w:lineRule="auto"/>
        <w:ind w:left="593"/>
        <w:rPr>
          <w:rFonts w:ascii="宋体" w:hAnsi="宋体" w:eastAsia="宋体" w:cs="宋体"/>
          <w:sz w:val="21"/>
          <w:szCs w:val="21"/>
          <w:highlight w:val="none"/>
        </w:rPr>
      </w:pPr>
      <w:r>
        <w:rPr>
          <w:rFonts w:ascii="仿宋" w:hAnsi="仿宋" w:eastAsia="仿宋" w:cs="仿宋"/>
          <w:spacing w:val="-5"/>
          <w:sz w:val="21"/>
          <w:szCs w:val="21"/>
          <w:highlight w:val="none"/>
        </w:rPr>
        <w:t xml:space="preserve">地  </w:t>
      </w:r>
      <w:r>
        <w:rPr>
          <w:rFonts w:ascii="宋体" w:hAnsi="宋体" w:eastAsia="宋体" w:cs="宋体"/>
          <w:spacing w:val="-5"/>
          <w:sz w:val="21"/>
          <w:szCs w:val="21"/>
          <w:highlight w:val="none"/>
        </w:rPr>
        <w:t>址：</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地  址：</w:t>
      </w:r>
    </w:p>
    <w:p w14:paraId="7DEDC1FC">
      <w:pPr>
        <w:spacing w:before="209" w:line="219" w:lineRule="auto"/>
        <w:ind w:left="593"/>
        <w:rPr>
          <w:rFonts w:ascii="宋体" w:hAnsi="宋体" w:eastAsia="宋体" w:cs="宋体"/>
          <w:sz w:val="22"/>
          <w:szCs w:val="22"/>
          <w:highlight w:val="none"/>
        </w:rPr>
      </w:pPr>
      <w:r>
        <w:rPr>
          <w:rFonts w:ascii="宋体" w:hAnsi="宋体" w:eastAsia="宋体" w:cs="宋体"/>
          <w:spacing w:val="-8"/>
          <w:sz w:val="22"/>
          <w:szCs w:val="22"/>
          <w:highlight w:val="none"/>
        </w:rPr>
        <w:t>法定代表人(签字):            法定代表人(签字):</w:t>
      </w:r>
    </w:p>
    <w:p w14:paraId="740F8631">
      <w:pPr>
        <w:spacing w:before="188" w:line="227" w:lineRule="auto"/>
        <w:ind w:left="593"/>
        <w:rPr>
          <w:rFonts w:ascii="宋体" w:hAnsi="宋体" w:eastAsia="宋体" w:cs="宋体"/>
          <w:sz w:val="20"/>
          <w:szCs w:val="20"/>
          <w:highlight w:val="none"/>
        </w:rPr>
      </w:pPr>
      <w:r>
        <w:rPr>
          <w:rFonts w:ascii="宋体" w:hAnsi="宋体" w:eastAsia="宋体" w:cs="宋体"/>
          <w:spacing w:val="-2"/>
          <w:sz w:val="22"/>
          <w:szCs w:val="22"/>
          <w:highlight w:val="none"/>
        </w:rPr>
        <w:t>委托代理人(签字):</w:t>
      </w:r>
      <w:r>
        <w:rPr>
          <w:rFonts w:ascii="宋体" w:hAnsi="宋体" w:eastAsia="宋体" w:cs="宋体"/>
          <w:spacing w:val="6"/>
          <w:sz w:val="22"/>
          <w:szCs w:val="22"/>
          <w:highlight w:val="none"/>
        </w:rPr>
        <w:t xml:space="preserve">           </w:t>
      </w:r>
      <w:r>
        <w:rPr>
          <w:rFonts w:ascii="宋体" w:hAnsi="宋体" w:eastAsia="宋体" w:cs="宋体"/>
          <w:spacing w:val="-2"/>
          <w:sz w:val="20"/>
          <w:szCs w:val="20"/>
          <w:highlight w:val="none"/>
        </w:rPr>
        <w:t>委托代理人(签字):</w:t>
      </w:r>
    </w:p>
    <w:p w14:paraId="1379A0E3">
      <w:pPr>
        <w:spacing w:before="222" w:line="221" w:lineRule="auto"/>
        <w:ind w:left="593"/>
        <w:rPr>
          <w:rFonts w:ascii="宋体" w:hAnsi="宋体" w:eastAsia="宋体" w:cs="宋体"/>
          <w:sz w:val="21"/>
          <w:szCs w:val="21"/>
          <w:highlight w:val="none"/>
        </w:rPr>
      </w:pPr>
      <w:r>
        <w:rPr>
          <w:rFonts w:ascii="宋体" w:hAnsi="宋体" w:eastAsia="宋体" w:cs="宋体"/>
          <w:spacing w:val="-14"/>
          <w:sz w:val="21"/>
          <w:szCs w:val="21"/>
          <w:highlight w:val="none"/>
        </w:rPr>
        <w:t>电</w:t>
      </w:r>
      <w:r>
        <w:rPr>
          <w:rFonts w:ascii="宋体" w:hAnsi="宋体" w:eastAsia="宋体" w:cs="宋体"/>
          <w:spacing w:val="3"/>
          <w:sz w:val="21"/>
          <w:szCs w:val="21"/>
          <w:highlight w:val="none"/>
        </w:rPr>
        <w:t xml:space="preserve">  </w:t>
      </w:r>
      <w:r>
        <w:rPr>
          <w:rFonts w:ascii="宋体" w:hAnsi="宋体" w:eastAsia="宋体" w:cs="宋体"/>
          <w:spacing w:val="-14"/>
          <w:sz w:val="21"/>
          <w:szCs w:val="21"/>
          <w:highlight w:val="none"/>
        </w:rPr>
        <w:t>话：</w:t>
      </w:r>
      <w:r>
        <w:rPr>
          <w:rFonts w:ascii="宋体" w:hAnsi="宋体" w:eastAsia="宋体" w:cs="宋体"/>
          <w:spacing w:val="1"/>
          <w:sz w:val="21"/>
          <w:szCs w:val="21"/>
          <w:highlight w:val="none"/>
        </w:rPr>
        <w:t xml:space="preserve">                     </w:t>
      </w:r>
      <w:r>
        <w:rPr>
          <w:rFonts w:ascii="宋体" w:hAnsi="宋体" w:eastAsia="宋体" w:cs="宋体"/>
          <w:spacing w:val="-14"/>
          <w:sz w:val="21"/>
          <w:szCs w:val="21"/>
          <w:highlight w:val="none"/>
        </w:rPr>
        <w:t>电</w:t>
      </w:r>
      <w:r>
        <w:rPr>
          <w:rFonts w:ascii="宋体" w:hAnsi="宋体" w:eastAsia="宋体" w:cs="宋体"/>
          <w:spacing w:val="4"/>
          <w:sz w:val="21"/>
          <w:szCs w:val="21"/>
          <w:highlight w:val="none"/>
        </w:rPr>
        <w:t xml:space="preserve">  </w:t>
      </w:r>
      <w:r>
        <w:rPr>
          <w:rFonts w:ascii="宋体" w:hAnsi="宋体" w:eastAsia="宋体" w:cs="宋体"/>
          <w:spacing w:val="-14"/>
          <w:sz w:val="21"/>
          <w:szCs w:val="21"/>
          <w:highlight w:val="none"/>
        </w:rPr>
        <w:t>话：</w:t>
      </w:r>
    </w:p>
    <w:p w14:paraId="6AC4058A">
      <w:pPr>
        <w:spacing w:before="215" w:line="219" w:lineRule="auto"/>
        <w:ind w:left="593"/>
        <w:rPr>
          <w:rFonts w:ascii="宋体" w:hAnsi="宋体" w:eastAsia="宋体" w:cs="宋体"/>
          <w:sz w:val="21"/>
          <w:szCs w:val="21"/>
          <w:highlight w:val="none"/>
        </w:rPr>
      </w:pPr>
      <w:r>
        <w:rPr>
          <w:rFonts w:ascii="宋体" w:hAnsi="宋体" w:eastAsia="宋体" w:cs="宋体"/>
          <w:spacing w:val="-8"/>
          <w:sz w:val="22"/>
          <w:szCs w:val="22"/>
          <w:highlight w:val="none"/>
        </w:rPr>
        <w:t>传</w:t>
      </w:r>
      <w:r>
        <w:rPr>
          <w:rFonts w:ascii="宋体" w:hAnsi="宋体" w:eastAsia="宋体" w:cs="宋体"/>
          <w:spacing w:val="102"/>
          <w:sz w:val="22"/>
          <w:szCs w:val="22"/>
          <w:highlight w:val="none"/>
        </w:rPr>
        <w:t xml:space="preserve"> </w:t>
      </w:r>
      <w:r>
        <w:rPr>
          <w:rFonts w:ascii="宋体" w:hAnsi="宋体" w:eastAsia="宋体" w:cs="宋体"/>
          <w:spacing w:val="-8"/>
          <w:sz w:val="22"/>
          <w:szCs w:val="22"/>
          <w:highlight w:val="none"/>
        </w:rPr>
        <w:t>真：</w:t>
      </w:r>
      <w:r>
        <w:rPr>
          <w:rFonts w:ascii="宋体" w:hAnsi="宋体" w:eastAsia="宋体" w:cs="宋体"/>
          <w:spacing w:val="5"/>
          <w:sz w:val="22"/>
          <w:szCs w:val="22"/>
          <w:highlight w:val="none"/>
        </w:rPr>
        <w:t xml:space="preserve">                   </w:t>
      </w:r>
      <w:r>
        <w:rPr>
          <w:rFonts w:ascii="宋体" w:hAnsi="宋体" w:eastAsia="宋体" w:cs="宋体"/>
          <w:spacing w:val="-8"/>
          <w:sz w:val="21"/>
          <w:szCs w:val="21"/>
          <w:highlight w:val="none"/>
        </w:rPr>
        <w:t>传  真：</w:t>
      </w:r>
    </w:p>
    <w:p w14:paraId="225C862B">
      <w:pPr>
        <w:spacing w:before="221" w:line="220" w:lineRule="auto"/>
        <w:ind w:left="593"/>
        <w:rPr>
          <w:rFonts w:ascii="宋体" w:hAnsi="宋体" w:eastAsia="宋体" w:cs="宋体"/>
          <w:sz w:val="22"/>
          <w:szCs w:val="22"/>
          <w:highlight w:val="none"/>
        </w:rPr>
      </w:pPr>
      <w:r>
        <w:rPr>
          <w:rFonts w:ascii="宋体" w:hAnsi="宋体" w:eastAsia="宋体" w:cs="宋体"/>
          <w:spacing w:val="-12"/>
          <w:sz w:val="22"/>
          <w:szCs w:val="22"/>
          <w:highlight w:val="none"/>
        </w:rPr>
        <w:t>开户银行：</w:t>
      </w:r>
      <w:r>
        <w:rPr>
          <w:rFonts w:ascii="宋体" w:hAnsi="宋体" w:eastAsia="宋体" w:cs="宋体"/>
          <w:spacing w:val="6"/>
          <w:sz w:val="22"/>
          <w:szCs w:val="22"/>
          <w:highlight w:val="none"/>
        </w:rPr>
        <w:t xml:space="preserve">                 </w:t>
      </w:r>
      <w:r>
        <w:rPr>
          <w:rFonts w:ascii="宋体" w:hAnsi="宋体" w:eastAsia="宋体" w:cs="宋体"/>
          <w:spacing w:val="-12"/>
          <w:sz w:val="22"/>
          <w:szCs w:val="22"/>
          <w:highlight w:val="none"/>
        </w:rPr>
        <w:t>开户银行：</w:t>
      </w:r>
    </w:p>
    <w:p w14:paraId="1FF69E11">
      <w:pPr>
        <w:spacing w:before="219" w:line="221" w:lineRule="auto"/>
        <w:ind w:left="593"/>
        <w:rPr>
          <w:rFonts w:ascii="宋体" w:hAnsi="宋体" w:eastAsia="宋体" w:cs="宋体"/>
          <w:sz w:val="21"/>
          <w:szCs w:val="21"/>
          <w:highlight w:val="none"/>
        </w:rPr>
      </w:pPr>
      <w:r>
        <w:rPr>
          <w:rFonts w:ascii="宋体" w:hAnsi="宋体" w:eastAsia="宋体" w:cs="宋体"/>
          <w:spacing w:val="-7"/>
          <w:sz w:val="22"/>
          <w:szCs w:val="22"/>
          <w:highlight w:val="none"/>
        </w:rPr>
        <w:t>账</w:t>
      </w:r>
      <w:r>
        <w:rPr>
          <w:rFonts w:ascii="宋体" w:hAnsi="宋体" w:eastAsia="宋体" w:cs="宋体"/>
          <w:spacing w:val="94"/>
          <w:sz w:val="22"/>
          <w:szCs w:val="22"/>
          <w:highlight w:val="none"/>
        </w:rPr>
        <w:t xml:space="preserve"> </w:t>
      </w:r>
      <w:r>
        <w:rPr>
          <w:rFonts w:ascii="宋体" w:hAnsi="宋体" w:eastAsia="宋体" w:cs="宋体"/>
          <w:spacing w:val="-7"/>
          <w:sz w:val="22"/>
          <w:szCs w:val="22"/>
          <w:highlight w:val="none"/>
        </w:rPr>
        <w:t>号：</w:t>
      </w:r>
      <w:r>
        <w:rPr>
          <w:rFonts w:ascii="宋体" w:hAnsi="宋体" w:eastAsia="宋体" w:cs="宋体"/>
          <w:spacing w:val="5"/>
          <w:sz w:val="22"/>
          <w:szCs w:val="22"/>
          <w:highlight w:val="none"/>
        </w:rPr>
        <w:t xml:space="preserve">                   </w:t>
      </w:r>
      <w:r>
        <w:rPr>
          <w:rFonts w:ascii="宋体" w:hAnsi="宋体" w:eastAsia="宋体" w:cs="宋体"/>
          <w:spacing w:val="-7"/>
          <w:sz w:val="21"/>
          <w:szCs w:val="21"/>
          <w:highlight w:val="none"/>
        </w:rPr>
        <w:t>账  号：</w:t>
      </w:r>
    </w:p>
    <w:p w14:paraId="68E03705">
      <w:pPr>
        <w:spacing w:before="225" w:line="219" w:lineRule="auto"/>
        <w:ind w:left="593"/>
        <w:rPr>
          <w:rFonts w:ascii="宋体" w:hAnsi="宋体" w:eastAsia="宋体" w:cs="宋体"/>
          <w:sz w:val="22"/>
          <w:szCs w:val="22"/>
          <w:highlight w:val="none"/>
        </w:rPr>
      </w:pPr>
      <w:r>
        <w:rPr>
          <w:rFonts w:ascii="宋体" w:hAnsi="宋体" w:eastAsia="宋体" w:cs="宋体"/>
          <w:spacing w:val="-7"/>
          <w:sz w:val="22"/>
          <w:szCs w:val="22"/>
          <w:highlight w:val="none"/>
        </w:rPr>
        <w:t xml:space="preserve">邮政编码：               </w:t>
      </w:r>
      <w:r>
        <w:rPr>
          <w:rFonts w:ascii="宋体" w:hAnsi="宋体" w:eastAsia="宋体" w:cs="宋体"/>
          <w:spacing w:val="-8"/>
          <w:sz w:val="22"/>
          <w:szCs w:val="22"/>
          <w:highlight w:val="none"/>
        </w:rPr>
        <w:t xml:space="preserve">    邮政编码：</w:t>
      </w:r>
    </w:p>
    <w:p w14:paraId="616FCAE7">
      <w:pPr>
        <w:spacing w:line="219" w:lineRule="auto"/>
        <w:rPr>
          <w:rFonts w:ascii="宋体" w:hAnsi="宋体" w:eastAsia="宋体" w:cs="宋体"/>
          <w:sz w:val="22"/>
          <w:szCs w:val="22"/>
          <w:highlight w:val="none"/>
        </w:rPr>
        <w:sectPr>
          <w:footerReference r:id="rId166" w:type="default"/>
          <w:pgSz w:w="11910" w:h="16840"/>
          <w:pgMar w:top="400" w:right="1744" w:bottom="1217" w:left="1786" w:header="0" w:footer="1013" w:gutter="0"/>
          <w:cols w:space="720" w:num="1"/>
        </w:sectPr>
      </w:pPr>
    </w:p>
    <w:p w14:paraId="1CDBF8D6">
      <w:pPr>
        <w:pStyle w:val="2"/>
        <w:spacing w:line="255" w:lineRule="auto"/>
        <w:rPr>
          <w:highlight w:val="none"/>
        </w:rPr>
      </w:pPr>
    </w:p>
    <w:p w14:paraId="71901AC1">
      <w:pPr>
        <w:pStyle w:val="2"/>
        <w:spacing w:line="255" w:lineRule="auto"/>
        <w:rPr>
          <w:highlight w:val="none"/>
        </w:rPr>
      </w:pPr>
    </w:p>
    <w:p w14:paraId="43D5F341">
      <w:pPr>
        <w:pStyle w:val="2"/>
        <w:spacing w:line="255" w:lineRule="auto"/>
        <w:rPr>
          <w:highlight w:val="none"/>
        </w:rPr>
      </w:pPr>
    </w:p>
    <w:p w14:paraId="6F827F26">
      <w:pPr>
        <w:pStyle w:val="2"/>
        <w:spacing w:line="255" w:lineRule="auto"/>
        <w:rPr>
          <w:highlight w:val="none"/>
        </w:rPr>
      </w:pPr>
    </w:p>
    <w:p w14:paraId="7317C796">
      <w:pPr>
        <w:pStyle w:val="2"/>
        <w:spacing w:line="255" w:lineRule="auto"/>
        <w:rPr>
          <w:highlight w:val="none"/>
        </w:rPr>
      </w:pPr>
    </w:p>
    <w:p w14:paraId="479F1A0C">
      <w:pPr>
        <w:spacing w:before="71" w:line="219" w:lineRule="auto"/>
        <w:ind w:left="3178"/>
        <w:outlineLvl w:val="1"/>
        <w:rPr>
          <w:rFonts w:ascii="宋体" w:hAnsi="宋体" w:eastAsia="宋体" w:cs="宋体"/>
          <w:sz w:val="22"/>
          <w:szCs w:val="22"/>
          <w:highlight w:val="none"/>
        </w:rPr>
      </w:pPr>
      <w:bookmarkStart w:id="155" w:name="bookmark91"/>
      <w:bookmarkEnd w:id="155"/>
      <w:r>
        <w:rPr>
          <w:rFonts w:ascii="宋体" w:hAnsi="宋体" w:eastAsia="宋体" w:cs="宋体"/>
          <w:b/>
          <w:bCs/>
          <w:spacing w:val="4"/>
          <w:sz w:val="22"/>
          <w:szCs w:val="22"/>
          <w:highlight w:val="none"/>
        </w:rPr>
        <w:t>附件4主要建设工程文件目录</w:t>
      </w:r>
    </w:p>
    <w:p w14:paraId="3FE1F523">
      <w:pPr>
        <w:spacing w:before="58"/>
        <w:rPr>
          <w:highlight w:val="none"/>
        </w:rPr>
      </w:pPr>
    </w:p>
    <w:tbl>
      <w:tblPr>
        <w:tblStyle w:val="5"/>
        <w:tblW w:w="91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02"/>
        <w:gridCol w:w="1269"/>
        <w:gridCol w:w="1458"/>
        <w:gridCol w:w="1249"/>
        <w:gridCol w:w="1438"/>
        <w:gridCol w:w="1673"/>
      </w:tblGrid>
      <w:tr w14:paraId="7BE05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2102" w:type="dxa"/>
            <w:vAlign w:val="top"/>
          </w:tcPr>
          <w:p w14:paraId="777A80A8">
            <w:pPr>
              <w:pStyle w:val="6"/>
              <w:spacing w:before="104" w:line="219" w:lineRule="auto"/>
              <w:ind w:left="625"/>
              <w:rPr>
                <w:sz w:val="22"/>
                <w:szCs w:val="22"/>
                <w:highlight w:val="none"/>
              </w:rPr>
            </w:pPr>
            <w:r>
              <w:rPr>
                <w:spacing w:val="2"/>
                <w:sz w:val="22"/>
                <w:szCs w:val="22"/>
                <w:highlight w:val="none"/>
              </w:rPr>
              <w:t>文件名称</w:t>
            </w:r>
          </w:p>
        </w:tc>
        <w:tc>
          <w:tcPr>
            <w:tcW w:w="1269" w:type="dxa"/>
            <w:vAlign w:val="top"/>
          </w:tcPr>
          <w:p w14:paraId="208E5894">
            <w:pPr>
              <w:pStyle w:val="6"/>
              <w:spacing w:before="104" w:line="219" w:lineRule="auto"/>
              <w:ind w:left="423"/>
              <w:rPr>
                <w:sz w:val="22"/>
                <w:szCs w:val="22"/>
                <w:highlight w:val="none"/>
              </w:rPr>
            </w:pPr>
            <w:r>
              <w:rPr>
                <w:spacing w:val="-3"/>
                <w:sz w:val="22"/>
                <w:szCs w:val="22"/>
                <w:highlight w:val="none"/>
              </w:rPr>
              <w:t>套数</w:t>
            </w:r>
          </w:p>
        </w:tc>
        <w:tc>
          <w:tcPr>
            <w:tcW w:w="1458" w:type="dxa"/>
            <w:vAlign w:val="top"/>
          </w:tcPr>
          <w:p w14:paraId="43B80A6F">
            <w:pPr>
              <w:pStyle w:val="6"/>
              <w:spacing w:before="104" w:line="220" w:lineRule="auto"/>
              <w:ind w:left="204"/>
              <w:rPr>
                <w:sz w:val="22"/>
                <w:szCs w:val="22"/>
                <w:highlight w:val="none"/>
              </w:rPr>
            </w:pPr>
            <w:r>
              <w:rPr>
                <w:spacing w:val="9"/>
                <w:sz w:val="22"/>
                <w:szCs w:val="22"/>
                <w:highlight w:val="none"/>
              </w:rPr>
              <w:t>费用(元)</w:t>
            </w:r>
          </w:p>
        </w:tc>
        <w:tc>
          <w:tcPr>
            <w:tcW w:w="1249" w:type="dxa"/>
            <w:vAlign w:val="top"/>
          </w:tcPr>
          <w:p w14:paraId="50F1EDEC">
            <w:pPr>
              <w:pStyle w:val="6"/>
              <w:spacing w:before="104" w:line="220" w:lineRule="auto"/>
              <w:ind w:left="416"/>
              <w:rPr>
                <w:sz w:val="22"/>
                <w:szCs w:val="22"/>
                <w:highlight w:val="none"/>
              </w:rPr>
            </w:pPr>
            <w:r>
              <w:rPr>
                <w:spacing w:val="-3"/>
                <w:sz w:val="22"/>
                <w:szCs w:val="22"/>
                <w:highlight w:val="none"/>
              </w:rPr>
              <w:t>质量</w:t>
            </w:r>
          </w:p>
        </w:tc>
        <w:tc>
          <w:tcPr>
            <w:tcW w:w="1438" w:type="dxa"/>
            <w:vAlign w:val="top"/>
          </w:tcPr>
          <w:p w14:paraId="3CD58E81">
            <w:pPr>
              <w:pStyle w:val="6"/>
              <w:spacing w:before="105" w:line="221" w:lineRule="auto"/>
              <w:ind w:left="306"/>
              <w:rPr>
                <w:sz w:val="22"/>
                <w:szCs w:val="22"/>
                <w:highlight w:val="none"/>
              </w:rPr>
            </w:pPr>
            <w:r>
              <w:rPr>
                <w:spacing w:val="5"/>
                <w:sz w:val="22"/>
                <w:szCs w:val="22"/>
                <w:highlight w:val="none"/>
              </w:rPr>
              <w:t>移交时间</w:t>
            </w:r>
          </w:p>
        </w:tc>
        <w:tc>
          <w:tcPr>
            <w:tcW w:w="1673" w:type="dxa"/>
            <w:vAlign w:val="top"/>
          </w:tcPr>
          <w:p w14:paraId="37ADD39F">
            <w:pPr>
              <w:pStyle w:val="6"/>
              <w:spacing w:before="104" w:line="219" w:lineRule="auto"/>
              <w:ind w:left="558"/>
              <w:rPr>
                <w:sz w:val="22"/>
                <w:szCs w:val="22"/>
                <w:highlight w:val="none"/>
              </w:rPr>
            </w:pPr>
            <w:r>
              <w:rPr>
                <w:spacing w:val="3"/>
                <w:sz w:val="22"/>
                <w:szCs w:val="22"/>
                <w:highlight w:val="none"/>
              </w:rPr>
              <w:t>责任人</w:t>
            </w:r>
          </w:p>
        </w:tc>
      </w:tr>
      <w:tr w14:paraId="19392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2102" w:type="dxa"/>
            <w:vAlign w:val="top"/>
          </w:tcPr>
          <w:p w14:paraId="3F3ADA97">
            <w:pPr>
              <w:rPr>
                <w:rFonts w:ascii="Arial"/>
                <w:sz w:val="21"/>
                <w:highlight w:val="none"/>
              </w:rPr>
            </w:pPr>
          </w:p>
        </w:tc>
        <w:tc>
          <w:tcPr>
            <w:tcW w:w="1269" w:type="dxa"/>
            <w:vAlign w:val="top"/>
          </w:tcPr>
          <w:p w14:paraId="3F6F738B">
            <w:pPr>
              <w:rPr>
                <w:rFonts w:ascii="Arial"/>
                <w:sz w:val="21"/>
                <w:highlight w:val="none"/>
              </w:rPr>
            </w:pPr>
          </w:p>
        </w:tc>
        <w:tc>
          <w:tcPr>
            <w:tcW w:w="1458" w:type="dxa"/>
            <w:vAlign w:val="top"/>
          </w:tcPr>
          <w:p w14:paraId="0F2BEB6A">
            <w:pPr>
              <w:rPr>
                <w:rFonts w:ascii="Arial"/>
                <w:sz w:val="21"/>
                <w:highlight w:val="none"/>
              </w:rPr>
            </w:pPr>
          </w:p>
        </w:tc>
        <w:tc>
          <w:tcPr>
            <w:tcW w:w="1249" w:type="dxa"/>
            <w:vAlign w:val="top"/>
          </w:tcPr>
          <w:p w14:paraId="1FF34360">
            <w:pPr>
              <w:rPr>
                <w:rFonts w:ascii="Arial"/>
                <w:sz w:val="21"/>
                <w:highlight w:val="none"/>
              </w:rPr>
            </w:pPr>
          </w:p>
        </w:tc>
        <w:tc>
          <w:tcPr>
            <w:tcW w:w="1438" w:type="dxa"/>
            <w:vAlign w:val="top"/>
          </w:tcPr>
          <w:p w14:paraId="71E1E65B">
            <w:pPr>
              <w:rPr>
                <w:rFonts w:ascii="Arial"/>
                <w:sz w:val="21"/>
                <w:highlight w:val="none"/>
              </w:rPr>
            </w:pPr>
          </w:p>
        </w:tc>
        <w:tc>
          <w:tcPr>
            <w:tcW w:w="1673" w:type="dxa"/>
            <w:vAlign w:val="top"/>
          </w:tcPr>
          <w:p w14:paraId="6DB6315B">
            <w:pPr>
              <w:rPr>
                <w:rFonts w:ascii="Arial"/>
                <w:sz w:val="21"/>
                <w:highlight w:val="none"/>
              </w:rPr>
            </w:pPr>
          </w:p>
        </w:tc>
      </w:tr>
      <w:tr w14:paraId="75A02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102" w:type="dxa"/>
            <w:vAlign w:val="top"/>
          </w:tcPr>
          <w:p w14:paraId="5B48C7CD">
            <w:pPr>
              <w:rPr>
                <w:rFonts w:ascii="Arial"/>
                <w:sz w:val="21"/>
                <w:highlight w:val="none"/>
              </w:rPr>
            </w:pPr>
          </w:p>
        </w:tc>
        <w:tc>
          <w:tcPr>
            <w:tcW w:w="1269" w:type="dxa"/>
            <w:vAlign w:val="top"/>
          </w:tcPr>
          <w:p w14:paraId="35B5219D">
            <w:pPr>
              <w:rPr>
                <w:rFonts w:ascii="Arial"/>
                <w:sz w:val="21"/>
                <w:highlight w:val="none"/>
              </w:rPr>
            </w:pPr>
          </w:p>
        </w:tc>
        <w:tc>
          <w:tcPr>
            <w:tcW w:w="1458" w:type="dxa"/>
            <w:vAlign w:val="top"/>
          </w:tcPr>
          <w:p w14:paraId="6CB73440">
            <w:pPr>
              <w:rPr>
                <w:rFonts w:ascii="Arial"/>
                <w:sz w:val="21"/>
                <w:highlight w:val="none"/>
              </w:rPr>
            </w:pPr>
          </w:p>
        </w:tc>
        <w:tc>
          <w:tcPr>
            <w:tcW w:w="1249" w:type="dxa"/>
            <w:vAlign w:val="top"/>
          </w:tcPr>
          <w:p w14:paraId="7FB89A3F">
            <w:pPr>
              <w:rPr>
                <w:rFonts w:ascii="Arial"/>
                <w:sz w:val="21"/>
                <w:highlight w:val="none"/>
              </w:rPr>
            </w:pPr>
          </w:p>
        </w:tc>
        <w:tc>
          <w:tcPr>
            <w:tcW w:w="1438" w:type="dxa"/>
            <w:vAlign w:val="top"/>
          </w:tcPr>
          <w:p w14:paraId="05CE29F1">
            <w:pPr>
              <w:rPr>
                <w:rFonts w:ascii="Arial"/>
                <w:sz w:val="21"/>
                <w:highlight w:val="none"/>
              </w:rPr>
            </w:pPr>
          </w:p>
        </w:tc>
        <w:tc>
          <w:tcPr>
            <w:tcW w:w="1673" w:type="dxa"/>
            <w:vAlign w:val="top"/>
          </w:tcPr>
          <w:p w14:paraId="44EA7E51">
            <w:pPr>
              <w:rPr>
                <w:rFonts w:ascii="Arial"/>
                <w:sz w:val="21"/>
                <w:highlight w:val="none"/>
              </w:rPr>
            </w:pPr>
          </w:p>
        </w:tc>
      </w:tr>
      <w:tr w14:paraId="32C83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102" w:type="dxa"/>
            <w:vAlign w:val="top"/>
          </w:tcPr>
          <w:p w14:paraId="51F9AFD8">
            <w:pPr>
              <w:rPr>
                <w:rFonts w:ascii="Arial"/>
                <w:sz w:val="21"/>
                <w:highlight w:val="none"/>
              </w:rPr>
            </w:pPr>
          </w:p>
        </w:tc>
        <w:tc>
          <w:tcPr>
            <w:tcW w:w="1269" w:type="dxa"/>
            <w:vAlign w:val="top"/>
          </w:tcPr>
          <w:p w14:paraId="79AF989B">
            <w:pPr>
              <w:rPr>
                <w:rFonts w:ascii="Arial"/>
                <w:sz w:val="21"/>
                <w:highlight w:val="none"/>
              </w:rPr>
            </w:pPr>
          </w:p>
        </w:tc>
        <w:tc>
          <w:tcPr>
            <w:tcW w:w="1458" w:type="dxa"/>
            <w:vAlign w:val="top"/>
          </w:tcPr>
          <w:p w14:paraId="52B53A1C">
            <w:pPr>
              <w:rPr>
                <w:rFonts w:ascii="Arial"/>
                <w:sz w:val="21"/>
                <w:highlight w:val="none"/>
              </w:rPr>
            </w:pPr>
          </w:p>
        </w:tc>
        <w:tc>
          <w:tcPr>
            <w:tcW w:w="1249" w:type="dxa"/>
            <w:vAlign w:val="top"/>
          </w:tcPr>
          <w:p w14:paraId="1B499AC8">
            <w:pPr>
              <w:rPr>
                <w:rFonts w:ascii="Arial"/>
                <w:sz w:val="21"/>
                <w:highlight w:val="none"/>
              </w:rPr>
            </w:pPr>
          </w:p>
        </w:tc>
        <w:tc>
          <w:tcPr>
            <w:tcW w:w="1438" w:type="dxa"/>
            <w:vAlign w:val="top"/>
          </w:tcPr>
          <w:p w14:paraId="69A83ED3">
            <w:pPr>
              <w:rPr>
                <w:rFonts w:ascii="Arial"/>
                <w:sz w:val="21"/>
                <w:highlight w:val="none"/>
              </w:rPr>
            </w:pPr>
          </w:p>
        </w:tc>
        <w:tc>
          <w:tcPr>
            <w:tcW w:w="1673" w:type="dxa"/>
            <w:vAlign w:val="top"/>
          </w:tcPr>
          <w:p w14:paraId="413302E1">
            <w:pPr>
              <w:rPr>
                <w:rFonts w:ascii="Arial"/>
                <w:sz w:val="21"/>
                <w:highlight w:val="none"/>
              </w:rPr>
            </w:pPr>
          </w:p>
        </w:tc>
      </w:tr>
      <w:tr w14:paraId="14BBA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102" w:type="dxa"/>
            <w:vAlign w:val="top"/>
          </w:tcPr>
          <w:p w14:paraId="5E506FA6">
            <w:pPr>
              <w:rPr>
                <w:rFonts w:ascii="Arial"/>
                <w:sz w:val="21"/>
                <w:highlight w:val="none"/>
              </w:rPr>
            </w:pPr>
          </w:p>
        </w:tc>
        <w:tc>
          <w:tcPr>
            <w:tcW w:w="1269" w:type="dxa"/>
            <w:vAlign w:val="top"/>
          </w:tcPr>
          <w:p w14:paraId="38D1B47A">
            <w:pPr>
              <w:rPr>
                <w:rFonts w:ascii="Arial"/>
                <w:sz w:val="21"/>
                <w:highlight w:val="none"/>
              </w:rPr>
            </w:pPr>
          </w:p>
        </w:tc>
        <w:tc>
          <w:tcPr>
            <w:tcW w:w="1458" w:type="dxa"/>
            <w:vAlign w:val="top"/>
          </w:tcPr>
          <w:p w14:paraId="6B916E71">
            <w:pPr>
              <w:rPr>
                <w:rFonts w:ascii="Arial"/>
                <w:sz w:val="21"/>
                <w:highlight w:val="none"/>
              </w:rPr>
            </w:pPr>
          </w:p>
        </w:tc>
        <w:tc>
          <w:tcPr>
            <w:tcW w:w="1249" w:type="dxa"/>
            <w:vAlign w:val="top"/>
          </w:tcPr>
          <w:p w14:paraId="13F0ED9F">
            <w:pPr>
              <w:rPr>
                <w:rFonts w:ascii="Arial"/>
                <w:sz w:val="21"/>
                <w:highlight w:val="none"/>
              </w:rPr>
            </w:pPr>
          </w:p>
        </w:tc>
        <w:tc>
          <w:tcPr>
            <w:tcW w:w="1438" w:type="dxa"/>
            <w:vAlign w:val="top"/>
          </w:tcPr>
          <w:p w14:paraId="77A419E6">
            <w:pPr>
              <w:rPr>
                <w:rFonts w:ascii="Arial"/>
                <w:sz w:val="21"/>
                <w:highlight w:val="none"/>
              </w:rPr>
            </w:pPr>
          </w:p>
        </w:tc>
        <w:tc>
          <w:tcPr>
            <w:tcW w:w="1673" w:type="dxa"/>
            <w:vAlign w:val="top"/>
          </w:tcPr>
          <w:p w14:paraId="0AF7553F">
            <w:pPr>
              <w:rPr>
                <w:rFonts w:ascii="Arial"/>
                <w:sz w:val="21"/>
                <w:highlight w:val="none"/>
              </w:rPr>
            </w:pPr>
          </w:p>
        </w:tc>
      </w:tr>
      <w:tr w14:paraId="4E954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2102" w:type="dxa"/>
            <w:vAlign w:val="top"/>
          </w:tcPr>
          <w:p w14:paraId="6E9AC0EE">
            <w:pPr>
              <w:rPr>
                <w:rFonts w:ascii="Arial"/>
                <w:sz w:val="21"/>
                <w:highlight w:val="none"/>
              </w:rPr>
            </w:pPr>
          </w:p>
        </w:tc>
        <w:tc>
          <w:tcPr>
            <w:tcW w:w="1269" w:type="dxa"/>
            <w:vAlign w:val="top"/>
          </w:tcPr>
          <w:p w14:paraId="701D8187">
            <w:pPr>
              <w:rPr>
                <w:rFonts w:ascii="Arial"/>
                <w:sz w:val="21"/>
                <w:highlight w:val="none"/>
              </w:rPr>
            </w:pPr>
          </w:p>
        </w:tc>
        <w:tc>
          <w:tcPr>
            <w:tcW w:w="1458" w:type="dxa"/>
            <w:vAlign w:val="top"/>
          </w:tcPr>
          <w:p w14:paraId="2CB48F27">
            <w:pPr>
              <w:rPr>
                <w:rFonts w:ascii="Arial"/>
                <w:sz w:val="21"/>
                <w:highlight w:val="none"/>
              </w:rPr>
            </w:pPr>
          </w:p>
        </w:tc>
        <w:tc>
          <w:tcPr>
            <w:tcW w:w="1249" w:type="dxa"/>
            <w:vAlign w:val="top"/>
          </w:tcPr>
          <w:p w14:paraId="08A022A5">
            <w:pPr>
              <w:rPr>
                <w:rFonts w:ascii="Arial"/>
                <w:sz w:val="21"/>
                <w:highlight w:val="none"/>
              </w:rPr>
            </w:pPr>
          </w:p>
        </w:tc>
        <w:tc>
          <w:tcPr>
            <w:tcW w:w="1438" w:type="dxa"/>
            <w:vAlign w:val="top"/>
          </w:tcPr>
          <w:p w14:paraId="6819FB1B">
            <w:pPr>
              <w:rPr>
                <w:rFonts w:ascii="Arial"/>
                <w:sz w:val="21"/>
                <w:highlight w:val="none"/>
              </w:rPr>
            </w:pPr>
          </w:p>
        </w:tc>
        <w:tc>
          <w:tcPr>
            <w:tcW w:w="1673" w:type="dxa"/>
            <w:vAlign w:val="top"/>
          </w:tcPr>
          <w:p w14:paraId="580B385B">
            <w:pPr>
              <w:rPr>
                <w:rFonts w:ascii="Arial"/>
                <w:sz w:val="21"/>
                <w:highlight w:val="none"/>
              </w:rPr>
            </w:pPr>
          </w:p>
        </w:tc>
      </w:tr>
      <w:tr w14:paraId="76062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102" w:type="dxa"/>
            <w:vAlign w:val="top"/>
          </w:tcPr>
          <w:p w14:paraId="51DC5411">
            <w:pPr>
              <w:rPr>
                <w:rFonts w:ascii="Arial"/>
                <w:sz w:val="21"/>
                <w:highlight w:val="none"/>
              </w:rPr>
            </w:pPr>
          </w:p>
        </w:tc>
        <w:tc>
          <w:tcPr>
            <w:tcW w:w="1269" w:type="dxa"/>
            <w:vAlign w:val="top"/>
          </w:tcPr>
          <w:p w14:paraId="6B9CDC89">
            <w:pPr>
              <w:rPr>
                <w:rFonts w:ascii="Arial"/>
                <w:sz w:val="21"/>
                <w:highlight w:val="none"/>
              </w:rPr>
            </w:pPr>
          </w:p>
        </w:tc>
        <w:tc>
          <w:tcPr>
            <w:tcW w:w="1458" w:type="dxa"/>
            <w:vAlign w:val="top"/>
          </w:tcPr>
          <w:p w14:paraId="798CF395">
            <w:pPr>
              <w:rPr>
                <w:rFonts w:ascii="Arial"/>
                <w:sz w:val="21"/>
                <w:highlight w:val="none"/>
              </w:rPr>
            </w:pPr>
          </w:p>
        </w:tc>
        <w:tc>
          <w:tcPr>
            <w:tcW w:w="1249" w:type="dxa"/>
            <w:vAlign w:val="top"/>
          </w:tcPr>
          <w:p w14:paraId="72D52593">
            <w:pPr>
              <w:rPr>
                <w:rFonts w:ascii="Arial"/>
                <w:sz w:val="21"/>
                <w:highlight w:val="none"/>
              </w:rPr>
            </w:pPr>
          </w:p>
        </w:tc>
        <w:tc>
          <w:tcPr>
            <w:tcW w:w="1438" w:type="dxa"/>
            <w:vAlign w:val="top"/>
          </w:tcPr>
          <w:p w14:paraId="5E712AC2">
            <w:pPr>
              <w:rPr>
                <w:rFonts w:ascii="Arial"/>
                <w:sz w:val="21"/>
                <w:highlight w:val="none"/>
              </w:rPr>
            </w:pPr>
          </w:p>
        </w:tc>
        <w:tc>
          <w:tcPr>
            <w:tcW w:w="1673" w:type="dxa"/>
            <w:vAlign w:val="top"/>
          </w:tcPr>
          <w:p w14:paraId="0C496340">
            <w:pPr>
              <w:rPr>
                <w:rFonts w:ascii="Arial"/>
                <w:sz w:val="21"/>
                <w:highlight w:val="none"/>
              </w:rPr>
            </w:pPr>
          </w:p>
        </w:tc>
      </w:tr>
      <w:tr w14:paraId="56073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102" w:type="dxa"/>
            <w:vAlign w:val="top"/>
          </w:tcPr>
          <w:p w14:paraId="022DD6FD">
            <w:pPr>
              <w:rPr>
                <w:rFonts w:ascii="Arial"/>
                <w:sz w:val="21"/>
                <w:highlight w:val="none"/>
              </w:rPr>
            </w:pPr>
          </w:p>
        </w:tc>
        <w:tc>
          <w:tcPr>
            <w:tcW w:w="1269" w:type="dxa"/>
            <w:vAlign w:val="top"/>
          </w:tcPr>
          <w:p w14:paraId="0A87F456">
            <w:pPr>
              <w:rPr>
                <w:rFonts w:ascii="Arial"/>
                <w:sz w:val="21"/>
                <w:highlight w:val="none"/>
              </w:rPr>
            </w:pPr>
          </w:p>
        </w:tc>
        <w:tc>
          <w:tcPr>
            <w:tcW w:w="1458" w:type="dxa"/>
            <w:vAlign w:val="top"/>
          </w:tcPr>
          <w:p w14:paraId="08D5424D">
            <w:pPr>
              <w:rPr>
                <w:rFonts w:ascii="Arial"/>
                <w:sz w:val="21"/>
                <w:highlight w:val="none"/>
              </w:rPr>
            </w:pPr>
          </w:p>
        </w:tc>
        <w:tc>
          <w:tcPr>
            <w:tcW w:w="1249" w:type="dxa"/>
            <w:vAlign w:val="top"/>
          </w:tcPr>
          <w:p w14:paraId="0C94A1E7">
            <w:pPr>
              <w:rPr>
                <w:rFonts w:ascii="Arial"/>
                <w:sz w:val="21"/>
                <w:highlight w:val="none"/>
              </w:rPr>
            </w:pPr>
          </w:p>
        </w:tc>
        <w:tc>
          <w:tcPr>
            <w:tcW w:w="1438" w:type="dxa"/>
            <w:vAlign w:val="top"/>
          </w:tcPr>
          <w:p w14:paraId="75AEA77A">
            <w:pPr>
              <w:rPr>
                <w:rFonts w:ascii="Arial"/>
                <w:sz w:val="21"/>
                <w:highlight w:val="none"/>
              </w:rPr>
            </w:pPr>
          </w:p>
        </w:tc>
        <w:tc>
          <w:tcPr>
            <w:tcW w:w="1673" w:type="dxa"/>
            <w:vAlign w:val="top"/>
          </w:tcPr>
          <w:p w14:paraId="4D09293C">
            <w:pPr>
              <w:rPr>
                <w:rFonts w:ascii="Arial"/>
                <w:sz w:val="21"/>
                <w:highlight w:val="none"/>
              </w:rPr>
            </w:pPr>
          </w:p>
        </w:tc>
      </w:tr>
      <w:tr w14:paraId="67827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2102" w:type="dxa"/>
            <w:vAlign w:val="top"/>
          </w:tcPr>
          <w:p w14:paraId="247E3C96">
            <w:pPr>
              <w:rPr>
                <w:rFonts w:ascii="Arial"/>
                <w:sz w:val="21"/>
                <w:highlight w:val="none"/>
              </w:rPr>
            </w:pPr>
          </w:p>
        </w:tc>
        <w:tc>
          <w:tcPr>
            <w:tcW w:w="1269" w:type="dxa"/>
            <w:vAlign w:val="top"/>
          </w:tcPr>
          <w:p w14:paraId="4BF273CE">
            <w:pPr>
              <w:rPr>
                <w:rFonts w:ascii="Arial"/>
                <w:sz w:val="21"/>
                <w:highlight w:val="none"/>
              </w:rPr>
            </w:pPr>
          </w:p>
        </w:tc>
        <w:tc>
          <w:tcPr>
            <w:tcW w:w="1458" w:type="dxa"/>
            <w:vAlign w:val="top"/>
          </w:tcPr>
          <w:p w14:paraId="1E4D579C">
            <w:pPr>
              <w:rPr>
                <w:rFonts w:ascii="Arial"/>
                <w:sz w:val="21"/>
                <w:highlight w:val="none"/>
              </w:rPr>
            </w:pPr>
          </w:p>
        </w:tc>
        <w:tc>
          <w:tcPr>
            <w:tcW w:w="1249" w:type="dxa"/>
            <w:vAlign w:val="top"/>
          </w:tcPr>
          <w:p w14:paraId="08F131FA">
            <w:pPr>
              <w:rPr>
                <w:rFonts w:ascii="Arial"/>
                <w:sz w:val="21"/>
                <w:highlight w:val="none"/>
              </w:rPr>
            </w:pPr>
          </w:p>
        </w:tc>
        <w:tc>
          <w:tcPr>
            <w:tcW w:w="1438" w:type="dxa"/>
            <w:vAlign w:val="top"/>
          </w:tcPr>
          <w:p w14:paraId="5E9DDE5A">
            <w:pPr>
              <w:rPr>
                <w:rFonts w:ascii="Arial"/>
                <w:sz w:val="21"/>
                <w:highlight w:val="none"/>
              </w:rPr>
            </w:pPr>
          </w:p>
        </w:tc>
        <w:tc>
          <w:tcPr>
            <w:tcW w:w="1673" w:type="dxa"/>
            <w:vAlign w:val="top"/>
          </w:tcPr>
          <w:p w14:paraId="4B890E90">
            <w:pPr>
              <w:rPr>
                <w:rFonts w:ascii="Arial"/>
                <w:sz w:val="21"/>
                <w:highlight w:val="none"/>
              </w:rPr>
            </w:pPr>
          </w:p>
        </w:tc>
      </w:tr>
      <w:tr w14:paraId="32A4D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2102" w:type="dxa"/>
            <w:vAlign w:val="top"/>
          </w:tcPr>
          <w:p w14:paraId="77659504">
            <w:pPr>
              <w:rPr>
                <w:rFonts w:ascii="Arial"/>
                <w:sz w:val="21"/>
                <w:highlight w:val="none"/>
              </w:rPr>
            </w:pPr>
          </w:p>
        </w:tc>
        <w:tc>
          <w:tcPr>
            <w:tcW w:w="1269" w:type="dxa"/>
            <w:vAlign w:val="top"/>
          </w:tcPr>
          <w:p w14:paraId="63BE6489">
            <w:pPr>
              <w:rPr>
                <w:rFonts w:ascii="Arial"/>
                <w:sz w:val="21"/>
                <w:highlight w:val="none"/>
              </w:rPr>
            </w:pPr>
          </w:p>
        </w:tc>
        <w:tc>
          <w:tcPr>
            <w:tcW w:w="1458" w:type="dxa"/>
            <w:vAlign w:val="top"/>
          </w:tcPr>
          <w:p w14:paraId="01866AD9">
            <w:pPr>
              <w:rPr>
                <w:rFonts w:ascii="Arial"/>
                <w:sz w:val="21"/>
                <w:highlight w:val="none"/>
              </w:rPr>
            </w:pPr>
          </w:p>
        </w:tc>
        <w:tc>
          <w:tcPr>
            <w:tcW w:w="1249" w:type="dxa"/>
            <w:vAlign w:val="top"/>
          </w:tcPr>
          <w:p w14:paraId="6761CC8D">
            <w:pPr>
              <w:rPr>
                <w:rFonts w:ascii="Arial"/>
                <w:sz w:val="21"/>
                <w:highlight w:val="none"/>
              </w:rPr>
            </w:pPr>
          </w:p>
        </w:tc>
        <w:tc>
          <w:tcPr>
            <w:tcW w:w="1438" w:type="dxa"/>
            <w:vAlign w:val="top"/>
          </w:tcPr>
          <w:p w14:paraId="7079E4DD">
            <w:pPr>
              <w:rPr>
                <w:rFonts w:ascii="Arial"/>
                <w:sz w:val="21"/>
                <w:highlight w:val="none"/>
              </w:rPr>
            </w:pPr>
          </w:p>
        </w:tc>
        <w:tc>
          <w:tcPr>
            <w:tcW w:w="1673" w:type="dxa"/>
            <w:vAlign w:val="top"/>
          </w:tcPr>
          <w:p w14:paraId="0CE80D3B">
            <w:pPr>
              <w:rPr>
                <w:rFonts w:ascii="Arial"/>
                <w:sz w:val="21"/>
                <w:highlight w:val="none"/>
              </w:rPr>
            </w:pPr>
          </w:p>
        </w:tc>
      </w:tr>
      <w:tr w14:paraId="1C789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2102" w:type="dxa"/>
            <w:vAlign w:val="top"/>
          </w:tcPr>
          <w:p w14:paraId="60F10E52">
            <w:pPr>
              <w:rPr>
                <w:rFonts w:ascii="Arial"/>
                <w:sz w:val="21"/>
                <w:highlight w:val="none"/>
              </w:rPr>
            </w:pPr>
          </w:p>
        </w:tc>
        <w:tc>
          <w:tcPr>
            <w:tcW w:w="1269" w:type="dxa"/>
            <w:vAlign w:val="top"/>
          </w:tcPr>
          <w:p w14:paraId="03C109DA">
            <w:pPr>
              <w:rPr>
                <w:rFonts w:ascii="Arial"/>
                <w:sz w:val="21"/>
                <w:highlight w:val="none"/>
              </w:rPr>
            </w:pPr>
          </w:p>
        </w:tc>
        <w:tc>
          <w:tcPr>
            <w:tcW w:w="1458" w:type="dxa"/>
            <w:vAlign w:val="top"/>
          </w:tcPr>
          <w:p w14:paraId="5BE9B45A">
            <w:pPr>
              <w:rPr>
                <w:rFonts w:ascii="Arial"/>
                <w:sz w:val="21"/>
                <w:highlight w:val="none"/>
              </w:rPr>
            </w:pPr>
          </w:p>
        </w:tc>
        <w:tc>
          <w:tcPr>
            <w:tcW w:w="1249" w:type="dxa"/>
            <w:vAlign w:val="top"/>
          </w:tcPr>
          <w:p w14:paraId="622896E6">
            <w:pPr>
              <w:rPr>
                <w:rFonts w:ascii="Arial"/>
                <w:sz w:val="21"/>
                <w:highlight w:val="none"/>
              </w:rPr>
            </w:pPr>
          </w:p>
        </w:tc>
        <w:tc>
          <w:tcPr>
            <w:tcW w:w="1438" w:type="dxa"/>
            <w:vAlign w:val="top"/>
          </w:tcPr>
          <w:p w14:paraId="5D4D08A8">
            <w:pPr>
              <w:rPr>
                <w:rFonts w:ascii="Arial"/>
                <w:sz w:val="21"/>
                <w:highlight w:val="none"/>
              </w:rPr>
            </w:pPr>
          </w:p>
        </w:tc>
        <w:tc>
          <w:tcPr>
            <w:tcW w:w="1673" w:type="dxa"/>
            <w:vAlign w:val="top"/>
          </w:tcPr>
          <w:p w14:paraId="3FC81B52">
            <w:pPr>
              <w:rPr>
                <w:rFonts w:ascii="Arial"/>
                <w:sz w:val="21"/>
                <w:highlight w:val="none"/>
              </w:rPr>
            </w:pPr>
          </w:p>
        </w:tc>
      </w:tr>
      <w:tr w14:paraId="75A0E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102" w:type="dxa"/>
            <w:vAlign w:val="top"/>
          </w:tcPr>
          <w:p w14:paraId="527519D6">
            <w:pPr>
              <w:rPr>
                <w:rFonts w:ascii="Arial"/>
                <w:sz w:val="21"/>
                <w:highlight w:val="none"/>
              </w:rPr>
            </w:pPr>
          </w:p>
        </w:tc>
        <w:tc>
          <w:tcPr>
            <w:tcW w:w="1269" w:type="dxa"/>
            <w:vAlign w:val="top"/>
          </w:tcPr>
          <w:p w14:paraId="27053E74">
            <w:pPr>
              <w:rPr>
                <w:rFonts w:ascii="Arial"/>
                <w:sz w:val="21"/>
                <w:highlight w:val="none"/>
              </w:rPr>
            </w:pPr>
          </w:p>
        </w:tc>
        <w:tc>
          <w:tcPr>
            <w:tcW w:w="1458" w:type="dxa"/>
            <w:vAlign w:val="top"/>
          </w:tcPr>
          <w:p w14:paraId="035FD95B">
            <w:pPr>
              <w:rPr>
                <w:rFonts w:ascii="Arial"/>
                <w:sz w:val="21"/>
                <w:highlight w:val="none"/>
              </w:rPr>
            </w:pPr>
          </w:p>
        </w:tc>
        <w:tc>
          <w:tcPr>
            <w:tcW w:w="1249" w:type="dxa"/>
            <w:vAlign w:val="top"/>
          </w:tcPr>
          <w:p w14:paraId="5BE224CC">
            <w:pPr>
              <w:rPr>
                <w:rFonts w:ascii="Arial"/>
                <w:sz w:val="21"/>
                <w:highlight w:val="none"/>
              </w:rPr>
            </w:pPr>
          </w:p>
        </w:tc>
        <w:tc>
          <w:tcPr>
            <w:tcW w:w="1438" w:type="dxa"/>
            <w:vAlign w:val="top"/>
          </w:tcPr>
          <w:p w14:paraId="48512517">
            <w:pPr>
              <w:rPr>
                <w:rFonts w:ascii="Arial"/>
                <w:sz w:val="21"/>
                <w:highlight w:val="none"/>
              </w:rPr>
            </w:pPr>
          </w:p>
        </w:tc>
        <w:tc>
          <w:tcPr>
            <w:tcW w:w="1673" w:type="dxa"/>
            <w:vAlign w:val="top"/>
          </w:tcPr>
          <w:p w14:paraId="64A5C1D8">
            <w:pPr>
              <w:rPr>
                <w:rFonts w:ascii="Arial"/>
                <w:sz w:val="21"/>
                <w:highlight w:val="none"/>
              </w:rPr>
            </w:pPr>
          </w:p>
        </w:tc>
      </w:tr>
      <w:tr w14:paraId="7FC25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2102" w:type="dxa"/>
            <w:vAlign w:val="top"/>
          </w:tcPr>
          <w:p w14:paraId="200D4E5D">
            <w:pPr>
              <w:rPr>
                <w:rFonts w:ascii="Arial"/>
                <w:sz w:val="21"/>
                <w:highlight w:val="none"/>
              </w:rPr>
            </w:pPr>
          </w:p>
        </w:tc>
        <w:tc>
          <w:tcPr>
            <w:tcW w:w="1269" w:type="dxa"/>
            <w:vAlign w:val="top"/>
          </w:tcPr>
          <w:p w14:paraId="2D3B49D2">
            <w:pPr>
              <w:rPr>
                <w:rFonts w:ascii="Arial"/>
                <w:sz w:val="21"/>
                <w:highlight w:val="none"/>
              </w:rPr>
            </w:pPr>
          </w:p>
        </w:tc>
        <w:tc>
          <w:tcPr>
            <w:tcW w:w="1458" w:type="dxa"/>
            <w:vAlign w:val="top"/>
          </w:tcPr>
          <w:p w14:paraId="6B1FCF23">
            <w:pPr>
              <w:rPr>
                <w:rFonts w:ascii="Arial"/>
                <w:sz w:val="21"/>
                <w:highlight w:val="none"/>
              </w:rPr>
            </w:pPr>
          </w:p>
        </w:tc>
        <w:tc>
          <w:tcPr>
            <w:tcW w:w="1249" w:type="dxa"/>
            <w:vAlign w:val="top"/>
          </w:tcPr>
          <w:p w14:paraId="046AD29A">
            <w:pPr>
              <w:rPr>
                <w:rFonts w:ascii="Arial"/>
                <w:sz w:val="21"/>
                <w:highlight w:val="none"/>
              </w:rPr>
            </w:pPr>
          </w:p>
        </w:tc>
        <w:tc>
          <w:tcPr>
            <w:tcW w:w="1438" w:type="dxa"/>
            <w:vAlign w:val="top"/>
          </w:tcPr>
          <w:p w14:paraId="56D44AF5">
            <w:pPr>
              <w:rPr>
                <w:rFonts w:ascii="Arial"/>
                <w:sz w:val="21"/>
                <w:highlight w:val="none"/>
              </w:rPr>
            </w:pPr>
          </w:p>
        </w:tc>
        <w:tc>
          <w:tcPr>
            <w:tcW w:w="1673" w:type="dxa"/>
            <w:vAlign w:val="top"/>
          </w:tcPr>
          <w:p w14:paraId="36DCE2AF">
            <w:pPr>
              <w:rPr>
                <w:rFonts w:ascii="Arial"/>
                <w:sz w:val="21"/>
                <w:highlight w:val="none"/>
              </w:rPr>
            </w:pPr>
          </w:p>
        </w:tc>
      </w:tr>
      <w:tr w14:paraId="17D3E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102" w:type="dxa"/>
            <w:vAlign w:val="top"/>
          </w:tcPr>
          <w:p w14:paraId="25BDB758">
            <w:pPr>
              <w:rPr>
                <w:rFonts w:ascii="Arial"/>
                <w:sz w:val="21"/>
                <w:highlight w:val="none"/>
              </w:rPr>
            </w:pPr>
          </w:p>
        </w:tc>
        <w:tc>
          <w:tcPr>
            <w:tcW w:w="1269" w:type="dxa"/>
            <w:vAlign w:val="top"/>
          </w:tcPr>
          <w:p w14:paraId="0706B86E">
            <w:pPr>
              <w:rPr>
                <w:rFonts w:ascii="Arial"/>
                <w:sz w:val="21"/>
                <w:highlight w:val="none"/>
              </w:rPr>
            </w:pPr>
          </w:p>
        </w:tc>
        <w:tc>
          <w:tcPr>
            <w:tcW w:w="1458" w:type="dxa"/>
            <w:vAlign w:val="top"/>
          </w:tcPr>
          <w:p w14:paraId="56C82812">
            <w:pPr>
              <w:rPr>
                <w:rFonts w:ascii="Arial"/>
                <w:sz w:val="21"/>
                <w:highlight w:val="none"/>
              </w:rPr>
            </w:pPr>
          </w:p>
        </w:tc>
        <w:tc>
          <w:tcPr>
            <w:tcW w:w="1249" w:type="dxa"/>
            <w:vAlign w:val="top"/>
          </w:tcPr>
          <w:p w14:paraId="1CD8F588">
            <w:pPr>
              <w:rPr>
                <w:rFonts w:ascii="Arial"/>
                <w:sz w:val="21"/>
                <w:highlight w:val="none"/>
              </w:rPr>
            </w:pPr>
          </w:p>
        </w:tc>
        <w:tc>
          <w:tcPr>
            <w:tcW w:w="1438" w:type="dxa"/>
            <w:vAlign w:val="top"/>
          </w:tcPr>
          <w:p w14:paraId="464AD904">
            <w:pPr>
              <w:rPr>
                <w:rFonts w:ascii="Arial"/>
                <w:sz w:val="21"/>
                <w:highlight w:val="none"/>
              </w:rPr>
            </w:pPr>
          </w:p>
        </w:tc>
        <w:tc>
          <w:tcPr>
            <w:tcW w:w="1673" w:type="dxa"/>
            <w:vAlign w:val="top"/>
          </w:tcPr>
          <w:p w14:paraId="015D6774">
            <w:pPr>
              <w:rPr>
                <w:rFonts w:ascii="Arial"/>
                <w:sz w:val="21"/>
                <w:highlight w:val="none"/>
              </w:rPr>
            </w:pPr>
          </w:p>
        </w:tc>
      </w:tr>
      <w:tr w14:paraId="48D01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102" w:type="dxa"/>
            <w:vAlign w:val="top"/>
          </w:tcPr>
          <w:p w14:paraId="11B5368C">
            <w:pPr>
              <w:rPr>
                <w:rFonts w:ascii="Arial"/>
                <w:sz w:val="21"/>
                <w:highlight w:val="none"/>
              </w:rPr>
            </w:pPr>
          </w:p>
        </w:tc>
        <w:tc>
          <w:tcPr>
            <w:tcW w:w="1269" w:type="dxa"/>
            <w:vAlign w:val="top"/>
          </w:tcPr>
          <w:p w14:paraId="44405327">
            <w:pPr>
              <w:rPr>
                <w:rFonts w:ascii="Arial"/>
                <w:sz w:val="21"/>
                <w:highlight w:val="none"/>
              </w:rPr>
            </w:pPr>
          </w:p>
        </w:tc>
        <w:tc>
          <w:tcPr>
            <w:tcW w:w="1458" w:type="dxa"/>
            <w:vAlign w:val="top"/>
          </w:tcPr>
          <w:p w14:paraId="2FB9A223">
            <w:pPr>
              <w:rPr>
                <w:rFonts w:ascii="Arial"/>
                <w:sz w:val="21"/>
                <w:highlight w:val="none"/>
              </w:rPr>
            </w:pPr>
          </w:p>
        </w:tc>
        <w:tc>
          <w:tcPr>
            <w:tcW w:w="1249" w:type="dxa"/>
            <w:vAlign w:val="top"/>
          </w:tcPr>
          <w:p w14:paraId="25ED673B">
            <w:pPr>
              <w:rPr>
                <w:rFonts w:ascii="Arial"/>
                <w:sz w:val="21"/>
                <w:highlight w:val="none"/>
              </w:rPr>
            </w:pPr>
          </w:p>
        </w:tc>
        <w:tc>
          <w:tcPr>
            <w:tcW w:w="1438" w:type="dxa"/>
            <w:vAlign w:val="top"/>
          </w:tcPr>
          <w:p w14:paraId="65A9E8FB">
            <w:pPr>
              <w:rPr>
                <w:rFonts w:ascii="Arial"/>
                <w:sz w:val="21"/>
                <w:highlight w:val="none"/>
              </w:rPr>
            </w:pPr>
          </w:p>
        </w:tc>
        <w:tc>
          <w:tcPr>
            <w:tcW w:w="1673" w:type="dxa"/>
            <w:vAlign w:val="top"/>
          </w:tcPr>
          <w:p w14:paraId="21DC6F2C">
            <w:pPr>
              <w:rPr>
                <w:rFonts w:ascii="Arial"/>
                <w:sz w:val="21"/>
                <w:highlight w:val="none"/>
              </w:rPr>
            </w:pPr>
          </w:p>
        </w:tc>
      </w:tr>
      <w:tr w14:paraId="6674C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2102" w:type="dxa"/>
            <w:vAlign w:val="top"/>
          </w:tcPr>
          <w:p w14:paraId="080CC6CC">
            <w:pPr>
              <w:rPr>
                <w:rFonts w:ascii="Arial"/>
                <w:sz w:val="21"/>
                <w:highlight w:val="none"/>
              </w:rPr>
            </w:pPr>
          </w:p>
        </w:tc>
        <w:tc>
          <w:tcPr>
            <w:tcW w:w="1269" w:type="dxa"/>
            <w:vAlign w:val="top"/>
          </w:tcPr>
          <w:p w14:paraId="73D574A2">
            <w:pPr>
              <w:rPr>
                <w:rFonts w:ascii="Arial"/>
                <w:sz w:val="21"/>
                <w:highlight w:val="none"/>
              </w:rPr>
            </w:pPr>
          </w:p>
        </w:tc>
        <w:tc>
          <w:tcPr>
            <w:tcW w:w="1458" w:type="dxa"/>
            <w:vAlign w:val="top"/>
          </w:tcPr>
          <w:p w14:paraId="3F986758">
            <w:pPr>
              <w:rPr>
                <w:rFonts w:ascii="Arial"/>
                <w:sz w:val="21"/>
                <w:highlight w:val="none"/>
              </w:rPr>
            </w:pPr>
          </w:p>
        </w:tc>
        <w:tc>
          <w:tcPr>
            <w:tcW w:w="1249" w:type="dxa"/>
            <w:vAlign w:val="top"/>
          </w:tcPr>
          <w:p w14:paraId="51097656">
            <w:pPr>
              <w:rPr>
                <w:rFonts w:ascii="Arial"/>
                <w:sz w:val="21"/>
                <w:highlight w:val="none"/>
              </w:rPr>
            </w:pPr>
          </w:p>
        </w:tc>
        <w:tc>
          <w:tcPr>
            <w:tcW w:w="1438" w:type="dxa"/>
            <w:vAlign w:val="top"/>
          </w:tcPr>
          <w:p w14:paraId="0B703F16">
            <w:pPr>
              <w:rPr>
                <w:rFonts w:ascii="Arial"/>
                <w:sz w:val="21"/>
                <w:highlight w:val="none"/>
              </w:rPr>
            </w:pPr>
          </w:p>
        </w:tc>
        <w:tc>
          <w:tcPr>
            <w:tcW w:w="1673" w:type="dxa"/>
            <w:vAlign w:val="top"/>
          </w:tcPr>
          <w:p w14:paraId="367C15C3">
            <w:pPr>
              <w:rPr>
                <w:rFonts w:ascii="Arial"/>
                <w:sz w:val="21"/>
                <w:highlight w:val="none"/>
              </w:rPr>
            </w:pPr>
          </w:p>
        </w:tc>
      </w:tr>
      <w:tr w14:paraId="575DE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2102" w:type="dxa"/>
            <w:vAlign w:val="top"/>
          </w:tcPr>
          <w:p w14:paraId="67CF589F">
            <w:pPr>
              <w:rPr>
                <w:rFonts w:ascii="Arial"/>
                <w:sz w:val="21"/>
                <w:highlight w:val="none"/>
              </w:rPr>
            </w:pPr>
          </w:p>
        </w:tc>
        <w:tc>
          <w:tcPr>
            <w:tcW w:w="1269" w:type="dxa"/>
            <w:vAlign w:val="top"/>
          </w:tcPr>
          <w:p w14:paraId="5E86FB41">
            <w:pPr>
              <w:rPr>
                <w:rFonts w:ascii="Arial"/>
                <w:sz w:val="21"/>
                <w:highlight w:val="none"/>
              </w:rPr>
            </w:pPr>
          </w:p>
        </w:tc>
        <w:tc>
          <w:tcPr>
            <w:tcW w:w="1458" w:type="dxa"/>
            <w:vAlign w:val="top"/>
          </w:tcPr>
          <w:p w14:paraId="1A2B0E7E">
            <w:pPr>
              <w:rPr>
                <w:rFonts w:ascii="Arial"/>
                <w:sz w:val="21"/>
                <w:highlight w:val="none"/>
              </w:rPr>
            </w:pPr>
          </w:p>
        </w:tc>
        <w:tc>
          <w:tcPr>
            <w:tcW w:w="1249" w:type="dxa"/>
            <w:vAlign w:val="top"/>
          </w:tcPr>
          <w:p w14:paraId="61AAC3F0">
            <w:pPr>
              <w:rPr>
                <w:rFonts w:ascii="Arial"/>
                <w:sz w:val="21"/>
                <w:highlight w:val="none"/>
              </w:rPr>
            </w:pPr>
          </w:p>
        </w:tc>
        <w:tc>
          <w:tcPr>
            <w:tcW w:w="1438" w:type="dxa"/>
            <w:vAlign w:val="top"/>
          </w:tcPr>
          <w:p w14:paraId="5DBBDCF0">
            <w:pPr>
              <w:rPr>
                <w:rFonts w:ascii="Arial"/>
                <w:sz w:val="21"/>
                <w:highlight w:val="none"/>
              </w:rPr>
            </w:pPr>
          </w:p>
        </w:tc>
        <w:tc>
          <w:tcPr>
            <w:tcW w:w="1673" w:type="dxa"/>
            <w:vAlign w:val="top"/>
          </w:tcPr>
          <w:p w14:paraId="57BC7A88">
            <w:pPr>
              <w:rPr>
                <w:rFonts w:ascii="Arial"/>
                <w:sz w:val="21"/>
                <w:highlight w:val="none"/>
              </w:rPr>
            </w:pPr>
          </w:p>
        </w:tc>
      </w:tr>
      <w:tr w14:paraId="5394E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2102" w:type="dxa"/>
            <w:vAlign w:val="top"/>
          </w:tcPr>
          <w:p w14:paraId="311B83DA">
            <w:pPr>
              <w:rPr>
                <w:rFonts w:ascii="Arial"/>
                <w:sz w:val="21"/>
                <w:highlight w:val="none"/>
              </w:rPr>
            </w:pPr>
          </w:p>
        </w:tc>
        <w:tc>
          <w:tcPr>
            <w:tcW w:w="1269" w:type="dxa"/>
            <w:vAlign w:val="top"/>
          </w:tcPr>
          <w:p w14:paraId="25F2C850">
            <w:pPr>
              <w:rPr>
                <w:rFonts w:ascii="Arial"/>
                <w:sz w:val="21"/>
                <w:highlight w:val="none"/>
              </w:rPr>
            </w:pPr>
          </w:p>
        </w:tc>
        <w:tc>
          <w:tcPr>
            <w:tcW w:w="1458" w:type="dxa"/>
            <w:vAlign w:val="top"/>
          </w:tcPr>
          <w:p w14:paraId="3650BD4A">
            <w:pPr>
              <w:rPr>
                <w:rFonts w:ascii="Arial"/>
                <w:sz w:val="21"/>
                <w:highlight w:val="none"/>
              </w:rPr>
            </w:pPr>
          </w:p>
        </w:tc>
        <w:tc>
          <w:tcPr>
            <w:tcW w:w="1249" w:type="dxa"/>
            <w:vAlign w:val="top"/>
          </w:tcPr>
          <w:p w14:paraId="42C588E2">
            <w:pPr>
              <w:rPr>
                <w:rFonts w:ascii="Arial"/>
                <w:sz w:val="21"/>
                <w:highlight w:val="none"/>
              </w:rPr>
            </w:pPr>
          </w:p>
        </w:tc>
        <w:tc>
          <w:tcPr>
            <w:tcW w:w="1438" w:type="dxa"/>
            <w:vAlign w:val="top"/>
          </w:tcPr>
          <w:p w14:paraId="03699916">
            <w:pPr>
              <w:rPr>
                <w:rFonts w:ascii="Arial"/>
                <w:sz w:val="21"/>
                <w:highlight w:val="none"/>
              </w:rPr>
            </w:pPr>
          </w:p>
        </w:tc>
        <w:tc>
          <w:tcPr>
            <w:tcW w:w="1673" w:type="dxa"/>
            <w:vAlign w:val="top"/>
          </w:tcPr>
          <w:p w14:paraId="59993A70">
            <w:pPr>
              <w:rPr>
                <w:rFonts w:ascii="Arial"/>
                <w:sz w:val="21"/>
                <w:highlight w:val="none"/>
              </w:rPr>
            </w:pPr>
          </w:p>
        </w:tc>
      </w:tr>
      <w:tr w14:paraId="7A8AD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2102" w:type="dxa"/>
            <w:vAlign w:val="top"/>
          </w:tcPr>
          <w:p w14:paraId="208681CE">
            <w:pPr>
              <w:rPr>
                <w:rFonts w:ascii="Arial"/>
                <w:sz w:val="21"/>
                <w:highlight w:val="none"/>
              </w:rPr>
            </w:pPr>
          </w:p>
        </w:tc>
        <w:tc>
          <w:tcPr>
            <w:tcW w:w="1269" w:type="dxa"/>
            <w:vAlign w:val="top"/>
          </w:tcPr>
          <w:p w14:paraId="23217391">
            <w:pPr>
              <w:rPr>
                <w:rFonts w:ascii="Arial"/>
                <w:sz w:val="21"/>
                <w:highlight w:val="none"/>
              </w:rPr>
            </w:pPr>
          </w:p>
        </w:tc>
        <w:tc>
          <w:tcPr>
            <w:tcW w:w="1458" w:type="dxa"/>
            <w:vAlign w:val="top"/>
          </w:tcPr>
          <w:p w14:paraId="594C53EC">
            <w:pPr>
              <w:rPr>
                <w:rFonts w:ascii="Arial"/>
                <w:sz w:val="21"/>
                <w:highlight w:val="none"/>
              </w:rPr>
            </w:pPr>
          </w:p>
        </w:tc>
        <w:tc>
          <w:tcPr>
            <w:tcW w:w="1249" w:type="dxa"/>
            <w:vAlign w:val="top"/>
          </w:tcPr>
          <w:p w14:paraId="3AC0B2AD">
            <w:pPr>
              <w:rPr>
                <w:rFonts w:ascii="Arial"/>
                <w:sz w:val="21"/>
                <w:highlight w:val="none"/>
              </w:rPr>
            </w:pPr>
          </w:p>
        </w:tc>
        <w:tc>
          <w:tcPr>
            <w:tcW w:w="1438" w:type="dxa"/>
            <w:vAlign w:val="top"/>
          </w:tcPr>
          <w:p w14:paraId="1A477AB2">
            <w:pPr>
              <w:rPr>
                <w:rFonts w:ascii="Arial"/>
                <w:sz w:val="21"/>
                <w:highlight w:val="none"/>
              </w:rPr>
            </w:pPr>
          </w:p>
        </w:tc>
        <w:tc>
          <w:tcPr>
            <w:tcW w:w="1673" w:type="dxa"/>
            <w:vAlign w:val="top"/>
          </w:tcPr>
          <w:p w14:paraId="5F585982">
            <w:pPr>
              <w:rPr>
                <w:rFonts w:ascii="Arial"/>
                <w:sz w:val="21"/>
                <w:highlight w:val="none"/>
              </w:rPr>
            </w:pPr>
          </w:p>
        </w:tc>
      </w:tr>
      <w:tr w14:paraId="79322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2102" w:type="dxa"/>
            <w:vAlign w:val="top"/>
          </w:tcPr>
          <w:p w14:paraId="4C2AEDB3">
            <w:pPr>
              <w:rPr>
                <w:rFonts w:ascii="Arial"/>
                <w:sz w:val="21"/>
                <w:highlight w:val="none"/>
              </w:rPr>
            </w:pPr>
          </w:p>
        </w:tc>
        <w:tc>
          <w:tcPr>
            <w:tcW w:w="1269" w:type="dxa"/>
            <w:vAlign w:val="top"/>
          </w:tcPr>
          <w:p w14:paraId="7A1F37C1">
            <w:pPr>
              <w:rPr>
                <w:rFonts w:ascii="Arial"/>
                <w:sz w:val="21"/>
                <w:highlight w:val="none"/>
              </w:rPr>
            </w:pPr>
          </w:p>
        </w:tc>
        <w:tc>
          <w:tcPr>
            <w:tcW w:w="1458" w:type="dxa"/>
            <w:vAlign w:val="top"/>
          </w:tcPr>
          <w:p w14:paraId="3EF25FCA">
            <w:pPr>
              <w:rPr>
                <w:rFonts w:ascii="Arial"/>
                <w:sz w:val="21"/>
                <w:highlight w:val="none"/>
              </w:rPr>
            </w:pPr>
          </w:p>
        </w:tc>
        <w:tc>
          <w:tcPr>
            <w:tcW w:w="1249" w:type="dxa"/>
            <w:vAlign w:val="top"/>
          </w:tcPr>
          <w:p w14:paraId="6874A378">
            <w:pPr>
              <w:rPr>
                <w:rFonts w:ascii="Arial"/>
                <w:sz w:val="21"/>
                <w:highlight w:val="none"/>
              </w:rPr>
            </w:pPr>
          </w:p>
        </w:tc>
        <w:tc>
          <w:tcPr>
            <w:tcW w:w="1438" w:type="dxa"/>
            <w:vAlign w:val="top"/>
          </w:tcPr>
          <w:p w14:paraId="4432541A">
            <w:pPr>
              <w:rPr>
                <w:rFonts w:ascii="Arial"/>
                <w:sz w:val="21"/>
                <w:highlight w:val="none"/>
              </w:rPr>
            </w:pPr>
          </w:p>
        </w:tc>
        <w:tc>
          <w:tcPr>
            <w:tcW w:w="1673" w:type="dxa"/>
            <w:vAlign w:val="top"/>
          </w:tcPr>
          <w:p w14:paraId="1F0A06BC">
            <w:pPr>
              <w:rPr>
                <w:rFonts w:ascii="Arial"/>
                <w:sz w:val="21"/>
                <w:highlight w:val="none"/>
              </w:rPr>
            </w:pPr>
          </w:p>
        </w:tc>
      </w:tr>
    </w:tbl>
    <w:p w14:paraId="2A3437C0">
      <w:pPr>
        <w:pStyle w:val="2"/>
        <w:rPr>
          <w:highlight w:val="none"/>
        </w:rPr>
      </w:pPr>
    </w:p>
    <w:p w14:paraId="13D3C693">
      <w:pPr>
        <w:rPr>
          <w:highlight w:val="none"/>
        </w:rPr>
        <w:sectPr>
          <w:footerReference r:id="rId167" w:type="default"/>
          <w:pgSz w:w="11910" w:h="16840"/>
          <w:pgMar w:top="400" w:right="1375" w:bottom="1217" w:left="1334" w:header="0" w:footer="1013" w:gutter="0"/>
          <w:cols w:space="720" w:num="1"/>
        </w:sectPr>
      </w:pPr>
    </w:p>
    <w:p w14:paraId="2C867FB3">
      <w:pPr>
        <w:pStyle w:val="2"/>
        <w:spacing w:line="315" w:lineRule="auto"/>
        <w:rPr>
          <w:highlight w:val="none"/>
        </w:rPr>
      </w:pPr>
    </w:p>
    <w:p w14:paraId="77C09634">
      <w:pPr>
        <w:pStyle w:val="2"/>
        <w:spacing w:line="316" w:lineRule="auto"/>
        <w:rPr>
          <w:highlight w:val="none"/>
        </w:rPr>
      </w:pPr>
    </w:p>
    <w:p w14:paraId="2D4F57F4">
      <w:pPr>
        <w:pStyle w:val="2"/>
        <w:spacing w:line="316" w:lineRule="auto"/>
        <w:rPr>
          <w:highlight w:val="none"/>
        </w:rPr>
      </w:pPr>
    </w:p>
    <w:p w14:paraId="49784129">
      <w:pPr>
        <w:spacing w:before="71" w:line="219" w:lineRule="auto"/>
        <w:ind w:left="3138"/>
        <w:outlineLvl w:val="1"/>
        <w:rPr>
          <w:rFonts w:ascii="宋体" w:hAnsi="宋体" w:eastAsia="宋体" w:cs="宋体"/>
          <w:sz w:val="22"/>
          <w:szCs w:val="22"/>
          <w:highlight w:val="none"/>
        </w:rPr>
      </w:pPr>
      <w:bookmarkStart w:id="156" w:name="bookmark92"/>
      <w:bookmarkEnd w:id="156"/>
      <w:r>
        <w:rPr>
          <w:rFonts w:ascii="宋体" w:hAnsi="宋体" w:eastAsia="宋体" w:cs="宋体"/>
          <w:b/>
          <w:bCs/>
          <w:spacing w:val="2"/>
          <w:sz w:val="22"/>
          <w:szCs w:val="22"/>
          <w:highlight w:val="none"/>
        </w:rPr>
        <w:t>附件5承包人主要管理人员表</w:t>
      </w:r>
    </w:p>
    <w:p w14:paraId="7251068E">
      <w:pPr>
        <w:spacing w:before="98"/>
        <w:rPr>
          <w:highlight w:val="none"/>
        </w:rPr>
      </w:pPr>
    </w:p>
    <w:tbl>
      <w:tblPr>
        <w:tblStyle w:val="5"/>
        <w:tblW w:w="90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03"/>
        <w:gridCol w:w="1408"/>
        <w:gridCol w:w="1129"/>
        <w:gridCol w:w="1129"/>
        <w:gridCol w:w="3900"/>
      </w:tblGrid>
      <w:tr w14:paraId="255E6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1503" w:type="dxa"/>
            <w:vAlign w:val="top"/>
          </w:tcPr>
          <w:p w14:paraId="61F25983">
            <w:pPr>
              <w:pStyle w:val="6"/>
              <w:spacing w:before="106" w:line="221" w:lineRule="auto"/>
              <w:ind w:left="424"/>
              <w:rPr>
                <w:highlight w:val="none"/>
              </w:rPr>
            </w:pPr>
            <w:r>
              <w:rPr>
                <w:spacing w:val="-6"/>
                <w:highlight w:val="none"/>
              </w:rPr>
              <w:t>名</w:t>
            </w:r>
            <w:r>
              <w:rPr>
                <w:spacing w:val="5"/>
                <w:highlight w:val="none"/>
              </w:rPr>
              <w:t xml:space="preserve">  </w:t>
            </w:r>
            <w:r>
              <w:rPr>
                <w:spacing w:val="-6"/>
                <w:highlight w:val="none"/>
              </w:rPr>
              <w:t>称</w:t>
            </w:r>
          </w:p>
        </w:tc>
        <w:tc>
          <w:tcPr>
            <w:tcW w:w="1408" w:type="dxa"/>
            <w:vAlign w:val="top"/>
          </w:tcPr>
          <w:p w14:paraId="34210160">
            <w:pPr>
              <w:pStyle w:val="6"/>
              <w:spacing w:before="103" w:line="219" w:lineRule="auto"/>
              <w:ind w:left="452"/>
              <w:rPr>
                <w:highlight w:val="none"/>
              </w:rPr>
            </w:pPr>
            <w:r>
              <w:rPr>
                <w:spacing w:val="13"/>
                <w:highlight w:val="none"/>
              </w:rPr>
              <w:t>姓名</w:t>
            </w:r>
          </w:p>
        </w:tc>
        <w:tc>
          <w:tcPr>
            <w:tcW w:w="1129" w:type="dxa"/>
            <w:vAlign w:val="top"/>
          </w:tcPr>
          <w:p w14:paraId="59BCAB21">
            <w:pPr>
              <w:pStyle w:val="6"/>
              <w:spacing w:before="103" w:line="219" w:lineRule="auto"/>
              <w:ind w:left="433"/>
              <w:rPr>
                <w:highlight w:val="none"/>
              </w:rPr>
            </w:pPr>
            <w:r>
              <w:rPr>
                <w:spacing w:val="-3"/>
                <w:highlight w:val="none"/>
              </w:rPr>
              <w:t>职务</w:t>
            </w:r>
          </w:p>
        </w:tc>
        <w:tc>
          <w:tcPr>
            <w:tcW w:w="1129" w:type="dxa"/>
            <w:vAlign w:val="top"/>
          </w:tcPr>
          <w:p w14:paraId="137320B8">
            <w:pPr>
              <w:pStyle w:val="6"/>
              <w:spacing w:before="106" w:line="221" w:lineRule="auto"/>
              <w:ind w:left="444"/>
              <w:rPr>
                <w:highlight w:val="none"/>
              </w:rPr>
            </w:pPr>
            <w:r>
              <w:rPr>
                <w:spacing w:val="-3"/>
                <w:highlight w:val="none"/>
              </w:rPr>
              <w:t>职称</w:t>
            </w:r>
          </w:p>
        </w:tc>
        <w:tc>
          <w:tcPr>
            <w:tcW w:w="3900" w:type="dxa"/>
            <w:vAlign w:val="top"/>
          </w:tcPr>
          <w:p w14:paraId="757C714C">
            <w:pPr>
              <w:pStyle w:val="6"/>
              <w:spacing w:before="103" w:line="219" w:lineRule="auto"/>
              <w:ind w:left="475"/>
              <w:rPr>
                <w:highlight w:val="none"/>
              </w:rPr>
            </w:pPr>
            <w:r>
              <w:rPr>
                <w:spacing w:val="2"/>
                <w:highlight w:val="none"/>
              </w:rPr>
              <w:t>主要资历、经验及承担过的项目</w:t>
            </w:r>
          </w:p>
        </w:tc>
      </w:tr>
      <w:tr w14:paraId="196AD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069" w:type="dxa"/>
            <w:gridSpan w:val="5"/>
            <w:vAlign w:val="top"/>
          </w:tcPr>
          <w:p w14:paraId="0D2B52A3">
            <w:pPr>
              <w:pStyle w:val="6"/>
              <w:spacing w:before="109" w:line="219" w:lineRule="auto"/>
              <w:ind w:left="444"/>
              <w:rPr>
                <w:highlight w:val="none"/>
              </w:rPr>
            </w:pPr>
            <w:r>
              <w:rPr>
                <w:highlight w:val="none"/>
              </w:rPr>
              <w:t>一、总部人员</w:t>
            </w:r>
          </w:p>
        </w:tc>
      </w:tr>
      <w:tr w14:paraId="485AC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03" w:type="dxa"/>
            <w:vAlign w:val="top"/>
          </w:tcPr>
          <w:p w14:paraId="4C49870C">
            <w:pPr>
              <w:pStyle w:val="6"/>
              <w:spacing w:before="99" w:line="219" w:lineRule="auto"/>
              <w:ind w:left="325"/>
              <w:rPr>
                <w:highlight w:val="none"/>
              </w:rPr>
            </w:pPr>
            <w:r>
              <w:rPr>
                <w:spacing w:val="2"/>
                <w:highlight w:val="none"/>
              </w:rPr>
              <w:t>项目主管</w:t>
            </w:r>
          </w:p>
        </w:tc>
        <w:tc>
          <w:tcPr>
            <w:tcW w:w="1408" w:type="dxa"/>
            <w:vAlign w:val="top"/>
          </w:tcPr>
          <w:p w14:paraId="40693517">
            <w:pPr>
              <w:rPr>
                <w:rFonts w:ascii="Arial"/>
                <w:sz w:val="21"/>
                <w:highlight w:val="none"/>
              </w:rPr>
            </w:pPr>
          </w:p>
        </w:tc>
        <w:tc>
          <w:tcPr>
            <w:tcW w:w="1129" w:type="dxa"/>
            <w:vAlign w:val="top"/>
          </w:tcPr>
          <w:p w14:paraId="0C37F43E">
            <w:pPr>
              <w:rPr>
                <w:rFonts w:ascii="Arial"/>
                <w:sz w:val="21"/>
                <w:highlight w:val="none"/>
              </w:rPr>
            </w:pPr>
          </w:p>
        </w:tc>
        <w:tc>
          <w:tcPr>
            <w:tcW w:w="1129" w:type="dxa"/>
            <w:vAlign w:val="top"/>
          </w:tcPr>
          <w:p w14:paraId="3FC92469">
            <w:pPr>
              <w:rPr>
                <w:rFonts w:ascii="Arial"/>
                <w:sz w:val="21"/>
                <w:highlight w:val="none"/>
              </w:rPr>
            </w:pPr>
          </w:p>
        </w:tc>
        <w:tc>
          <w:tcPr>
            <w:tcW w:w="3900" w:type="dxa"/>
            <w:vAlign w:val="top"/>
          </w:tcPr>
          <w:p w14:paraId="5510EC37">
            <w:pPr>
              <w:rPr>
                <w:rFonts w:ascii="Arial"/>
                <w:sz w:val="21"/>
                <w:highlight w:val="none"/>
              </w:rPr>
            </w:pPr>
          </w:p>
        </w:tc>
      </w:tr>
      <w:tr w14:paraId="62E6A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503" w:type="dxa"/>
            <w:vMerge w:val="restart"/>
            <w:tcBorders>
              <w:bottom w:val="nil"/>
            </w:tcBorders>
            <w:vAlign w:val="top"/>
          </w:tcPr>
          <w:p w14:paraId="092D9C94">
            <w:pPr>
              <w:spacing w:line="439" w:lineRule="auto"/>
              <w:rPr>
                <w:rFonts w:ascii="Arial"/>
                <w:sz w:val="21"/>
                <w:highlight w:val="none"/>
              </w:rPr>
            </w:pPr>
          </w:p>
          <w:p w14:paraId="7024EC97">
            <w:pPr>
              <w:pStyle w:val="6"/>
              <w:spacing w:before="68" w:line="220" w:lineRule="auto"/>
              <w:ind w:left="325"/>
              <w:rPr>
                <w:highlight w:val="none"/>
              </w:rPr>
            </w:pPr>
            <w:r>
              <w:rPr>
                <w:spacing w:val="7"/>
                <w:highlight w:val="none"/>
              </w:rPr>
              <w:t>其他人员</w:t>
            </w:r>
          </w:p>
        </w:tc>
        <w:tc>
          <w:tcPr>
            <w:tcW w:w="1408" w:type="dxa"/>
            <w:vAlign w:val="top"/>
          </w:tcPr>
          <w:p w14:paraId="3A6D1922">
            <w:pPr>
              <w:rPr>
                <w:rFonts w:ascii="Arial"/>
                <w:sz w:val="21"/>
                <w:highlight w:val="none"/>
              </w:rPr>
            </w:pPr>
          </w:p>
        </w:tc>
        <w:tc>
          <w:tcPr>
            <w:tcW w:w="1129" w:type="dxa"/>
            <w:vAlign w:val="top"/>
          </w:tcPr>
          <w:p w14:paraId="3F1F6F08">
            <w:pPr>
              <w:rPr>
                <w:rFonts w:ascii="Arial"/>
                <w:sz w:val="21"/>
                <w:highlight w:val="none"/>
              </w:rPr>
            </w:pPr>
          </w:p>
        </w:tc>
        <w:tc>
          <w:tcPr>
            <w:tcW w:w="1129" w:type="dxa"/>
            <w:vAlign w:val="top"/>
          </w:tcPr>
          <w:p w14:paraId="55925384">
            <w:pPr>
              <w:rPr>
                <w:rFonts w:ascii="Arial"/>
                <w:sz w:val="21"/>
                <w:highlight w:val="none"/>
              </w:rPr>
            </w:pPr>
          </w:p>
        </w:tc>
        <w:tc>
          <w:tcPr>
            <w:tcW w:w="3900" w:type="dxa"/>
            <w:vAlign w:val="top"/>
          </w:tcPr>
          <w:p w14:paraId="609B5026">
            <w:pPr>
              <w:rPr>
                <w:rFonts w:ascii="Arial"/>
                <w:sz w:val="21"/>
                <w:highlight w:val="none"/>
              </w:rPr>
            </w:pPr>
          </w:p>
        </w:tc>
      </w:tr>
      <w:tr w14:paraId="10E74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03" w:type="dxa"/>
            <w:vMerge w:val="continue"/>
            <w:tcBorders>
              <w:top w:val="nil"/>
              <w:bottom w:val="nil"/>
            </w:tcBorders>
            <w:vAlign w:val="top"/>
          </w:tcPr>
          <w:p w14:paraId="5E0AD5E7">
            <w:pPr>
              <w:rPr>
                <w:rFonts w:ascii="Arial"/>
                <w:sz w:val="21"/>
                <w:highlight w:val="none"/>
              </w:rPr>
            </w:pPr>
          </w:p>
        </w:tc>
        <w:tc>
          <w:tcPr>
            <w:tcW w:w="1408" w:type="dxa"/>
            <w:vAlign w:val="top"/>
          </w:tcPr>
          <w:p w14:paraId="792289D3">
            <w:pPr>
              <w:rPr>
                <w:rFonts w:ascii="Arial"/>
                <w:sz w:val="21"/>
                <w:highlight w:val="none"/>
              </w:rPr>
            </w:pPr>
          </w:p>
        </w:tc>
        <w:tc>
          <w:tcPr>
            <w:tcW w:w="1129" w:type="dxa"/>
            <w:vAlign w:val="top"/>
          </w:tcPr>
          <w:p w14:paraId="2114FEFD">
            <w:pPr>
              <w:rPr>
                <w:rFonts w:ascii="Arial"/>
                <w:sz w:val="21"/>
                <w:highlight w:val="none"/>
              </w:rPr>
            </w:pPr>
          </w:p>
        </w:tc>
        <w:tc>
          <w:tcPr>
            <w:tcW w:w="1129" w:type="dxa"/>
            <w:vAlign w:val="top"/>
          </w:tcPr>
          <w:p w14:paraId="2C584699">
            <w:pPr>
              <w:rPr>
                <w:rFonts w:ascii="Arial"/>
                <w:sz w:val="21"/>
                <w:highlight w:val="none"/>
              </w:rPr>
            </w:pPr>
          </w:p>
        </w:tc>
        <w:tc>
          <w:tcPr>
            <w:tcW w:w="3900" w:type="dxa"/>
            <w:vAlign w:val="top"/>
          </w:tcPr>
          <w:p w14:paraId="5C62351C">
            <w:pPr>
              <w:rPr>
                <w:rFonts w:ascii="Arial"/>
                <w:sz w:val="21"/>
                <w:highlight w:val="none"/>
              </w:rPr>
            </w:pPr>
          </w:p>
        </w:tc>
      </w:tr>
      <w:tr w14:paraId="4A214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503" w:type="dxa"/>
            <w:vMerge w:val="continue"/>
            <w:tcBorders>
              <w:top w:val="nil"/>
            </w:tcBorders>
            <w:vAlign w:val="top"/>
          </w:tcPr>
          <w:p w14:paraId="7DF71330">
            <w:pPr>
              <w:rPr>
                <w:rFonts w:ascii="Arial"/>
                <w:sz w:val="21"/>
                <w:highlight w:val="none"/>
              </w:rPr>
            </w:pPr>
          </w:p>
        </w:tc>
        <w:tc>
          <w:tcPr>
            <w:tcW w:w="1408" w:type="dxa"/>
            <w:vAlign w:val="top"/>
          </w:tcPr>
          <w:p w14:paraId="5C4FDFB6">
            <w:pPr>
              <w:rPr>
                <w:rFonts w:ascii="Arial"/>
                <w:sz w:val="21"/>
                <w:highlight w:val="none"/>
              </w:rPr>
            </w:pPr>
          </w:p>
        </w:tc>
        <w:tc>
          <w:tcPr>
            <w:tcW w:w="1129" w:type="dxa"/>
            <w:vAlign w:val="top"/>
          </w:tcPr>
          <w:p w14:paraId="38282CDD">
            <w:pPr>
              <w:rPr>
                <w:rFonts w:ascii="Arial"/>
                <w:sz w:val="21"/>
                <w:highlight w:val="none"/>
              </w:rPr>
            </w:pPr>
          </w:p>
        </w:tc>
        <w:tc>
          <w:tcPr>
            <w:tcW w:w="1129" w:type="dxa"/>
            <w:vAlign w:val="top"/>
          </w:tcPr>
          <w:p w14:paraId="2636CD7D">
            <w:pPr>
              <w:rPr>
                <w:rFonts w:ascii="Arial"/>
                <w:sz w:val="21"/>
                <w:highlight w:val="none"/>
              </w:rPr>
            </w:pPr>
          </w:p>
        </w:tc>
        <w:tc>
          <w:tcPr>
            <w:tcW w:w="3900" w:type="dxa"/>
            <w:vAlign w:val="top"/>
          </w:tcPr>
          <w:p w14:paraId="5990E38F">
            <w:pPr>
              <w:rPr>
                <w:rFonts w:ascii="Arial"/>
                <w:sz w:val="21"/>
                <w:highlight w:val="none"/>
              </w:rPr>
            </w:pPr>
          </w:p>
        </w:tc>
      </w:tr>
      <w:tr w14:paraId="21E4F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9" w:hRule="atLeast"/>
        </w:trPr>
        <w:tc>
          <w:tcPr>
            <w:tcW w:w="9069" w:type="dxa"/>
            <w:gridSpan w:val="5"/>
            <w:vAlign w:val="top"/>
          </w:tcPr>
          <w:p w14:paraId="020EB8BD">
            <w:pPr>
              <w:pStyle w:val="6"/>
              <w:spacing w:before="101" w:line="220" w:lineRule="auto"/>
              <w:ind w:left="444"/>
              <w:rPr>
                <w:highlight w:val="none"/>
              </w:rPr>
            </w:pPr>
            <w:r>
              <w:rPr>
                <w:spacing w:val="4"/>
                <w:highlight w:val="none"/>
              </w:rPr>
              <w:t>二、现场人员</w:t>
            </w:r>
          </w:p>
        </w:tc>
      </w:tr>
      <w:tr w14:paraId="19FC0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1503" w:type="dxa"/>
            <w:vAlign w:val="top"/>
          </w:tcPr>
          <w:p w14:paraId="3111ECDA">
            <w:pPr>
              <w:pStyle w:val="6"/>
              <w:spacing w:before="101" w:line="298" w:lineRule="auto"/>
              <w:ind w:left="324" w:right="218" w:hanging="110"/>
              <w:rPr>
                <w:highlight w:val="none"/>
              </w:rPr>
            </w:pPr>
            <w:r>
              <w:rPr>
                <w:spacing w:val="1"/>
                <w:highlight w:val="none"/>
              </w:rPr>
              <w:t>工程总承包</w:t>
            </w:r>
            <w:r>
              <w:rPr>
                <w:spacing w:val="3"/>
                <w:highlight w:val="none"/>
              </w:rPr>
              <w:t xml:space="preserve"> </w:t>
            </w:r>
            <w:r>
              <w:rPr>
                <w:spacing w:val="-3"/>
                <w:highlight w:val="none"/>
              </w:rPr>
              <w:t>项目经理</w:t>
            </w:r>
          </w:p>
        </w:tc>
        <w:tc>
          <w:tcPr>
            <w:tcW w:w="1408" w:type="dxa"/>
            <w:vAlign w:val="top"/>
          </w:tcPr>
          <w:p w14:paraId="39E8ACD5">
            <w:pPr>
              <w:rPr>
                <w:rFonts w:ascii="Arial"/>
                <w:sz w:val="21"/>
                <w:highlight w:val="none"/>
              </w:rPr>
            </w:pPr>
          </w:p>
        </w:tc>
        <w:tc>
          <w:tcPr>
            <w:tcW w:w="1129" w:type="dxa"/>
            <w:vAlign w:val="top"/>
          </w:tcPr>
          <w:p w14:paraId="550FAD80">
            <w:pPr>
              <w:rPr>
                <w:rFonts w:ascii="Arial"/>
                <w:sz w:val="21"/>
                <w:highlight w:val="none"/>
              </w:rPr>
            </w:pPr>
          </w:p>
        </w:tc>
        <w:tc>
          <w:tcPr>
            <w:tcW w:w="1129" w:type="dxa"/>
            <w:vAlign w:val="top"/>
          </w:tcPr>
          <w:p w14:paraId="7D29365F">
            <w:pPr>
              <w:rPr>
                <w:rFonts w:ascii="Arial"/>
                <w:sz w:val="21"/>
                <w:highlight w:val="none"/>
              </w:rPr>
            </w:pPr>
          </w:p>
        </w:tc>
        <w:tc>
          <w:tcPr>
            <w:tcW w:w="3900" w:type="dxa"/>
            <w:vAlign w:val="top"/>
          </w:tcPr>
          <w:p w14:paraId="0921BA5C">
            <w:pPr>
              <w:rPr>
                <w:rFonts w:ascii="Arial"/>
                <w:sz w:val="21"/>
                <w:highlight w:val="none"/>
              </w:rPr>
            </w:pPr>
          </w:p>
        </w:tc>
      </w:tr>
      <w:tr w14:paraId="4AAA3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503" w:type="dxa"/>
            <w:vAlign w:val="top"/>
          </w:tcPr>
          <w:p w14:paraId="0EB6F1B8">
            <w:pPr>
              <w:pStyle w:val="6"/>
              <w:spacing w:before="102" w:line="219" w:lineRule="auto"/>
              <w:ind w:left="214"/>
              <w:rPr>
                <w:highlight w:val="none"/>
              </w:rPr>
            </w:pPr>
            <w:r>
              <w:rPr>
                <w:spacing w:val="-2"/>
                <w:highlight w:val="none"/>
              </w:rPr>
              <w:t>项目副经理</w:t>
            </w:r>
          </w:p>
        </w:tc>
        <w:tc>
          <w:tcPr>
            <w:tcW w:w="1408" w:type="dxa"/>
            <w:vAlign w:val="top"/>
          </w:tcPr>
          <w:p w14:paraId="6449CF79">
            <w:pPr>
              <w:rPr>
                <w:rFonts w:ascii="Arial"/>
                <w:sz w:val="21"/>
                <w:highlight w:val="none"/>
              </w:rPr>
            </w:pPr>
          </w:p>
        </w:tc>
        <w:tc>
          <w:tcPr>
            <w:tcW w:w="1129" w:type="dxa"/>
            <w:vAlign w:val="top"/>
          </w:tcPr>
          <w:p w14:paraId="1198219C">
            <w:pPr>
              <w:rPr>
                <w:rFonts w:ascii="Arial"/>
                <w:sz w:val="21"/>
                <w:highlight w:val="none"/>
              </w:rPr>
            </w:pPr>
          </w:p>
        </w:tc>
        <w:tc>
          <w:tcPr>
            <w:tcW w:w="1129" w:type="dxa"/>
            <w:vAlign w:val="top"/>
          </w:tcPr>
          <w:p w14:paraId="754AC4D5">
            <w:pPr>
              <w:rPr>
                <w:rFonts w:ascii="Arial"/>
                <w:sz w:val="21"/>
                <w:highlight w:val="none"/>
              </w:rPr>
            </w:pPr>
          </w:p>
        </w:tc>
        <w:tc>
          <w:tcPr>
            <w:tcW w:w="3900" w:type="dxa"/>
            <w:vAlign w:val="top"/>
          </w:tcPr>
          <w:p w14:paraId="1B410DC9">
            <w:pPr>
              <w:rPr>
                <w:rFonts w:ascii="Arial"/>
                <w:sz w:val="21"/>
                <w:highlight w:val="none"/>
              </w:rPr>
            </w:pPr>
          </w:p>
        </w:tc>
      </w:tr>
      <w:tr w14:paraId="60457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503" w:type="dxa"/>
            <w:vAlign w:val="top"/>
          </w:tcPr>
          <w:p w14:paraId="7118626F">
            <w:pPr>
              <w:pStyle w:val="6"/>
              <w:spacing w:before="93" w:line="219" w:lineRule="auto"/>
              <w:ind w:left="214"/>
              <w:rPr>
                <w:highlight w:val="none"/>
              </w:rPr>
            </w:pPr>
            <w:r>
              <w:rPr>
                <w:spacing w:val="1"/>
                <w:highlight w:val="none"/>
              </w:rPr>
              <w:t>设计负责人</w:t>
            </w:r>
          </w:p>
        </w:tc>
        <w:tc>
          <w:tcPr>
            <w:tcW w:w="1408" w:type="dxa"/>
            <w:vAlign w:val="top"/>
          </w:tcPr>
          <w:p w14:paraId="6EA9E0D4">
            <w:pPr>
              <w:rPr>
                <w:rFonts w:ascii="Arial"/>
                <w:sz w:val="21"/>
                <w:highlight w:val="none"/>
              </w:rPr>
            </w:pPr>
          </w:p>
        </w:tc>
        <w:tc>
          <w:tcPr>
            <w:tcW w:w="1129" w:type="dxa"/>
            <w:vAlign w:val="top"/>
          </w:tcPr>
          <w:p w14:paraId="66891C4D">
            <w:pPr>
              <w:rPr>
                <w:rFonts w:ascii="Arial"/>
                <w:sz w:val="21"/>
                <w:highlight w:val="none"/>
              </w:rPr>
            </w:pPr>
          </w:p>
        </w:tc>
        <w:tc>
          <w:tcPr>
            <w:tcW w:w="1129" w:type="dxa"/>
            <w:vAlign w:val="top"/>
          </w:tcPr>
          <w:p w14:paraId="28E3069E">
            <w:pPr>
              <w:rPr>
                <w:rFonts w:ascii="Arial"/>
                <w:sz w:val="21"/>
                <w:highlight w:val="none"/>
              </w:rPr>
            </w:pPr>
          </w:p>
        </w:tc>
        <w:tc>
          <w:tcPr>
            <w:tcW w:w="3900" w:type="dxa"/>
            <w:vAlign w:val="top"/>
          </w:tcPr>
          <w:p w14:paraId="41337363">
            <w:pPr>
              <w:rPr>
                <w:rFonts w:ascii="Arial"/>
                <w:sz w:val="21"/>
                <w:highlight w:val="none"/>
              </w:rPr>
            </w:pPr>
          </w:p>
        </w:tc>
      </w:tr>
      <w:tr w14:paraId="5F35B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03" w:type="dxa"/>
            <w:vAlign w:val="top"/>
          </w:tcPr>
          <w:p w14:paraId="55599EA8">
            <w:pPr>
              <w:pStyle w:val="6"/>
              <w:spacing w:before="102" w:line="219" w:lineRule="auto"/>
              <w:ind w:left="214"/>
              <w:rPr>
                <w:highlight w:val="none"/>
              </w:rPr>
            </w:pPr>
            <w:r>
              <w:rPr>
                <w:spacing w:val="-2"/>
                <w:highlight w:val="none"/>
              </w:rPr>
              <w:t>采购负责人</w:t>
            </w:r>
          </w:p>
        </w:tc>
        <w:tc>
          <w:tcPr>
            <w:tcW w:w="1408" w:type="dxa"/>
            <w:vAlign w:val="top"/>
          </w:tcPr>
          <w:p w14:paraId="281D9D88">
            <w:pPr>
              <w:rPr>
                <w:rFonts w:ascii="Arial"/>
                <w:sz w:val="21"/>
                <w:highlight w:val="none"/>
              </w:rPr>
            </w:pPr>
          </w:p>
        </w:tc>
        <w:tc>
          <w:tcPr>
            <w:tcW w:w="1129" w:type="dxa"/>
            <w:vAlign w:val="top"/>
          </w:tcPr>
          <w:p w14:paraId="762AC7B8">
            <w:pPr>
              <w:rPr>
                <w:rFonts w:ascii="Arial"/>
                <w:sz w:val="21"/>
                <w:highlight w:val="none"/>
              </w:rPr>
            </w:pPr>
          </w:p>
        </w:tc>
        <w:tc>
          <w:tcPr>
            <w:tcW w:w="1129" w:type="dxa"/>
            <w:vAlign w:val="top"/>
          </w:tcPr>
          <w:p w14:paraId="73C6B205">
            <w:pPr>
              <w:rPr>
                <w:rFonts w:ascii="Arial"/>
                <w:sz w:val="21"/>
                <w:highlight w:val="none"/>
              </w:rPr>
            </w:pPr>
          </w:p>
        </w:tc>
        <w:tc>
          <w:tcPr>
            <w:tcW w:w="3900" w:type="dxa"/>
            <w:vAlign w:val="top"/>
          </w:tcPr>
          <w:p w14:paraId="61A6C55B">
            <w:pPr>
              <w:rPr>
                <w:rFonts w:ascii="Arial"/>
                <w:sz w:val="21"/>
                <w:highlight w:val="none"/>
              </w:rPr>
            </w:pPr>
          </w:p>
        </w:tc>
      </w:tr>
      <w:tr w14:paraId="17AFB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503" w:type="dxa"/>
            <w:vAlign w:val="top"/>
          </w:tcPr>
          <w:p w14:paraId="4C4D1A4D">
            <w:pPr>
              <w:pStyle w:val="6"/>
              <w:spacing w:before="103" w:line="219" w:lineRule="auto"/>
              <w:ind w:left="214"/>
              <w:rPr>
                <w:highlight w:val="none"/>
              </w:rPr>
            </w:pPr>
            <w:r>
              <w:rPr>
                <w:spacing w:val="-2"/>
                <w:highlight w:val="none"/>
              </w:rPr>
              <w:t>施工负责人</w:t>
            </w:r>
          </w:p>
        </w:tc>
        <w:tc>
          <w:tcPr>
            <w:tcW w:w="1408" w:type="dxa"/>
            <w:vAlign w:val="top"/>
          </w:tcPr>
          <w:p w14:paraId="5B13D308">
            <w:pPr>
              <w:rPr>
                <w:rFonts w:ascii="Arial"/>
                <w:sz w:val="21"/>
                <w:highlight w:val="none"/>
              </w:rPr>
            </w:pPr>
          </w:p>
        </w:tc>
        <w:tc>
          <w:tcPr>
            <w:tcW w:w="1129" w:type="dxa"/>
            <w:vAlign w:val="top"/>
          </w:tcPr>
          <w:p w14:paraId="22B0E6C8">
            <w:pPr>
              <w:rPr>
                <w:rFonts w:ascii="Arial"/>
                <w:sz w:val="21"/>
                <w:highlight w:val="none"/>
              </w:rPr>
            </w:pPr>
          </w:p>
        </w:tc>
        <w:tc>
          <w:tcPr>
            <w:tcW w:w="1129" w:type="dxa"/>
            <w:vAlign w:val="top"/>
          </w:tcPr>
          <w:p w14:paraId="18E1ED44">
            <w:pPr>
              <w:rPr>
                <w:rFonts w:ascii="Arial"/>
                <w:sz w:val="21"/>
                <w:highlight w:val="none"/>
              </w:rPr>
            </w:pPr>
          </w:p>
        </w:tc>
        <w:tc>
          <w:tcPr>
            <w:tcW w:w="3900" w:type="dxa"/>
            <w:vAlign w:val="top"/>
          </w:tcPr>
          <w:p w14:paraId="5B5D00D2">
            <w:pPr>
              <w:rPr>
                <w:rFonts w:ascii="Arial"/>
                <w:sz w:val="21"/>
                <w:highlight w:val="none"/>
              </w:rPr>
            </w:pPr>
          </w:p>
        </w:tc>
      </w:tr>
      <w:tr w14:paraId="29517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03" w:type="dxa"/>
            <w:vAlign w:val="top"/>
          </w:tcPr>
          <w:p w14:paraId="4F46D584">
            <w:pPr>
              <w:pStyle w:val="6"/>
              <w:spacing w:before="104" w:line="219" w:lineRule="auto"/>
              <w:ind w:left="214"/>
              <w:rPr>
                <w:highlight w:val="none"/>
              </w:rPr>
            </w:pPr>
            <w:r>
              <w:rPr>
                <w:spacing w:val="-2"/>
                <w:highlight w:val="none"/>
              </w:rPr>
              <w:t>技术负责人</w:t>
            </w:r>
          </w:p>
        </w:tc>
        <w:tc>
          <w:tcPr>
            <w:tcW w:w="1408" w:type="dxa"/>
            <w:vAlign w:val="top"/>
          </w:tcPr>
          <w:p w14:paraId="18298D6C">
            <w:pPr>
              <w:rPr>
                <w:rFonts w:ascii="Arial"/>
                <w:sz w:val="21"/>
                <w:highlight w:val="none"/>
              </w:rPr>
            </w:pPr>
          </w:p>
        </w:tc>
        <w:tc>
          <w:tcPr>
            <w:tcW w:w="1129" w:type="dxa"/>
            <w:vAlign w:val="top"/>
          </w:tcPr>
          <w:p w14:paraId="1F515166">
            <w:pPr>
              <w:rPr>
                <w:rFonts w:ascii="Arial"/>
                <w:sz w:val="21"/>
                <w:highlight w:val="none"/>
              </w:rPr>
            </w:pPr>
          </w:p>
        </w:tc>
        <w:tc>
          <w:tcPr>
            <w:tcW w:w="1129" w:type="dxa"/>
            <w:vAlign w:val="top"/>
          </w:tcPr>
          <w:p w14:paraId="3710E0B0">
            <w:pPr>
              <w:rPr>
                <w:rFonts w:ascii="Arial"/>
                <w:sz w:val="21"/>
                <w:highlight w:val="none"/>
              </w:rPr>
            </w:pPr>
          </w:p>
        </w:tc>
        <w:tc>
          <w:tcPr>
            <w:tcW w:w="3900" w:type="dxa"/>
            <w:vAlign w:val="top"/>
          </w:tcPr>
          <w:p w14:paraId="5BF570A4">
            <w:pPr>
              <w:rPr>
                <w:rFonts w:ascii="Arial"/>
                <w:sz w:val="21"/>
                <w:highlight w:val="none"/>
              </w:rPr>
            </w:pPr>
          </w:p>
        </w:tc>
      </w:tr>
      <w:tr w14:paraId="2BCF3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503" w:type="dxa"/>
            <w:vAlign w:val="top"/>
          </w:tcPr>
          <w:p w14:paraId="3EDDB16D">
            <w:pPr>
              <w:pStyle w:val="6"/>
              <w:spacing w:before="102" w:line="218" w:lineRule="auto"/>
              <w:ind w:left="325"/>
              <w:rPr>
                <w:highlight w:val="none"/>
              </w:rPr>
            </w:pPr>
            <w:r>
              <w:rPr>
                <w:spacing w:val="-2"/>
                <w:highlight w:val="none"/>
              </w:rPr>
              <w:t>造价管理</w:t>
            </w:r>
          </w:p>
        </w:tc>
        <w:tc>
          <w:tcPr>
            <w:tcW w:w="1408" w:type="dxa"/>
            <w:vAlign w:val="top"/>
          </w:tcPr>
          <w:p w14:paraId="3054EB9A">
            <w:pPr>
              <w:rPr>
                <w:rFonts w:ascii="Arial"/>
                <w:sz w:val="21"/>
                <w:highlight w:val="none"/>
              </w:rPr>
            </w:pPr>
          </w:p>
        </w:tc>
        <w:tc>
          <w:tcPr>
            <w:tcW w:w="1129" w:type="dxa"/>
            <w:vAlign w:val="top"/>
          </w:tcPr>
          <w:p w14:paraId="35D3735B">
            <w:pPr>
              <w:rPr>
                <w:rFonts w:ascii="Arial"/>
                <w:sz w:val="21"/>
                <w:highlight w:val="none"/>
              </w:rPr>
            </w:pPr>
          </w:p>
        </w:tc>
        <w:tc>
          <w:tcPr>
            <w:tcW w:w="1129" w:type="dxa"/>
            <w:vAlign w:val="top"/>
          </w:tcPr>
          <w:p w14:paraId="0EF81994">
            <w:pPr>
              <w:rPr>
                <w:rFonts w:ascii="Arial"/>
                <w:sz w:val="21"/>
                <w:highlight w:val="none"/>
              </w:rPr>
            </w:pPr>
          </w:p>
        </w:tc>
        <w:tc>
          <w:tcPr>
            <w:tcW w:w="3900" w:type="dxa"/>
            <w:vAlign w:val="top"/>
          </w:tcPr>
          <w:p w14:paraId="6D5F2BBE">
            <w:pPr>
              <w:rPr>
                <w:rFonts w:ascii="Arial"/>
                <w:sz w:val="21"/>
                <w:highlight w:val="none"/>
              </w:rPr>
            </w:pPr>
          </w:p>
        </w:tc>
      </w:tr>
      <w:tr w14:paraId="38C49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03" w:type="dxa"/>
            <w:vAlign w:val="top"/>
          </w:tcPr>
          <w:p w14:paraId="7DEA7622">
            <w:pPr>
              <w:pStyle w:val="6"/>
              <w:spacing w:before="105" w:line="219" w:lineRule="auto"/>
              <w:ind w:left="325"/>
              <w:rPr>
                <w:highlight w:val="none"/>
              </w:rPr>
            </w:pPr>
            <w:r>
              <w:rPr>
                <w:spacing w:val="-2"/>
                <w:highlight w:val="none"/>
              </w:rPr>
              <w:t>质量管理</w:t>
            </w:r>
          </w:p>
        </w:tc>
        <w:tc>
          <w:tcPr>
            <w:tcW w:w="1408" w:type="dxa"/>
            <w:vAlign w:val="top"/>
          </w:tcPr>
          <w:p w14:paraId="6DFAAF7F">
            <w:pPr>
              <w:rPr>
                <w:rFonts w:ascii="Arial"/>
                <w:sz w:val="21"/>
                <w:highlight w:val="none"/>
              </w:rPr>
            </w:pPr>
          </w:p>
        </w:tc>
        <w:tc>
          <w:tcPr>
            <w:tcW w:w="1129" w:type="dxa"/>
            <w:vAlign w:val="top"/>
          </w:tcPr>
          <w:p w14:paraId="38DDE983">
            <w:pPr>
              <w:rPr>
                <w:rFonts w:ascii="Arial"/>
                <w:sz w:val="21"/>
                <w:highlight w:val="none"/>
              </w:rPr>
            </w:pPr>
          </w:p>
        </w:tc>
        <w:tc>
          <w:tcPr>
            <w:tcW w:w="1129" w:type="dxa"/>
            <w:vAlign w:val="top"/>
          </w:tcPr>
          <w:p w14:paraId="4D5A2654">
            <w:pPr>
              <w:rPr>
                <w:rFonts w:ascii="Arial"/>
                <w:sz w:val="21"/>
                <w:highlight w:val="none"/>
              </w:rPr>
            </w:pPr>
          </w:p>
        </w:tc>
        <w:tc>
          <w:tcPr>
            <w:tcW w:w="3900" w:type="dxa"/>
            <w:vAlign w:val="top"/>
          </w:tcPr>
          <w:p w14:paraId="1D076C48">
            <w:pPr>
              <w:rPr>
                <w:rFonts w:ascii="Arial"/>
                <w:sz w:val="21"/>
                <w:highlight w:val="none"/>
              </w:rPr>
            </w:pPr>
          </w:p>
        </w:tc>
      </w:tr>
      <w:tr w14:paraId="3A71F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503" w:type="dxa"/>
            <w:vAlign w:val="top"/>
          </w:tcPr>
          <w:p w14:paraId="646E09D6">
            <w:pPr>
              <w:pStyle w:val="6"/>
              <w:spacing w:before="105" w:line="219" w:lineRule="auto"/>
              <w:ind w:left="325"/>
              <w:rPr>
                <w:highlight w:val="none"/>
              </w:rPr>
            </w:pPr>
            <w:r>
              <w:rPr>
                <w:spacing w:val="-2"/>
                <w:highlight w:val="none"/>
              </w:rPr>
              <w:t>计划管理</w:t>
            </w:r>
          </w:p>
        </w:tc>
        <w:tc>
          <w:tcPr>
            <w:tcW w:w="1408" w:type="dxa"/>
            <w:vAlign w:val="top"/>
          </w:tcPr>
          <w:p w14:paraId="6AE9CAAF">
            <w:pPr>
              <w:rPr>
                <w:rFonts w:ascii="Arial"/>
                <w:sz w:val="21"/>
                <w:highlight w:val="none"/>
              </w:rPr>
            </w:pPr>
          </w:p>
        </w:tc>
        <w:tc>
          <w:tcPr>
            <w:tcW w:w="1129" w:type="dxa"/>
            <w:vAlign w:val="top"/>
          </w:tcPr>
          <w:p w14:paraId="7A4BB229">
            <w:pPr>
              <w:rPr>
                <w:rFonts w:ascii="Arial"/>
                <w:sz w:val="21"/>
                <w:highlight w:val="none"/>
              </w:rPr>
            </w:pPr>
          </w:p>
        </w:tc>
        <w:tc>
          <w:tcPr>
            <w:tcW w:w="1129" w:type="dxa"/>
            <w:vAlign w:val="top"/>
          </w:tcPr>
          <w:p w14:paraId="256F19BB">
            <w:pPr>
              <w:rPr>
                <w:rFonts w:ascii="Arial"/>
                <w:sz w:val="21"/>
                <w:highlight w:val="none"/>
              </w:rPr>
            </w:pPr>
          </w:p>
        </w:tc>
        <w:tc>
          <w:tcPr>
            <w:tcW w:w="3900" w:type="dxa"/>
            <w:vAlign w:val="top"/>
          </w:tcPr>
          <w:p w14:paraId="470B863C">
            <w:pPr>
              <w:rPr>
                <w:rFonts w:ascii="Arial"/>
                <w:sz w:val="21"/>
                <w:highlight w:val="none"/>
              </w:rPr>
            </w:pPr>
          </w:p>
        </w:tc>
      </w:tr>
      <w:tr w14:paraId="7A3C9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503" w:type="dxa"/>
            <w:vAlign w:val="top"/>
          </w:tcPr>
          <w:p w14:paraId="466557FA">
            <w:pPr>
              <w:pStyle w:val="6"/>
              <w:spacing w:before="96" w:line="219" w:lineRule="auto"/>
              <w:ind w:left="325"/>
              <w:rPr>
                <w:highlight w:val="none"/>
              </w:rPr>
            </w:pPr>
            <w:r>
              <w:rPr>
                <w:spacing w:val="-3"/>
                <w:highlight w:val="none"/>
              </w:rPr>
              <w:t>安全管理</w:t>
            </w:r>
          </w:p>
        </w:tc>
        <w:tc>
          <w:tcPr>
            <w:tcW w:w="1408" w:type="dxa"/>
            <w:vAlign w:val="top"/>
          </w:tcPr>
          <w:p w14:paraId="46735667">
            <w:pPr>
              <w:rPr>
                <w:rFonts w:ascii="Arial"/>
                <w:sz w:val="21"/>
                <w:highlight w:val="none"/>
              </w:rPr>
            </w:pPr>
          </w:p>
        </w:tc>
        <w:tc>
          <w:tcPr>
            <w:tcW w:w="1129" w:type="dxa"/>
            <w:vAlign w:val="top"/>
          </w:tcPr>
          <w:p w14:paraId="76174D56">
            <w:pPr>
              <w:rPr>
                <w:rFonts w:ascii="Arial"/>
                <w:sz w:val="21"/>
                <w:highlight w:val="none"/>
              </w:rPr>
            </w:pPr>
          </w:p>
        </w:tc>
        <w:tc>
          <w:tcPr>
            <w:tcW w:w="1129" w:type="dxa"/>
            <w:vAlign w:val="top"/>
          </w:tcPr>
          <w:p w14:paraId="1BD26307">
            <w:pPr>
              <w:rPr>
                <w:rFonts w:ascii="Arial"/>
                <w:sz w:val="21"/>
                <w:highlight w:val="none"/>
              </w:rPr>
            </w:pPr>
          </w:p>
        </w:tc>
        <w:tc>
          <w:tcPr>
            <w:tcW w:w="3900" w:type="dxa"/>
            <w:vAlign w:val="top"/>
          </w:tcPr>
          <w:p w14:paraId="4E2F2942">
            <w:pPr>
              <w:rPr>
                <w:rFonts w:ascii="Arial"/>
                <w:sz w:val="21"/>
                <w:highlight w:val="none"/>
              </w:rPr>
            </w:pPr>
          </w:p>
        </w:tc>
      </w:tr>
      <w:tr w14:paraId="5A0A3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03" w:type="dxa"/>
            <w:vAlign w:val="top"/>
          </w:tcPr>
          <w:p w14:paraId="67F13182">
            <w:pPr>
              <w:pStyle w:val="6"/>
              <w:spacing w:before="106" w:line="219" w:lineRule="auto"/>
              <w:ind w:left="325"/>
              <w:rPr>
                <w:highlight w:val="none"/>
              </w:rPr>
            </w:pPr>
            <w:r>
              <w:rPr>
                <w:spacing w:val="-2"/>
                <w:highlight w:val="none"/>
              </w:rPr>
              <w:t>环境管理</w:t>
            </w:r>
          </w:p>
        </w:tc>
        <w:tc>
          <w:tcPr>
            <w:tcW w:w="1408" w:type="dxa"/>
            <w:vAlign w:val="top"/>
          </w:tcPr>
          <w:p w14:paraId="7EEE641C">
            <w:pPr>
              <w:rPr>
                <w:rFonts w:ascii="Arial"/>
                <w:sz w:val="21"/>
                <w:highlight w:val="none"/>
              </w:rPr>
            </w:pPr>
          </w:p>
        </w:tc>
        <w:tc>
          <w:tcPr>
            <w:tcW w:w="1129" w:type="dxa"/>
            <w:vAlign w:val="top"/>
          </w:tcPr>
          <w:p w14:paraId="510326BD">
            <w:pPr>
              <w:rPr>
                <w:rFonts w:ascii="Arial"/>
                <w:sz w:val="21"/>
                <w:highlight w:val="none"/>
              </w:rPr>
            </w:pPr>
          </w:p>
        </w:tc>
        <w:tc>
          <w:tcPr>
            <w:tcW w:w="1129" w:type="dxa"/>
            <w:vAlign w:val="top"/>
          </w:tcPr>
          <w:p w14:paraId="1AA95FFF">
            <w:pPr>
              <w:rPr>
                <w:rFonts w:ascii="Arial"/>
                <w:sz w:val="21"/>
                <w:highlight w:val="none"/>
              </w:rPr>
            </w:pPr>
          </w:p>
        </w:tc>
        <w:tc>
          <w:tcPr>
            <w:tcW w:w="3900" w:type="dxa"/>
            <w:vAlign w:val="top"/>
          </w:tcPr>
          <w:p w14:paraId="04228EF2">
            <w:pPr>
              <w:rPr>
                <w:rFonts w:ascii="Arial"/>
                <w:sz w:val="21"/>
                <w:highlight w:val="none"/>
              </w:rPr>
            </w:pPr>
          </w:p>
        </w:tc>
      </w:tr>
      <w:tr w14:paraId="24359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03" w:type="dxa"/>
            <w:vMerge w:val="restart"/>
            <w:tcBorders>
              <w:bottom w:val="nil"/>
            </w:tcBorders>
            <w:vAlign w:val="top"/>
          </w:tcPr>
          <w:p w14:paraId="300E2B32">
            <w:pPr>
              <w:spacing w:line="283" w:lineRule="auto"/>
              <w:rPr>
                <w:rFonts w:ascii="Arial"/>
                <w:sz w:val="21"/>
                <w:highlight w:val="none"/>
              </w:rPr>
            </w:pPr>
          </w:p>
          <w:p w14:paraId="52FB862D">
            <w:pPr>
              <w:spacing w:line="283" w:lineRule="auto"/>
              <w:rPr>
                <w:rFonts w:ascii="Arial"/>
                <w:sz w:val="21"/>
                <w:highlight w:val="none"/>
              </w:rPr>
            </w:pPr>
          </w:p>
          <w:p w14:paraId="61720B8A">
            <w:pPr>
              <w:spacing w:line="283" w:lineRule="auto"/>
              <w:rPr>
                <w:rFonts w:ascii="Arial"/>
                <w:sz w:val="21"/>
                <w:highlight w:val="none"/>
              </w:rPr>
            </w:pPr>
          </w:p>
          <w:p w14:paraId="18D529B2">
            <w:pPr>
              <w:spacing w:line="283" w:lineRule="auto"/>
              <w:rPr>
                <w:rFonts w:ascii="Arial"/>
                <w:sz w:val="21"/>
                <w:highlight w:val="none"/>
              </w:rPr>
            </w:pPr>
          </w:p>
          <w:p w14:paraId="573B4E54">
            <w:pPr>
              <w:pStyle w:val="6"/>
              <w:spacing w:before="68" w:line="220" w:lineRule="auto"/>
              <w:ind w:left="325"/>
              <w:rPr>
                <w:highlight w:val="none"/>
              </w:rPr>
            </w:pPr>
            <w:r>
              <w:rPr>
                <w:spacing w:val="7"/>
                <w:highlight w:val="none"/>
              </w:rPr>
              <w:t>其他人员</w:t>
            </w:r>
          </w:p>
        </w:tc>
        <w:tc>
          <w:tcPr>
            <w:tcW w:w="1408" w:type="dxa"/>
            <w:vAlign w:val="top"/>
          </w:tcPr>
          <w:p w14:paraId="00DD2E1F">
            <w:pPr>
              <w:rPr>
                <w:rFonts w:ascii="Arial"/>
                <w:sz w:val="21"/>
                <w:highlight w:val="none"/>
              </w:rPr>
            </w:pPr>
          </w:p>
        </w:tc>
        <w:tc>
          <w:tcPr>
            <w:tcW w:w="1129" w:type="dxa"/>
            <w:vAlign w:val="top"/>
          </w:tcPr>
          <w:p w14:paraId="414604D6">
            <w:pPr>
              <w:rPr>
                <w:rFonts w:ascii="Arial"/>
                <w:sz w:val="21"/>
                <w:highlight w:val="none"/>
              </w:rPr>
            </w:pPr>
          </w:p>
        </w:tc>
        <w:tc>
          <w:tcPr>
            <w:tcW w:w="1129" w:type="dxa"/>
            <w:vAlign w:val="top"/>
          </w:tcPr>
          <w:p w14:paraId="325D76E9">
            <w:pPr>
              <w:rPr>
                <w:rFonts w:ascii="Arial"/>
                <w:sz w:val="21"/>
                <w:highlight w:val="none"/>
              </w:rPr>
            </w:pPr>
          </w:p>
        </w:tc>
        <w:tc>
          <w:tcPr>
            <w:tcW w:w="3900" w:type="dxa"/>
            <w:vAlign w:val="top"/>
          </w:tcPr>
          <w:p w14:paraId="49F701F7">
            <w:pPr>
              <w:rPr>
                <w:rFonts w:ascii="Arial"/>
                <w:sz w:val="21"/>
                <w:highlight w:val="none"/>
              </w:rPr>
            </w:pPr>
          </w:p>
        </w:tc>
      </w:tr>
      <w:tr w14:paraId="48AA5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503" w:type="dxa"/>
            <w:vMerge w:val="continue"/>
            <w:tcBorders>
              <w:top w:val="nil"/>
              <w:bottom w:val="nil"/>
            </w:tcBorders>
            <w:vAlign w:val="top"/>
          </w:tcPr>
          <w:p w14:paraId="14D3B635">
            <w:pPr>
              <w:rPr>
                <w:rFonts w:ascii="Arial"/>
                <w:sz w:val="21"/>
                <w:highlight w:val="none"/>
              </w:rPr>
            </w:pPr>
          </w:p>
        </w:tc>
        <w:tc>
          <w:tcPr>
            <w:tcW w:w="1408" w:type="dxa"/>
            <w:vAlign w:val="top"/>
          </w:tcPr>
          <w:p w14:paraId="69183BDA">
            <w:pPr>
              <w:rPr>
                <w:rFonts w:ascii="Arial"/>
                <w:sz w:val="21"/>
                <w:highlight w:val="none"/>
              </w:rPr>
            </w:pPr>
          </w:p>
        </w:tc>
        <w:tc>
          <w:tcPr>
            <w:tcW w:w="1129" w:type="dxa"/>
            <w:vAlign w:val="top"/>
          </w:tcPr>
          <w:p w14:paraId="5620E064">
            <w:pPr>
              <w:rPr>
                <w:rFonts w:ascii="Arial"/>
                <w:sz w:val="21"/>
                <w:highlight w:val="none"/>
              </w:rPr>
            </w:pPr>
          </w:p>
        </w:tc>
        <w:tc>
          <w:tcPr>
            <w:tcW w:w="1129" w:type="dxa"/>
            <w:vAlign w:val="top"/>
          </w:tcPr>
          <w:p w14:paraId="0D4D7EAD">
            <w:pPr>
              <w:rPr>
                <w:rFonts w:ascii="Arial"/>
                <w:sz w:val="21"/>
                <w:highlight w:val="none"/>
              </w:rPr>
            </w:pPr>
          </w:p>
        </w:tc>
        <w:tc>
          <w:tcPr>
            <w:tcW w:w="3900" w:type="dxa"/>
            <w:vAlign w:val="top"/>
          </w:tcPr>
          <w:p w14:paraId="1A99BB77">
            <w:pPr>
              <w:rPr>
                <w:rFonts w:ascii="Arial"/>
                <w:sz w:val="21"/>
                <w:highlight w:val="none"/>
              </w:rPr>
            </w:pPr>
          </w:p>
        </w:tc>
      </w:tr>
      <w:tr w14:paraId="1187E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0" w:hRule="atLeast"/>
        </w:trPr>
        <w:tc>
          <w:tcPr>
            <w:tcW w:w="1503" w:type="dxa"/>
            <w:vMerge w:val="continue"/>
            <w:tcBorders>
              <w:top w:val="nil"/>
              <w:bottom w:val="nil"/>
            </w:tcBorders>
            <w:vAlign w:val="top"/>
          </w:tcPr>
          <w:p w14:paraId="181A9372">
            <w:pPr>
              <w:rPr>
                <w:rFonts w:ascii="Arial"/>
                <w:sz w:val="21"/>
                <w:highlight w:val="none"/>
              </w:rPr>
            </w:pPr>
          </w:p>
        </w:tc>
        <w:tc>
          <w:tcPr>
            <w:tcW w:w="1408" w:type="dxa"/>
            <w:vAlign w:val="top"/>
          </w:tcPr>
          <w:p w14:paraId="2478FF62">
            <w:pPr>
              <w:rPr>
                <w:rFonts w:ascii="Arial"/>
                <w:sz w:val="21"/>
                <w:highlight w:val="none"/>
              </w:rPr>
            </w:pPr>
          </w:p>
        </w:tc>
        <w:tc>
          <w:tcPr>
            <w:tcW w:w="1129" w:type="dxa"/>
            <w:vAlign w:val="top"/>
          </w:tcPr>
          <w:p w14:paraId="79472813">
            <w:pPr>
              <w:rPr>
                <w:rFonts w:ascii="Arial"/>
                <w:sz w:val="21"/>
                <w:highlight w:val="none"/>
              </w:rPr>
            </w:pPr>
          </w:p>
        </w:tc>
        <w:tc>
          <w:tcPr>
            <w:tcW w:w="1129" w:type="dxa"/>
            <w:vAlign w:val="top"/>
          </w:tcPr>
          <w:p w14:paraId="2293ED81">
            <w:pPr>
              <w:rPr>
                <w:rFonts w:ascii="Arial"/>
                <w:sz w:val="21"/>
                <w:highlight w:val="none"/>
              </w:rPr>
            </w:pPr>
          </w:p>
        </w:tc>
        <w:tc>
          <w:tcPr>
            <w:tcW w:w="3900" w:type="dxa"/>
            <w:vAlign w:val="top"/>
          </w:tcPr>
          <w:p w14:paraId="6CB10279">
            <w:pPr>
              <w:rPr>
                <w:rFonts w:ascii="Arial"/>
                <w:sz w:val="21"/>
                <w:highlight w:val="none"/>
              </w:rPr>
            </w:pPr>
          </w:p>
        </w:tc>
      </w:tr>
      <w:tr w14:paraId="0DEA6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03" w:type="dxa"/>
            <w:vMerge w:val="continue"/>
            <w:tcBorders>
              <w:top w:val="nil"/>
              <w:bottom w:val="nil"/>
            </w:tcBorders>
            <w:vAlign w:val="top"/>
          </w:tcPr>
          <w:p w14:paraId="74B83FDE">
            <w:pPr>
              <w:rPr>
                <w:rFonts w:ascii="Arial"/>
                <w:sz w:val="21"/>
                <w:highlight w:val="none"/>
              </w:rPr>
            </w:pPr>
          </w:p>
        </w:tc>
        <w:tc>
          <w:tcPr>
            <w:tcW w:w="1408" w:type="dxa"/>
            <w:vAlign w:val="top"/>
          </w:tcPr>
          <w:p w14:paraId="6DE93314">
            <w:pPr>
              <w:rPr>
                <w:rFonts w:ascii="Arial"/>
                <w:sz w:val="21"/>
                <w:highlight w:val="none"/>
              </w:rPr>
            </w:pPr>
          </w:p>
        </w:tc>
        <w:tc>
          <w:tcPr>
            <w:tcW w:w="1129" w:type="dxa"/>
            <w:vAlign w:val="top"/>
          </w:tcPr>
          <w:p w14:paraId="1F731078">
            <w:pPr>
              <w:rPr>
                <w:rFonts w:ascii="Arial"/>
                <w:sz w:val="21"/>
                <w:highlight w:val="none"/>
              </w:rPr>
            </w:pPr>
          </w:p>
        </w:tc>
        <w:tc>
          <w:tcPr>
            <w:tcW w:w="1129" w:type="dxa"/>
            <w:vAlign w:val="top"/>
          </w:tcPr>
          <w:p w14:paraId="18FBAD81">
            <w:pPr>
              <w:rPr>
                <w:rFonts w:ascii="Arial"/>
                <w:sz w:val="21"/>
                <w:highlight w:val="none"/>
              </w:rPr>
            </w:pPr>
          </w:p>
        </w:tc>
        <w:tc>
          <w:tcPr>
            <w:tcW w:w="3900" w:type="dxa"/>
            <w:vAlign w:val="top"/>
          </w:tcPr>
          <w:p w14:paraId="4198DA0D">
            <w:pPr>
              <w:rPr>
                <w:rFonts w:ascii="Arial"/>
                <w:sz w:val="21"/>
                <w:highlight w:val="none"/>
              </w:rPr>
            </w:pPr>
          </w:p>
        </w:tc>
      </w:tr>
      <w:tr w14:paraId="14DB3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9" w:hRule="atLeast"/>
        </w:trPr>
        <w:tc>
          <w:tcPr>
            <w:tcW w:w="1503" w:type="dxa"/>
            <w:vMerge w:val="continue"/>
            <w:tcBorders>
              <w:top w:val="nil"/>
              <w:bottom w:val="nil"/>
            </w:tcBorders>
            <w:vAlign w:val="top"/>
          </w:tcPr>
          <w:p w14:paraId="756BED01">
            <w:pPr>
              <w:rPr>
                <w:rFonts w:ascii="Arial"/>
                <w:sz w:val="21"/>
                <w:highlight w:val="none"/>
              </w:rPr>
            </w:pPr>
          </w:p>
        </w:tc>
        <w:tc>
          <w:tcPr>
            <w:tcW w:w="1408" w:type="dxa"/>
            <w:vAlign w:val="top"/>
          </w:tcPr>
          <w:p w14:paraId="4CE7CDBA">
            <w:pPr>
              <w:rPr>
                <w:rFonts w:ascii="Arial"/>
                <w:sz w:val="21"/>
                <w:highlight w:val="none"/>
              </w:rPr>
            </w:pPr>
          </w:p>
        </w:tc>
        <w:tc>
          <w:tcPr>
            <w:tcW w:w="1129" w:type="dxa"/>
            <w:vAlign w:val="top"/>
          </w:tcPr>
          <w:p w14:paraId="46D30D0E">
            <w:pPr>
              <w:rPr>
                <w:rFonts w:ascii="Arial"/>
                <w:sz w:val="21"/>
                <w:highlight w:val="none"/>
              </w:rPr>
            </w:pPr>
          </w:p>
        </w:tc>
        <w:tc>
          <w:tcPr>
            <w:tcW w:w="1129" w:type="dxa"/>
            <w:vAlign w:val="top"/>
          </w:tcPr>
          <w:p w14:paraId="2E883A36">
            <w:pPr>
              <w:rPr>
                <w:rFonts w:ascii="Arial"/>
                <w:sz w:val="21"/>
                <w:highlight w:val="none"/>
              </w:rPr>
            </w:pPr>
          </w:p>
        </w:tc>
        <w:tc>
          <w:tcPr>
            <w:tcW w:w="3900" w:type="dxa"/>
            <w:vAlign w:val="top"/>
          </w:tcPr>
          <w:p w14:paraId="0130EA03">
            <w:pPr>
              <w:rPr>
                <w:rFonts w:ascii="Arial"/>
                <w:sz w:val="21"/>
                <w:highlight w:val="none"/>
              </w:rPr>
            </w:pPr>
          </w:p>
        </w:tc>
      </w:tr>
      <w:tr w14:paraId="05233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503" w:type="dxa"/>
            <w:vMerge w:val="continue"/>
            <w:tcBorders>
              <w:top w:val="nil"/>
            </w:tcBorders>
            <w:vAlign w:val="top"/>
          </w:tcPr>
          <w:p w14:paraId="6065E8E8">
            <w:pPr>
              <w:rPr>
                <w:rFonts w:ascii="Arial"/>
                <w:sz w:val="21"/>
                <w:highlight w:val="none"/>
              </w:rPr>
            </w:pPr>
          </w:p>
        </w:tc>
        <w:tc>
          <w:tcPr>
            <w:tcW w:w="1408" w:type="dxa"/>
            <w:vAlign w:val="top"/>
          </w:tcPr>
          <w:p w14:paraId="610304CE">
            <w:pPr>
              <w:rPr>
                <w:rFonts w:ascii="Arial"/>
                <w:sz w:val="21"/>
                <w:highlight w:val="none"/>
              </w:rPr>
            </w:pPr>
          </w:p>
        </w:tc>
        <w:tc>
          <w:tcPr>
            <w:tcW w:w="1129" w:type="dxa"/>
            <w:vAlign w:val="top"/>
          </w:tcPr>
          <w:p w14:paraId="1A76B3BF">
            <w:pPr>
              <w:rPr>
                <w:rFonts w:ascii="Arial"/>
                <w:sz w:val="21"/>
                <w:highlight w:val="none"/>
              </w:rPr>
            </w:pPr>
          </w:p>
        </w:tc>
        <w:tc>
          <w:tcPr>
            <w:tcW w:w="1129" w:type="dxa"/>
            <w:vAlign w:val="top"/>
          </w:tcPr>
          <w:p w14:paraId="4DE6EA8E">
            <w:pPr>
              <w:rPr>
                <w:rFonts w:ascii="Arial"/>
                <w:sz w:val="21"/>
                <w:highlight w:val="none"/>
              </w:rPr>
            </w:pPr>
          </w:p>
        </w:tc>
        <w:tc>
          <w:tcPr>
            <w:tcW w:w="3900" w:type="dxa"/>
            <w:vAlign w:val="top"/>
          </w:tcPr>
          <w:p w14:paraId="13D178D4">
            <w:pPr>
              <w:rPr>
                <w:rFonts w:ascii="Arial"/>
                <w:sz w:val="21"/>
                <w:highlight w:val="none"/>
              </w:rPr>
            </w:pPr>
          </w:p>
        </w:tc>
      </w:tr>
    </w:tbl>
    <w:p w14:paraId="358DB741">
      <w:pPr>
        <w:pStyle w:val="2"/>
        <w:rPr>
          <w:highlight w:val="none"/>
        </w:rPr>
      </w:pPr>
    </w:p>
    <w:p w14:paraId="6BF79BE2">
      <w:pPr>
        <w:rPr>
          <w:highlight w:val="none"/>
        </w:rPr>
        <w:sectPr>
          <w:footerReference r:id="rId168" w:type="default"/>
          <w:pgSz w:w="11910" w:h="16840"/>
          <w:pgMar w:top="400" w:right="1435" w:bottom="1238" w:left="1395" w:header="0" w:footer="1007" w:gutter="0"/>
          <w:cols w:space="720" w:num="1"/>
        </w:sectPr>
      </w:pPr>
    </w:p>
    <w:p w14:paraId="44089894">
      <w:pPr>
        <w:pStyle w:val="2"/>
        <w:spacing w:line="272" w:lineRule="auto"/>
        <w:rPr>
          <w:highlight w:val="none"/>
        </w:rPr>
      </w:pPr>
    </w:p>
    <w:p w14:paraId="21BC8E8F">
      <w:pPr>
        <w:pStyle w:val="2"/>
        <w:spacing w:line="273" w:lineRule="auto"/>
        <w:rPr>
          <w:highlight w:val="none"/>
        </w:rPr>
      </w:pPr>
    </w:p>
    <w:p w14:paraId="3E83FBE9">
      <w:pPr>
        <w:pStyle w:val="2"/>
        <w:spacing w:line="273" w:lineRule="auto"/>
        <w:rPr>
          <w:highlight w:val="none"/>
        </w:rPr>
      </w:pPr>
    </w:p>
    <w:p w14:paraId="3947BC4B">
      <w:pPr>
        <w:pStyle w:val="2"/>
        <w:spacing w:line="273" w:lineRule="auto"/>
        <w:rPr>
          <w:highlight w:val="none"/>
        </w:rPr>
      </w:pPr>
    </w:p>
    <w:p w14:paraId="356DD8C7">
      <w:pPr>
        <w:pStyle w:val="2"/>
        <w:spacing w:line="273" w:lineRule="auto"/>
        <w:rPr>
          <w:highlight w:val="none"/>
        </w:rPr>
      </w:pPr>
    </w:p>
    <w:p w14:paraId="5505D302">
      <w:pPr>
        <w:spacing w:before="71" w:line="218" w:lineRule="auto"/>
        <w:ind w:left="3056"/>
        <w:outlineLvl w:val="1"/>
        <w:rPr>
          <w:rFonts w:ascii="宋体" w:hAnsi="宋体" w:eastAsia="宋体" w:cs="宋体"/>
          <w:sz w:val="22"/>
          <w:szCs w:val="22"/>
          <w:highlight w:val="none"/>
        </w:rPr>
      </w:pPr>
      <w:bookmarkStart w:id="157" w:name="bookmark93"/>
      <w:bookmarkEnd w:id="157"/>
      <w:r>
        <w:rPr>
          <w:rFonts w:ascii="宋体" w:hAnsi="宋体" w:eastAsia="宋体" w:cs="宋体"/>
          <w:b/>
          <w:bCs/>
          <w:spacing w:val="8"/>
          <w:sz w:val="22"/>
          <w:szCs w:val="22"/>
          <w:highlight w:val="none"/>
        </w:rPr>
        <w:t>附件6价格指数权重表</w:t>
      </w:r>
    </w:p>
    <w:p w14:paraId="42451F6B">
      <w:pPr>
        <w:pStyle w:val="2"/>
        <w:spacing w:line="343" w:lineRule="auto"/>
        <w:rPr>
          <w:highlight w:val="none"/>
        </w:rPr>
      </w:pPr>
    </w:p>
    <w:p w14:paraId="6385C30E">
      <w:pPr>
        <w:pStyle w:val="2"/>
        <w:spacing w:line="344" w:lineRule="auto"/>
        <w:rPr>
          <w:highlight w:val="none"/>
        </w:rPr>
      </w:pPr>
    </w:p>
    <w:p w14:paraId="6AAF549D">
      <w:pPr>
        <w:spacing w:before="72" w:line="218" w:lineRule="auto"/>
        <w:ind w:left="13"/>
        <w:rPr>
          <w:rFonts w:ascii="宋体" w:hAnsi="宋体" w:eastAsia="宋体" w:cs="宋体"/>
          <w:sz w:val="22"/>
          <w:szCs w:val="22"/>
          <w:highlight w:val="none"/>
        </w:rPr>
      </w:pPr>
      <w:r>
        <w:rPr>
          <w:rFonts w:ascii="宋体" w:hAnsi="宋体" w:eastAsia="宋体" w:cs="宋体"/>
          <w:spacing w:val="-13"/>
          <w:sz w:val="22"/>
          <w:szCs w:val="22"/>
          <w:highlight w:val="none"/>
        </w:rPr>
        <w:t>同本招标文件第七章“投标文件格式”投标函附录中的“价格指</w:t>
      </w:r>
      <w:r>
        <w:rPr>
          <w:rFonts w:ascii="宋体" w:hAnsi="宋体" w:eastAsia="宋体" w:cs="宋体"/>
          <w:spacing w:val="-14"/>
          <w:sz w:val="22"/>
          <w:szCs w:val="22"/>
          <w:highlight w:val="none"/>
        </w:rPr>
        <w:t>数权重表”。</w:t>
      </w:r>
    </w:p>
    <w:p w14:paraId="786F197D">
      <w:pPr>
        <w:spacing w:line="218" w:lineRule="auto"/>
        <w:rPr>
          <w:rFonts w:ascii="宋体" w:hAnsi="宋体" w:eastAsia="宋体" w:cs="宋体"/>
          <w:sz w:val="22"/>
          <w:szCs w:val="22"/>
          <w:highlight w:val="none"/>
        </w:rPr>
        <w:sectPr>
          <w:footerReference r:id="rId169" w:type="default"/>
          <w:pgSz w:w="11910" w:h="16840"/>
          <w:pgMar w:top="400" w:right="1786" w:bottom="1217" w:left="1786" w:header="0" w:footer="1013" w:gutter="0"/>
          <w:cols w:space="720" w:num="1"/>
        </w:sectPr>
      </w:pPr>
    </w:p>
    <w:p w14:paraId="7080AB97">
      <w:pPr>
        <w:pStyle w:val="2"/>
        <w:spacing w:line="244" w:lineRule="auto"/>
        <w:rPr>
          <w:highlight w:val="none"/>
        </w:rPr>
      </w:pPr>
    </w:p>
    <w:p w14:paraId="447EF7DB">
      <w:pPr>
        <w:pStyle w:val="2"/>
        <w:spacing w:line="244" w:lineRule="auto"/>
        <w:rPr>
          <w:highlight w:val="none"/>
        </w:rPr>
      </w:pPr>
    </w:p>
    <w:p w14:paraId="0284A31C">
      <w:pPr>
        <w:pStyle w:val="2"/>
        <w:spacing w:line="245" w:lineRule="auto"/>
        <w:rPr>
          <w:highlight w:val="none"/>
        </w:rPr>
      </w:pPr>
    </w:p>
    <w:p w14:paraId="1D733283">
      <w:pPr>
        <w:pStyle w:val="2"/>
        <w:spacing w:line="245" w:lineRule="auto"/>
        <w:rPr>
          <w:highlight w:val="none"/>
        </w:rPr>
      </w:pPr>
    </w:p>
    <w:p w14:paraId="4F12113D">
      <w:pPr>
        <w:pStyle w:val="2"/>
        <w:spacing w:line="245" w:lineRule="auto"/>
        <w:rPr>
          <w:highlight w:val="none"/>
        </w:rPr>
      </w:pPr>
    </w:p>
    <w:p w14:paraId="58F66D32">
      <w:pPr>
        <w:pStyle w:val="2"/>
        <w:spacing w:line="245" w:lineRule="auto"/>
        <w:rPr>
          <w:highlight w:val="none"/>
        </w:rPr>
      </w:pPr>
    </w:p>
    <w:p w14:paraId="6F9DD2AB">
      <w:pPr>
        <w:spacing w:before="104" w:line="222" w:lineRule="auto"/>
        <w:ind w:left="2470"/>
        <w:outlineLvl w:val="0"/>
        <w:rPr>
          <w:rFonts w:ascii="黑体" w:hAnsi="黑体" w:eastAsia="黑体" w:cs="黑体"/>
          <w:sz w:val="32"/>
          <w:szCs w:val="32"/>
          <w:highlight w:val="none"/>
        </w:rPr>
      </w:pPr>
      <w:bookmarkStart w:id="158" w:name="bookmark264"/>
      <w:bookmarkEnd w:id="158"/>
      <w:bookmarkStart w:id="159" w:name="bookmark94"/>
      <w:bookmarkEnd w:id="159"/>
      <w:r>
        <w:rPr>
          <w:rFonts w:ascii="黑体" w:hAnsi="黑体" w:eastAsia="黑体" w:cs="黑体"/>
          <w:spacing w:val="19"/>
          <w:sz w:val="32"/>
          <w:szCs w:val="32"/>
          <w:highlight w:val="none"/>
        </w:rPr>
        <w:t>第四章合同条款及格式</w:t>
      </w:r>
    </w:p>
    <w:p w14:paraId="1C5B43F4">
      <w:pPr>
        <w:pStyle w:val="2"/>
        <w:spacing w:line="245" w:lineRule="auto"/>
        <w:rPr>
          <w:highlight w:val="none"/>
        </w:rPr>
      </w:pPr>
    </w:p>
    <w:p w14:paraId="64ECBB6D">
      <w:pPr>
        <w:pStyle w:val="2"/>
        <w:spacing w:line="245" w:lineRule="auto"/>
        <w:rPr>
          <w:highlight w:val="none"/>
        </w:rPr>
      </w:pPr>
    </w:p>
    <w:p w14:paraId="279F21EF">
      <w:pPr>
        <w:pStyle w:val="2"/>
        <w:spacing w:line="245" w:lineRule="auto"/>
        <w:rPr>
          <w:highlight w:val="none"/>
        </w:rPr>
      </w:pPr>
    </w:p>
    <w:p w14:paraId="25E6E95D">
      <w:pPr>
        <w:pStyle w:val="2"/>
        <w:spacing w:line="245" w:lineRule="auto"/>
        <w:rPr>
          <w:highlight w:val="none"/>
        </w:rPr>
      </w:pPr>
    </w:p>
    <w:p w14:paraId="2434CE9C">
      <w:pPr>
        <w:pStyle w:val="2"/>
        <w:spacing w:line="245" w:lineRule="auto"/>
        <w:rPr>
          <w:highlight w:val="none"/>
        </w:rPr>
      </w:pPr>
    </w:p>
    <w:p w14:paraId="5A253333">
      <w:pPr>
        <w:pStyle w:val="2"/>
        <w:spacing w:line="245" w:lineRule="auto"/>
        <w:rPr>
          <w:highlight w:val="none"/>
        </w:rPr>
      </w:pPr>
    </w:p>
    <w:p w14:paraId="1ECA14A8">
      <w:pPr>
        <w:pStyle w:val="2"/>
        <w:spacing w:line="245" w:lineRule="auto"/>
        <w:rPr>
          <w:highlight w:val="none"/>
        </w:rPr>
      </w:pPr>
    </w:p>
    <w:p w14:paraId="4FA2A165">
      <w:pPr>
        <w:pStyle w:val="2"/>
        <w:spacing w:line="245" w:lineRule="auto"/>
        <w:rPr>
          <w:highlight w:val="none"/>
        </w:rPr>
      </w:pPr>
    </w:p>
    <w:p w14:paraId="0D2CFAAB">
      <w:pPr>
        <w:pStyle w:val="2"/>
        <w:spacing w:line="245" w:lineRule="auto"/>
        <w:rPr>
          <w:highlight w:val="none"/>
        </w:rPr>
      </w:pPr>
    </w:p>
    <w:p w14:paraId="6E157231">
      <w:pPr>
        <w:pStyle w:val="2"/>
        <w:spacing w:line="246" w:lineRule="auto"/>
        <w:rPr>
          <w:highlight w:val="none"/>
        </w:rPr>
      </w:pPr>
    </w:p>
    <w:p w14:paraId="4A5A66E9">
      <w:pPr>
        <w:pStyle w:val="2"/>
        <w:spacing w:line="246" w:lineRule="auto"/>
        <w:rPr>
          <w:highlight w:val="none"/>
        </w:rPr>
      </w:pPr>
    </w:p>
    <w:p w14:paraId="16EE5A14">
      <w:pPr>
        <w:pStyle w:val="2"/>
        <w:spacing w:line="246" w:lineRule="auto"/>
        <w:rPr>
          <w:highlight w:val="none"/>
        </w:rPr>
      </w:pPr>
    </w:p>
    <w:p w14:paraId="2B4483F9">
      <w:pPr>
        <w:pStyle w:val="2"/>
        <w:spacing w:line="246" w:lineRule="auto"/>
        <w:rPr>
          <w:highlight w:val="none"/>
        </w:rPr>
      </w:pPr>
    </w:p>
    <w:p w14:paraId="443AED05">
      <w:pPr>
        <w:pStyle w:val="2"/>
        <w:spacing w:line="246" w:lineRule="auto"/>
        <w:rPr>
          <w:highlight w:val="none"/>
        </w:rPr>
      </w:pPr>
    </w:p>
    <w:p w14:paraId="62098B79">
      <w:pPr>
        <w:pStyle w:val="2"/>
        <w:spacing w:line="246" w:lineRule="auto"/>
        <w:rPr>
          <w:highlight w:val="none"/>
        </w:rPr>
      </w:pPr>
    </w:p>
    <w:p w14:paraId="399194C9">
      <w:pPr>
        <w:pStyle w:val="2"/>
        <w:spacing w:line="246" w:lineRule="auto"/>
        <w:rPr>
          <w:highlight w:val="none"/>
        </w:rPr>
      </w:pPr>
    </w:p>
    <w:p w14:paraId="23899D17">
      <w:pPr>
        <w:pStyle w:val="2"/>
        <w:spacing w:line="246" w:lineRule="auto"/>
        <w:rPr>
          <w:highlight w:val="none"/>
        </w:rPr>
      </w:pPr>
    </w:p>
    <w:p w14:paraId="6571521C">
      <w:pPr>
        <w:pStyle w:val="2"/>
        <w:spacing w:line="246" w:lineRule="auto"/>
        <w:rPr>
          <w:highlight w:val="none"/>
        </w:rPr>
      </w:pPr>
    </w:p>
    <w:p w14:paraId="403254F9">
      <w:pPr>
        <w:pStyle w:val="2"/>
        <w:spacing w:line="246" w:lineRule="auto"/>
        <w:rPr>
          <w:highlight w:val="none"/>
        </w:rPr>
      </w:pPr>
    </w:p>
    <w:p w14:paraId="6EB4128C">
      <w:pPr>
        <w:pStyle w:val="2"/>
        <w:spacing w:line="246" w:lineRule="auto"/>
        <w:rPr>
          <w:highlight w:val="none"/>
        </w:rPr>
      </w:pPr>
    </w:p>
    <w:p w14:paraId="50153E12">
      <w:pPr>
        <w:pStyle w:val="2"/>
        <w:spacing w:line="246" w:lineRule="auto"/>
        <w:rPr>
          <w:highlight w:val="none"/>
        </w:rPr>
      </w:pPr>
    </w:p>
    <w:p w14:paraId="56550A82">
      <w:pPr>
        <w:pStyle w:val="2"/>
        <w:spacing w:line="246" w:lineRule="auto"/>
        <w:rPr>
          <w:highlight w:val="none"/>
        </w:rPr>
      </w:pPr>
    </w:p>
    <w:p w14:paraId="11B57C88">
      <w:pPr>
        <w:pStyle w:val="2"/>
        <w:spacing w:line="246" w:lineRule="auto"/>
        <w:rPr>
          <w:highlight w:val="none"/>
        </w:rPr>
      </w:pPr>
    </w:p>
    <w:p w14:paraId="1FEC28E2">
      <w:pPr>
        <w:pStyle w:val="2"/>
        <w:spacing w:line="246" w:lineRule="auto"/>
        <w:rPr>
          <w:highlight w:val="none"/>
        </w:rPr>
      </w:pPr>
    </w:p>
    <w:p w14:paraId="2CE4AD21">
      <w:pPr>
        <w:pStyle w:val="2"/>
        <w:spacing w:line="246" w:lineRule="auto"/>
        <w:rPr>
          <w:highlight w:val="none"/>
        </w:rPr>
      </w:pPr>
    </w:p>
    <w:p w14:paraId="0AE2158B">
      <w:pPr>
        <w:pStyle w:val="2"/>
        <w:spacing w:line="246" w:lineRule="auto"/>
        <w:rPr>
          <w:highlight w:val="none"/>
        </w:rPr>
      </w:pPr>
    </w:p>
    <w:p w14:paraId="405B8742">
      <w:pPr>
        <w:pStyle w:val="2"/>
        <w:spacing w:line="246" w:lineRule="auto"/>
        <w:rPr>
          <w:highlight w:val="none"/>
        </w:rPr>
      </w:pPr>
    </w:p>
    <w:p w14:paraId="7FD42818">
      <w:pPr>
        <w:pStyle w:val="2"/>
        <w:spacing w:line="246" w:lineRule="auto"/>
        <w:rPr>
          <w:highlight w:val="none"/>
        </w:rPr>
      </w:pPr>
    </w:p>
    <w:p w14:paraId="5E57F54F">
      <w:pPr>
        <w:pStyle w:val="2"/>
        <w:spacing w:line="246" w:lineRule="auto"/>
        <w:rPr>
          <w:highlight w:val="none"/>
        </w:rPr>
      </w:pPr>
    </w:p>
    <w:p w14:paraId="5B83B1AC">
      <w:pPr>
        <w:pStyle w:val="2"/>
        <w:spacing w:line="246" w:lineRule="auto"/>
        <w:rPr>
          <w:highlight w:val="none"/>
        </w:rPr>
      </w:pPr>
    </w:p>
    <w:p w14:paraId="4E6D182D">
      <w:pPr>
        <w:pStyle w:val="2"/>
        <w:spacing w:line="246" w:lineRule="auto"/>
        <w:rPr>
          <w:highlight w:val="none"/>
        </w:rPr>
      </w:pPr>
    </w:p>
    <w:p w14:paraId="4F1404D4">
      <w:pPr>
        <w:pStyle w:val="2"/>
        <w:spacing w:line="246" w:lineRule="auto"/>
        <w:rPr>
          <w:highlight w:val="none"/>
        </w:rPr>
      </w:pPr>
    </w:p>
    <w:p w14:paraId="56636013">
      <w:pPr>
        <w:pStyle w:val="2"/>
        <w:spacing w:line="246" w:lineRule="auto"/>
        <w:rPr>
          <w:highlight w:val="none"/>
        </w:rPr>
      </w:pPr>
    </w:p>
    <w:p w14:paraId="01EAE0BF">
      <w:pPr>
        <w:spacing w:before="72" w:line="239" w:lineRule="auto"/>
        <w:ind w:left="630" w:right="24" w:hanging="630"/>
        <w:rPr>
          <w:rFonts w:ascii="宋体" w:hAnsi="宋体" w:eastAsia="宋体" w:cs="宋体"/>
          <w:sz w:val="32"/>
          <w:szCs w:val="32"/>
          <w:highlight w:val="none"/>
        </w:rPr>
      </w:pPr>
      <w:r>
        <w:rPr>
          <w:rFonts w:ascii="宋体" w:hAnsi="宋体" w:eastAsia="宋体" w:cs="宋体"/>
          <w:spacing w:val="-6"/>
          <w:sz w:val="22"/>
          <w:szCs w:val="22"/>
          <w:highlight w:val="none"/>
        </w:rPr>
        <w:t>备注：本章合同条款及格式采用2012版《标准设计施</w:t>
      </w:r>
      <w:r>
        <w:rPr>
          <w:rFonts w:ascii="宋体" w:hAnsi="宋体" w:eastAsia="宋体" w:cs="宋体"/>
          <w:spacing w:val="-7"/>
          <w:sz w:val="22"/>
          <w:szCs w:val="22"/>
          <w:highlight w:val="none"/>
        </w:rPr>
        <w:t>工总承包招标文件》中合同条款及格</w:t>
      </w:r>
      <w:r>
        <w:rPr>
          <w:rFonts w:ascii="宋体" w:hAnsi="宋体" w:eastAsia="宋体" w:cs="宋体"/>
          <w:sz w:val="22"/>
          <w:szCs w:val="22"/>
          <w:highlight w:val="none"/>
        </w:rPr>
        <w:t xml:space="preserve"> </w:t>
      </w:r>
      <w:r>
        <w:rPr>
          <w:rFonts w:ascii="宋体" w:hAnsi="宋体" w:eastAsia="宋体" w:cs="宋体"/>
          <w:spacing w:val="-48"/>
          <w:sz w:val="32"/>
          <w:szCs w:val="32"/>
          <w:highlight w:val="none"/>
        </w:rPr>
        <w:t>式。</w:t>
      </w:r>
    </w:p>
    <w:p w14:paraId="54C8BC68">
      <w:pPr>
        <w:spacing w:line="239" w:lineRule="auto"/>
        <w:rPr>
          <w:rFonts w:ascii="宋体" w:hAnsi="宋体" w:eastAsia="宋体" w:cs="宋体"/>
          <w:sz w:val="32"/>
          <w:szCs w:val="32"/>
          <w:highlight w:val="none"/>
        </w:rPr>
        <w:sectPr>
          <w:footerReference r:id="rId170" w:type="default"/>
          <w:pgSz w:w="11910" w:h="16840"/>
          <w:pgMar w:top="400" w:right="1786" w:bottom="1168" w:left="1779" w:header="0" w:footer="974" w:gutter="0"/>
          <w:cols w:space="720" w:num="1"/>
        </w:sectPr>
      </w:pPr>
    </w:p>
    <w:p w14:paraId="19FDB31E">
      <w:pPr>
        <w:pStyle w:val="2"/>
        <w:spacing w:line="261" w:lineRule="auto"/>
        <w:rPr>
          <w:highlight w:val="none"/>
        </w:rPr>
      </w:pPr>
    </w:p>
    <w:p w14:paraId="73C3AF85">
      <w:pPr>
        <w:pStyle w:val="2"/>
        <w:spacing w:line="261" w:lineRule="auto"/>
        <w:rPr>
          <w:highlight w:val="none"/>
        </w:rPr>
      </w:pPr>
    </w:p>
    <w:p w14:paraId="7E63FD71">
      <w:pPr>
        <w:pStyle w:val="2"/>
        <w:spacing w:line="261" w:lineRule="auto"/>
        <w:rPr>
          <w:highlight w:val="none"/>
        </w:rPr>
      </w:pPr>
    </w:p>
    <w:p w14:paraId="1C47C0C0">
      <w:pPr>
        <w:pStyle w:val="2"/>
        <w:spacing w:line="261" w:lineRule="auto"/>
        <w:rPr>
          <w:highlight w:val="none"/>
        </w:rPr>
      </w:pPr>
    </w:p>
    <w:p w14:paraId="025B1ADE">
      <w:pPr>
        <w:pStyle w:val="2"/>
        <w:spacing w:line="262" w:lineRule="auto"/>
        <w:rPr>
          <w:highlight w:val="none"/>
        </w:rPr>
      </w:pPr>
    </w:p>
    <w:p w14:paraId="6EA92262">
      <w:pPr>
        <w:pStyle w:val="2"/>
        <w:spacing w:line="262" w:lineRule="auto"/>
        <w:rPr>
          <w:highlight w:val="none"/>
        </w:rPr>
      </w:pPr>
    </w:p>
    <w:p w14:paraId="6AA1C74F">
      <w:pPr>
        <w:spacing w:before="91" w:line="222" w:lineRule="auto"/>
        <w:ind w:left="2750"/>
        <w:outlineLvl w:val="1"/>
        <w:rPr>
          <w:rFonts w:ascii="黑体" w:hAnsi="黑体" w:eastAsia="黑体" w:cs="黑体"/>
          <w:sz w:val="28"/>
          <w:szCs w:val="28"/>
          <w:highlight w:val="none"/>
        </w:rPr>
      </w:pPr>
      <w:bookmarkStart w:id="160" w:name="bookmark95"/>
      <w:bookmarkEnd w:id="160"/>
      <w:bookmarkStart w:id="161" w:name="bookmark265"/>
      <w:bookmarkEnd w:id="161"/>
      <w:r>
        <w:rPr>
          <w:rFonts w:ascii="黑体" w:hAnsi="黑体" w:eastAsia="黑体" w:cs="黑体"/>
          <w:spacing w:val="8"/>
          <w:sz w:val="28"/>
          <w:szCs w:val="28"/>
          <w:highlight w:val="none"/>
        </w:rPr>
        <w:t>第一节</w:t>
      </w:r>
      <w:r>
        <w:rPr>
          <w:rFonts w:ascii="黑体" w:hAnsi="黑体" w:eastAsia="黑体" w:cs="黑体"/>
          <w:spacing w:val="95"/>
          <w:sz w:val="28"/>
          <w:szCs w:val="28"/>
          <w:highlight w:val="none"/>
        </w:rPr>
        <w:t xml:space="preserve"> </w:t>
      </w:r>
      <w:r>
        <w:rPr>
          <w:rFonts w:ascii="黑体" w:hAnsi="黑体" w:eastAsia="黑体" w:cs="黑体"/>
          <w:spacing w:val="8"/>
          <w:sz w:val="28"/>
          <w:szCs w:val="28"/>
          <w:highlight w:val="none"/>
        </w:rPr>
        <w:t>通用合同条款</w:t>
      </w:r>
    </w:p>
    <w:p w14:paraId="6E94B36F">
      <w:pPr>
        <w:spacing w:before="185" w:line="222" w:lineRule="auto"/>
        <w:ind w:left="3320"/>
        <w:rPr>
          <w:rFonts w:ascii="黑体" w:hAnsi="黑体" w:eastAsia="黑体" w:cs="黑体"/>
          <w:sz w:val="28"/>
          <w:szCs w:val="28"/>
          <w:highlight w:val="none"/>
        </w:rPr>
      </w:pPr>
      <w:r>
        <w:rPr>
          <w:rFonts w:ascii="黑体" w:hAnsi="黑体" w:eastAsia="黑体" w:cs="黑体"/>
          <w:spacing w:val="4"/>
          <w:sz w:val="28"/>
          <w:szCs w:val="28"/>
          <w:highlight w:val="none"/>
        </w:rPr>
        <w:t>通用合同条款</w:t>
      </w:r>
    </w:p>
    <w:p w14:paraId="255823F4">
      <w:pPr>
        <w:pStyle w:val="2"/>
        <w:spacing w:line="273" w:lineRule="auto"/>
        <w:rPr>
          <w:highlight w:val="none"/>
        </w:rPr>
      </w:pPr>
    </w:p>
    <w:p w14:paraId="58520AA1">
      <w:pPr>
        <w:pStyle w:val="2"/>
        <w:spacing w:line="273" w:lineRule="auto"/>
        <w:rPr>
          <w:highlight w:val="none"/>
        </w:rPr>
      </w:pPr>
    </w:p>
    <w:p w14:paraId="2206155A">
      <w:pPr>
        <w:pStyle w:val="2"/>
        <w:spacing w:before="91" w:line="221" w:lineRule="auto"/>
        <w:outlineLvl w:val="1"/>
        <w:rPr>
          <w:rFonts w:ascii="黑体" w:hAnsi="黑体" w:eastAsia="黑体" w:cs="黑体"/>
          <w:sz w:val="28"/>
          <w:szCs w:val="28"/>
          <w:highlight w:val="none"/>
        </w:rPr>
      </w:pPr>
      <w:bookmarkStart w:id="162" w:name="bookmark96"/>
      <w:bookmarkEnd w:id="162"/>
      <w:r>
        <w:rPr>
          <w:spacing w:val="3"/>
          <w:sz w:val="28"/>
          <w:szCs w:val="28"/>
          <w:highlight w:val="none"/>
        </w:rPr>
        <w:t xml:space="preserve">1. </w:t>
      </w:r>
      <w:r>
        <w:rPr>
          <w:rFonts w:ascii="黑体" w:hAnsi="黑体" w:eastAsia="黑体" w:cs="黑体"/>
          <w:spacing w:val="3"/>
          <w:sz w:val="28"/>
          <w:szCs w:val="28"/>
          <w:highlight w:val="none"/>
        </w:rPr>
        <w:t>一般约定</w:t>
      </w:r>
    </w:p>
    <w:p w14:paraId="33C8F541">
      <w:pPr>
        <w:pStyle w:val="2"/>
        <w:spacing w:line="251" w:lineRule="auto"/>
        <w:rPr>
          <w:highlight w:val="none"/>
        </w:rPr>
      </w:pPr>
    </w:p>
    <w:p w14:paraId="74E50DE2">
      <w:pPr>
        <w:pStyle w:val="2"/>
        <w:spacing w:before="72" w:line="222" w:lineRule="auto"/>
        <w:rPr>
          <w:rFonts w:ascii="黑体" w:hAnsi="黑体" w:eastAsia="黑体" w:cs="黑体"/>
          <w:sz w:val="22"/>
          <w:szCs w:val="22"/>
          <w:highlight w:val="none"/>
        </w:rPr>
      </w:pPr>
      <w:r>
        <w:rPr>
          <w:spacing w:val="-5"/>
          <w:sz w:val="22"/>
          <w:szCs w:val="22"/>
          <w:highlight w:val="none"/>
        </w:rPr>
        <w:t>1.1</w:t>
      </w:r>
      <w:r>
        <w:rPr>
          <w:spacing w:val="58"/>
          <w:w w:val="101"/>
          <w:sz w:val="22"/>
          <w:szCs w:val="22"/>
          <w:highlight w:val="none"/>
        </w:rPr>
        <w:t xml:space="preserve"> </w:t>
      </w:r>
      <w:r>
        <w:rPr>
          <w:rFonts w:ascii="黑体" w:hAnsi="黑体" w:eastAsia="黑体" w:cs="黑体"/>
          <w:spacing w:val="-5"/>
          <w:sz w:val="22"/>
          <w:szCs w:val="22"/>
          <w:highlight w:val="none"/>
        </w:rPr>
        <w:t>词语定义</w:t>
      </w:r>
    </w:p>
    <w:p w14:paraId="17719A85">
      <w:pPr>
        <w:spacing w:before="124"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通用合同条款、专用合同条款中的下列词语应具有本款所赋予的含义。</w:t>
      </w:r>
    </w:p>
    <w:p w14:paraId="19141568">
      <w:pPr>
        <w:spacing w:before="242" w:line="221" w:lineRule="auto"/>
        <w:ind w:left="430"/>
        <w:rPr>
          <w:rFonts w:ascii="宋体" w:hAnsi="宋体" w:eastAsia="宋体" w:cs="宋体"/>
          <w:sz w:val="21"/>
          <w:szCs w:val="21"/>
          <w:highlight w:val="none"/>
        </w:rPr>
      </w:pPr>
      <w:r>
        <w:rPr>
          <w:rFonts w:ascii="宋体" w:hAnsi="宋体" w:eastAsia="宋体" w:cs="宋体"/>
          <w:spacing w:val="-7"/>
          <w:sz w:val="21"/>
          <w:szCs w:val="21"/>
          <w:highlight w:val="none"/>
        </w:rPr>
        <w:t>1.1.1</w:t>
      </w:r>
      <w:r>
        <w:rPr>
          <w:rFonts w:ascii="宋体" w:hAnsi="宋体" w:eastAsia="宋体" w:cs="宋体"/>
          <w:spacing w:val="23"/>
          <w:sz w:val="21"/>
          <w:szCs w:val="21"/>
          <w:highlight w:val="none"/>
        </w:rPr>
        <w:t xml:space="preserve"> </w:t>
      </w:r>
      <w:r>
        <w:rPr>
          <w:rFonts w:ascii="宋体" w:hAnsi="宋体" w:eastAsia="宋体" w:cs="宋体"/>
          <w:spacing w:val="-7"/>
          <w:sz w:val="21"/>
          <w:szCs w:val="21"/>
          <w:highlight w:val="none"/>
        </w:rPr>
        <w:t>合同</w:t>
      </w:r>
    </w:p>
    <w:p w14:paraId="0CF0306D">
      <w:pPr>
        <w:spacing w:before="214" w:line="355" w:lineRule="auto"/>
        <w:ind w:right="25" w:firstLine="650"/>
        <w:rPr>
          <w:rFonts w:ascii="宋体" w:hAnsi="宋体" w:eastAsia="宋体" w:cs="宋体"/>
          <w:sz w:val="21"/>
          <w:szCs w:val="21"/>
          <w:highlight w:val="none"/>
        </w:rPr>
      </w:pPr>
      <w:r>
        <w:rPr>
          <w:rFonts w:ascii="宋体" w:hAnsi="宋体" w:eastAsia="宋体" w:cs="宋体"/>
          <w:spacing w:val="5"/>
          <w:sz w:val="21"/>
          <w:szCs w:val="21"/>
          <w:highlight w:val="none"/>
        </w:rPr>
        <w:t>1.1.1.1合同文件(或称合同):指合</w:t>
      </w:r>
      <w:r>
        <w:rPr>
          <w:rFonts w:ascii="宋体" w:hAnsi="宋体" w:eastAsia="宋体" w:cs="宋体"/>
          <w:spacing w:val="4"/>
          <w:sz w:val="21"/>
          <w:szCs w:val="21"/>
          <w:highlight w:val="none"/>
        </w:rPr>
        <w:t>同协议书、中标通知书、投标函及投标函附录、</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专用合同条款、通用合同条款、发包人要求、价格清单、承包人建议书，以及其他构成合同</w:t>
      </w:r>
      <w:r>
        <w:rPr>
          <w:rFonts w:ascii="宋体" w:hAnsi="宋体" w:eastAsia="宋体" w:cs="宋体"/>
          <w:spacing w:val="7"/>
          <w:sz w:val="21"/>
          <w:szCs w:val="21"/>
          <w:highlight w:val="none"/>
        </w:rPr>
        <w:t xml:space="preserve"> </w:t>
      </w:r>
      <w:r>
        <w:rPr>
          <w:rFonts w:ascii="宋体" w:hAnsi="宋体" w:eastAsia="宋体" w:cs="宋体"/>
          <w:spacing w:val="-5"/>
          <w:sz w:val="21"/>
          <w:szCs w:val="21"/>
          <w:highlight w:val="none"/>
        </w:rPr>
        <w:t>组成部分的文件。</w:t>
      </w:r>
    </w:p>
    <w:p w14:paraId="1E284314">
      <w:pPr>
        <w:spacing w:before="220" w:line="219" w:lineRule="auto"/>
        <w:ind w:left="650"/>
        <w:rPr>
          <w:rFonts w:ascii="宋体" w:hAnsi="宋体" w:eastAsia="宋体" w:cs="宋体"/>
          <w:sz w:val="22"/>
          <w:szCs w:val="22"/>
          <w:highlight w:val="none"/>
        </w:rPr>
      </w:pPr>
      <w:r>
        <w:rPr>
          <w:rFonts w:ascii="Times New Roman" w:hAnsi="Times New Roman" w:eastAsia="Times New Roman" w:cs="Times New Roman"/>
          <w:spacing w:val="-2"/>
          <w:sz w:val="22"/>
          <w:szCs w:val="22"/>
          <w:highlight w:val="none"/>
        </w:rPr>
        <w:t xml:space="preserve">1.1.1.2    </w:t>
      </w:r>
      <w:r>
        <w:rPr>
          <w:rFonts w:ascii="宋体" w:hAnsi="宋体" w:eastAsia="宋体" w:cs="宋体"/>
          <w:spacing w:val="-2"/>
          <w:sz w:val="22"/>
          <w:szCs w:val="22"/>
          <w:highlight w:val="none"/>
        </w:rPr>
        <w:t>合同协议书：指第1.5款所指的合同协议书。</w:t>
      </w:r>
    </w:p>
    <w:p w14:paraId="059984CA">
      <w:pPr>
        <w:spacing w:before="229" w:line="311" w:lineRule="auto"/>
        <w:ind w:right="101" w:firstLine="65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1.1.1.3    </w:t>
      </w:r>
      <w:r>
        <w:rPr>
          <w:rFonts w:ascii="宋体" w:hAnsi="宋体" w:eastAsia="宋体" w:cs="宋体"/>
          <w:spacing w:val="-9"/>
          <w:sz w:val="22"/>
          <w:szCs w:val="22"/>
          <w:highlight w:val="none"/>
        </w:rPr>
        <w:t>中标通知书：指发包人通知</w:t>
      </w:r>
      <w:r>
        <w:rPr>
          <w:rFonts w:ascii="宋体" w:hAnsi="宋体" w:eastAsia="宋体" w:cs="宋体"/>
          <w:spacing w:val="-10"/>
          <w:sz w:val="22"/>
          <w:szCs w:val="22"/>
          <w:highlight w:val="none"/>
        </w:rPr>
        <w:t>承包人中标的函件。中标通知书随附的澄清、说</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明、补正事项纪要等，是中标通知书的组成部分。</w:t>
      </w:r>
    </w:p>
    <w:p w14:paraId="13B1130C">
      <w:pPr>
        <w:spacing w:before="229" w:line="219" w:lineRule="auto"/>
        <w:ind w:left="650"/>
        <w:rPr>
          <w:rFonts w:ascii="宋体" w:hAnsi="宋体" w:eastAsia="宋体" w:cs="宋体"/>
          <w:sz w:val="20"/>
          <w:szCs w:val="20"/>
          <w:highlight w:val="none"/>
        </w:rPr>
      </w:pPr>
      <w:r>
        <w:rPr>
          <w:rFonts w:ascii="宋体" w:hAnsi="宋体" w:eastAsia="宋体" w:cs="宋体"/>
          <w:spacing w:val="11"/>
          <w:sz w:val="20"/>
          <w:szCs w:val="20"/>
          <w:highlight w:val="none"/>
        </w:rPr>
        <w:t>1.1.1.4投标函：指构成合同文件组成部分的由承包人填写并签署的投标函。</w:t>
      </w:r>
    </w:p>
    <w:p w14:paraId="600F0C87">
      <w:pPr>
        <w:spacing w:before="212" w:line="219" w:lineRule="auto"/>
        <w:ind w:left="65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1.1.1.5    </w:t>
      </w:r>
      <w:r>
        <w:rPr>
          <w:rFonts w:ascii="宋体" w:hAnsi="宋体" w:eastAsia="宋体" w:cs="宋体"/>
          <w:spacing w:val="-7"/>
          <w:sz w:val="22"/>
          <w:szCs w:val="22"/>
          <w:highlight w:val="none"/>
        </w:rPr>
        <w:t>投标函附录：指附在投标函后构成合同文件的投标函附录。</w:t>
      </w:r>
    </w:p>
    <w:p w14:paraId="515692CF">
      <w:pPr>
        <w:spacing w:before="240" w:line="355" w:lineRule="auto"/>
        <w:ind w:right="100" w:firstLine="65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1.1.1.6    </w:t>
      </w:r>
      <w:r>
        <w:rPr>
          <w:rFonts w:ascii="宋体" w:hAnsi="宋体" w:eastAsia="宋体" w:cs="宋体"/>
          <w:spacing w:val="-1"/>
          <w:sz w:val="21"/>
          <w:szCs w:val="21"/>
          <w:highlight w:val="none"/>
        </w:rPr>
        <w:t>发包人要求：指构成合同文件组成部分的名为发包人要求的</w:t>
      </w:r>
      <w:r>
        <w:rPr>
          <w:rFonts w:ascii="宋体" w:hAnsi="宋体" w:eastAsia="宋体" w:cs="宋体"/>
          <w:spacing w:val="-2"/>
          <w:sz w:val="21"/>
          <w:szCs w:val="21"/>
          <w:highlight w:val="none"/>
        </w:rPr>
        <w:t>文件，包括招标</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项目的目的、范围、设计与其他技术标准和要求，以及合同双方当事人约定对其所作的</w:t>
      </w:r>
      <w:r>
        <w:rPr>
          <w:rFonts w:ascii="宋体" w:hAnsi="宋体" w:eastAsia="宋体" w:cs="宋体"/>
          <w:spacing w:val="-3"/>
          <w:sz w:val="21"/>
          <w:szCs w:val="21"/>
          <w:highlight w:val="none"/>
        </w:rPr>
        <w:t>修改</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或补充。</w:t>
      </w:r>
    </w:p>
    <w:p w14:paraId="0FC65954">
      <w:pPr>
        <w:spacing w:before="206" w:line="329" w:lineRule="auto"/>
        <w:ind w:right="101" w:firstLine="65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1.1.1.7     </w:t>
      </w:r>
      <w:r>
        <w:rPr>
          <w:rFonts w:ascii="宋体" w:hAnsi="宋体" w:eastAsia="宋体" w:cs="宋体"/>
          <w:spacing w:val="-2"/>
          <w:sz w:val="21"/>
          <w:szCs w:val="21"/>
          <w:highlight w:val="none"/>
        </w:rPr>
        <w:t>价格清单：指构成合同文件组成部分的由承包</w:t>
      </w:r>
      <w:r>
        <w:rPr>
          <w:rFonts w:ascii="宋体" w:hAnsi="宋体" w:eastAsia="宋体" w:cs="宋体"/>
          <w:spacing w:val="-3"/>
          <w:sz w:val="21"/>
          <w:szCs w:val="21"/>
          <w:highlight w:val="none"/>
        </w:rPr>
        <w:t>人按规定的格式和要求填写并</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标明价格的清单。</w:t>
      </w:r>
    </w:p>
    <w:p w14:paraId="49A7DFEF">
      <w:pPr>
        <w:spacing w:before="222" w:line="358" w:lineRule="auto"/>
        <w:ind w:right="99" w:firstLine="650"/>
        <w:rPr>
          <w:rFonts w:ascii="宋体" w:hAnsi="宋体" w:eastAsia="宋体" w:cs="宋体"/>
          <w:sz w:val="21"/>
          <w:szCs w:val="21"/>
          <w:highlight w:val="none"/>
        </w:rPr>
      </w:pPr>
      <w:r>
        <w:rPr>
          <w:rFonts w:ascii="宋体" w:hAnsi="宋体" w:eastAsia="宋体" w:cs="宋体"/>
          <w:sz w:val="21"/>
          <w:szCs w:val="21"/>
          <w:highlight w:val="none"/>
        </w:rPr>
        <w:t>1.1.1.8承包人建议书：指构成合同文件组成部分的名为承包人建议书的文件。承包</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人建议书由承包人随投标函一起提交。承包人建议书应包括承包人的设计图纸及相应说</w:t>
      </w:r>
      <w:r>
        <w:rPr>
          <w:rFonts w:ascii="宋体" w:hAnsi="宋体" w:eastAsia="宋体" w:cs="宋体"/>
          <w:spacing w:val="-3"/>
          <w:sz w:val="21"/>
          <w:szCs w:val="21"/>
          <w:highlight w:val="none"/>
        </w:rPr>
        <w:t>明等</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设计文件。</w:t>
      </w:r>
    </w:p>
    <w:p w14:paraId="04540A0E">
      <w:pPr>
        <w:spacing w:before="211" w:line="219" w:lineRule="auto"/>
        <w:ind w:left="750"/>
        <w:rPr>
          <w:rFonts w:ascii="宋体" w:hAnsi="宋体" w:eastAsia="宋体" w:cs="宋体"/>
          <w:sz w:val="21"/>
          <w:szCs w:val="21"/>
          <w:highlight w:val="none"/>
        </w:rPr>
      </w:pPr>
      <w:r>
        <w:rPr>
          <w:rFonts w:ascii="宋体" w:hAnsi="宋体" w:eastAsia="宋体" w:cs="宋体"/>
          <w:spacing w:val="2"/>
          <w:sz w:val="21"/>
          <w:szCs w:val="21"/>
          <w:highlight w:val="none"/>
        </w:rPr>
        <w:t>1.1.1.9其他合同文件：指经合同双方当事人确认构成合同文件的其他文件。</w:t>
      </w:r>
    </w:p>
    <w:p w14:paraId="4DC61CF3">
      <w:pPr>
        <w:spacing w:before="232" w:line="220" w:lineRule="auto"/>
        <w:ind w:left="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1.1.2</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6"/>
          <w:sz w:val="22"/>
          <w:szCs w:val="22"/>
          <w:highlight w:val="none"/>
        </w:rPr>
        <w:t>合同当事人和人员</w:t>
      </w:r>
    </w:p>
    <w:p w14:paraId="4E505C50">
      <w:pPr>
        <w:spacing w:before="217" w:line="219" w:lineRule="auto"/>
        <w:ind w:left="650"/>
        <w:rPr>
          <w:rFonts w:ascii="宋体" w:hAnsi="宋体" w:eastAsia="宋体" w:cs="宋体"/>
          <w:sz w:val="22"/>
          <w:szCs w:val="22"/>
          <w:highlight w:val="none"/>
        </w:rPr>
      </w:pPr>
      <w:r>
        <w:rPr>
          <w:rFonts w:ascii="Times New Roman" w:hAnsi="Times New Roman" w:eastAsia="Times New Roman" w:cs="Times New Roman"/>
          <w:spacing w:val="1"/>
          <w:sz w:val="22"/>
          <w:szCs w:val="22"/>
          <w:highlight w:val="none"/>
        </w:rPr>
        <w:t xml:space="preserve">1.1.2.1    </w:t>
      </w:r>
      <w:r>
        <w:rPr>
          <w:rFonts w:ascii="宋体" w:hAnsi="宋体" w:eastAsia="宋体" w:cs="宋体"/>
          <w:spacing w:val="1"/>
          <w:sz w:val="22"/>
          <w:szCs w:val="22"/>
          <w:highlight w:val="none"/>
        </w:rPr>
        <w:t>合同当事人：指发包人和(</w:t>
      </w:r>
      <w:r>
        <w:rPr>
          <w:rFonts w:ascii="宋体" w:hAnsi="宋体" w:eastAsia="宋体" w:cs="宋体"/>
          <w:sz w:val="22"/>
          <w:szCs w:val="22"/>
          <w:highlight w:val="none"/>
        </w:rPr>
        <w:t>或)承包人。</w:t>
      </w:r>
    </w:p>
    <w:p w14:paraId="6135927B">
      <w:pPr>
        <w:spacing w:before="217" w:line="219" w:lineRule="auto"/>
        <w:jc w:val="right"/>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1.1.2.2    </w:t>
      </w:r>
      <w:r>
        <w:rPr>
          <w:rFonts w:ascii="宋体" w:hAnsi="宋体" w:eastAsia="宋体" w:cs="宋体"/>
          <w:spacing w:val="-7"/>
          <w:sz w:val="22"/>
          <w:szCs w:val="22"/>
          <w:highlight w:val="none"/>
        </w:rPr>
        <w:t>发包人：指专用合同条款中指明并与承包人在合同协议书</w:t>
      </w:r>
      <w:r>
        <w:rPr>
          <w:rFonts w:ascii="宋体" w:hAnsi="宋体" w:eastAsia="宋体" w:cs="宋体"/>
          <w:spacing w:val="-8"/>
          <w:sz w:val="22"/>
          <w:szCs w:val="22"/>
          <w:highlight w:val="none"/>
        </w:rPr>
        <w:t>中签字的当事人。</w:t>
      </w:r>
    </w:p>
    <w:p w14:paraId="2522C0DE">
      <w:pPr>
        <w:spacing w:line="219" w:lineRule="auto"/>
        <w:rPr>
          <w:rFonts w:ascii="宋体" w:hAnsi="宋体" w:eastAsia="宋体" w:cs="宋体"/>
          <w:sz w:val="22"/>
          <w:szCs w:val="22"/>
          <w:highlight w:val="none"/>
        </w:rPr>
        <w:sectPr>
          <w:footerReference r:id="rId171" w:type="default"/>
          <w:pgSz w:w="11910" w:h="16840"/>
          <w:pgMar w:top="400" w:right="1719" w:bottom="1217" w:left="1769" w:header="0" w:footer="1013" w:gutter="0"/>
          <w:cols w:space="720" w:num="1"/>
        </w:sectPr>
      </w:pPr>
    </w:p>
    <w:p w14:paraId="3C2C11C6">
      <w:pPr>
        <w:pStyle w:val="2"/>
        <w:spacing w:line="269" w:lineRule="auto"/>
        <w:rPr>
          <w:highlight w:val="none"/>
        </w:rPr>
      </w:pPr>
    </w:p>
    <w:p w14:paraId="6890155A">
      <w:pPr>
        <w:pStyle w:val="2"/>
        <w:spacing w:line="270" w:lineRule="auto"/>
        <w:rPr>
          <w:highlight w:val="none"/>
        </w:rPr>
      </w:pPr>
    </w:p>
    <w:p w14:paraId="436D2326">
      <w:pPr>
        <w:pStyle w:val="2"/>
        <w:spacing w:line="270" w:lineRule="auto"/>
        <w:rPr>
          <w:highlight w:val="none"/>
        </w:rPr>
      </w:pPr>
    </w:p>
    <w:p w14:paraId="08374054">
      <w:pPr>
        <w:pStyle w:val="2"/>
        <w:spacing w:line="270" w:lineRule="auto"/>
        <w:rPr>
          <w:highlight w:val="none"/>
        </w:rPr>
      </w:pPr>
    </w:p>
    <w:p w14:paraId="4607F3DD">
      <w:pPr>
        <w:spacing w:before="72" w:line="219" w:lineRule="auto"/>
        <w:ind w:left="650"/>
        <w:rPr>
          <w:rFonts w:ascii="宋体" w:hAnsi="宋体" w:eastAsia="宋体" w:cs="宋体"/>
          <w:sz w:val="22"/>
          <w:szCs w:val="22"/>
          <w:highlight w:val="none"/>
        </w:rPr>
      </w:pPr>
      <w:bookmarkStart w:id="163" w:name="bookmark266"/>
      <w:bookmarkEnd w:id="163"/>
      <w:r>
        <w:rPr>
          <w:rFonts w:ascii="Times New Roman" w:hAnsi="Times New Roman" w:eastAsia="Times New Roman" w:cs="Times New Roman"/>
          <w:spacing w:val="-7"/>
          <w:sz w:val="22"/>
          <w:szCs w:val="22"/>
          <w:highlight w:val="none"/>
        </w:rPr>
        <w:t xml:space="preserve">1.1.2.3    </w:t>
      </w:r>
      <w:r>
        <w:rPr>
          <w:rFonts w:ascii="宋体" w:hAnsi="宋体" w:eastAsia="宋体" w:cs="宋体"/>
          <w:spacing w:val="-7"/>
          <w:sz w:val="22"/>
          <w:szCs w:val="22"/>
          <w:highlight w:val="none"/>
        </w:rPr>
        <w:t>承包人：指与发包人签订合同协议书的当事人。</w:t>
      </w:r>
    </w:p>
    <w:p w14:paraId="55181250">
      <w:pPr>
        <w:spacing w:before="220" w:line="219" w:lineRule="auto"/>
        <w:ind w:left="650"/>
        <w:rPr>
          <w:rFonts w:ascii="宋体" w:hAnsi="宋体" w:eastAsia="宋体" w:cs="宋体"/>
          <w:sz w:val="22"/>
          <w:szCs w:val="22"/>
          <w:highlight w:val="none"/>
        </w:rPr>
      </w:pPr>
      <w:r>
        <w:rPr>
          <w:rFonts w:ascii="宋体" w:hAnsi="宋体" w:eastAsia="宋体" w:cs="宋体"/>
          <w:spacing w:val="-6"/>
          <w:sz w:val="22"/>
          <w:szCs w:val="22"/>
          <w:highlight w:val="none"/>
        </w:rPr>
        <w:t>1.1.2.4承包人项目经理：指承包人指定代表承包人履行义务</w:t>
      </w:r>
      <w:r>
        <w:rPr>
          <w:rFonts w:ascii="宋体" w:hAnsi="宋体" w:eastAsia="宋体" w:cs="宋体"/>
          <w:spacing w:val="-7"/>
          <w:sz w:val="22"/>
          <w:szCs w:val="22"/>
          <w:highlight w:val="none"/>
        </w:rPr>
        <w:t>的负责人。</w:t>
      </w:r>
    </w:p>
    <w:p w14:paraId="175A293C">
      <w:pPr>
        <w:spacing w:before="197" w:line="317" w:lineRule="auto"/>
        <w:ind w:right="96" w:firstLine="65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1.1.2.5    </w:t>
      </w:r>
      <w:r>
        <w:rPr>
          <w:rFonts w:ascii="宋体" w:hAnsi="宋体" w:eastAsia="宋体" w:cs="宋体"/>
          <w:spacing w:val="-9"/>
          <w:sz w:val="22"/>
          <w:szCs w:val="22"/>
          <w:highlight w:val="none"/>
        </w:rPr>
        <w:t>设计负责人：指承包人指</w:t>
      </w:r>
      <w:r>
        <w:rPr>
          <w:rFonts w:ascii="宋体" w:hAnsi="宋体" w:eastAsia="宋体" w:cs="宋体"/>
          <w:spacing w:val="-10"/>
          <w:sz w:val="22"/>
          <w:szCs w:val="22"/>
          <w:highlight w:val="none"/>
        </w:rPr>
        <w:t>定负责组织指导协调设计工作并具有相应资格的人</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员。</w:t>
      </w:r>
    </w:p>
    <w:p w14:paraId="77C7F192">
      <w:pPr>
        <w:spacing w:before="204" w:line="313" w:lineRule="auto"/>
        <w:ind w:right="96" w:firstLine="650"/>
        <w:rPr>
          <w:rFonts w:ascii="宋体" w:hAnsi="宋体" w:eastAsia="宋体" w:cs="宋体"/>
          <w:sz w:val="22"/>
          <w:szCs w:val="22"/>
          <w:highlight w:val="none"/>
        </w:rPr>
      </w:pPr>
      <w:r>
        <w:rPr>
          <w:rFonts w:ascii="宋体" w:hAnsi="宋体" w:eastAsia="宋体" w:cs="宋体"/>
          <w:spacing w:val="-9"/>
          <w:sz w:val="22"/>
          <w:szCs w:val="22"/>
          <w:highlight w:val="none"/>
        </w:rPr>
        <w:t>1.1.2.6施工负责人：指承包人指定负责组织指导协调施工工作并具有相应资格</w:t>
      </w:r>
      <w:r>
        <w:rPr>
          <w:rFonts w:ascii="宋体" w:hAnsi="宋体" w:eastAsia="宋体" w:cs="宋体"/>
          <w:spacing w:val="-10"/>
          <w:sz w:val="22"/>
          <w:szCs w:val="22"/>
          <w:highlight w:val="none"/>
        </w:rPr>
        <w:t>的人</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员。</w:t>
      </w:r>
    </w:p>
    <w:p w14:paraId="758F9B3B">
      <w:pPr>
        <w:spacing w:before="204" w:line="219" w:lineRule="auto"/>
        <w:ind w:left="650"/>
        <w:rPr>
          <w:rFonts w:ascii="宋体" w:hAnsi="宋体" w:eastAsia="宋体" w:cs="宋体"/>
          <w:sz w:val="22"/>
          <w:szCs w:val="22"/>
          <w:highlight w:val="none"/>
        </w:rPr>
      </w:pPr>
      <w:r>
        <w:rPr>
          <w:rFonts w:ascii="宋体" w:hAnsi="宋体" w:eastAsia="宋体" w:cs="宋体"/>
          <w:spacing w:val="-6"/>
          <w:sz w:val="22"/>
          <w:szCs w:val="22"/>
          <w:highlight w:val="none"/>
        </w:rPr>
        <w:t>1.1.2.7采购负责人：指承包人指定负责组织指导协调采购工</w:t>
      </w:r>
      <w:r>
        <w:rPr>
          <w:rFonts w:ascii="宋体" w:hAnsi="宋体" w:eastAsia="宋体" w:cs="宋体"/>
          <w:spacing w:val="-7"/>
          <w:sz w:val="22"/>
          <w:szCs w:val="22"/>
          <w:highlight w:val="none"/>
        </w:rPr>
        <w:t>作的人员。</w:t>
      </w:r>
    </w:p>
    <w:p w14:paraId="60C0AAD7">
      <w:pPr>
        <w:spacing w:before="238" w:line="324" w:lineRule="auto"/>
        <w:ind w:right="95" w:firstLine="650"/>
        <w:rPr>
          <w:rFonts w:ascii="宋体" w:hAnsi="宋体" w:eastAsia="宋体" w:cs="宋体"/>
          <w:sz w:val="21"/>
          <w:szCs w:val="21"/>
          <w:highlight w:val="none"/>
        </w:rPr>
      </w:pPr>
      <w:r>
        <w:rPr>
          <w:rFonts w:ascii="宋体" w:hAnsi="宋体" w:eastAsia="宋体" w:cs="宋体"/>
          <w:sz w:val="21"/>
          <w:szCs w:val="21"/>
          <w:highlight w:val="none"/>
        </w:rPr>
        <w:t>1.1.2.8分包人：指从承包人处分包合同中某一部分工作，并与其签订分包合同的分</w:t>
      </w:r>
      <w:r>
        <w:rPr>
          <w:rFonts w:ascii="宋体" w:hAnsi="宋体" w:eastAsia="宋体" w:cs="宋体"/>
          <w:spacing w:val="3"/>
          <w:sz w:val="21"/>
          <w:szCs w:val="21"/>
          <w:highlight w:val="none"/>
        </w:rPr>
        <w:t xml:space="preserve"> </w:t>
      </w:r>
      <w:r>
        <w:rPr>
          <w:rFonts w:ascii="宋体" w:hAnsi="宋体" w:eastAsia="宋体" w:cs="宋体"/>
          <w:spacing w:val="-9"/>
          <w:sz w:val="21"/>
          <w:szCs w:val="21"/>
          <w:highlight w:val="none"/>
        </w:rPr>
        <w:t>包人。</w:t>
      </w:r>
    </w:p>
    <w:p w14:paraId="3E022004">
      <w:pPr>
        <w:spacing w:before="204" w:line="330" w:lineRule="auto"/>
        <w:ind w:right="89" w:firstLine="65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1.1.2.9     </w:t>
      </w:r>
      <w:r>
        <w:rPr>
          <w:rFonts w:ascii="宋体" w:hAnsi="宋体" w:eastAsia="宋体" w:cs="宋体"/>
          <w:spacing w:val="-2"/>
          <w:sz w:val="21"/>
          <w:szCs w:val="21"/>
          <w:highlight w:val="none"/>
        </w:rPr>
        <w:t>监理人：指在专用合同条款中指明的，受发包人委托对合同履行</w:t>
      </w:r>
      <w:r>
        <w:rPr>
          <w:rFonts w:ascii="宋体" w:hAnsi="宋体" w:eastAsia="宋体" w:cs="宋体"/>
          <w:spacing w:val="-3"/>
          <w:sz w:val="21"/>
          <w:szCs w:val="21"/>
          <w:highlight w:val="none"/>
        </w:rPr>
        <w:t>实施管理的</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法人或其他组织。属于国家强制监理的，监理人应当具有相应的监理资质。</w:t>
      </w:r>
    </w:p>
    <w:p w14:paraId="5185D3AB">
      <w:pPr>
        <w:spacing w:before="219" w:line="219" w:lineRule="auto"/>
        <w:ind w:left="65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1.1.2.7     </w:t>
      </w:r>
      <w:r>
        <w:rPr>
          <w:rFonts w:ascii="宋体" w:hAnsi="宋体" w:eastAsia="宋体" w:cs="宋体"/>
          <w:sz w:val="21"/>
          <w:szCs w:val="21"/>
          <w:highlight w:val="none"/>
        </w:rPr>
        <w:t>总监理工程师：指由监理人委</w:t>
      </w:r>
      <w:r>
        <w:rPr>
          <w:rFonts w:ascii="宋体" w:hAnsi="宋体" w:eastAsia="宋体" w:cs="宋体"/>
          <w:spacing w:val="-1"/>
          <w:sz w:val="21"/>
          <w:szCs w:val="21"/>
          <w:highlight w:val="none"/>
        </w:rPr>
        <w:t>派对合同履行实施管理的全权负责人。</w:t>
      </w:r>
    </w:p>
    <w:p w14:paraId="75F700E3">
      <w:pPr>
        <w:spacing w:before="222" w:line="220" w:lineRule="auto"/>
        <w:ind w:left="45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1.1.3</w:t>
      </w:r>
      <w:r>
        <w:rPr>
          <w:rFonts w:ascii="Times New Roman" w:hAnsi="Times New Roman" w:eastAsia="Times New Roman" w:cs="Times New Roman"/>
          <w:spacing w:val="15"/>
          <w:sz w:val="22"/>
          <w:szCs w:val="22"/>
          <w:highlight w:val="none"/>
        </w:rPr>
        <w:t xml:space="preserve">   </w:t>
      </w:r>
      <w:r>
        <w:rPr>
          <w:rFonts w:ascii="宋体" w:hAnsi="宋体" w:eastAsia="宋体" w:cs="宋体"/>
          <w:spacing w:val="-8"/>
          <w:sz w:val="22"/>
          <w:szCs w:val="22"/>
          <w:highlight w:val="none"/>
        </w:rPr>
        <w:t>工程和设备</w:t>
      </w:r>
    </w:p>
    <w:p w14:paraId="2AC91477">
      <w:pPr>
        <w:spacing w:before="228" w:line="219" w:lineRule="auto"/>
        <w:ind w:left="650"/>
        <w:rPr>
          <w:rFonts w:ascii="宋体" w:hAnsi="宋体" w:eastAsia="宋体" w:cs="宋体"/>
          <w:sz w:val="22"/>
          <w:szCs w:val="22"/>
          <w:highlight w:val="none"/>
        </w:rPr>
      </w:pPr>
      <w:r>
        <w:rPr>
          <w:rFonts w:ascii="Times New Roman" w:hAnsi="Times New Roman" w:eastAsia="Times New Roman" w:cs="Times New Roman"/>
          <w:spacing w:val="1"/>
          <w:sz w:val="22"/>
          <w:szCs w:val="22"/>
          <w:highlight w:val="none"/>
        </w:rPr>
        <w:t xml:space="preserve">1.1.3.1    </w:t>
      </w:r>
      <w:r>
        <w:rPr>
          <w:rFonts w:ascii="宋体" w:hAnsi="宋体" w:eastAsia="宋体" w:cs="宋体"/>
          <w:spacing w:val="1"/>
          <w:sz w:val="22"/>
          <w:szCs w:val="22"/>
          <w:highlight w:val="none"/>
        </w:rPr>
        <w:t>工程：指永久工程和(或)临时工程。</w:t>
      </w:r>
    </w:p>
    <w:p w14:paraId="644C81EC">
      <w:pPr>
        <w:spacing w:before="228" w:line="219" w:lineRule="auto"/>
        <w:ind w:left="65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1.1.3.2     </w:t>
      </w:r>
      <w:r>
        <w:rPr>
          <w:rFonts w:ascii="宋体" w:hAnsi="宋体" w:eastAsia="宋体" w:cs="宋体"/>
          <w:sz w:val="21"/>
          <w:szCs w:val="21"/>
          <w:highlight w:val="none"/>
        </w:rPr>
        <w:t>永久工程：指按合同约定建造并</w:t>
      </w:r>
      <w:r>
        <w:rPr>
          <w:rFonts w:ascii="宋体" w:hAnsi="宋体" w:eastAsia="宋体" w:cs="宋体"/>
          <w:spacing w:val="-1"/>
          <w:sz w:val="21"/>
          <w:szCs w:val="21"/>
          <w:highlight w:val="none"/>
        </w:rPr>
        <w:t>移交给发包人的工程，包括工程设备。</w:t>
      </w:r>
    </w:p>
    <w:p w14:paraId="31614468">
      <w:pPr>
        <w:spacing w:before="212" w:line="308" w:lineRule="auto"/>
        <w:ind w:right="96" w:firstLine="650"/>
        <w:rPr>
          <w:rFonts w:ascii="宋体" w:hAnsi="宋体" w:eastAsia="宋体" w:cs="宋体"/>
          <w:sz w:val="22"/>
          <w:szCs w:val="22"/>
          <w:highlight w:val="none"/>
        </w:rPr>
      </w:pPr>
      <w:r>
        <w:rPr>
          <w:rFonts w:ascii="宋体" w:hAnsi="宋体" w:eastAsia="宋体" w:cs="宋体"/>
          <w:spacing w:val="-9"/>
          <w:sz w:val="22"/>
          <w:szCs w:val="22"/>
          <w:highlight w:val="none"/>
        </w:rPr>
        <w:t>1.1.3.3临时工程：指为完成合同约定的永久工程所修建的各类临时性工程，</w:t>
      </w:r>
      <w:r>
        <w:rPr>
          <w:rFonts w:ascii="宋体" w:hAnsi="宋体" w:eastAsia="宋体" w:cs="宋体"/>
          <w:spacing w:val="-10"/>
          <w:sz w:val="22"/>
          <w:szCs w:val="22"/>
          <w:highlight w:val="none"/>
        </w:rPr>
        <w:t>不包括</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施工设备。</w:t>
      </w:r>
    </w:p>
    <w:p w14:paraId="64819CBC">
      <w:pPr>
        <w:spacing w:before="205" w:line="320" w:lineRule="auto"/>
        <w:ind w:right="93" w:firstLine="65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 xml:space="preserve">1.1.3.4    </w:t>
      </w:r>
      <w:r>
        <w:rPr>
          <w:rFonts w:ascii="宋体" w:hAnsi="宋体" w:eastAsia="宋体" w:cs="宋体"/>
          <w:spacing w:val="-4"/>
          <w:sz w:val="22"/>
          <w:szCs w:val="22"/>
          <w:highlight w:val="none"/>
        </w:rPr>
        <w:t>区段工程：指专用合</w:t>
      </w:r>
      <w:r>
        <w:rPr>
          <w:rFonts w:ascii="宋体" w:hAnsi="宋体" w:eastAsia="宋体" w:cs="宋体"/>
          <w:spacing w:val="-5"/>
          <w:sz w:val="22"/>
          <w:szCs w:val="22"/>
          <w:highlight w:val="none"/>
        </w:rPr>
        <w:t>同条款中指明特定范围的能单独接收并使用的永久工</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程。</w:t>
      </w:r>
    </w:p>
    <w:p w14:paraId="07835F2C">
      <w:pPr>
        <w:spacing w:before="206" w:line="330" w:lineRule="auto"/>
        <w:ind w:right="93" w:firstLine="65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1.1.3.5     </w:t>
      </w:r>
      <w:r>
        <w:rPr>
          <w:rFonts w:ascii="宋体" w:hAnsi="宋体" w:eastAsia="宋体" w:cs="宋体"/>
          <w:spacing w:val="-2"/>
          <w:sz w:val="21"/>
          <w:szCs w:val="21"/>
          <w:highlight w:val="none"/>
        </w:rPr>
        <w:t>工程设备：指构成或计划构成永久工程的机电设备、</w:t>
      </w:r>
      <w:r>
        <w:rPr>
          <w:rFonts w:ascii="宋体" w:hAnsi="宋体" w:eastAsia="宋体" w:cs="宋体"/>
          <w:spacing w:val="-3"/>
          <w:sz w:val="21"/>
          <w:szCs w:val="21"/>
          <w:highlight w:val="none"/>
        </w:rPr>
        <w:t>仪器装置、运载工具及</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其他类似的设备和装置。</w:t>
      </w:r>
    </w:p>
    <w:p w14:paraId="7FE2D808">
      <w:pPr>
        <w:spacing w:before="210" w:line="329" w:lineRule="auto"/>
        <w:ind w:right="93" w:firstLine="650"/>
        <w:rPr>
          <w:rFonts w:ascii="宋体" w:hAnsi="宋体" w:eastAsia="宋体" w:cs="宋体"/>
          <w:sz w:val="21"/>
          <w:szCs w:val="21"/>
          <w:highlight w:val="none"/>
        </w:rPr>
      </w:pPr>
      <w:r>
        <w:rPr>
          <w:rFonts w:ascii="宋体" w:hAnsi="宋体" w:eastAsia="宋体" w:cs="宋体"/>
          <w:sz w:val="21"/>
          <w:szCs w:val="21"/>
          <w:highlight w:val="none"/>
        </w:rPr>
        <w:t>1.1.3.6施工设备：指为完成合同约定的各项工作所需的设备、器具和其他物品，不</w:t>
      </w:r>
      <w:r>
        <w:rPr>
          <w:rFonts w:ascii="宋体" w:hAnsi="宋体" w:eastAsia="宋体" w:cs="宋体"/>
          <w:spacing w:val="5"/>
          <w:sz w:val="21"/>
          <w:szCs w:val="21"/>
          <w:highlight w:val="none"/>
        </w:rPr>
        <w:t xml:space="preserve"> </w:t>
      </w:r>
      <w:r>
        <w:rPr>
          <w:rFonts w:ascii="宋体" w:hAnsi="宋体" w:eastAsia="宋体" w:cs="宋体"/>
          <w:spacing w:val="-4"/>
          <w:sz w:val="21"/>
          <w:szCs w:val="21"/>
          <w:highlight w:val="none"/>
        </w:rPr>
        <w:t>包括临时工程和材料。</w:t>
      </w:r>
    </w:p>
    <w:p w14:paraId="67F283ED">
      <w:pPr>
        <w:spacing w:before="222" w:line="219" w:lineRule="auto"/>
        <w:jc w:val="right"/>
        <w:rPr>
          <w:rFonts w:ascii="宋体" w:hAnsi="宋体" w:eastAsia="宋体" w:cs="宋体"/>
          <w:sz w:val="21"/>
          <w:szCs w:val="21"/>
          <w:highlight w:val="none"/>
        </w:rPr>
      </w:pPr>
      <w:r>
        <w:rPr>
          <w:rFonts w:ascii="宋体" w:hAnsi="宋体" w:eastAsia="宋体" w:cs="宋体"/>
          <w:spacing w:val="3"/>
          <w:sz w:val="21"/>
          <w:szCs w:val="21"/>
          <w:highlight w:val="none"/>
        </w:rPr>
        <w:t>1.1.3.7临时设施：指为完成合同约</w:t>
      </w:r>
      <w:r>
        <w:rPr>
          <w:rFonts w:ascii="宋体" w:hAnsi="宋体" w:eastAsia="宋体" w:cs="宋体"/>
          <w:spacing w:val="2"/>
          <w:sz w:val="21"/>
          <w:szCs w:val="21"/>
          <w:highlight w:val="none"/>
        </w:rPr>
        <w:t>定的各项工作所服务的临时性生产和生活设施。</w:t>
      </w:r>
    </w:p>
    <w:p w14:paraId="2FCA587B">
      <w:pPr>
        <w:spacing w:before="220" w:line="219" w:lineRule="auto"/>
        <w:ind w:left="650"/>
        <w:rPr>
          <w:rFonts w:ascii="宋体" w:hAnsi="宋体" w:eastAsia="宋体" w:cs="宋体"/>
          <w:sz w:val="22"/>
          <w:szCs w:val="22"/>
          <w:highlight w:val="none"/>
        </w:rPr>
      </w:pPr>
      <w:r>
        <w:rPr>
          <w:rFonts w:ascii="宋体" w:hAnsi="宋体" w:eastAsia="宋体" w:cs="宋体"/>
          <w:spacing w:val="-6"/>
          <w:sz w:val="22"/>
          <w:szCs w:val="22"/>
          <w:highlight w:val="none"/>
        </w:rPr>
        <w:t>1.1.3.8承包人设备：指承包人为工程实施提供的</w:t>
      </w:r>
      <w:r>
        <w:rPr>
          <w:rFonts w:ascii="宋体" w:hAnsi="宋体" w:eastAsia="宋体" w:cs="宋体"/>
          <w:spacing w:val="-7"/>
          <w:sz w:val="22"/>
          <w:szCs w:val="22"/>
          <w:highlight w:val="none"/>
        </w:rPr>
        <w:t>施工设备。</w:t>
      </w:r>
    </w:p>
    <w:p w14:paraId="0BD8BBF0">
      <w:pPr>
        <w:spacing w:before="220" w:line="311" w:lineRule="auto"/>
        <w:ind w:right="90" w:firstLine="650"/>
        <w:rPr>
          <w:rFonts w:ascii="宋体" w:hAnsi="宋体" w:eastAsia="宋体" w:cs="宋体"/>
          <w:sz w:val="22"/>
          <w:szCs w:val="22"/>
          <w:highlight w:val="none"/>
        </w:rPr>
      </w:pPr>
      <w:r>
        <w:rPr>
          <w:rFonts w:ascii="宋体" w:hAnsi="宋体" w:eastAsia="宋体" w:cs="宋体"/>
          <w:spacing w:val="-1"/>
          <w:sz w:val="22"/>
          <w:szCs w:val="22"/>
          <w:highlight w:val="none"/>
        </w:rPr>
        <w:t>1.1.3.9施工场地(或称工地、现场):指用于合同工程施工的场所，以及在合同中</w:t>
      </w:r>
      <w:r>
        <w:rPr>
          <w:rFonts w:ascii="宋体" w:hAnsi="宋体" w:eastAsia="宋体" w:cs="宋体"/>
          <w:spacing w:val="14"/>
          <w:sz w:val="22"/>
          <w:szCs w:val="22"/>
          <w:highlight w:val="none"/>
        </w:rPr>
        <w:t xml:space="preserve"> </w:t>
      </w:r>
      <w:r>
        <w:rPr>
          <w:rFonts w:ascii="宋体" w:hAnsi="宋体" w:eastAsia="宋体" w:cs="宋体"/>
          <w:spacing w:val="-11"/>
          <w:sz w:val="22"/>
          <w:szCs w:val="22"/>
          <w:highlight w:val="none"/>
        </w:rPr>
        <w:t>指定作为施工场地组成部分的其他场所，包括永久占地和临时占地。</w:t>
      </w:r>
    </w:p>
    <w:p w14:paraId="2031642A">
      <w:pPr>
        <w:spacing w:before="209" w:line="219" w:lineRule="auto"/>
        <w:ind w:left="650"/>
        <w:rPr>
          <w:rFonts w:ascii="宋体" w:hAnsi="宋体" w:eastAsia="宋体" w:cs="宋体"/>
          <w:sz w:val="22"/>
          <w:szCs w:val="22"/>
          <w:highlight w:val="none"/>
        </w:rPr>
      </w:pPr>
      <w:r>
        <w:rPr>
          <w:highlight w:val="none"/>
        </w:rPr>
        <w:fldChar w:fldCharType="begin"/>
      </w:r>
      <w:r>
        <w:rPr>
          <w:highlight w:val="none"/>
        </w:rPr>
        <w:instrText xml:space="preserve"> HYPERLINK "1.1.3.10" </w:instrText>
      </w:r>
      <w:r>
        <w:rPr>
          <w:highlight w:val="none"/>
        </w:rPr>
        <w:fldChar w:fldCharType="separate"/>
      </w:r>
      <w:r>
        <w:rPr>
          <w:rFonts w:ascii="Times New Roman" w:hAnsi="Times New Roman" w:eastAsia="Times New Roman" w:cs="Times New Roman"/>
          <w:spacing w:val="-7"/>
          <w:sz w:val="22"/>
          <w:szCs w:val="22"/>
          <w:highlight w:val="none"/>
        </w:rPr>
        <w:t>1.1.3.10</w:t>
      </w:r>
      <w:r>
        <w:rPr>
          <w:rFonts w:ascii="Times New Roman" w:hAnsi="Times New Roman" w:eastAsia="Times New Roman" w:cs="Times New Roman"/>
          <w:spacing w:val="-7"/>
          <w:sz w:val="22"/>
          <w:szCs w:val="22"/>
          <w:highlight w:val="none"/>
        </w:rPr>
        <w:fldChar w:fldCharType="end"/>
      </w:r>
      <w:r>
        <w:rPr>
          <w:rFonts w:ascii="Times New Roman" w:hAnsi="Times New Roman" w:eastAsia="Times New Roman" w:cs="Times New Roman"/>
          <w:spacing w:val="-7"/>
          <w:sz w:val="22"/>
          <w:szCs w:val="22"/>
          <w:highlight w:val="none"/>
        </w:rPr>
        <w:t xml:space="preserve">    </w:t>
      </w:r>
      <w:r>
        <w:rPr>
          <w:rFonts w:ascii="宋体" w:hAnsi="宋体" w:eastAsia="宋体" w:cs="宋体"/>
          <w:spacing w:val="-7"/>
          <w:sz w:val="22"/>
          <w:szCs w:val="22"/>
          <w:highlight w:val="none"/>
        </w:rPr>
        <w:t>永久占地：指专用合同条款中指明为实施合同工程需永久</w:t>
      </w:r>
      <w:r>
        <w:rPr>
          <w:rFonts w:ascii="宋体" w:hAnsi="宋体" w:eastAsia="宋体" w:cs="宋体"/>
          <w:spacing w:val="-8"/>
          <w:sz w:val="22"/>
          <w:szCs w:val="22"/>
          <w:highlight w:val="none"/>
        </w:rPr>
        <w:t>占用的土地。</w:t>
      </w:r>
    </w:p>
    <w:p w14:paraId="6E18126A">
      <w:pPr>
        <w:spacing w:before="239" w:line="219" w:lineRule="auto"/>
        <w:ind w:left="650"/>
        <w:rPr>
          <w:rFonts w:ascii="宋体" w:hAnsi="宋体" w:eastAsia="宋体" w:cs="宋体"/>
          <w:sz w:val="21"/>
          <w:szCs w:val="21"/>
          <w:highlight w:val="none"/>
        </w:rPr>
      </w:pPr>
      <w:r>
        <w:rPr>
          <w:highlight w:val="none"/>
        </w:rPr>
        <w:fldChar w:fldCharType="begin"/>
      </w:r>
      <w:r>
        <w:rPr>
          <w:highlight w:val="none"/>
        </w:rPr>
        <w:instrText xml:space="preserve"> HYPERLINK "1.1.3.11" </w:instrText>
      </w:r>
      <w:r>
        <w:rPr>
          <w:highlight w:val="none"/>
        </w:rPr>
        <w:fldChar w:fldCharType="separate"/>
      </w:r>
      <w:r>
        <w:rPr>
          <w:rFonts w:ascii="Times New Roman" w:hAnsi="Times New Roman" w:eastAsia="Times New Roman" w:cs="Times New Roman"/>
          <w:sz w:val="21"/>
          <w:szCs w:val="21"/>
          <w:highlight w:val="none"/>
        </w:rPr>
        <w:t>1.1.3.11</w:t>
      </w:r>
      <w:r>
        <w:rPr>
          <w:rFonts w:ascii="Times New Roman" w:hAnsi="Times New Roman" w:eastAsia="Times New Roman" w:cs="Times New Roman"/>
          <w:sz w:val="21"/>
          <w:szCs w:val="21"/>
          <w:highlight w:val="none"/>
        </w:rPr>
        <w:fldChar w:fldCharType="end"/>
      </w:r>
      <w:r>
        <w:rPr>
          <w:rFonts w:ascii="Times New Roman" w:hAnsi="Times New Roman" w:eastAsia="Times New Roman" w:cs="Times New Roman"/>
          <w:sz w:val="21"/>
          <w:szCs w:val="21"/>
          <w:highlight w:val="none"/>
        </w:rPr>
        <w:t xml:space="preserve">     </w:t>
      </w:r>
      <w:r>
        <w:rPr>
          <w:rFonts w:ascii="宋体" w:hAnsi="宋体" w:eastAsia="宋体" w:cs="宋体"/>
          <w:sz w:val="21"/>
          <w:szCs w:val="21"/>
          <w:highlight w:val="none"/>
        </w:rPr>
        <w:t>临时占地：指专用合同</w:t>
      </w:r>
      <w:r>
        <w:rPr>
          <w:rFonts w:ascii="宋体" w:hAnsi="宋体" w:eastAsia="宋体" w:cs="宋体"/>
          <w:spacing w:val="-1"/>
          <w:sz w:val="21"/>
          <w:szCs w:val="21"/>
          <w:highlight w:val="none"/>
        </w:rPr>
        <w:t>条款中指明为实施合同工程需临时占用的土地。</w:t>
      </w:r>
    </w:p>
    <w:p w14:paraId="346C047B">
      <w:pPr>
        <w:spacing w:line="219" w:lineRule="auto"/>
        <w:rPr>
          <w:rFonts w:ascii="宋体" w:hAnsi="宋体" w:eastAsia="宋体" w:cs="宋体"/>
          <w:sz w:val="21"/>
          <w:szCs w:val="21"/>
          <w:highlight w:val="none"/>
        </w:rPr>
        <w:sectPr>
          <w:footerReference r:id="rId172" w:type="default"/>
          <w:pgSz w:w="11910" w:h="16840"/>
          <w:pgMar w:top="400" w:right="1724" w:bottom="1238" w:left="1769" w:header="0" w:footer="1006" w:gutter="0"/>
          <w:cols w:space="720" w:num="1"/>
        </w:sectPr>
      </w:pPr>
    </w:p>
    <w:p w14:paraId="1E699BA7">
      <w:pPr>
        <w:pStyle w:val="2"/>
        <w:spacing w:line="270" w:lineRule="auto"/>
        <w:rPr>
          <w:highlight w:val="none"/>
        </w:rPr>
      </w:pPr>
    </w:p>
    <w:p w14:paraId="0B2276EE">
      <w:pPr>
        <w:pStyle w:val="2"/>
        <w:spacing w:line="270" w:lineRule="auto"/>
        <w:rPr>
          <w:highlight w:val="none"/>
        </w:rPr>
      </w:pPr>
    </w:p>
    <w:p w14:paraId="6655A5A7">
      <w:pPr>
        <w:pStyle w:val="2"/>
        <w:spacing w:line="270" w:lineRule="auto"/>
        <w:rPr>
          <w:highlight w:val="none"/>
        </w:rPr>
      </w:pPr>
    </w:p>
    <w:p w14:paraId="1F98E72E">
      <w:pPr>
        <w:pStyle w:val="2"/>
        <w:spacing w:line="271" w:lineRule="auto"/>
        <w:rPr>
          <w:highlight w:val="none"/>
        </w:rPr>
      </w:pPr>
    </w:p>
    <w:p w14:paraId="411C6766">
      <w:pPr>
        <w:spacing w:before="71" w:line="219" w:lineRule="auto"/>
        <w:ind w:left="44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1.1.4    </w:t>
      </w:r>
      <w:r>
        <w:rPr>
          <w:rFonts w:ascii="宋体" w:hAnsi="宋体" w:eastAsia="宋体" w:cs="宋体"/>
          <w:spacing w:val="-7"/>
          <w:sz w:val="22"/>
          <w:szCs w:val="22"/>
          <w:highlight w:val="none"/>
        </w:rPr>
        <w:t>日期、检验和竣工</w:t>
      </w:r>
    </w:p>
    <w:p w14:paraId="1454D411">
      <w:pPr>
        <w:spacing w:before="218" w:line="219" w:lineRule="auto"/>
        <w:ind w:left="640"/>
        <w:rPr>
          <w:rFonts w:ascii="宋体" w:hAnsi="宋体" w:eastAsia="宋体" w:cs="宋体"/>
          <w:sz w:val="21"/>
          <w:szCs w:val="21"/>
          <w:highlight w:val="none"/>
        </w:rPr>
      </w:pPr>
      <w:r>
        <w:rPr>
          <w:rFonts w:ascii="宋体" w:hAnsi="宋体" w:eastAsia="宋体" w:cs="宋体"/>
          <w:spacing w:val="4"/>
          <w:sz w:val="21"/>
          <w:szCs w:val="21"/>
          <w:highlight w:val="none"/>
        </w:rPr>
        <w:t>1.1.4.1开始工作通知：指监理人按第11.1</w:t>
      </w:r>
      <w:r>
        <w:rPr>
          <w:rFonts w:ascii="宋体" w:hAnsi="宋体" w:eastAsia="宋体" w:cs="宋体"/>
          <w:spacing w:val="-8"/>
          <w:sz w:val="21"/>
          <w:szCs w:val="21"/>
          <w:highlight w:val="none"/>
        </w:rPr>
        <w:t xml:space="preserve"> </w:t>
      </w:r>
      <w:r>
        <w:rPr>
          <w:rFonts w:ascii="宋体" w:hAnsi="宋体" w:eastAsia="宋体" w:cs="宋体"/>
          <w:spacing w:val="4"/>
          <w:sz w:val="21"/>
          <w:szCs w:val="21"/>
          <w:highlight w:val="none"/>
        </w:rPr>
        <w:t>款通知承包人开始工作的函件。</w:t>
      </w:r>
    </w:p>
    <w:p w14:paraId="680C1CD2">
      <w:pPr>
        <w:spacing w:before="220" w:line="312" w:lineRule="auto"/>
        <w:ind w:right="97" w:firstLine="640"/>
        <w:rPr>
          <w:rFonts w:ascii="宋体" w:hAnsi="宋体" w:eastAsia="宋体" w:cs="宋体"/>
          <w:sz w:val="22"/>
          <w:szCs w:val="22"/>
          <w:highlight w:val="none"/>
        </w:rPr>
      </w:pPr>
      <w:r>
        <w:rPr>
          <w:rFonts w:ascii="宋体" w:hAnsi="宋体" w:eastAsia="宋体" w:cs="宋体"/>
          <w:spacing w:val="-3"/>
          <w:sz w:val="22"/>
          <w:szCs w:val="22"/>
          <w:highlight w:val="none"/>
        </w:rPr>
        <w:t>1.1.4.2开始工作日期：指监理人按第11.1款发出的开始工作通知中写明的开始工</w:t>
      </w:r>
      <w:r>
        <w:rPr>
          <w:rFonts w:ascii="宋体" w:hAnsi="宋体" w:eastAsia="宋体" w:cs="宋体"/>
          <w:spacing w:val="4"/>
          <w:sz w:val="22"/>
          <w:szCs w:val="22"/>
          <w:highlight w:val="none"/>
        </w:rPr>
        <w:t xml:space="preserve"> </w:t>
      </w:r>
      <w:r>
        <w:rPr>
          <w:rFonts w:ascii="宋体" w:hAnsi="宋体" w:eastAsia="宋体" w:cs="宋体"/>
          <w:spacing w:val="-14"/>
          <w:sz w:val="22"/>
          <w:szCs w:val="22"/>
          <w:highlight w:val="none"/>
        </w:rPr>
        <w:t>作日期。</w:t>
      </w:r>
    </w:p>
    <w:p w14:paraId="38F13A1F">
      <w:pPr>
        <w:spacing w:before="236" w:line="312" w:lineRule="auto"/>
        <w:ind w:right="97" w:firstLine="64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1.1.4.3     </w:t>
      </w:r>
      <w:r>
        <w:rPr>
          <w:rFonts w:ascii="宋体" w:hAnsi="宋体" w:eastAsia="宋体" w:cs="宋体"/>
          <w:spacing w:val="-2"/>
          <w:sz w:val="21"/>
          <w:szCs w:val="21"/>
          <w:highlight w:val="none"/>
        </w:rPr>
        <w:t>工期：指承包人在投标函中承诺的完成合同工作所需的期限，包括按第11.3</w:t>
      </w:r>
      <w:r>
        <w:rPr>
          <w:rFonts w:ascii="宋体" w:hAnsi="宋体" w:eastAsia="宋体" w:cs="宋体"/>
          <w:spacing w:val="15"/>
          <w:sz w:val="21"/>
          <w:szCs w:val="21"/>
          <w:highlight w:val="none"/>
        </w:rPr>
        <w:t xml:space="preserve"> </w:t>
      </w:r>
      <w:r>
        <w:rPr>
          <w:rFonts w:ascii="宋体" w:hAnsi="宋体" w:eastAsia="宋体" w:cs="宋体"/>
          <w:spacing w:val="9"/>
          <w:sz w:val="21"/>
          <w:szCs w:val="21"/>
          <w:highlight w:val="none"/>
        </w:rPr>
        <w:t>款、第11.4款和第11.6款约定所作的变更。</w:t>
      </w:r>
    </w:p>
    <w:p w14:paraId="504804EF">
      <w:pPr>
        <w:spacing w:before="209" w:line="329" w:lineRule="auto"/>
        <w:ind w:right="101" w:firstLine="64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1.1.4.4     </w:t>
      </w:r>
      <w:r>
        <w:rPr>
          <w:rFonts w:ascii="宋体" w:hAnsi="宋体" w:eastAsia="宋体" w:cs="宋体"/>
          <w:spacing w:val="1"/>
          <w:sz w:val="21"/>
          <w:szCs w:val="21"/>
          <w:highlight w:val="none"/>
        </w:rPr>
        <w:t>竣工日期：指第1.1</w:t>
      </w:r>
      <w:r>
        <w:rPr>
          <w:rFonts w:ascii="宋体" w:hAnsi="宋体" w:eastAsia="宋体" w:cs="宋体"/>
          <w:sz w:val="21"/>
          <w:szCs w:val="21"/>
          <w:highlight w:val="none"/>
        </w:rPr>
        <w:t xml:space="preserve">.4.3目约定工期届满时的日期。实际竣工日期以工程接 </w:t>
      </w:r>
      <w:r>
        <w:rPr>
          <w:rFonts w:ascii="宋体" w:hAnsi="宋体" w:eastAsia="宋体" w:cs="宋体"/>
          <w:spacing w:val="-4"/>
          <w:sz w:val="21"/>
          <w:szCs w:val="21"/>
          <w:highlight w:val="none"/>
        </w:rPr>
        <w:t>收证书中写明的日期为准。</w:t>
      </w:r>
    </w:p>
    <w:p w14:paraId="4FEF3D91">
      <w:pPr>
        <w:spacing w:before="232" w:line="331" w:lineRule="auto"/>
        <w:ind w:right="101" w:firstLine="640"/>
        <w:rPr>
          <w:rFonts w:ascii="宋体" w:hAnsi="宋体" w:eastAsia="宋体" w:cs="宋体"/>
          <w:sz w:val="20"/>
          <w:szCs w:val="20"/>
          <w:highlight w:val="none"/>
        </w:rPr>
      </w:pPr>
      <w:r>
        <w:rPr>
          <w:rFonts w:ascii="Times New Roman" w:hAnsi="Times New Roman" w:eastAsia="Times New Roman" w:cs="Times New Roman"/>
          <w:spacing w:val="11"/>
          <w:sz w:val="20"/>
          <w:szCs w:val="20"/>
          <w:highlight w:val="none"/>
        </w:rPr>
        <w:t xml:space="preserve">1.1.4.5     </w:t>
      </w:r>
      <w:r>
        <w:rPr>
          <w:rFonts w:ascii="宋体" w:hAnsi="宋体" w:eastAsia="宋体" w:cs="宋体"/>
          <w:spacing w:val="11"/>
          <w:sz w:val="20"/>
          <w:szCs w:val="20"/>
          <w:highlight w:val="none"/>
        </w:rPr>
        <w:t>缺陷责任期：指履行第19.2款</w:t>
      </w:r>
      <w:r>
        <w:rPr>
          <w:rFonts w:ascii="宋体" w:hAnsi="宋体" w:eastAsia="宋体" w:cs="宋体"/>
          <w:spacing w:val="10"/>
          <w:sz w:val="20"/>
          <w:szCs w:val="20"/>
          <w:highlight w:val="none"/>
        </w:rPr>
        <w:t>约定的缺陷责任的期限，具体期限在发包人</w:t>
      </w:r>
      <w:r>
        <w:rPr>
          <w:rFonts w:ascii="宋体" w:hAnsi="宋体" w:eastAsia="宋体" w:cs="宋体"/>
          <w:sz w:val="20"/>
          <w:szCs w:val="20"/>
          <w:highlight w:val="none"/>
        </w:rPr>
        <w:t xml:space="preserve"> </w:t>
      </w:r>
      <w:r>
        <w:rPr>
          <w:rFonts w:ascii="宋体" w:hAnsi="宋体" w:eastAsia="宋体" w:cs="宋体"/>
          <w:spacing w:val="14"/>
          <w:sz w:val="20"/>
          <w:szCs w:val="20"/>
          <w:highlight w:val="none"/>
        </w:rPr>
        <w:t>要求中明确的包括根据第19.3款约定所作的延长。</w:t>
      </w:r>
    </w:p>
    <w:p w14:paraId="21BCE9D3">
      <w:pPr>
        <w:spacing w:before="234" w:line="220" w:lineRule="auto"/>
        <w:ind w:left="640"/>
        <w:rPr>
          <w:rFonts w:ascii="宋体" w:hAnsi="宋体" w:eastAsia="宋体" w:cs="宋体"/>
          <w:sz w:val="22"/>
          <w:szCs w:val="22"/>
          <w:highlight w:val="none"/>
        </w:rPr>
      </w:pPr>
      <w:r>
        <w:rPr>
          <w:rFonts w:ascii="宋体" w:hAnsi="宋体" w:eastAsia="宋体" w:cs="宋体"/>
          <w:spacing w:val="-1"/>
          <w:sz w:val="22"/>
          <w:szCs w:val="22"/>
          <w:highlight w:val="none"/>
        </w:rPr>
        <w:t>1.1.4.6基准日期：指投标截止之日前28天</w:t>
      </w:r>
      <w:r>
        <w:rPr>
          <w:rFonts w:ascii="宋体" w:hAnsi="宋体" w:eastAsia="宋体" w:cs="宋体"/>
          <w:spacing w:val="-2"/>
          <w:sz w:val="22"/>
          <w:szCs w:val="22"/>
          <w:highlight w:val="none"/>
        </w:rPr>
        <w:t>的日期。</w:t>
      </w:r>
    </w:p>
    <w:p w14:paraId="71076063">
      <w:pPr>
        <w:spacing w:before="198" w:line="319" w:lineRule="auto"/>
        <w:ind w:right="50" w:firstLine="640"/>
        <w:rPr>
          <w:rFonts w:ascii="宋体" w:hAnsi="宋体" w:eastAsia="宋体" w:cs="宋体"/>
          <w:sz w:val="22"/>
          <w:szCs w:val="22"/>
          <w:highlight w:val="none"/>
        </w:rPr>
      </w:pPr>
      <w:r>
        <w:rPr>
          <w:rFonts w:ascii="宋体" w:hAnsi="宋体" w:eastAsia="宋体" w:cs="宋体"/>
          <w:spacing w:val="-7"/>
          <w:sz w:val="22"/>
          <w:szCs w:val="22"/>
          <w:highlight w:val="none"/>
        </w:rPr>
        <w:t>1.1.4.7天：除特别指明外，指日历天。合同中按天计算时</w:t>
      </w:r>
      <w:r>
        <w:rPr>
          <w:rFonts w:ascii="宋体" w:hAnsi="宋体" w:eastAsia="宋体" w:cs="宋体"/>
          <w:spacing w:val="-8"/>
          <w:sz w:val="22"/>
          <w:szCs w:val="22"/>
          <w:highlight w:val="none"/>
        </w:rPr>
        <w:t>间的，开始当天不计入，</w:t>
      </w:r>
      <w:r>
        <w:rPr>
          <w:rFonts w:ascii="宋体" w:hAnsi="宋体" w:eastAsia="宋体" w:cs="宋体"/>
          <w:sz w:val="22"/>
          <w:szCs w:val="22"/>
          <w:highlight w:val="none"/>
        </w:rPr>
        <w:t xml:space="preserve"> </w:t>
      </w:r>
      <w:r>
        <w:rPr>
          <w:rFonts w:ascii="宋体" w:hAnsi="宋体" w:eastAsia="宋体" w:cs="宋体"/>
          <w:spacing w:val="-8"/>
          <w:sz w:val="22"/>
          <w:szCs w:val="22"/>
          <w:highlight w:val="none"/>
        </w:rPr>
        <w:t>从次日开始计算。期限最后一天的截止时间为当天24:00。</w:t>
      </w:r>
    </w:p>
    <w:p w14:paraId="76671038">
      <w:pPr>
        <w:spacing w:before="220" w:line="219" w:lineRule="auto"/>
        <w:ind w:left="640"/>
        <w:rPr>
          <w:rFonts w:ascii="宋体" w:hAnsi="宋体" w:eastAsia="宋体" w:cs="宋体"/>
          <w:sz w:val="22"/>
          <w:szCs w:val="22"/>
          <w:highlight w:val="none"/>
        </w:rPr>
      </w:pPr>
      <w:r>
        <w:rPr>
          <w:rFonts w:ascii="宋体" w:hAnsi="宋体" w:eastAsia="宋体" w:cs="宋体"/>
          <w:spacing w:val="-3"/>
          <w:sz w:val="22"/>
          <w:szCs w:val="22"/>
          <w:highlight w:val="none"/>
        </w:rPr>
        <w:t>1.1.4.8竣工试验：是指在工程竣工验收前，根据第18.1款要求</w:t>
      </w:r>
      <w:r>
        <w:rPr>
          <w:rFonts w:ascii="宋体" w:hAnsi="宋体" w:eastAsia="宋体" w:cs="宋体"/>
          <w:spacing w:val="-4"/>
          <w:sz w:val="22"/>
          <w:szCs w:val="22"/>
          <w:highlight w:val="none"/>
        </w:rPr>
        <w:t>进行的试验。</w:t>
      </w:r>
    </w:p>
    <w:p w14:paraId="3F98EB8F">
      <w:pPr>
        <w:spacing w:before="257" w:line="299" w:lineRule="auto"/>
        <w:ind w:right="101" w:firstLine="640"/>
        <w:rPr>
          <w:rFonts w:ascii="宋体" w:hAnsi="宋体" w:eastAsia="宋体" w:cs="宋体"/>
          <w:sz w:val="21"/>
          <w:szCs w:val="21"/>
          <w:highlight w:val="none"/>
        </w:rPr>
      </w:pPr>
      <w:r>
        <w:rPr>
          <w:rFonts w:ascii="宋体" w:hAnsi="宋体" w:eastAsia="宋体" w:cs="宋体"/>
          <w:spacing w:val="1"/>
          <w:sz w:val="21"/>
          <w:szCs w:val="21"/>
          <w:highlight w:val="none"/>
        </w:rPr>
        <w:t>1.1.4.9竣工验收：是指承包人完成了全部</w:t>
      </w:r>
      <w:r>
        <w:rPr>
          <w:rFonts w:ascii="宋体" w:hAnsi="宋体" w:eastAsia="宋体" w:cs="宋体"/>
          <w:sz w:val="21"/>
          <w:szCs w:val="21"/>
          <w:highlight w:val="none"/>
        </w:rPr>
        <w:t xml:space="preserve">合同工作后，发包人按合同要求进行的验 </w:t>
      </w:r>
      <w:r>
        <w:rPr>
          <w:rFonts w:ascii="宋体" w:hAnsi="宋体" w:eastAsia="宋体" w:cs="宋体"/>
          <w:spacing w:val="-7"/>
          <w:sz w:val="21"/>
          <w:szCs w:val="21"/>
          <w:highlight w:val="none"/>
        </w:rPr>
        <w:t>收。</w:t>
      </w:r>
    </w:p>
    <w:p w14:paraId="3913FBAD">
      <w:pPr>
        <w:spacing w:before="231" w:line="219" w:lineRule="auto"/>
        <w:ind w:left="640"/>
        <w:rPr>
          <w:rFonts w:ascii="宋体" w:hAnsi="宋体" w:eastAsia="宋体" w:cs="宋体"/>
          <w:sz w:val="22"/>
          <w:szCs w:val="22"/>
          <w:highlight w:val="none"/>
        </w:rPr>
      </w:pPr>
      <w:r>
        <w:rPr>
          <w:highlight w:val="none"/>
        </w:rPr>
        <w:fldChar w:fldCharType="begin"/>
      </w:r>
      <w:r>
        <w:rPr>
          <w:highlight w:val="none"/>
        </w:rPr>
        <w:instrText xml:space="preserve"> HYPERLINK "1.1.4.10" </w:instrText>
      </w:r>
      <w:r>
        <w:rPr>
          <w:highlight w:val="none"/>
        </w:rPr>
        <w:fldChar w:fldCharType="separate"/>
      </w:r>
      <w:r>
        <w:rPr>
          <w:rFonts w:ascii="Times New Roman" w:hAnsi="Times New Roman" w:eastAsia="Times New Roman" w:cs="Times New Roman"/>
          <w:spacing w:val="-4"/>
          <w:sz w:val="22"/>
          <w:szCs w:val="22"/>
          <w:highlight w:val="none"/>
        </w:rPr>
        <w:t>1.1.4.10</w:t>
      </w:r>
      <w:r>
        <w:rPr>
          <w:rFonts w:ascii="Times New Roman" w:hAnsi="Times New Roman" w:eastAsia="Times New Roman" w:cs="Times New Roman"/>
          <w:spacing w:val="-4"/>
          <w:sz w:val="22"/>
          <w:szCs w:val="22"/>
          <w:highlight w:val="none"/>
        </w:rPr>
        <w:fldChar w:fldCharType="end"/>
      </w:r>
      <w:r>
        <w:rPr>
          <w:rFonts w:ascii="Times New Roman" w:hAnsi="Times New Roman" w:eastAsia="Times New Roman" w:cs="Times New Roman"/>
          <w:spacing w:val="-4"/>
          <w:sz w:val="22"/>
          <w:szCs w:val="22"/>
          <w:highlight w:val="none"/>
        </w:rPr>
        <w:t xml:space="preserve">    </w:t>
      </w:r>
      <w:r>
        <w:rPr>
          <w:rFonts w:ascii="宋体" w:hAnsi="宋体" w:eastAsia="宋体" w:cs="宋体"/>
          <w:spacing w:val="-4"/>
          <w:sz w:val="22"/>
          <w:szCs w:val="22"/>
          <w:highlight w:val="none"/>
        </w:rPr>
        <w:t>竣工后试验：是指在工程竣工验收后，根据第18.9款</w:t>
      </w:r>
      <w:r>
        <w:rPr>
          <w:rFonts w:ascii="宋体" w:hAnsi="宋体" w:eastAsia="宋体" w:cs="宋体"/>
          <w:spacing w:val="-5"/>
          <w:sz w:val="22"/>
          <w:szCs w:val="22"/>
          <w:highlight w:val="none"/>
        </w:rPr>
        <w:t>约定进行的试验。</w:t>
      </w:r>
    </w:p>
    <w:p w14:paraId="6AB52529">
      <w:pPr>
        <w:spacing w:before="219" w:line="311" w:lineRule="auto"/>
        <w:ind w:right="100" w:firstLine="640"/>
        <w:rPr>
          <w:rFonts w:ascii="宋体" w:hAnsi="宋体" w:eastAsia="宋体" w:cs="宋体"/>
          <w:sz w:val="22"/>
          <w:szCs w:val="22"/>
          <w:highlight w:val="none"/>
        </w:rPr>
      </w:pPr>
      <w:r>
        <w:rPr>
          <w:highlight w:val="none"/>
        </w:rPr>
        <w:fldChar w:fldCharType="begin"/>
      </w:r>
      <w:r>
        <w:rPr>
          <w:highlight w:val="none"/>
        </w:rPr>
        <w:instrText xml:space="preserve"> HYPERLINK "1.1.4.11" </w:instrText>
      </w:r>
      <w:r>
        <w:rPr>
          <w:highlight w:val="none"/>
        </w:rPr>
        <w:fldChar w:fldCharType="separate"/>
      </w:r>
      <w:r>
        <w:rPr>
          <w:rFonts w:ascii="Times New Roman" w:hAnsi="Times New Roman" w:eastAsia="Times New Roman" w:cs="Times New Roman"/>
          <w:spacing w:val="-6"/>
          <w:sz w:val="22"/>
          <w:szCs w:val="22"/>
          <w:highlight w:val="none"/>
        </w:rPr>
        <w:t>1.1.4.11</w:t>
      </w:r>
      <w:r>
        <w:rPr>
          <w:rFonts w:ascii="Times New Roman" w:hAnsi="Times New Roman" w:eastAsia="Times New Roman" w:cs="Times New Roman"/>
          <w:spacing w:val="-6"/>
          <w:sz w:val="22"/>
          <w:szCs w:val="22"/>
          <w:highlight w:val="none"/>
        </w:rPr>
        <w:fldChar w:fldCharType="end"/>
      </w:r>
      <w:r>
        <w:rPr>
          <w:rFonts w:ascii="Times New Roman" w:hAnsi="Times New Roman" w:eastAsia="Times New Roman" w:cs="Times New Roman"/>
          <w:spacing w:val="-6"/>
          <w:sz w:val="22"/>
          <w:szCs w:val="22"/>
          <w:highlight w:val="none"/>
        </w:rPr>
        <w:t xml:space="preserve">    </w:t>
      </w:r>
      <w:r>
        <w:rPr>
          <w:rFonts w:ascii="宋体" w:hAnsi="宋体" w:eastAsia="宋体" w:cs="宋体"/>
          <w:spacing w:val="-6"/>
          <w:sz w:val="22"/>
          <w:szCs w:val="22"/>
          <w:highlight w:val="none"/>
        </w:rPr>
        <w:t>国家验收：是指政府</w:t>
      </w:r>
      <w:r>
        <w:rPr>
          <w:rFonts w:ascii="宋体" w:hAnsi="宋体" w:eastAsia="宋体" w:cs="宋体"/>
          <w:spacing w:val="-7"/>
          <w:sz w:val="22"/>
          <w:szCs w:val="22"/>
          <w:highlight w:val="none"/>
        </w:rPr>
        <w:t>有关部门根据法律、规范、规程和政策要求，针对发</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包人全面组织实施的整个工程正式交付投运前的验收。</w:t>
      </w:r>
    </w:p>
    <w:p w14:paraId="2F342664">
      <w:pPr>
        <w:spacing w:before="207" w:line="218"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1.1.5</w:t>
      </w:r>
      <w:r>
        <w:rPr>
          <w:rFonts w:ascii="Times New Roman" w:hAnsi="Times New Roman" w:eastAsia="Times New Roman" w:cs="Times New Roman"/>
          <w:spacing w:val="14"/>
          <w:sz w:val="22"/>
          <w:szCs w:val="22"/>
          <w:highlight w:val="none"/>
        </w:rPr>
        <w:t xml:space="preserve">   </w:t>
      </w:r>
      <w:r>
        <w:rPr>
          <w:rFonts w:ascii="宋体" w:hAnsi="宋体" w:eastAsia="宋体" w:cs="宋体"/>
          <w:spacing w:val="-7"/>
          <w:sz w:val="22"/>
          <w:szCs w:val="22"/>
          <w:highlight w:val="none"/>
        </w:rPr>
        <w:t>合同价格和费用</w:t>
      </w:r>
    </w:p>
    <w:p w14:paraId="466DF024">
      <w:pPr>
        <w:spacing w:before="231" w:line="310" w:lineRule="auto"/>
        <w:ind w:right="49" w:firstLine="64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 xml:space="preserve">1.1.5.1    </w:t>
      </w:r>
      <w:r>
        <w:rPr>
          <w:rFonts w:ascii="宋体" w:hAnsi="宋体" w:eastAsia="宋体" w:cs="宋体"/>
          <w:spacing w:val="-8"/>
          <w:sz w:val="22"/>
          <w:szCs w:val="22"/>
          <w:highlight w:val="none"/>
        </w:rPr>
        <w:t>签约合同价：指中标通知书明确的并在签订合同时于合同协议书中写明的，</w:t>
      </w:r>
      <w:r>
        <w:rPr>
          <w:rFonts w:ascii="宋体" w:hAnsi="宋体" w:eastAsia="宋体" w:cs="宋体"/>
          <w:spacing w:val="6"/>
          <w:sz w:val="22"/>
          <w:szCs w:val="22"/>
          <w:highlight w:val="none"/>
        </w:rPr>
        <w:t xml:space="preserve"> </w:t>
      </w:r>
      <w:r>
        <w:rPr>
          <w:rFonts w:ascii="宋体" w:hAnsi="宋体" w:eastAsia="宋体" w:cs="宋体"/>
          <w:spacing w:val="-10"/>
          <w:sz w:val="22"/>
          <w:szCs w:val="22"/>
          <w:highlight w:val="none"/>
        </w:rPr>
        <w:t>包括了暂列金额、暂估价的合同总金额。</w:t>
      </w:r>
    </w:p>
    <w:p w14:paraId="25FF6F7E">
      <w:pPr>
        <w:spacing w:before="221" w:line="321" w:lineRule="auto"/>
        <w:ind w:right="126" w:firstLine="64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1.1.5.2     </w:t>
      </w:r>
      <w:r>
        <w:rPr>
          <w:rFonts w:ascii="宋体" w:hAnsi="宋体" w:eastAsia="宋体" w:cs="宋体"/>
          <w:spacing w:val="2"/>
          <w:sz w:val="21"/>
          <w:szCs w:val="21"/>
          <w:highlight w:val="none"/>
        </w:rPr>
        <w:t>合同价格：指承包人按合同约定完成了包括缺陷责任期内的全部承包工作</w:t>
      </w:r>
      <w:r>
        <w:rPr>
          <w:rFonts w:ascii="宋体" w:hAnsi="宋体" w:eastAsia="宋体" w:cs="宋体"/>
          <w:spacing w:val="14"/>
          <w:sz w:val="21"/>
          <w:szCs w:val="21"/>
          <w:highlight w:val="none"/>
        </w:rPr>
        <w:t xml:space="preserve"> </w:t>
      </w:r>
      <w:r>
        <w:rPr>
          <w:rFonts w:ascii="宋体" w:hAnsi="宋体" w:eastAsia="宋体" w:cs="宋体"/>
          <w:sz w:val="21"/>
          <w:szCs w:val="21"/>
          <w:highlight w:val="none"/>
        </w:rPr>
        <w:t>后，发包人应付给承包人的金额，包括在履行合同过程中按合同约定进行的变更和调整。</w:t>
      </w:r>
    </w:p>
    <w:p w14:paraId="08216E27">
      <w:pPr>
        <w:spacing w:before="220" w:line="325" w:lineRule="auto"/>
        <w:ind w:right="101" w:firstLine="64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1.1.5.3     </w:t>
      </w:r>
      <w:r>
        <w:rPr>
          <w:rFonts w:ascii="宋体" w:hAnsi="宋体" w:eastAsia="宋体" w:cs="宋体"/>
          <w:spacing w:val="-2"/>
          <w:sz w:val="21"/>
          <w:szCs w:val="21"/>
          <w:highlight w:val="none"/>
        </w:rPr>
        <w:t>费用：指为履行合同所发生的或将要发生的所有合理开支，包括管理费和应</w:t>
      </w:r>
      <w:r>
        <w:rPr>
          <w:rFonts w:ascii="宋体" w:hAnsi="宋体" w:eastAsia="宋体" w:cs="宋体"/>
          <w:spacing w:val="7"/>
          <w:sz w:val="21"/>
          <w:szCs w:val="21"/>
          <w:highlight w:val="none"/>
        </w:rPr>
        <w:t xml:space="preserve"> </w:t>
      </w:r>
      <w:r>
        <w:rPr>
          <w:rFonts w:ascii="宋体" w:hAnsi="宋体" w:eastAsia="宋体" w:cs="宋体"/>
          <w:spacing w:val="-3"/>
          <w:sz w:val="21"/>
          <w:szCs w:val="21"/>
          <w:highlight w:val="none"/>
        </w:rPr>
        <w:t>分摊的其他费用，但不包括利润。</w:t>
      </w:r>
    </w:p>
    <w:p w14:paraId="46F949CC">
      <w:pPr>
        <w:spacing w:before="220" w:line="307" w:lineRule="auto"/>
        <w:ind w:firstLine="6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1.1.5.4    </w:t>
      </w:r>
      <w:r>
        <w:rPr>
          <w:rFonts w:ascii="宋体" w:hAnsi="宋体" w:eastAsia="宋体" w:cs="宋体"/>
          <w:spacing w:val="-9"/>
          <w:sz w:val="22"/>
          <w:szCs w:val="22"/>
          <w:highlight w:val="none"/>
        </w:rPr>
        <w:t>暂列金额：指招标文件中给定的，用于在签订协议书时尚未确定或不可预见</w:t>
      </w:r>
      <w:r>
        <w:rPr>
          <w:rFonts w:ascii="宋体" w:hAnsi="宋体" w:eastAsia="宋体" w:cs="宋体"/>
          <w:sz w:val="22"/>
          <w:szCs w:val="22"/>
          <w:highlight w:val="none"/>
        </w:rPr>
        <w:t xml:space="preserve">  </w:t>
      </w:r>
      <w:r>
        <w:rPr>
          <w:rFonts w:ascii="宋体" w:hAnsi="宋体" w:eastAsia="宋体" w:cs="宋体"/>
          <w:spacing w:val="-14"/>
          <w:sz w:val="22"/>
          <w:szCs w:val="22"/>
          <w:highlight w:val="none"/>
        </w:rPr>
        <w:t>变更的设计、施工及其所需材料、工程设备、服务等的</w:t>
      </w:r>
      <w:r>
        <w:rPr>
          <w:rFonts w:ascii="宋体" w:hAnsi="宋体" w:eastAsia="宋体" w:cs="宋体"/>
          <w:spacing w:val="-15"/>
          <w:sz w:val="22"/>
          <w:szCs w:val="22"/>
          <w:highlight w:val="none"/>
        </w:rPr>
        <w:t>金额，包括以计日工方式支付的金额。</w:t>
      </w:r>
    </w:p>
    <w:p w14:paraId="2230CDAF">
      <w:pPr>
        <w:spacing w:before="228" w:line="218" w:lineRule="auto"/>
        <w:ind w:left="64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1.1.5.5    </w:t>
      </w:r>
      <w:r>
        <w:rPr>
          <w:rFonts w:ascii="宋体" w:hAnsi="宋体" w:eastAsia="宋体" w:cs="宋体"/>
          <w:spacing w:val="-9"/>
          <w:sz w:val="22"/>
          <w:szCs w:val="22"/>
          <w:highlight w:val="none"/>
        </w:rPr>
        <w:t>暂估价：指招标文件中给定的，用于支付必然发生但暂时不能确定价格的专</w:t>
      </w:r>
    </w:p>
    <w:p w14:paraId="78115EC1">
      <w:pPr>
        <w:spacing w:line="218" w:lineRule="auto"/>
        <w:rPr>
          <w:rFonts w:ascii="宋体" w:hAnsi="宋体" w:eastAsia="宋体" w:cs="宋体"/>
          <w:sz w:val="22"/>
          <w:szCs w:val="22"/>
          <w:highlight w:val="none"/>
        </w:rPr>
        <w:sectPr>
          <w:footerReference r:id="rId173" w:type="default"/>
          <w:pgSz w:w="11910" w:h="16840"/>
          <w:pgMar w:top="400" w:right="1699" w:bottom="1217" w:left="1779" w:header="0" w:footer="1013" w:gutter="0"/>
          <w:cols w:space="720" w:num="1"/>
        </w:sectPr>
      </w:pPr>
    </w:p>
    <w:p w14:paraId="6CF92563">
      <w:pPr>
        <w:pStyle w:val="2"/>
        <w:spacing w:line="269" w:lineRule="auto"/>
        <w:rPr>
          <w:highlight w:val="none"/>
        </w:rPr>
      </w:pPr>
    </w:p>
    <w:p w14:paraId="66A5C03E">
      <w:pPr>
        <w:pStyle w:val="2"/>
        <w:spacing w:line="270" w:lineRule="auto"/>
        <w:rPr>
          <w:highlight w:val="none"/>
        </w:rPr>
      </w:pPr>
    </w:p>
    <w:p w14:paraId="72B1EA83">
      <w:pPr>
        <w:pStyle w:val="2"/>
        <w:spacing w:line="270" w:lineRule="auto"/>
        <w:rPr>
          <w:highlight w:val="none"/>
        </w:rPr>
      </w:pPr>
    </w:p>
    <w:p w14:paraId="39AB6A67">
      <w:pPr>
        <w:pStyle w:val="2"/>
        <w:spacing w:line="270" w:lineRule="auto"/>
        <w:rPr>
          <w:highlight w:val="none"/>
        </w:rPr>
      </w:pPr>
    </w:p>
    <w:p w14:paraId="3C68480C">
      <w:pPr>
        <w:spacing w:before="72" w:line="219" w:lineRule="auto"/>
        <w:rPr>
          <w:rFonts w:ascii="宋体" w:hAnsi="宋体" w:eastAsia="宋体" w:cs="宋体"/>
          <w:sz w:val="22"/>
          <w:szCs w:val="22"/>
          <w:highlight w:val="none"/>
        </w:rPr>
      </w:pPr>
      <w:r>
        <w:rPr>
          <w:rFonts w:ascii="宋体" w:hAnsi="宋体" w:eastAsia="宋体" w:cs="宋体"/>
          <w:spacing w:val="-11"/>
          <w:sz w:val="22"/>
          <w:szCs w:val="22"/>
          <w:highlight w:val="none"/>
        </w:rPr>
        <w:t>业服务、材料、设备专业工程的金额。</w:t>
      </w:r>
    </w:p>
    <w:p w14:paraId="76BC800A">
      <w:pPr>
        <w:spacing w:before="209" w:line="310" w:lineRule="auto"/>
        <w:ind w:right="100" w:firstLine="650"/>
        <w:rPr>
          <w:rFonts w:ascii="宋体" w:hAnsi="宋体" w:eastAsia="宋体" w:cs="宋体"/>
          <w:sz w:val="22"/>
          <w:szCs w:val="22"/>
          <w:highlight w:val="none"/>
        </w:rPr>
      </w:pPr>
      <w:r>
        <w:rPr>
          <w:rFonts w:ascii="宋体" w:hAnsi="宋体" w:eastAsia="宋体" w:cs="宋体"/>
          <w:spacing w:val="-9"/>
          <w:sz w:val="22"/>
          <w:szCs w:val="22"/>
          <w:highlight w:val="none"/>
        </w:rPr>
        <w:t>1.1.5.6计日工：指对零星工作采取的一种计价方式，按合同中的计日工子目及</w:t>
      </w:r>
      <w:r>
        <w:rPr>
          <w:rFonts w:ascii="宋体" w:hAnsi="宋体" w:eastAsia="宋体" w:cs="宋体"/>
          <w:spacing w:val="-10"/>
          <w:sz w:val="22"/>
          <w:szCs w:val="22"/>
          <w:highlight w:val="none"/>
        </w:rPr>
        <w:t>其单</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价计价付款。</w:t>
      </w:r>
    </w:p>
    <w:p w14:paraId="15751286">
      <w:pPr>
        <w:spacing w:before="231" w:line="307" w:lineRule="auto"/>
        <w:ind w:right="99" w:firstLine="650"/>
        <w:rPr>
          <w:rFonts w:ascii="宋体" w:hAnsi="宋体" w:eastAsia="宋体" w:cs="宋体"/>
          <w:sz w:val="22"/>
          <w:szCs w:val="22"/>
          <w:highlight w:val="none"/>
        </w:rPr>
      </w:pPr>
      <w:r>
        <w:rPr>
          <w:rFonts w:ascii="宋体" w:hAnsi="宋体" w:eastAsia="宋体" w:cs="宋体"/>
          <w:spacing w:val="-3"/>
          <w:sz w:val="22"/>
          <w:szCs w:val="22"/>
          <w:highlight w:val="none"/>
        </w:rPr>
        <w:t>1.1.5.7质量保证金：指按第17.4.1项约定用于</w:t>
      </w:r>
      <w:r>
        <w:rPr>
          <w:rFonts w:ascii="宋体" w:hAnsi="宋体" w:eastAsia="宋体" w:cs="宋体"/>
          <w:spacing w:val="-4"/>
          <w:sz w:val="22"/>
          <w:szCs w:val="22"/>
          <w:highlight w:val="none"/>
        </w:rPr>
        <w:t>保证在缺陷责任期内履行缺陷修复</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义务的金额。</w:t>
      </w:r>
    </w:p>
    <w:p w14:paraId="0535D768">
      <w:pPr>
        <w:spacing w:before="209" w:line="220" w:lineRule="auto"/>
        <w:ind w:left="440"/>
        <w:rPr>
          <w:rFonts w:ascii="宋体" w:hAnsi="宋体" w:eastAsia="宋体" w:cs="宋体"/>
          <w:sz w:val="22"/>
          <w:szCs w:val="22"/>
          <w:highlight w:val="none"/>
        </w:rPr>
      </w:pPr>
      <w:r>
        <w:rPr>
          <w:rFonts w:ascii="宋体" w:hAnsi="宋体" w:eastAsia="宋体" w:cs="宋体"/>
          <w:spacing w:val="5"/>
          <w:sz w:val="22"/>
          <w:szCs w:val="22"/>
          <w:highlight w:val="none"/>
        </w:rPr>
        <w:t>1.1.6其他</w:t>
      </w:r>
    </w:p>
    <w:p w14:paraId="6B3EA6E3">
      <w:pPr>
        <w:spacing w:before="205" w:line="418" w:lineRule="auto"/>
        <w:ind w:right="98" w:firstLine="65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1.1.6.1     </w:t>
      </w:r>
      <w:r>
        <w:rPr>
          <w:rFonts w:ascii="宋体" w:hAnsi="宋体" w:eastAsia="宋体" w:cs="宋体"/>
          <w:spacing w:val="-2"/>
          <w:sz w:val="21"/>
          <w:szCs w:val="21"/>
          <w:highlight w:val="none"/>
        </w:rPr>
        <w:t>书面形式：指合同文件、信函、电报、传真、数据电</w:t>
      </w:r>
      <w:r>
        <w:rPr>
          <w:rFonts w:ascii="宋体" w:hAnsi="宋体" w:eastAsia="宋体" w:cs="宋体"/>
          <w:spacing w:val="-3"/>
          <w:sz w:val="21"/>
          <w:szCs w:val="21"/>
          <w:highlight w:val="none"/>
        </w:rPr>
        <w:t>文、电子邮件、会议纪</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要等可以有形地表现所载内容的形式。</w:t>
      </w:r>
    </w:p>
    <w:p w14:paraId="495407AB">
      <w:pPr>
        <w:spacing w:before="1" w:line="319" w:lineRule="auto"/>
        <w:ind w:firstLine="650"/>
        <w:rPr>
          <w:rFonts w:ascii="宋体" w:hAnsi="宋体" w:eastAsia="宋体" w:cs="宋体"/>
          <w:sz w:val="22"/>
          <w:szCs w:val="22"/>
          <w:highlight w:val="none"/>
        </w:rPr>
      </w:pPr>
      <w:r>
        <w:rPr>
          <w:rFonts w:ascii="宋体" w:hAnsi="宋体" w:eastAsia="宋体" w:cs="宋体"/>
          <w:spacing w:val="-12"/>
          <w:sz w:val="22"/>
          <w:szCs w:val="22"/>
          <w:highlight w:val="none"/>
        </w:rPr>
        <w:t>1.1.6.2承包人文件：指由承包人根据合同应提交的所有图纸、手册、模型、计算书、</w:t>
      </w:r>
      <w:r>
        <w:rPr>
          <w:rFonts w:ascii="宋体" w:hAnsi="宋体" w:eastAsia="宋体" w:cs="宋体"/>
          <w:spacing w:val="11"/>
          <w:sz w:val="22"/>
          <w:szCs w:val="22"/>
          <w:highlight w:val="none"/>
        </w:rPr>
        <w:t xml:space="preserve"> </w:t>
      </w:r>
      <w:r>
        <w:rPr>
          <w:rFonts w:ascii="宋体" w:hAnsi="宋体" w:eastAsia="宋体" w:cs="宋体"/>
          <w:spacing w:val="-13"/>
          <w:sz w:val="22"/>
          <w:szCs w:val="22"/>
          <w:highlight w:val="none"/>
        </w:rPr>
        <w:t>软件和其他文件。</w:t>
      </w:r>
    </w:p>
    <w:p w14:paraId="71852384">
      <w:pPr>
        <w:spacing w:before="239" w:line="302" w:lineRule="auto"/>
        <w:ind w:right="101" w:firstLine="650"/>
        <w:rPr>
          <w:rFonts w:ascii="宋体" w:hAnsi="宋体" w:eastAsia="宋体" w:cs="宋体"/>
          <w:sz w:val="24"/>
          <w:szCs w:val="24"/>
          <w:highlight w:val="none"/>
        </w:rPr>
      </w:pPr>
      <w:r>
        <w:rPr>
          <w:rFonts w:ascii="宋体" w:hAnsi="宋体" w:eastAsia="宋体" w:cs="宋体"/>
          <w:spacing w:val="14"/>
          <w:sz w:val="20"/>
          <w:szCs w:val="20"/>
          <w:highlight w:val="none"/>
        </w:rPr>
        <w:t>1.1.6.3变更是指根据第15条的约定，经指示或批准对发包人要求或工程所做的改</w:t>
      </w:r>
      <w:r>
        <w:rPr>
          <w:rFonts w:ascii="宋体" w:hAnsi="宋体" w:eastAsia="宋体" w:cs="宋体"/>
          <w:spacing w:val="7"/>
          <w:sz w:val="20"/>
          <w:szCs w:val="20"/>
          <w:highlight w:val="none"/>
        </w:rPr>
        <w:t xml:space="preserve"> </w:t>
      </w:r>
      <w:r>
        <w:rPr>
          <w:rFonts w:ascii="宋体" w:hAnsi="宋体" w:eastAsia="宋体" w:cs="宋体"/>
          <w:spacing w:val="-18"/>
          <w:sz w:val="24"/>
          <w:szCs w:val="24"/>
          <w:highlight w:val="none"/>
        </w:rPr>
        <w:t>变。</w:t>
      </w:r>
    </w:p>
    <w:p w14:paraId="1C099ADD">
      <w:pPr>
        <w:spacing w:before="290" w:line="222" w:lineRule="auto"/>
        <w:rPr>
          <w:rFonts w:ascii="黑体" w:hAnsi="黑体" w:eastAsia="黑体" w:cs="黑体"/>
          <w:sz w:val="24"/>
          <w:szCs w:val="24"/>
          <w:highlight w:val="none"/>
        </w:rPr>
      </w:pPr>
      <w:r>
        <w:rPr>
          <w:rFonts w:ascii="黑体" w:hAnsi="黑体" w:eastAsia="黑体" w:cs="黑体"/>
          <w:sz w:val="24"/>
          <w:szCs w:val="24"/>
          <w:highlight w:val="none"/>
        </w:rPr>
        <w:t>1.2</w:t>
      </w:r>
      <w:r>
        <w:rPr>
          <w:rFonts w:ascii="黑体" w:hAnsi="黑体" w:eastAsia="黑体" w:cs="黑体"/>
          <w:spacing w:val="-38"/>
          <w:sz w:val="24"/>
          <w:szCs w:val="24"/>
          <w:highlight w:val="none"/>
        </w:rPr>
        <w:t xml:space="preserve"> </w:t>
      </w:r>
      <w:r>
        <w:rPr>
          <w:rFonts w:ascii="黑体" w:hAnsi="黑体" w:eastAsia="黑体" w:cs="黑体"/>
          <w:sz w:val="24"/>
          <w:szCs w:val="24"/>
          <w:highlight w:val="none"/>
        </w:rPr>
        <w:t>语言文字</w:t>
      </w:r>
    </w:p>
    <w:p w14:paraId="6B658CBF">
      <w:pPr>
        <w:spacing w:before="120" w:line="219" w:lineRule="auto"/>
        <w:ind w:left="440"/>
        <w:rPr>
          <w:rFonts w:ascii="宋体" w:hAnsi="宋体" w:eastAsia="宋体" w:cs="宋体"/>
          <w:sz w:val="22"/>
          <w:szCs w:val="22"/>
          <w:highlight w:val="none"/>
        </w:rPr>
      </w:pPr>
      <w:r>
        <w:rPr>
          <w:rFonts w:ascii="宋体" w:hAnsi="宋体" w:eastAsia="宋体" w:cs="宋体"/>
          <w:spacing w:val="-10"/>
          <w:sz w:val="22"/>
          <w:szCs w:val="22"/>
          <w:highlight w:val="none"/>
        </w:rPr>
        <w:t>合同使用的语言文字为中文。专用术语使用外</w:t>
      </w:r>
      <w:r>
        <w:rPr>
          <w:rFonts w:ascii="宋体" w:hAnsi="宋体" w:eastAsia="宋体" w:cs="宋体"/>
          <w:spacing w:val="-11"/>
          <w:sz w:val="22"/>
          <w:szCs w:val="22"/>
          <w:highlight w:val="none"/>
        </w:rPr>
        <w:t>文的，应附有中文注释。</w:t>
      </w:r>
    </w:p>
    <w:p w14:paraId="3F5374B9">
      <w:pPr>
        <w:spacing w:before="292" w:line="222" w:lineRule="auto"/>
        <w:rPr>
          <w:rFonts w:ascii="黑体" w:hAnsi="黑体" w:eastAsia="黑体" w:cs="黑体"/>
          <w:sz w:val="24"/>
          <w:szCs w:val="24"/>
          <w:highlight w:val="none"/>
        </w:rPr>
      </w:pPr>
      <w:r>
        <w:rPr>
          <w:rFonts w:ascii="黑体" w:hAnsi="黑体" w:eastAsia="黑体" w:cs="黑体"/>
          <w:spacing w:val="-13"/>
          <w:sz w:val="24"/>
          <w:szCs w:val="24"/>
          <w:highlight w:val="none"/>
        </w:rPr>
        <w:t>1.3</w:t>
      </w:r>
      <w:r>
        <w:rPr>
          <w:rFonts w:ascii="黑体" w:hAnsi="黑体" w:eastAsia="黑体" w:cs="黑体"/>
          <w:spacing w:val="-35"/>
          <w:sz w:val="24"/>
          <w:szCs w:val="24"/>
          <w:highlight w:val="none"/>
        </w:rPr>
        <w:t xml:space="preserve"> </w:t>
      </w:r>
      <w:r>
        <w:rPr>
          <w:rFonts w:ascii="黑体" w:hAnsi="黑体" w:eastAsia="黑体" w:cs="黑体"/>
          <w:spacing w:val="-13"/>
          <w:sz w:val="24"/>
          <w:szCs w:val="24"/>
          <w:highlight w:val="none"/>
        </w:rPr>
        <w:t>法</w:t>
      </w:r>
      <w:r>
        <w:rPr>
          <w:rFonts w:ascii="黑体" w:hAnsi="黑体" w:eastAsia="黑体" w:cs="黑体"/>
          <w:spacing w:val="-41"/>
          <w:sz w:val="24"/>
          <w:szCs w:val="24"/>
          <w:highlight w:val="none"/>
        </w:rPr>
        <w:t xml:space="preserve"> </w:t>
      </w:r>
      <w:r>
        <w:rPr>
          <w:rFonts w:ascii="黑体" w:hAnsi="黑体" w:eastAsia="黑体" w:cs="黑体"/>
          <w:spacing w:val="-13"/>
          <w:sz w:val="24"/>
          <w:szCs w:val="24"/>
          <w:highlight w:val="none"/>
        </w:rPr>
        <w:t>律</w:t>
      </w:r>
    </w:p>
    <w:p w14:paraId="132486FB">
      <w:pPr>
        <w:spacing w:before="118" w:line="424" w:lineRule="auto"/>
        <w:ind w:right="63" w:firstLine="440"/>
        <w:rPr>
          <w:rFonts w:ascii="宋体" w:hAnsi="宋体" w:eastAsia="宋体" w:cs="宋体"/>
          <w:sz w:val="21"/>
          <w:szCs w:val="21"/>
          <w:highlight w:val="none"/>
        </w:rPr>
      </w:pPr>
      <w:r>
        <w:rPr>
          <w:rFonts w:ascii="宋体" w:hAnsi="宋体" w:eastAsia="宋体" w:cs="宋体"/>
          <w:spacing w:val="-2"/>
          <w:sz w:val="21"/>
          <w:szCs w:val="21"/>
          <w:highlight w:val="none"/>
        </w:rPr>
        <w:t>适用于合同的法律包括中华人民共和国法律、行政法规、部门规章，以及工程所在地的</w:t>
      </w:r>
      <w:r>
        <w:rPr>
          <w:rFonts w:ascii="宋体" w:hAnsi="宋体" w:eastAsia="宋体" w:cs="宋体"/>
          <w:spacing w:val="11"/>
          <w:sz w:val="21"/>
          <w:szCs w:val="21"/>
          <w:highlight w:val="none"/>
        </w:rPr>
        <w:t xml:space="preserve"> </w:t>
      </w:r>
      <w:r>
        <w:rPr>
          <w:rFonts w:ascii="宋体" w:hAnsi="宋体" w:eastAsia="宋体" w:cs="宋体"/>
          <w:spacing w:val="-2"/>
          <w:sz w:val="21"/>
          <w:szCs w:val="21"/>
          <w:highlight w:val="none"/>
        </w:rPr>
        <w:t>地方法规、自治条例、单行条例和地方政府规章。</w:t>
      </w:r>
    </w:p>
    <w:p w14:paraId="6BDC5F9B">
      <w:pPr>
        <w:spacing w:before="46" w:line="221" w:lineRule="auto"/>
        <w:rPr>
          <w:rFonts w:ascii="黑体" w:hAnsi="黑体" w:eastAsia="黑体" w:cs="黑体"/>
          <w:sz w:val="24"/>
          <w:szCs w:val="24"/>
          <w:highlight w:val="none"/>
        </w:rPr>
      </w:pPr>
      <w:r>
        <w:rPr>
          <w:rFonts w:ascii="黑体" w:hAnsi="黑体" w:eastAsia="黑体" w:cs="黑体"/>
          <w:spacing w:val="8"/>
          <w:sz w:val="24"/>
          <w:szCs w:val="24"/>
          <w:highlight w:val="none"/>
        </w:rPr>
        <w:t>1.4合同文件的优先顺序</w:t>
      </w:r>
    </w:p>
    <w:p w14:paraId="02E46482">
      <w:pPr>
        <w:spacing w:before="144" w:line="415" w:lineRule="auto"/>
        <w:ind w:right="68" w:firstLine="440"/>
        <w:rPr>
          <w:rFonts w:ascii="宋体" w:hAnsi="宋体" w:eastAsia="宋体" w:cs="宋体"/>
          <w:sz w:val="21"/>
          <w:szCs w:val="21"/>
          <w:highlight w:val="none"/>
        </w:rPr>
      </w:pPr>
      <w:r>
        <w:rPr>
          <w:rFonts w:ascii="宋体" w:hAnsi="宋体" w:eastAsia="宋体" w:cs="宋体"/>
          <w:spacing w:val="-2"/>
          <w:sz w:val="21"/>
          <w:szCs w:val="21"/>
          <w:highlight w:val="none"/>
        </w:rPr>
        <w:t>组成合同的各项文件应互相解释，互为说明。除专用合同条款另有约定外，解释合同文</w:t>
      </w:r>
      <w:r>
        <w:rPr>
          <w:rFonts w:ascii="宋体" w:hAnsi="宋体" w:eastAsia="宋体" w:cs="宋体"/>
          <w:spacing w:val="6"/>
          <w:sz w:val="21"/>
          <w:szCs w:val="21"/>
          <w:highlight w:val="none"/>
        </w:rPr>
        <w:t xml:space="preserve"> </w:t>
      </w:r>
      <w:r>
        <w:rPr>
          <w:rFonts w:ascii="宋体" w:hAnsi="宋体" w:eastAsia="宋体" w:cs="宋体"/>
          <w:spacing w:val="-6"/>
          <w:sz w:val="21"/>
          <w:szCs w:val="21"/>
          <w:highlight w:val="none"/>
        </w:rPr>
        <w:t>件的优先顺序如下：</w:t>
      </w:r>
    </w:p>
    <w:p w14:paraId="23297FE8">
      <w:pPr>
        <w:spacing w:before="5" w:line="219" w:lineRule="auto"/>
        <w:ind w:left="539"/>
        <w:rPr>
          <w:rFonts w:ascii="宋体" w:hAnsi="宋体" w:eastAsia="宋体" w:cs="宋体"/>
          <w:sz w:val="22"/>
          <w:szCs w:val="22"/>
          <w:highlight w:val="none"/>
        </w:rPr>
      </w:pPr>
      <w:r>
        <w:rPr>
          <w:rFonts w:ascii="宋体" w:hAnsi="宋体" w:eastAsia="宋体" w:cs="宋体"/>
          <w:spacing w:val="-2"/>
          <w:sz w:val="22"/>
          <w:szCs w:val="22"/>
          <w:highlight w:val="none"/>
        </w:rPr>
        <w:t>(1)合同协议书；</w:t>
      </w:r>
    </w:p>
    <w:p w14:paraId="7915B2F6">
      <w:pPr>
        <w:spacing w:before="219" w:line="219" w:lineRule="auto"/>
        <w:ind w:left="539"/>
        <w:rPr>
          <w:rFonts w:ascii="宋体" w:hAnsi="宋体" w:eastAsia="宋体" w:cs="宋体"/>
          <w:sz w:val="22"/>
          <w:szCs w:val="22"/>
          <w:highlight w:val="none"/>
        </w:rPr>
      </w:pPr>
      <w:r>
        <w:rPr>
          <w:rFonts w:ascii="宋体" w:hAnsi="宋体" w:eastAsia="宋体" w:cs="宋体"/>
          <w:spacing w:val="-2"/>
          <w:sz w:val="22"/>
          <w:szCs w:val="22"/>
          <w:highlight w:val="none"/>
        </w:rPr>
        <w:t>(2)中标通知书；</w:t>
      </w:r>
    </w:p>
    <w:p w14:paraId="5A739137">
      <w:pPr>
        <w:spacing w:before="238" w:line="219" w:lineRule="auto"/>
        <w:ind w:left="539"/>
        <w:rPr>
          <w:rFonts w:ascii="宋体" w:hAnsi="宋体" w:eastAsia="宋体" w:cs="宋体"/>
          <w:sz w:val="20"/>
          <w:szCs w:val="20"/>
          <w:highlight w:val="none"/>
        </w:rPr>
      </w:pPr>
      <w:r>
        <w:rPr>
          <w:rFonts w:ascii="宋体" w:hAnsi="宋体" w:eastAsia="宋体" w:cs="宋体"/>
          <w:spacing w:val="13"/>
          <w:sz w:val="20"/>
          <w:szCs w:val="20"/>
          <w:highlight w:val="none"/>
        </w:rPr>
        <w:t>(3)投标函及投标函附录；</w:t>
      </w:r>
    </w:p>
    <w:p w14:paraId="4798D58D">
      <w:pPr>
        <w:spacing w:before="215" w:line="219" w:lineRule="auto"/>
        <w:ind w:left="539"/>
        <w:rPr>
          <w:rFonts w:ascii="宋体" w:hAnsi="宋体" w:eastAsia="宋体" w:cs="宋体"/>
          <w:sz w:val="22"/>
          <w:szCs w:val="22"/>
          <w:highlight w:val="none"/>
        </w:rPr>
      </w:pPr>
      <w:r>
        <w:rPr>
          <w:rFonts w:ascii="宋体" w:hAnsi="宋体" w:eastAsia="宋体" w:cs="宋体"/>
          <w:spacing w:val="-2"/>
          <w:sz w:val="22"/>
          <w:szCs w:val="22"/>
          <w:highlight w:val="none"/>
        </w:rPr>
        <w:t>(4)专用合同条款；</w:t>
      </w:r>
    </w:p>
    <w:p w14:paraId="1E28A86B">
      <w:pPr>
        <w:spacing w:before="218" w:line="219" w:lineRule="auto"/>
        <w:ind w:left="539"/>
        <w:rPr>
          <w:rFonts w:ascii="宋体" w:hAnsi="宋体" w:eastAsia="宋体" w:cs="宋体"/>
          <w:sz w:val="20"/>
          <w:szCs w:val="20"/>
          <w:highlight w:val="none"/>
        </w:rPr>
      </w:pPr>
      <w:r>
        <w:rPr>
          <w:rFonts w:ascii="宋体" w:hAnsi="宋体" w:eastAsia="宋体" w:cs="宋体"/>
          <w:spacing w:val="14"/>
          <w:sz w:val="20"/>
          <w:szCs w:val="20"/>
          <w:highlight w:val="none"/>
        </w:rPr>
        <w:t>(5)通用合同条款；</w:t>
      </w:r>
    </w:p>
    <w:p w14:paraId="173C93C3">
      <w:pPr>
        <w:spacing w:before="224" w:line="220" w:lineRule="auto"/>
        <w:ind w:left="539"/>
        <w:rPr>
          <w:rFonts w:ascii="宋体" w:hAnsi="宋体" w:eastAsia="宋体" w:cs="宋体"/>
          <w:sz w:val="22"/>
          <w:szCs w:val="22"/>
          <w:highlight w:val="none"/>
        </w:rPr>
      </w:pPr>
      <w:r>
        <w:rPr>
          <w:rFonts w:ascii="宋体" w:hAnsi="宋体" w:eastAsia="宋体" w:cs="宋体"/>
          <w:spacing w:val="-2"/>
          <w:sz w:val="22"/>
          <w:szCs w:val="22"/>
          <w:highlight w:val="none"/>
        </w:rPr>
        <w:t>(6)发包人要求；</w:t>
      </w:r>
    </w:p>
    <w:p w14:paraId="47E3D7E5">
      <w:pPr>
        <w:spacing w:before="255" w:line="219" w:lineRule="auto"/>
        <w:ind w:left="539"/>
        <w:rPr>
          <w:rFonts w:ascii="宋体" w:hAnsi="宋体" w:eastAsia="宋体" w:cs="宋体"/>
          <w:sz w:val="20"/>
          <w:szCs w:val="20"/>
          <w:highlight w:val="none"/>
        </w:rPr>
      </w:pPr>
      <w:r>
        <w:rPr>
          <w:rFonts w:ascii="宋体" w:hAnsi="宋体" w:eastAsia="宋体" w:cs="宋体"/>
          <w:spacing w:val="14"/>
          <w:sz w:val="20"/>
          <w:szCs w:val="20"/>
          <w:highlight w:val="none"/>
        </w:rPr>
        <w:t>(7)承包人建议书；</w:t>
      </w:r>
    </w:p>
    <w:p w14:paraId="66964972">
      <w:pPr>
        <w:spacing w:before="213" w:line="218" w:lineRule="auto"/>
        <w:ind w:left="539"/>
        <w:rPr>
          <w:rFonts w:ascii="宋体" w:hAnsi="宋体" w:eastAsia="宋体" w:cs="宋体"/>
          <w:sz w:val="22"/>
          <w:szCs w:val="22"/>
          <w:highlight w:val="none"/>
        </w:rPr>
      </w:pPr>
      <w:r>
        <w:rPr>
          <w:rFonts w:ascii="宋体" w:hAnsi="宋体" w:eastAsia="宋体" w:cs="宋体"/>
          <w:spacing w:val="-2"/>
          <w:sz w:val="22"/>
          <w:szCs w:val="22"/>
          <w:highlight w:val="none"/>
        </w:rPr>
        <w:t>(8)价格清单；</w:t>
      </w:r>
    </w:p>
    <w:p w14:paraId="0EFD2547">
      <w:pPr>
        <w:spacing w:before="233" w:line="219" w:lineRule="auto"/>
        <w:ind w:left="539"/>
        <w:rPr>
          <w:rFonts w:ascii="宋体" w:hAnsi="宋体" w:eastAsia="宋体" w:cs="宋体"/>
          <w:sz w:val="22"/>
          <w:szCs w:val="22"/>
          <w:highlight w:val="none"/>
        </w:rPr>
      </w:pPr>
      <w:r>
        <w:rPr>
          <w:rFonts w:ascii="宋体" w:hAnsi="宋体" w:eastAsia="宋体" w:cs="宋体"/>
          <w:spacing w:val="-2"/>
          <w:sz w:val="22"/>
          <w:szCs w:val="22"/>
          <w:highlight w:val="none"/>
        </w:rPr>
        <w:t>(9)其他合同文件。</w:t>
      </w:r>
    </w:p>
    <w:p w14:paraId="45BF2E2F">
      <w:pPr>
        <w:spacing w:line="219" w:lineRule="auto"/>
        <w:rPr>
          <w:rFonts w:ascii="宋体" w:hAnsi="宋体" w:eastAsia="宋体" w:cs="宋体"/>
          <w:sz w:val="22"/>
          <w:szCs w:val="22"/>
          <w:highlight w:val="none"/>
        </w:rPr>
        <w:sectPr>
          <w:footerReference r:id="rId174" w:type="default"/>
          <w:pgSz w:w="11910" w:h="16840"/>
          <w:pgMar w:top="400" w:right="1720" w:bottom="1217" w:left="1769" w:header="0" w:footer="1013" w:gutter="0"/>
          <w:cols w:space="720" w:num="1"/>
        </w:sectPr>
      </w:pPr>
    </w:p>
    <w:p w14:paraId="04F62489">
      <w:pPr>
        <w:pStyle w:val="2"/>
        <w:spacing w:line="241" w:lineRule="auto"/>
        <w:rPr>
          <w:highlight w:val="none"/>
        </w:rPr>
      </w:pPr>
    </w:p>
    <w:p w14:paraId="7A22369A">
      <w:pPr>
        <w:pStyle w:val="2"/>
        <w:spacing w:line="241" w:lineRule="auto"/>
        <w:rPr>
          <w:highlight w:val="none"/>
        </w:rPr>
      </w:pPr>
    </w:p>
    <w:p w14:paraId="1F486B4E">
      <w:pPr>
        <w:pStyle w:val="2"/>
        <w:spacing w:line="241" w:lineRule="auto"/>
        <w:rPr>
          <w:highlight w:val="none"/>
        </w:rPr>
      </w:pPr>
    </w:p>
    <w:p w14:paraId="755E09C8">
      <w:pPr>
        <w:pStyle w:val="2"/>
        <w:spacing w:line="241" w:lineRule="auto"/>
        <w:rPr>
          <w:highlight w:val="none"/>
        </w:rPr>
      </w:pPr>
    </w:p>
    <w:p w14:paraId="284D98E6">
      <w:pPr>
        <w:spacing w:before="78" w:line="222" w:lineRule="auto"/>
        <w:rPr>
          <w:rFonts w:ascii="黑体" w:hAnsi="黑体" w:eastAsia="黑体" w:cs="黑体"/>
          <w:sz w:val="24"/>
          <w:szCs w:val="24"/>
          <w:highlight w:val="none"/>
        </w:rPr>
      </w:pPr>
      <w:r>
        <w:rPr>
          <w:rFonts w:ascii="黑体" w:hAnsi="黑体" w:eastAsia="黑体" w:cs="黑体"/>
          <w:spacing w:val="11"/>
          <w:sz w:val="24"/>
          <w:szCs w:val="24"/>
          <w:highlight w:val="none"/>
        </w:rPr>
        <w:t>1.5合同协议书</w:t>
      </w:r>
    </w:p>
    <w:p w14:paraId="6EE24578">
      <w:pPr>
        <w:spacing w:before="142" w:line="415" w:lineRule="auto"/>
        <w:ind w:right="5"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承包人按中标通知书规定的时间与发包人签订合同协议书。除法律另有规定</w:t>
      </w:r>
      <w:r>
        <w:rPr>
          <w:rFonts w:ascii="宋体" w:hAnsi="宋体" w:eastAsia="宋体" w:cs="宋体"/>
          <w:spacing w:val="-3"/>
          <w:sz w:val="21"/>
          <w:szCs w:val="21"/>
          <w:highlight w:val="none"/>
        </w:rPr>
        <w:t>或合同另有</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约定外，发包人和承包人的法定代表人或其委托代理人在合同协议书上签字并盖单位章后，</w:t>
      </w:r>
      <w:r>
        <w:rPr>
          <w:rFonts w:ascii="宋体" w:hAnsi="宋体" w:eastAsia="宋体" w:cs="宋体"/>
          <w:spacing w:val="14"/>
          <w:sz w:val="21"/>
          <w:szCs w:val="21"/>
          <w:highlight w:val="none"/>
        </w:rPr>
        <w:t xml:space="preserve"> </w:t>
      </w:r>
      <w:r>
        <w:rPr>
          <w:rFonts w:ascii="宋体" w:hAnsi="宋体" w:eastAsia="宋体" w:cs="宋体"/>
          <w:spacing w:val="-7"/>
          <w:sz w:val="21"/>
          <w:szCs w:val="21"/>
          <w:highlight w:val="none"/>
        </w:rPr>
        <w:t>合同生效。</w:t>
      </w:r>
    </w:p>
    <w:p w14:paraId="33CC3A41">
      <w:pPr>
        <w:spacing w:before="73" w:line="222" w:lineRule="auto"/>
        <w:rPr>
          <w:rFonts w:ascii="黑体" w:hAnsi="黑体" w:eastAsia="黑体" w:cs="黑体"/>
          <w:sz w:val="24"/>
          <w:szCs w:val="24"/>
          <w:highlight w:val="none"/>
        </w:rPr>
      </w:pPr>
      <w:r>
        <w:rPr>
          <w:rFonts w:ascii="黑体" w:hAnsi="黑体" w:eastAsia="黑体" w:cs="黑体"/>
          <w:spacing w:val="-2"/>
          <w:sz w:val="24"/>
          <w:szCs w:val="24"/>
          <w:highlight w:val="none"/>
        </w:rPr>
        <w:t>1.6 文件的提供和照管</w:t>
      </w:r>
    </w:p>
    <w:p w14:paraId="566BDF23">
      <w:pPr>
        <w:spacing w:before="120" w:line="219" w:lineRule="auto"/>
        <w:ind w:left="420"/>
        <w:rPr>
          <w:rFonts w:ascii="宋体" w:hAnsi="宋体" w:eastAsia="宋体" w:cs="宋体"/>
          <w:sz w:val="22"/>
          <w:szCs w:val="22"/>
          <w:highlight w:val="none"/>
        </w:rPr>
      </w:pPr>
      <w:r>
        <w:rPr>
          <w:rFonts w:ascii="宋体" w:hAnsi="宋体" w:eastAsia="宋体" w:cs="宋体"/>
          <w:spacing w:val="-1"/>
          <w:sz w:val="22"/>
          <w:szCs w:val="22"/>
          <w:highlight w:val="none"/>
        </w:rPr>
        <w:t>1.6.1承包人文件的提供</w:t>
      </w:r>
    </w:p>
    <w:p w14:paraId="5CB9E8F8">
      <w:pPr>
        <w:spacing w:before="231" w:line="395" w:lineRule="auto"/>
        <w:ind w:right="60" w:firstLine="420"/>
        <w:rPr>
          <w:rFonts w:ascii="宋体" w:hAnsi="宋体" w:eastAsia="宋体" w:cs="宋体"/>
          <w:sz w:val="22"/>
          <w:szCs w:val="22"/>
          <w:highlight w:val="none"/>
        </w:rPr>
      </w:pPr>
      <w:r>
        <w:rPr>
          <w:rFonts w:ascii="宋体" w:hAnsi="宋体" w:eastAsia="宋体" w:cs="宋体"/>
          <w:spacing w:val="-12"/>
          <w:sz w:val="22"/>
          <w:szCs w:val="22"/>
          <w:highlight w:val="none"/>
        </w:rPr>
        <w:t>除专用合同条款另有约定外，承包人应在合理的期限内按照合同约定的数</w:t>
      </w:r>
      <w:r>
        <w:rPr>
          <w:rFonts w:ascii="宋体" w:hAnsi="宋体" w:eastAsia="宋体" w:cs="宋体"/>
          <w:spacing w:val="-13"/>
          <w:sz w:val="22"/>
          <w:szCs w:val="22"/>
          <w:highlight w:val="none"/>
        </w:rPr>
        <w:t>量向监理人提</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供承包人文件。合同约定承包人文件应批准的，监理人应当在合同约定的期限内批复。</w:t>
      </w:r>
      <w:r>
        <w:rPr>
          <w:rFonts w:ascii="宋体" w:hAnsi="宋体" w:eastAsia="宋体" w:cs="宋体"/>
          <w:spacing w:val="-13"/>
          <w:sz w:val="22"/>
          <w:szCs w:val="22"/>
          <w:highlight w:val="none"/>
        </w:rPr>
        <w:t>承包</w:t>
      </w:r>
      <w:r>
        <w:rPr>
          <w:rFonts w:ascii="宋体" w:hAnsi="宋体" w:eastAsia="宋体" w:cs="宋体"/>
          <w:sz w:val="22"/>
          <w:szCs w:val="22"/>
          <w:highlight w:val="none"/>
        </w:rPr>
        <w:t xml:space="preserve"> </w:t>
      </w:r>
      <w:r>
        <w:rPr>
          <w:rFonts w:ascii="宋体" w:hAnsi="宋体" w:eastAsia="宋体" w:cs="宋体"/>
          <w:spacing w:val="-1"/>
          <w:sz w:val="22"/>
          <w:szCs w:val="22"/>
          <w:highlight w:val="none"/>
        </w:rPr>
        <w:t>人的设计文件的提供和审查按第5.3款和第5.</w:t>
      </w:r>
      <w:r>
        <w:rPr>
          <w:rFonts w:ascii="宋体" w:hAnsi="宋体" w:eastAsia="宋体" w:cs="宋体"/>
          <w:spacing w:val="-2"/>
          <w:sz w:val="22"/>
          <w:szCs w:val="22"/>
          <w:highlight w:val="none"/>
        </w:rPr>
        <w:t>5款的约定执行。</w:t>
      </w:r>
    </w:p>
    <w:p w14:paraId="0CADC72D">
      <w:pPr>
        <w:spacing w:before="15"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1.6.2    </w:t>
      </w:r>
      <w:r>
        <w:rPr>
          <w:rFonts w:ascii="宋体" w:hAnsi="宋体" w:eastAsia="宋体" w:cs="宋体"/>
          <w:spacing w:val="-7"/>
          <w:sz w:val="22"/>
          <w:szCs w:val="22"/>
          <w:highlight w:val="none"/>
        </w:rPr>
        <w:t>发包人提供的文件</w:t>
      </w:r>
    </w:p>
    <w:p w14:paraId="1E8617E3">
      <w:pPr>
        <w:spacing w:before="228" w:line="424" w:lineRule="auto"/>
        <w:ind w:right="60" w:firstLine="420"/>
        <w:rPr>
          <w:rFonts w:ascii="宋体" w:hAnsi="宋体" w:eastAsia="宋体" w:cs="宋体"/>
          <w:sz w:val="21"/>
          <w:szCs w:val="21"/>
          <w:highlight w:val="none"/>
        </w:rPr>
      </w:pPr>
      <w:r>
        <w:rPr>
          <w:rFonts w:ascii="宋体" w:hAnsi="宋体" w:eastAsia="宋体" w:cs="宋体"/>
          <w:spacing w:val="-2"/>
          <w:sz w:val="21"/>
          <w:szCs w:val="21"/>
          <w:highlight w:val="none"/>
        </w:rPr>
        <w:t>按专用合同条款约定由发包人提供的文件，包括前期工作相关文件、环境</w:t>
      </w:r>
      <w:r>
        <w:rPr>
          <w:rFonts w:ascii="宋体" w:hAnsi="宋体" w:eastAsia="宋体" w:cs="宋体"/>
          <w:spacing w:val="-3"/>
          <w:sz w:val="21"/>
          <w:szCs w:val="21"/>
          <w:highlight w:val="none"/>
        </w:rPr>
        <w:t>保护、气象水</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文、地质条件等，发包人应按约定的数量和期限交给承包人。由于发包人未按时提供</w:t>
      </w:r>
      <w:r>
        <w:rPr>
          <w:rFonts w:ascii="宋体" w:hAnsi="宋体" w:eastAsia="宋体" w:cs="宋体"/>
          <w:spacing w:val="-3"/>
          <w:sz w:val="21"/>
          <w:szCs w:val="21"/>
          <w:highlight w:val="none"/>
        </w:rPr>
        <w:t>文件造</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成工期延误的，按第11.3款约定执行。</w:t>
      </w:r>
    </w:p>
    <w:p w14:paraId="19CEE6D0">
      <w:pPr>
        <w:spacing w:before="4" w:line="219" w:lineRule="auto"/>
        <w:ind w:left="42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1.6.3</w:t>
      </w:r>
      <w:r>
        <w:rPr>
          <w:rFonts w:ascii="Times New Roman" w:hAnsi="Times New Roman" w:eastAsia="Times New Roman" w:cs="Times New Roman"/>
          <w:spacing w:val="11"/>
          <w:sz w:val="20"/>
          <w:szCs w:val="20"/>
          <w:highlight w:val="none"/>
        </w:rPr>
        <w:t xml:space="preserve">    </w:t>
      </w:r>
      <w:r>
        <w:rPr>
          <w:rFonts w:ascii="宋体" w:hAnsi="宋体" w:eastAsia="宋体" w:cs="宋体"/>
          <w:spacing w:val="5"/>
          <w:sz w:val="20"/>
          <w:szCs w:val="20"/>
          <w:highlight w:val="none"/>
        </w:rPr>
        <w:t>文件错误的通知</w:t>
      </w:r>
    </w:p>
    <w:p w14:paraId="6B6F4F34">
      <w:pPr>
        <w:spacing w:before="224"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任何一方发现了文件中存在的明显错误或疏忽，应及时通知另一方。</w:t>
      </w:r>
    </w:p>
    <w:p w14:paraId="3082E8EB">
      <w:pPr>
        <w:spacing w:before="219"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1.6.4</w:t>
      </w:r>
      <w:r>
        <w:rPr>
          <w:rFonts w:ascii="Times New Roman" w:hAnsi="Times New Roman" w:eastAsia="Times New Roman" w:cs="Times New Roman"/>
          <w:spacing w:val="15"/>
          <w:sz w:val="22"/>
          <w:szCs w:val="22"/>
          <w:highlight w:val="none"/>
        </w:rPr>
        <w:t xml:space="preserve">   </w:t>
      </w:r>
      <w:r>
        <w:rPr>
          <w:rFonts w:ascii="宋体" w:hAnsi="宋体" w:eastAsia="宋体" w:cs="宋体"/>
          <w:spacing w:val="-7"/>
          <w:sz w:val="22"/>
          <w:szCs w:val="22"/>
          <w:highlight w:val="none"/>
        </w:rPr>
        <w:t>文件的照管</w:t>
      </w:r>
    </w:p>
    <w:p w14:paraId="0A3EECCD">
      <w:pPr>
        <w:spacing w:before="238" w:line="445" w:lineRule="auto"/>
        <w:ind w:right="59" w:firstLine="420"/>
        <w:rPr>
          <w:rFonts w:ascii="宋体" w:hAnsi="宋体" w:eastAsia="宋体" w:cs="宋体"/>
          <w:sz w:val="20"/>
          <w:szCs w:val="20"/>
          <w:highlight w:val="none"/>
        </w:rPr>
      </w:pPr>
      <w:r>
        <w:rPr>
          <w:rFonts w:ascii="宋体" w:hAnsi="宋体" w:eastAsia="宋体" w:cs="宋体"/>
          <w:spacing w:val="8"/>
          <w:sz w:val="20"/>
          <w:szCs w:val="20"/>
          <w:highlight w:val="none"/>
        </w:rPr>
        <w:t>承包人应在现场保留一份合同、发包人要求中列出的所有文件、承包人文件</w:t>
      </w:r>
      <w:r>
        <w:rPr>
          <w:rFonts w:ascii="宋体" w:hAnsi="宋体" w:eastAsia="宋体" w:cs="宋体"/>
          <w:spacing w:val="7"/>
          <w:sz w:val="20"/>
          <w:szCs w:val="20"/>
          <w:highlight w:val="none"/>
        </w:rPr>
        <w:t>、变更以及</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其它根据合同收发的往来信函。发包人有权在任何合理的时间查阅和使用上述所有文件。</w:t>
      </w:r>
    </w:p>
    <w:p w14:paraId="4451891E">
      <w:pPr>
        <w:spacing w:before="56" w:line="221" w:lineRule="auto"/>
        <w:rPr>
          <w:rFonts w:ascii="黑体" w:hAnsi="黑体" w:eastAsia="黑体" w:cs="黑体"/>
          <w:sz w:val="24"/>
          <w:szCs w:val="24"/>
          <w:highlight w:val="none"/>
        </w:rPr>
      </w:pPr>
      <w:r>
        <w:rPr>
          <w:rFonts w:ascii="黑体" w:hAnsi="黑体" w:eastAsia="黑体" w:cs="黑体"/>
          <w:spacing w:val="15"/>
          <w:sz w:val="24"/>
          <w:szCs w:val="24"/>
          <w:highlight w:val="none"/>
        </w:rPr>
        <w:t>1.7联络</w:t>
      </w:r>
    </w:p>
    <w:p w14:paraId="70E8DE45">
      <w:pPr>
        <w:spacing w:before="93" w:line="329" w:lineRule="auto"/>
        <w:ind w:right="96" w:firstLine="42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1.7.1</w:t>
      </w:r>
      <w:r>
        <w:rPr>
          <w:rFonts w:ascii="Times New Roman" w:hAnsi="Times New Roman" w:eastAsia="Times New Roman" w:cs="Times New Roman"/>
          <w:spacing w:val="18"/>
          <w:sz w:val="21"/>
          <w:szCs w:val="21"/>
          <w:highlight w:val="none"/>
        </w:rPr>
        <w:t xml:space="preserve">   </w:t>
      </w:r>
      <w:r>
        <w:rPr>
          <w:rFonts w:ascii="宋体" w:hAnsi="宋体" w:eastAsia="宋体" w:cs="宋体"/>
          <w:spacing w:val="-3"/>
          <w:sz w:val="21"/>
          <w:szCs w:val="21"/>
          <w:highlight w:val="none"/>
        </w:rPr>
        <w:t>与合同有关的通知、批准、证明、证书、指示、要求、请求、同意、意见、确定</w:t>
      </w:r>
      <w:r>
        <w:rPr>
          <w:rFonts w:ascii="宋体" w:hAnsi="宋体" w:eastAsia="宋体" w:cs="宋体"/>
          <w:spacing w:val="1"/>
          <w:sz w:val="21"/>
          <w:szCs w:val="21"/>
          <w:highlight w:val="none"/>
        </w:rPr>
        <w:t xml:space="preserve"> </w:t>
      </w:r>
      <w:r>
        <w:rPr>
          <w:rFonts w:ascii="宋体" w:hAnsi="宋体" w:eastAsia="宋体" w:cs="宋体"/>
          <w:spacing w:val="-3"/>
          <w:sz w:val="21"/>
          <w:szCs w:val="21"/>
          <w:highlight w:val="none"/>
        </w:rPr>
        <w:t>和决定等，均应采用书面形式。</w:t>
      </w:r>
    </w:p>
    <w:p w14:paraId="7BC2BE0A">
      <w:pPr>
        <w:spacing w:before="232" w:line="336" w:lineRule="auto"/>
        <w:ind w:right="62" w:firstLine="420"/>
        <w:rPr>
          <w:rFonts w:ascii="宋体" w:hAnsi="宋体" w:eastAsia="宋体" w:cs="宋体"/>
          <w:sz w:val="22"/>
          <w:szCs w:val="22"/>
          <w:highlight w:val="none"/>
        </w:rPr>
      </w:pPr>
      <w:r>
        <w:rPr>
          <w:rFonts w:ascii="宋体" w:hAnsi="宋体" w:eastAsia="宋体" w:cs="宋体"/>
          <w:spacing w:val="-2"/>
          <w:sz w:val="22"/>
          <w:szCs w:val="22"/>
          <w:highlight w:val="none"/>
        </w:rPr>
        <w:t>1.7.2第1.7.1</w:t>
      </w:r>
      <w:r>
        <w:rPr>
          <w:rFonts w:ascii="宋体" w:hAnsi="宋体" w:eastAsia="宋体" w:cs="宋体"/>
          <w:spacing w:val="-32"/>
          <w:sz w:val="22"/>
          <w:szCs w:val="22"/>
          <w:highlight w:val="none"/>
        </w:rPr>
        <w:t xml:space="preserve"> </w:t>
      </w:r>
      <w:r>
        <w:rPr>
          <w:rFonts w:ascii="宋体" w:hAnsi="宋体" w:eastAsia="宋体" w:cs="宋体"/>
          <w:spacing w:val="-2"/>
          <w:sz w:val="22"/>
          <w:szCs w:val="22"/>
          <w:highlight w:val="none"/>
        </w:rPr>
        <w:t>项中的通知、批准、证</w:t>
      </w:r>
      <w:r>
        <w:rPr>
          <w:rFonts w:ascii="宋体" w:hAnsi="宋体" w:eastAsia="宋体" w:cs="宋体"/>
          <w:spacing w:val="-3"/>
          <w:sz w:val="22"/>
          <w:szCs w:val="22"/>
          <w:highlight w:val="none"/>
        </w:rPr>
        <w:t>明、证书、指示、要求、请求、同意、意见、</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确定和决定等来往函件，均应在合同约定的期限内送达指定的地点和指定的接收人</w:t>
      </w:r>
      <w:r>
        <w:rPr>
          <w:rFonts w:ascii="宋体" w:hAnsi="宋体" w:eastAsia="宋体" w:cs="宋体"/>
          <w:spacing w:val="-13"/>
          <w:sz w:val="22"/>
          <w:szCs w:val="22"/>
          <w:highlight w:val="none"/>
        </w:rPr>
        <w:t>，并办理</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签收手续。</w:t>
      </w:r>
    </w:p>
    <w:p w14:paraId="15C1F3D7">
      <w:pPr>
        <w:spacing w:before="288" w:line="222" w:lineRule="auto"/>
        <w:rPr>
          <w:rFonts w:ascii="黑体" w:hAnsi="黑体" w:eastAsia="黑体" w:cs="黑体"/>
          <w:sz w:val="24"/>
          <w:szCs w:val="24"/>
          <w:highlight w:val="none"/>
        </w:rPr>
      </w:pPr>
      <w:r>
        <w:rPr>
          <w:rFonts w:ascii="黑体" w:hAnsi="黑体" w:eastAsia="黑体" w:cs="黑体"/>
          <w:spacing w:val="-6"/>
          <w:sz w:val="24"/>
          <w:szCs w:val="24"/>
          <w:highlight w:val="none"/>
        </w:rPr>
        <w:t>1.8</w:t>
      </w:r>
      <w:r>
        <w:rPr>
          <w:rFonts w:ascii="黑体" w:hAnsi="黑体" w:eastAsia="黑体" w:cs="黑体"/>
          <w:spacing w:val="-15"/>
          <w:sz w:val="24"/>
          <w:szCs w:val="24"/>
          <w:highlight w:val="none"/>
        </w:rPr>
        <w:t xml:space="preserve"> </w:t>
      </w:r>
      <w:r>
        <w:rPr>
          <w:rFonts w:ascii="黑体" w:hAnsi="黑体" w:eastAsia="黑体" w:cs="黑体"/>
          <w:spacing w:val="-6"/>
          <w:sz w:val="24"/>
          <w:szCs w:val="24"/>
          <w:highlight w:val="none"/>
        </w:rPr>
        <w:t>转让</w:t>
      </w:r>
    </w:p>
    <w:p w14:paraId="07CC8E1B">
      <w:pPr>
        <w:spacing w:before="123" w:line="404" w:lineRule="auto"/>
        <w:ind w:firstLine="420"/>
        <w:jc w:val="both"/>
        <w:rPr>
          <w:rFonts w:ascii="宋体" w:hAnsi="宋体" w:eastAsia="宋体" w:cs="宋体"/>
          <w:sz w:val="22"/>
          <w:szCs w:val="22"/>
          <w:highlight w:val="none"/>
        </w:rPr>
      </w:pPr>
      <w:r>
        <w:rPr>
          <w:rFonts w:ascii="宋体" w:hAnsi="宋体" w:eastAsia="宋体" w:cs="宋体"/>
          <w:spacing w:val="-16"/>
          <w:sz w:val="22"/>
          <w:szCs w:val="22"/>
          <w:highlight w:val="none"/>
        </w:rPr>
        <w:t>除合同另有约定外，未经承包人同意，发包人不得将合同权利全部或部分转让给第三人，</w:t>
      </w:r>
      <w:r>
        <w:rPr>
          <w:rFonts w:ascii="宋体" w:hAnsi="宋体" w:eastAsia="宋体" w:cs="宋体"/>
          <w:spacing w:val="2"/>
          <w:sz w:val="22"/>
          <w:szCs w:val="22"/>
          <w:highlight w:val="none"/>
        </w:rPr>
        <w:t xml:space="preserve"> </w:t>
      </w:r>
      <w:r>
        <w:rPr>
          <w:rFonts w:ascii="宋体" w:hAnsi="宋体" w:eastAsia="宋体" w:cs="宋体"/>
          <w:spacing w:val="-12"/>
          <w:sz w:val="22"/>
          <w:szCs w:val="22"/>
          <w:highlight w:val="none"/>
        </w:rPr>
        <w:t>也不得全部或部分转让合同义务。承包人不得将合同权利和义务全部转让给第三人，</w:t>
      </w:r>
      <w:r>
        <w:rPr>
          <w:rFonts w:ascii="宋体" w:hAnsi="宋体" w:eastAsia="宋体" w:cs="宋体"/>
          <w:spacing w:val="-13"/>
          <w:sz w:val="22"/>
          <w:szCs w:val="22"/>
          <w:highlight w:val="none"/>
        </w:rPr>
        <w:t>也不得</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将合同的义务全部或部分转让给第三人，法律另有规定的除外。</w:t>
      </w:r>
    </w:p>
    <w:p w14:paraId="5A44E80D">
      <w:pPr>
        <w:spacing w:line="404" w:lineRule="auto"/>
        <w:rPr>
          <w:rFonts w:ascii="宋体" w:hAnsi="宋体" w:eastAsia="宋体" w:cs="宋体"/>
          <w:sz w:val="22"/>
          <w:szCs w:val="22"/>
          <w:highlight w:val="none"/>
        </w:rPr>
        <w:sectPr>
          <w:footerReference r:id="rId175" w:type="default"/>
          <w:pgSz w:w="11910" w:h="16840"/>
          <w:pgMar w:top="400" w:right="1750" w:bottom="1238" w:left="1779" w:header="0" w:footer="1006" w:gutter="0"/>
          <w:cols w:space="720" w:num="1"/>
        </w:sectPr>
      </w:pPr>
    </w:p>
    <w:p w14:paraId="11407DE2">
      <w:pPr>
        <w:pStyle w:val="2"/>
        <w:spacing w:line="243" w:lineRule="auto"/>
        <w:rPr>
          <w:highlight w:val="none"/>
        </w:rPr>
      </w:pPr>
    </w:p>
    <w:p w14:paraId="0CCB04AC">
      <w:pPr>
        <w:pStyle w:val="2"/>
        <w:spacing w:line="243" w:lineRule="auto"/>
        <w:rPr>
          <w:highlight w:val="none"/>
        </w:rPr>
      </w:pPr>
    </w:p>
    <w:p w14:paraId="3483BF0B">
      <w:pPr>
        <w:pStyle w:val="2"/>
        <w:spacing w:line="244" w:lineRule="auto"/>
        <w:rPr>
          <w:highlight w:val="none"/>
        </w:rPr>
      </w:pPr>
    </w:p>
    <w:p w14:paraId="0F0D8DA5">
      <w:pPr>
        <w:pStyle w:val="2"/>
        <w:spacing w:line="244" w:lineRule="auto"/>
        <w:rPr>
          <w:highlight w:val="none"/>
        </w:rPr>
      </w:pPr>
    </w:p>
    <w:p w14:paraId="0CA3342E">
      <w:pPr>
        <w:spacing w:before="78" w:line="222" w:lineRule="auto"/>
        <w:rPr>
          <w:rFonts w:ascii="黑体" w:hAnsi="黑体" w:eastAsia="黑体" w:cs="黑体"/>
          <w:sz w:val="24"/>
          <w:szCs w:val="24"/>
          <w:highlight w:val="none"/>
        </w:rPr>
      </w:pPr>
      <w:r>
        <w:rPr>
          <w:rFonts w:ascii="黑体" w:hAnsi="黑体" w:eastAsia="黑体" w:cs="黑体"/>
          <w:spacing w:val="-5"/>
          <w:sz w:val="24"/>
          <w:szCs w:val="24"/>
          <w:highlight w:val="none"/>
        </w:rPr>
        <w:t>1.9</w:t>
      </w:r>
      <w:r>
        <w:rPr>
          <w:rFonts w:ascii="黑体" w:hAnsi="黑体" w:eastAsia="黑体" w:cs="黑体"/>
          <w:spacing w:val="-13"/>
          <w:sz w:val="24"/>
          <w:szCs w:val="24"/>
          <w:highlight w:val="none"/>
        </w:rPr>
        <w:t xml:space="preserve"> </w:t>
      </w:r>
      <w:r>
        <w:rPr>
          <w:rFonts w:ascii="黑体" w:hAnsi="黑体" w:eastAsia="黑体" w:cs="黑体"/>
          <w:spacing w:val="-5"/>
          <w:sz w:val="24"/>
          <w:szCs w:val="24"/>
          <w:highlight w:val="none"/>
        </w:rPr>
        <w:t>严禁贿赂</w:t>
      </w:r>
    </w:p>
    <w:p w14:paraId="7A44120D">
      <w:pPr>
        <w:spacing w:before="140" w:line="436" w:lineRule="auto"/>
        <w:ind w:right="96" w:firstLine="430"/>
        <w:rPr>
          <w:rFonts w:ascii="宋体" w:hAnsi="宋体" w:eastAsia="宋体" w:cs="宋体"/>
          <w:sz w:val="20"/>
          <w:szCs w:val="20"/>
          <w:highlight w:val="none"/>
        </w:rPr>
      </w:pPr>
      <w:r>
        <w:rPr>
          <w:rFonts w:ascii="宋体" w:hAnsi="宋体" w:eastAsia="宋体" w:cs="宋体"/>
          <w:spacing w:val="7"/>
          <w:sz w:val="20"/>
          <w:szCs w:val="20"/>
          <w:highlight w:val="none"/>
        </w:rPr>
        <w:t>合同双方当事人不得以贿赂或变相贿赂的方式，谋取不当利益或损害对方权益。因贿赂</w:t>
      </w:r>
      <w:r>
        <w:rPr>
          <w:rFonts w:ascii="宋体" w:hAnsi="宋体" w:eastAsia="宋体" w:cs="宋体"/>
          <w:spacing w:val="10"/>
          <w:sz w:val="20"/>
          <w:szCs w:val="20"/>
          <w:highlight w:val="none"/>
        </w:rPr>
        <w:t xml:space="preserve"> </w:t>
      </w:r>
      <w:r>
        <w:rPr>
          <w:rFonts w:ascii="宋体" w:hAnsi="宋体" w:eastAsia="宋体" w:cs="宋体"/>
          <w:spacing w:val="9"/>
          <w:sz w:val="20"/>
          <w:szCs w:val="20"/>
          <w:highlight w:val="none"/>
        </w:rPr>
        <w:t>造成对方损失的，行为人应赔偿损失，并承担相应的法律责任。</w:t>
      </w:r>
    </w:p>
    <w:p w14:paraId="3C864389">
      <w:pPr>
        <w:spacing w:before="55" w:line="222" w:lineRule="auto"/>
        <w:rPr>
          <w:rFonts w:ascii="黑体" w:hAnsi="黑体" w:eastAsia="黑体" w:cs="黑体"/>
          <w:sz w:val="24"/>
          <w:szCs w:val="24"/>
          <w:highlight w:val="none"/>
        </w:rPr>
      </w:pPr>
      <w:r>
        <w:rPr>
          <w:rFonts w:ascii="黑体" w:hAnsi="黑体" w:eastAsia="黑体" w:cs="黑体"/>
          <w:spacing w:val="10"/>
          <w:sz w:val="24"/>
          <w:szCs w:val="24"/>
          <w:highlight w:val="none"/>
        </w:rPr>
        <w:t>1.10化石、文物</w:t>
      </w:r>
    </w:p>
    <w:p w14:paraId="5DBF9F31">
      <w:pPr>
        <w:spacing w:before="142" w:line="376" w:lineRule="auto"/>
        <w:ind w:right="20"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1.10.1</w:t>
      </w:r>
      <w:r>
        <w:rPr>
          <w:rFonts w:ascii="Times New Roman" w:hAnsi="Times New Roman" w:eastAsia="Times New Roman" w:cs="Times New Roman"/>
          <w:spacing w:val="14"/>
          <w:sz w:val="21"/>
          <w:szCs w:val="21"/>
          <w:highlight w:val="none"/>
        </w:rPr>
        <w:t xml:space="preserve">   </w:t>
      </w:r>
      <w:r>
        <w:rPr>
          <w:rFonts w:ascii="宋体" w:hAnsi="宋体" w:eastAsia="宋体" w:cs="宋体"/>
          <w:sz w:val="21"/>
          <w:szCs w:val="21"/>
          <w:highlight w:val="none"/>
        </w:rPr>
        <w:t>在施工场地发掘的所有文物、古迹以及具有地质研究</w:t>
      </w:r>
      <w:r>
        <w:rPr>
          <w:rFonts w:ascii="宋体" w:hAnsi="宋体" w:eastAsia="宋体" w:cs="宋体"/>
          <w:spacing w:val="-1"/>
          <w:sz w:val="21"/>
          <w:szCs w:val="21"/>
          <w:highlight w:val="none"/>
        </w:rPr>
        <w:t>或考古价值的其他遗迹、</w:t>
      </w:r>
      <w:r>
        <w:rPr>
          <w:rFonts w:ascii="宋体" w:hAnsi="宋体" w:eastAsia="宋体" w:cs="宋体"/>
          <w:sz w:val="21"/>
          <w:szCs w:val="21"/>
          <w:highlight w:val="none"/>
        </w:rPr>
        <w:t xml:space="preserve">  化石、钱币或物品属于国家所有。一旦发现上述文物</w:t>
      </w:r>
      <w:r>
        <w:rPr>
          <w:rFonts w:ascii="宋体" w:hAnsi="宋体" w:eastAsia="宋体" w:cs="宋体"/>
          <w:spacing w:val="-1"/>
          <w:sz w:val="21"/>
          <w:szCs w:val="21"/>
          <w:highlight w:val="none"/>
        </w:rPr>
        <w:t>，承包人应采取有效合理的保护措施，</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防止任何人员移动或损坏上述物品，并立即报告当地文物行政部</w:t>
      </w:r>
      <w:r>
        <w:rPr>
          <w:rFonts w:ascii="宋体" w:hAnsi="宋体" w:eastAsia="宋体" w:cs="宋体"/>
          <w:spacing w:val="-3"/>
          <w:sz w:val="21"/>
          <w:szCs w:val="21"/>
          <w:highlight w:val="none"/>
        </w:rPr>
        <w:t>门，同时通知监理人和发包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人。发包人、监理人和承包人应按文物行政部门要求采取妥善保护措施，由此导</w:t>
      </w:r>
      <w:r>
        <w:rPr>
          <w:rFonts w:ascii="宋体" w:hAnsi="宋体" w:eastAsia="宋体" w:cs="宋体"/>
          <w:spacing w:val="-3"/>
          <w:sz w:val="21"/>
          <w:szCs w:val="21"/>
          <w:highlight w:val="none"/>
        </w:rPr>
        <w:t>致费用增加</w:t>
      </w:r>
      <w:r>
        <w:rPr>
          <w:rFonts w:ascii="宋体" w:hAnsi="宋体" w:eastAsia="宋体" w:cs="宋体"/>
          <w:sz w:val="21"/>
          <w:szCs w:val="21"/>
          <w:highlight w:val="none"/>
        </w:rPr>
        <w:t xml:space="preserve"> </w:t>
      </w:r>
      <w:r>
        <w:rPr>
          <w:rFonts w:ascii="宋体" w:hAnsi="宋体" w:eastAsia="宋体" w:cs="宋体"/>
          <w:spacing w:val="13"/>
          <w:sz w:val="21"/>
          <w:szCs w:val="21"/>
          <w:highlight w:val="none"/>
        </w:rPr>
        <w:t>和(或)工期延误由发包人承担。</w:t>
      </w:r>
    </w:p>
    <w:p w14:paraId="325476F5">
      <w:pPr>
        <w:spacing w:before="258" w:line="332" w:lineRule="auto"/>
        <w:ind w:right="88" w:firstLine="43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1.10.2    </w:t>
      </w:r>
      <w:r>
        <w:rPr>
          <w:rFonts w:ascii="宋体" w:hAnsi="宋体" w:eastAsia="宋体" w:cs="宋体"/>
          <w:spacing w:val="9"/>
          <w:sz w:val="20"/>
          <w:szCs w:val="20"/>
          <w:highlight w:val="none"/>
        </w:rPr>
        <w:t>承包人发现文物后不及时报告或隐瞒不报，致使文物</w:t>
      </w:r>
      <w:r>
        <w:rPr>
          <w:rFonts w:ascii="宋体" w:hAnsi="宋体" w:eastAsia="宋体" w:cs="宋体"/>
          <w:spacing w:val="8"/>
          <w:sz w:val="20"/>
          <w:szCs w:val="20"/>
          <w:highlight w:val="none"/>
        </w:rPr>
        <w:t>丢失或损坏的，应赔偿损</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失，并承担相应的法律责任。</w:t>
      </w:r>
    </w:p>
    <w:p w14:paraId="05A1EBF5">
      <w:pPr>
        <w:spacing w:before="295" w:line="222" w:lineRule="auto"/>
        <w:rPr>
          <w:rFonts w:ascii="黑体" w:hAnsi="黑体" w:eastAsia="黑体" w:cs="黑体"/>
          <w:sz w:val="24"/>
          <w:szCs w:val="24"/>
          <w:highlight w:val="none"/>
        </w:rPr>
      </w:pPr>
      <w:r>
        <w:rPr>
          <w:rFonts w:ascii="黑体" w:hAnsi="黑体" w:eastAsia="黑体" w:cs="黑体"/>
          <w:spacing w:val="-3"/>
          <w:sz w:val="24"/>
          <w:szCs w:val="24"/>
          <w:highlight w:val="none"/>
        </w:rPr>
        <w:t>1.11</w:t>
      </w:r>
      <w:r>
        <w:rPr>
          <w:rFonts w:ascii="黑体" w:hAnsi="黑体" w:eastAsia="黑体" w:cs="黑体"/>
          <w:spacing w:val="-19"/>
          <w:sz w:val="24"/>
          <w:szCs w:val="24"/>
          <w:highlight w:val="none"/>
        </w:rPr>
        <w:t xml:space="preserve"> </w:t>
      </w:r>
      <w:r>
        <w:rPr>
          <w:rFonts w:ascii="黑体" w:hAnsi="黑体" w:eastAsia="黑体" w:cs="黑体"/>
          <w:spacing w:val="-3"/>
          <w:sz w:val="24"/>
          <w:szCs w:val="24"/>
          <w:highlight w:val="none"/>
        </w:rPr>
        <w:t>知识产权</w:t>
      </w:r>
    </w:p>
    <w:p w14:paraId="69C3BAEA">
      <w:pPr>
        <w:spacing w:before="120" w:line="311" w:lineRule="auto"/>
        <w:ind w:right="14" w:firstLine="430"/>
        <w:rPr>
          <w:rFonts w:ascii="宋体" w:hAnsi="宋体" w:eastAsia="宋体" w:cs="宋体"/>
          <w:sz w:val="22"/>
          <w:szCs w:val="22"/>
          <w:highlight w:val="none"/>
        </w:rPr>
      </w:pPr>
      <w:r>
        <w:rPr>
          <w:rFonts w:ascii="宋体" w:hAnsi="宋体" w:eastAsia="宋体" w:cs="宋体"/>
          <w:spacing w:val="-10"/>
          <w:sz w:val="22"/>
          <w:szCs w:val="22"/>
          <w:highlight w:val="none"/>
        </w:rPr>
        <w:t>1.11.1除专用合同条款另有约定外，承包人完成的设计工作成果和建造完成的建筑物，</w:t>
      </w:r>
      <w:r>
        <w:rPr>
          <w:rFonts w:ascii="宋体" w:hAnsi="宋体" w:eastAsia="宋体" w:cs="宋体"/>
          <w:spacing w:val="9"/>
          <w:sz w:val="22"/>
          <w:szCs w:val="22"/>
          <w:highlight w:val="none"/>
        </w:rPr>
        <w:t xml:space="preserve"> </w:t>
      </w:r>
      <w:r>
        <w:rPr>
          <w:rFonts w:ascii="宋体" w:hAnsi="宋体" w:eastAsia="宋体" w:cs="宋体"/>
          <w:spacing w:val="-10"/>
          <w:sz w:val="22"/>
          <w:szCs w:val="22"/>
          <w:highlight w:val="none"/>
        </w:rPr>
        <w:t>除署名权以外的著作权以及建筑物形象使用收益等其他知识产权均归发包人享有。</w:t>
      </w:r>
    </w:p>
    <w:p w14:paraId="7814C54E">
      <w:pPr>
        <w:spacing w:before="219" w:line="311" w:lineRule="auto"/>
        <w:ind w:right="93" w:firstLine="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1.11.2   </w:t>
      </w:r>
      <w:r>
        <w:rPr>
          <w:rFonts w:ascii="宋体" w:hAnsi="宋体" w:eastAsia="宋体" w:cs="宋体"/>
          <w:spacing w:val="-7"/>
          <w:sz w:val="22"/>
          <w:szCs w:val="22"/>
          <w:highlight w:val="none"/>
        </w:rPr>
        <w:t>承包人在进行设计，以及使用任何材料、承包</w:t>
      </w:r>
      <w:r>
        <w:rPr>
          <w:rFonts w:ascii="宋体" w:hAnsi="宋体" w:eastAsia="宋体" w:cs="宋体"/>
          <w:spacing w:val="-8"/>
          <w:sz w:val="22"/>
          <w:szCs w:val="22"/>
          <w:highlight w:val="none"/>
        </w:rPr>
        <w:t>人设备、工程设备或采用施工工</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艺时，因侵犯专利权或其他知识产权所引起的责任，由承包人承担。</w:t>
      </w:r>
    </w:p>
    <w:p w14:paraId="1DDA0D51">
      <w:pPr>
        <w:spacing w:before="226" w:line="218" w:lineRule="auto"/>
        <w:ind w:left="430"/>
        <w:rPr>
          <w:rFonts w:ascii="宋体" w:hAnsi="宋体" w:eastAsia="宋体" w:cs="宋体"/>
          <w:sz w:val="20"/>
          <w:szCs w:val="20"/>
          <w:highlight w:val="none"/>
        </w:rPr>
      </w:pPr>
      <w:r>
        <w:rPr>
          <w:rFonts w:ascii="宋体" w:hAnsi="宋体" w:eastAsia="宋体" w:cs="宋体"/>
          <w:spacing w:val="11"/>
          <w:sz w:val="20"/>
          <w:szCs w:val="20"/>
          <w:highlight w:val="none"/>
        </w:rPr>
        <w:t>1.11.3承包人在投标文件中采用专利技术的，专利技术的使用费包含在投标报价内。</w:t>
      </w:r>
    </w:p>
    <w:p w14:paraId="6090526B">
      <w:pPr>
        <w:pStyle w:val="2"/>
        <w:spacing w:before="295" w:line="221" w:lineRule="auto"/>
        <w:rPr>
          <w:rFonts w:ascii="黑体" w:hAnsi="黑体" w:eastAsia="黑体" w:cs="黑体"/>
          <w:sz w:val="24"/>
          <w:szCs w:val="24"/>
          <w:highlight w:val="none"/>
        </w:rPr>
      </w:pPr>
      <w:r>
        <w:rPr>
          <w:spacing w:val="-2"/>
          <w:sz w:val="24"/>
          <w:szCs w:val="24"/>
          <w:highlight w:val="none"/>
        </w:rPr>
        <w:t>1.12</w:t>
      </w:r>
      <w:r>
        <w:rPr>
          <w:spacing w:val="70"/>
          <w:sz w:val="24"/>
          <w:szCs w:val="24"/>
          <w:highlight w:val="none"/>
        </w:rPr>
        <w:t xml:space="preserve"> </w:t>
      </w:r>
      <w:r>
        <w:rPr>
          <w:rFonts w:ascii="黑体" w:hAnsi="黑体" w:eastAsia="黑体" w:cs="黑体"/>
          <w:spacing w:val="-2"/>
          <w:sz w:val="24"/>
          <w:szCs w:val="24"/>
          <w:highlight w:val="none"/>
        </w:rPr>
        <w:t>文件及信息的保密</w:t>
      </w:r>
    </w:p>
    <w:p w14:paraId="6ED489F9">
      <w:pPr>
        <w:spacing w:before="123" w:line="398" w:lineRule="auto"/>
        <w:ind w:right="96" w:firstLine="430"/>
        <w:rPr>
          <w:rFonts w:ascii="宋体" w:hAnsi="宋体" w:eastAsia="宋体" w:cs="宋体"/>
          <w:sz w:val="22"/>
          <w:szCs w:val="22"/>
          <w:highlight w:val="none"/>
        </w:rPr>
      </w:pPr>
      <w:r>
        <w:rPr>
          <w:rFonts w:ascii="宋体" w:hAnsi="宋体" w:eastAsia="宋体" w:cs="宋体"/>
          <w:spacing w:val="-13"/>
          <w:sz w:val="22"/>
          <w:szCs w:val="22"/>
          <w:highlight w:val="none"/>
        </w:rPr>
        <w:t>未经对方同意，任何一方当事人不得将有关文件、技术秘密、需要保密的资料和信息泄</w:t>
      </w:r>
      <w:r>
        <w:rPr>
          <w:rFonts w:ascii="宋体" w:hAnsi="宋体" w:eastAsia="宋体" w:cs="宋体"/>
          <w:spacing w:val="11"/>
          <w:sz w:val="22"/>
          <w:szCs w:val="22"/>
          <w:highlight w:val="none"/>
        </w:rPr>
        <w:t xml:space="preserve"> </w:t>
      </w:r>
      <w:r>
        <w:rPr>
          <w:rFonts w:ascii="宋体" w:hAnsi="宋体" w:eastAsia="宋体" w:cs="宋体"/>
          <w:spacing w:val="-12"/>
          <w:sz w:val="22"/>
          <w:szCs w:val="22"/>
          <w:highlight w:val="none"/>
        </w:rPr>
        <w:t>露给他人或公开发表与引用。</w:t>
      </w:r>
    </w:p>
    <w:p w14:paraId="2FBCEF55">
      <w:pPr>
        <w:pStyle w:val="2"/>
        <w:spacing w:before="57" w:line="212" w:lineRule="auto"/>
        <w:rPr>
          <w:sz w:val="24"/>
          <w:szCs w:val="24"/>
          <w:highlight w:val="none"/>
        </w:rPr>
      </w:pPr>
      <w:r>
        <w:rPr>
          <w:rFonts w:ascii="黑体" w:hAnsi="黑体" w:eastAsia="黑体" w:cs="黑体"/>
          <w:spacing w:val="-5"/>
          <w:sz w:val="24"/>
          <w:szCs w:val="24"/>
          <w:highlight w:val="none"/>
        </w:rPr>
        <w:t>1.13 发包人要求中的错误 (</w:t>
      </w:r>
      <w:r>
        <w:rPr>
          <w:rFonts w:ascii="黑体" w:hAnsi="黑体" w:eastAsia="黑体" w:cs="黑体"/>
          <w:spacing w:val="-52"/>
          <w:sz w:val="24"/>
          <w:szCs w:val="24"/>
          <w:highlight w:val="none"/>
        </w:rPr>
        <w:t xml:space="preserve"> </w:t>
      </w:r>
      <w:r>
        <w:rPr>
          <w:spacing w:val="-5"/>
          <w:sz w:val="24"/>
          <w:szCs w:val="24"/>
          <w:highlight w:val="none"/>
        </w:rPr>
        <w:t>A)</w:t>
      </w:r>
    </w:p>
    <w:p w14:paraId="0221FD10">
      <w:pPr>
        <w:spacing w:before="168" w:line="219" w:lineRule="auto"/>
        <w:ind w:left="430"/>
        <w:rPr>
          <w:rFonts w:ascii="宋体" w:hAnsi="宋体" w:eastAsia="宋体" w:cs="宋体"/>
          <w:sz w:val="21"/>
          <w:szCs w:val="21"/>
          <w:highlight w:val="none"/>
        </w:rPr>
      </w:pPr>
      <w:r>
        <w:rPr>
          <w:rFonts w:ascii="宋体" w:hAnsi="宋体" w:eastAsia="宋体" w:cs="宋体"/>
          <w:spacing w:val="1"/>
          <w:sz w:val="21"/>
          <w:szCs w:val="21"/>
          <w:highlight w:val="none"/>
        </w:rPr>
        <w:t>1.13.1承包人应认真阅读、复核发包人要求，</w:t>
      </w:r>
      <w:r>
        <w:rPr>
          <w:rFonts w:ascii="宋体" w:hAnsi="宋体" w:eastAsia="宋体" w:cs="宋体"/>
          <w:sz w:val="21"/>
          <w:szCs w:val="21"/>
          <w:highlight w:val="none"/>
        </w:rPr>
        <w:t>发现错误的，应及时书面通知发包人。</w:t>
      </w:r>
    </w:p>
    <w:p w14:paraId="41FE7993">
      <w:pPr>
        <w:spacing w:before="202" w:line="324" w:lineRule="auto"/>
        <w:ind w:right="100" w:firstLine="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1.13.2   </w:t>
      </w:r>
      <w:r>
        <w:rPr>
          <w:rFonts w:ascii="宋体" w:hAnsi="宋体" w:eastAsia="宋体" w:cs="宋体"/>
          <w:spacing w:val="-7"/>
          <w:sz w:val="22"/>
          <w:szCs w:val="22"/>
          <w:highlight w:val="none"/>
        </w:rPr>
        <w:t>发包人要求中的错误导致承包人增加费用和(或</w:t>
      </w:r>
      <w:r>
        <w:rPr>
          <w:rFonts w:ascii="宋体" w:hAnsi="宋体" w:eastAsia="宋体" w:cs="宋体"/>
          <w:spacing w:val="-8"/>
          <w:sz w:val="22"/>
          <w:szCs w:val="22"/>
          <w:highlight w:val="none"/>
        </w:rPr>
        <w:t>)工期延误的，发包人应承担由</w:t>
      </w:r>
      <w:r>
        <w:rPr>
          <w:rFonts w:ascii="宋体" w:hAnsi="宋体" w:eastAsia="宋体" w:cs="宋体"/>
          <w:sz w:val="22"/>
          <w:szCs w:val="22"/>
          <w:highlight w:val="none"/>
        </w:rPr>
        <w:t xml:space="preserve"> </w:t>
      </w:r>
      <w:r>
        <w:rPr>
          <w:rFonts w:ascii="宋体" w:hAnsi="宋体" w:eastAsia="宋体" w:cs="宋体"/>
          <w:spacing w:val="-3"/>
          <w:sz w:val="22"/>
          <w:szCs w:val="22"/>
          <w:highlight w:val="none"/>
        </w:rPr>
        <w:t>此增加的费用和(或)工期延误，并向承包人支付合理利润。</w:t>
      </w:r>
    </w:p>
    <w:p w14:paraId="3AAE501F">
      <w:pPr>
        <w:pStyle w:val="2"/>
        <w:spacing w:before="243" w:line="212" w:lineRule="auto"/>
        <w:rPr>
          <w:sz w:val="24"/>
          <w:szCs w:val="24"/>
          <w:highlight w:val="none"/>
        </w:rPr>
      </w:pPr>
      <w:r>
        <w:rPr>
          <w:rFonts w:ascii="黑体" w:hAnsi="黑体" w:eastAsia="黑体" w:cs="黑体"/>
          <w:spacing w:val="-5"/>
          <w:sz w:val="24"/>
          <w:szCs w:val="24"/>
          <w:highlight w:val="none"/>
        </w:rPr>
        <w:t>1.13 发包人要求中的错误 (</w:t>
      </w:r>
      <w:r>
        <w:rPr>
          <w:rFonts w:ascii="黑体" w:hAnsi="黑体" w:eastAsia="黑体" w:cs="黑体"/>
          <w:spacing w:val="-63"/>
          <w:sz w:val="24"/>
          <w:szCs w:val="24"/>
          <w:highlight w:val="none"/>
        </w:rPr>
        <w:t xml:space="preserve"> </w:t>
      </w:r>
      <w:r>
        <w:rPr>
          <w:spacing w:val="-5"/>
          <w:sz w:val="24"/>
          <w:szCs w:val="24"/>
          <w:highlight w:val="none"/>
        </w:rPr>
        <w:t>B)</w:t>
      </w:r>
    </w:p>
    <w:p w14:paraId="714EFC1C">
      <w:pPr>
        <w:spacing w:before="158" w:line="355" w:lineRule="auto"/>
        <w:ind w:firstLine="430"/>
        <w:rPr>
          <w:rFonts w:ascii="宋体" w:hAnsi="宋体" w:eastAsia="宋体" w:cs="宋体"/>
          <w:sz w:val="21"/>
          <w:szCs w:val="21"/>
          <w:highlight w:val="none"/>
        </w:rPr>
      </w:pPr>
      <w:r>
        <w:rPr>
          <w:rFonts w:ascii="宋体" w:hAnsi="宋体" w:eastAsia="宋体" w:cs="宋体"/>
          <w:spacing w:val="2"/>
          <w:sz w:val="21"/>
          <w:szCs w:val="21"/>
          <w:highlight w:val="none"/>
        </w:rPr>
        <w:t>1.13.1承包人应认真阅读、复核发包人要求，发现错误的，应及时书面通知发包人。</w:t>
      </w:r>
      <w:r>
        <w:rPr>
          <w:rFonts w:ascii="宋体" w:hAnsi="宋体" w:eastAsia="宋体" w:cs="宋体"/>
          <w:spacing w:val="1"/>
          <w:sz w:val="21"/>
          <w:szCs w:val="21"/>
          <w:highlight w:val="none"/>
        </w:rPr>
        <w:t xml:space="preserve">  </w:t>
      </w:r>
      <w:r>
        <w:rPr>
          <w:rFonts w:ascii="宋体" w:hAnsi="宋体" w:eastAsia="宋体" w:cs="宋体"/>
          <w:sz w:val="21"/>
          <w:szCs w:val="21"/>
          <w:highlight w:val="none"/>
        </w:rPr>
        <w:t>发包人作相应修改的，按照第15条约定处理。对确实存在的错误，发包人坚持不作修改的，</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应承担由此导致承包人增加的费用和(或)延误的工期。</w:t>
      </w:r>
    </w:p>
    <w:p w14:paraId="38CCC159">
      <w:pPr>
        <w:spacing w:before="240" w:line="219" w:lineRule="auto"/>
        <w:ind w:left="43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1.13.2    </w:t>
      </w:r>
      <w:r>
        <w:rPr>
          <w:rFonts w:ascii="宋体" w:hAnsi="宋体" w:eastAsia="宋体" w:cs="宋体"/>
          <w:spacing w:val="9"/>
          <w:sz w:val="20"/>
          <w:szCs w:val="20"/>
          <w:highlight w:val="none"/>
        </w:rPr>
        <w:t>承包人未发现发包人要求中存在错误的，承包人自</w:t>
      </w:r>
      <w:r>
        <w:rPr>
          <w:rFonts w:ascii="宋体" w:hAnsi="宋体" w:eastAsia="宋体" w:cs="宋体"/>
          <w:spacing w:val="8"/>
          <w:sz w:val="20"/>
          <w:szCs w:val="20"/>
          <w:highlight w:val="none"/>
        </w:rPr>
        <w:t>行承担由此导致的费用增加</w:t>
      </w:r>
    </w:p>
    <w:p w14:paraId="343113E7">
      <w:pPr>
        <w:spacing w:line="219" w:lineRule="auto"/>
        <w:rPr>
          <w:rFonts w:ascii="宋体" w:hAnsi="宋体" w:eastAsia="宋体" w:cs="宋体"/>
          <w:sz w:val="20"/>
          <w:szCs w:val="20"/>
          <w:highlight w:val="none"/>
        </w:rPr>
        <w:sectPr>
          <w:footerReference r:id="rId176" w:type="default"/>
          <w:pgSz w:w="11910" w:h="16840"/>
          <w:pgMar w:top="400" w:right="1735" w:bottom="1169" w:left="1769" w:header="0" w:footer="1028" w:gutter="0"/>
          <w:cols w:space="720" w:num="1"/>
        </w:sectPr>
      </w:pPr>
    </w:p>
    <w:p w14:paraId="4F063BC9">
      <w:pPr>
        <w:pStyle w:val="2"/>
        <w:spacing w:line="276" w:lineRule="auto"/>
        <w:rPr>
          <w:highlight w:val="none"/>
        </w:rPr>
      </w:pPr>
    </w:p>
    <w:p w14:paraId="155DC048">
      <w:pPr>
        <w:pStyle w:val="2"/>
        <w:spacing w:line="276" w:lineRule="auto"/>
        <w:rPr>
          <w:highlight w:val="none"/>
        </w:rPr>
      </w:pPr>
    </w:p>
    <w:p w14:paraId="38F8BEDB">
      <w:pPr>
        <w:pStyle w:val="2"/>
        <w:spacing w:line="277" w:lineRule="auto"/>
        <w:rPr>
          <w:highlight w:val="none"/>
        </w:rPr>
      </w:pPr>
    </w:p>
    <w:p w14:paraId="2BF99190">
      <w:pPr>
        <w:pStyle w:val="2"/>
        <w:spacing w:line="277" w:lineRule="auto"/>
        <w:rPr>
          <w:highlight w:val="none"/>
        </w:rPr>
      </w:pPr>
    </w:p>
    <w:p w14:paraId="484D2714">
      <w:pPr>
        <w:spacing w:before="65" w:line="219" w:lineRule="auto"/>
        <w:rPr>
          <w:rFonts w:ascii="宋体" w:hAnsi="宋体" w:eastAsia="宋体" w:cs="宋体"/>
          <w:sz w:val="20"/>
          <w:szCs w:val="20"/>
          <w:highlight w:val="none"/>
        </w:rPr>
      </w:pPr>
      <w:bookmarkStart w:id="164" w:name="bookmark267"/>
      <w:bookmarkEnd w:id="164"/>
      <w:r>
        <w:rPr>
          <w:rFonts w:ascii="宋体" w:hAnsi="宋体" w:eastAsia="宋体" w:cs="宋体"/>
          <w:spacing w:val="12"/>
          <w:sz w:val="20"/>
          <w:szCs w:val="20"/>
          <w:highlight w:val="none"/>
        </w:rPr>
        <w:t>和(或)工期延误，但专用合同条款另有约定的除外。</w:t>
      </w:r>
    </w:p>
    <w:p w14:paraId="6B559B76">
      <w:pPr>
        <w:spacing w:before="212" w:line="399" w:lineRule="auto"/>
        <w:ind w:right="35" w:firstLine="440"/>
        <w:rPr>
          <w:rFonts w:ascii="宋体" w:hAnsi="宋体" w:eastAsia="宋体" w:cs="宋体"/>
          <w:sz w:val="22"/>
          <w:szCs w:val="22"/>
          <w:highlight w:val="none"/>
        </w:rPr>
      </w:pPr>
      <w:r>
        <w:rPr>
          <w:rFonts w:ascii="宋体" w:hAnsi="宋体" w:eastAsia="宋体" w:cs="宋体"/>
          <w:spacing w:val="-6"/>
          <w:sz w:val="22"/>
          <w:szCs w:val="22"/>
          <w:highlight w:val="none"/>
        </w:rPr>
        <w:t>1.13.3无论承包人发现与否，在任何情况下，发包人</w:t>
      </w:r>
      <w:r>
        <w:rPr>
          <w:rFonts w:ascii="宋体" w:hAnsi="宋体" w:eastAsia="宋体" w:cs="宋体"/>
          <w:spacing w:val="-7"/>
          <w:sz w:val="22"/>
          <w:szCs w:val="22"/>
          <w:highlight w:val="none"/>
        </w:rPr>
        <w:t>要求中的下列错误导致承包人增</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加的费用和(或)延误的工期，由发包人承担，并向承包人支付合理利润。</w:t>
      </w:r>
    </w:p>
    <w:p w14:paraId="26B1C8E9">
      <w:pPr>
        <w:spacing w:line="219" w:lineRule="auto"/>
        <w:ind w:left="550"/>
        <w:rPr>
          <w:rFonts w:ascii="宋体" w:hAnsi="宋体" w:eastAsia="宋体" w:cs="宋体"/>
          <w:sz w:val="22"/>
          <w:szCs w:val="22"/>
          <w:highlight w:val="none"/>
        </w:rPr>
      </w:pPr>
      <w:r>
        <w:rPr>
          <w:rFonts w:ascii="宋体" w:hAnsi="宋体" w:eastAsia="宋体" w:cs="宋体"/>
          <w:spacing w:val="-5"/>
          <w:sz w:val="22"/>
          <w:szCs w:val="22"/>
          <w:highlight w:val="none"/>
        </w:rPr>
        <w:t>(1)发包人要求中引用的原始数据和资料；</w:t>
      </w:r>
    </w:p>
    <w:p w14:paraId="224B389F">
      <w:pPr>
        <w:spacing w:before="258" w:line="219" w:lineRule="auto"/>
        <w:ind w:left="550"/>
        <w:rPr>
          <w:rFonts w:ascii="宋体" w:hAnsi="宋体" w:eastAsia="宋体" w:cs="宋体"/>
          <w:sz w:val="20"/>
          <w:szCs w:val="20"/>
          <w:highlight w:val="none"/>
        </w:rPr>
      </w:pPr>
      <w:r>
        <w:rPr>
          <w:rFonts w:ascii="宋体" w:hAnsi="宋体" w:eastAsia="宋体" w:cs="宋体"/>
          <w:spacing w:val="12"/>
          <w:sz w:val="20"/>
          <w:szCs w:val="20"/>
          <w:highlight w:val="none"/>
        </w:rPr>
        <w:t>(2)对工程或其任何部分的功能要求；</w:t>
      </w:r>
    </w:p>
    <w:p w14:paraId="32EF867F">
      <w:pPr>
        <w:spacing w:before="223" w:line="220" w:lineRule="auto"/>
        <w:ind w:left="550"/>
        <w:rPr>
          <w:rFonts w:ascii="宋体" w:hAnsi="宋体" w:eastAsia="宋体" w:cs="宋体"/>
          <w:sz w:val="20"/>
          <w:szCs w:val="20"/>
          <w:highlight w:val="none"/>
        </w:rPr>
      </w:pPr>
      <w:r>
        <w:rPr>
          <w:rFonts w:ascii="宋体" w:hAnsi="宋体" w:eastAsia="宋体" w:cs="宋体"/>
          <w:spacing w:val="12"/>
          <w:sz w:val="20"/>
          <w:szCs w:val="20"/>
          <w:highlight w:val="none"/>
        </w:rPr>
        <w:t>(3)对工程的工艺安排或要求；</w:t>
      </w:r>
    </w:p>
    <w:p w14:paraId="2CE82430">
      <w:pPr>
        <w:spacing w:before="212" w:line="219" w:lineRule="auto"/>
        <w:ind w:left="550"/>
        <w:rPr>
          <w:rFonts w:ascii="宋体" w:hAnsi="宋体" w:eastAsia="宋体" w:cs="宋体"/>
          <w:sz w:val="22"/>
          <w:szCs w:val="22"/>
          <w:highlight w:val="none"/>
        </w:rPr>
      </w:pPr>
      <w:r>
        <w:rPr>
          <w:rFonts w:ascii="宋体" w:hAnsi="宋体" w:eastAsia="宋体" w:cs="宋体"/>
          <w:spacing w:val="-3"/>
          <w:sz w:val="22"/>
          <w:szCs w:val="22"/>
          <w:highlight w:val="none"/>
        </w:rPr>
        <w:t>(4)试验和检验标准；</w:t>
      </w:r>
    </w:p>
    <w:p w14:paraId="78C4D6BE">
      <w:pPr>
        <w:spacing w:before="248" w:line="219" w:lineRule="auto"/>
        <w:ind w:left="550"/>
        <w:rPr>
          <w:rFonts w:ascii="宋体" w:hAnsi="宋体" w:eastAsia="宋体" w:cs="宋体"/>
          <w:sz w:val="20"/>
          <w:szCs w:val="20"/>
          <w:highlight w:val="none"/>
        </w:rPr>
      </w:pPr>
      <w:r>
        <w:rPr>
          <w:rFonts w:ascii="宋体" w:hAnsi="宋体" w:eastAsia="宋体" w:cs="宋体"/>
          <w:spacing w:val="12"/>
          <w:sz w:val="20"/>
          <w:szCs w:val="20"/>
          <w:highlight w:val="none"/>
        </w:rPr>
        <w:t>(5)除合同另有约定外，承包人无法核实的数据和资料。</w:t>
      </w:r>
    </w:p>
    <w:p w14:paraId="16B396F8">
      <w:pPr>
        <w:spacing w:before="302" w:line="221" w:lineRule="auto"/>
        <w:rPr>
          <w:rFonts w:ascii="黑体" w:hAnsi="黑体" w:eastAsia="黑体" w:cs="黑体"/>
          <w:sz w:val="24"/>
          <w:szCs w:val="24"/>
          <w:highlight w:val="none"/>
        </w:rPr>
      </w:pPr>
      <w:r>
        <w:rPr>
          <w:rFonts w:ascii="黑体" w:hAnsi="黑体" w:eastAsia="黑体" w:cs="黑体"/>
          <w:spacing w:val="9"/>
          <w:sz w:val="24"/>
          <w:szCs w:val="24"/>
          <w:highlight w:val="none"/>
        </w:rPr>
        <w:t>1.14发包人要求违法</w:t>
      </w:r>
    </w:p>
    <w:p w14:paraId="673CC30C">
      <w:pPr>
        <w:spacing w:before="113" w:line="416" w:lineRule="auto"/>
        <w:ind w:right="14" w:firstLine="440"/>
        <w:jc w:val="both"/>
        <w:rPr>
          <w:rFonts w:ascii="宋体" w:hAnsi="宋体" w:eastAsia="宋体" w:cs="宋体"/>
          <w:sz w:val="21"/>
          <w:szCs w:val="21"/>
          <w:highlight w:val="none"/>
        </w:rPr>
      </w:pPr>
      <w:r>
        <w:rPr>
          <w:rFonts w:ascii="宋体" w:hAnsi="宋体" w:eastAsia="宋体" w:cs="宋体"/>
          <w:spacing w:val="-2"/>
          <w:sz w:val="21"/>
          <w:szCs w:val="21"/>
          <w:highlight w:val="none"/>
        </w:rPr>
        <w:t>发包人要求违反法律规定的，承包人发现后应书面通知发包人，并要求其改正。发包人</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收到通知书后不予改正或不予答复的，承包人有权拒绝履行合同义务，直至解除合同。</w:t>
      </w:r>
      <w:r>
        <w:rPr>
          <w:rFonts w:ascii="宋体" w:hAnsi="宋体" w:eastAsia="宋体" w:cs="宋体"/>
          <w:spacing w:val="-3"/>
          <w:sz w:val="21"/>
          <w:szCs w:val="21"/>
          <w:highlight w:val="none"/>
        </w:rPr>
        <w:t>发包</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人应承担由此引起的承包人全部损失。</w:t>
      </w:r>
    </w:p>
    <w:p w14:paraId="773283B9">
      <w:pPr>
        <w:pStyle w:val="2"/>
        <w:spacing w:before="1" w:line="220" w:lineRule="auto"/>
        <w:outlineLvl w:val="1"/>
        <w:rPr>
          <w:rFonts w:ascii="黑体" w:hAnsi="黑体" w:eastAsia="黑体" w:cs="黑体"/>
          <w:sz w:val="24"/>
          <w:szCs w:val="24"/>
          <w:highlight w:val="none"/>
        </w:rPr>
      </w:pPr>
      <w:bookmarkStart w:id="165" w:name="bookmark97"/>
      <w:bookmarkEnd w:id="165"/>
      <w:r>
        <w:rPr>
          <w:sz w:val="24"/>
          <w:szCs w:val="24"/>
          <w:highlight w:val="none"/>
        </w:rPr>
        <w:t>2.</w:t>
      </w:r>
      <w:r>
        <w:rPr>
          <w:spacing w:val="27"/>
          <w:sz w:val="24"/>
          <w:szCs w:val="24"/>
          <w:highlight w:val="none"/>
        </w:rPr>
        <w:t xml:space="preserve">  </w:t>
      </w:r>
      <w:r>
        <w:rPr>
          <w:rFonts w:ascii="黑体" w:hAnsi="黑体" w:eastAsia="黑体" w:cs="黑体"/>
          <w:sz w:val="24"/>
          <w:szCs w:val="24"/>
          <w:highlight w:val="none"/>
        </w:rPr>
        <w:t>发包人义务</w:t>
      </w:r>
    </w:p>
    <w:p w14:paraId="02AC1500">
      <w:pPr>
        <w:spacing w:before="183" w:line="222" w:lineRule="auto"/>
        <w:rPr>
          <w:rFonts w:ascii="黑体" w:hAnsi="黑体" w:eastAsia="黑体" w:cs="黑体"/>
          <w:sz w:val="24"/>
          <w:szCs w:val="24"/>
          <w:highlight w:val="none"/>
        </w:rPr>
      </w:pPr>
      <w:r>
        <w:rPr>
          <w:rFonts w:ascii="黑体" w:hAnsi="黑体" w:eastAsia="黑体" w:cs="黑体"/>
          <w:spacing w:val="-3"/>
          <w:sz w:val="24"/>
          <w:szCs w:val="24"/>
          <w:highlight w:val="none"/>
        </w:rPr>
        <w:t>2.1 遵守法律</w:t>
      </w:r>
    </w:p>
    <w:p w14:paraId="47939239">
      <w:pPr>
        <w:spacing w:before="132" w:line="415" w:lineRule="auto"/>
        <w:ind w:right="44" w:firstLine="440"/>
        <w:rPr>
          <w:rFonts w:ascii="宋体" w:hAnsi="宋体" w:eastAsia="宋体" w:cs="宋体"/>
          <w:sz w:val="21"/>
          <w:szCs w:val="21"/>
          <w:highlight w:val="none"/>
        </w:rPr>
      </w:pPr>
      <w:r>
        <w:rPr>
          <w:rFonts w:ascii="宋体" w:hAnsi="宋体" w:eastAsia="宋体" w:cs="宋体"/>
          <w:spacing w:val="-3"/>
          <w:sz w:val="21"/>
          <w:szCs w:val="21"/>
          <w:highlight w:val="none"/>
        </w:rPr>
        <w:t>发包人在履行合同过程中应遵守法律，并保证承包人免于承担因发包人违反法律而引起</w:t>
      </w:r>
      <w:r>
        <w:rPr>
          <w:rFonts w:ascii="宋体" w:hAnsi="宋体" w:eastAsia="宋体" w:cs="宋体"/>
          <w:spacing w:val="11"/>
          <w:sz w:val="21"/>
          <w:szCs w:val="21"/>
          <w:highlight w:val="none"/>
        </w:rPr>
        <w:t xml:space="preserve"> </w:t>
      </w:r>
      <w:r>
        <w:rPr>
          <w:rFonts w:ascii="宋体" w:hAnsi="宋体" w:eastAsia="宋体" w:cs="宋体"/>
          <w:spacing w:val="-8"/>
          <w:sz w:val="21"/>
          <w:szCs w:val="21"/>
          <w:highlight w:val="none"/>
        </w:rPr>
        <w:t>的任何责任。</w:t>
      </w:r>
    </w:p>
    <w:p w14:paraId="1961205C">
      <w:pPr>
        <w:spacing w:before="65" w:line="221" w:lineRule="auto"/>
        <w:rPr>
          <w:rFonts w:ascii="黑体" w:hAnsi="黑体" w:eastAsia="黑体" w:cs="黑体"/>
          <w:sz w:val="24"/>
          <w:szCs w:val="24"/>
          <w:highlight w:val="none"/>
        </w:rPr>
      </w:pPr>
      <w:r>
        <w:rPr>
          <w:rFonts w:ascii="黑体" w:hAnsi="黑体" w:eastAsia="黑体" w:cs="黑体"/>
          <w:spacing w:val="8"/>
          <w:sz w:val="24"/>
          <w:szCs w:val="24"/>
          <w:highlight w:val="none"/>
        </w:rPr>
        <w:t>2.2发出承包人开始工作通知</w:t>
      </w:r>
    </w:p>
    <w:p w14:paraId="39CAD22F">
      <w:pPr>
        <w:spacing w:before="134" w:line="219" w:lineRule="auto"/>
        <w:ind w:left="440"/>
        <w:rPr>
          <w:rFonts w:ascii="宋体" w:hAnsi="宋体" w:eastAsia="宋体" w:cs="宋体"/>
          <w:sz w:val="22"/>
          <w:szCs w:val="22"/>
          <w:highlight w:val="none"/>
        </w:rPr>
      </w:pPr>
      <w:r>
        <w:rPr>
          <w:rFonts w:ascii="宋体" w:hAnsi="宋体" w:eastAsia="宋体" w:cs="宋体"/>
          <w:spacing w:val="-9"/>
          <w:sz w:val="22"/>
          <w:szCs w:val="22"/>
          <w:highlight w:val="none"/>
        </w:rPr>
        <w:t>发包人应委托监理人按第11.1</w:t>
      </w:r>
      <w:r>
        <w:rPr>
          <w:rFonts w:ascii="宋体" w:hAnsi="宋体" w:eastAsia="宋体" w:cs="宋体"/>
          <w:spacing w:val="-23"/>
          <w:sz w:val="22"/>
          <w:szCs w:val="22"/>
          <w:highlight w:val="none"/>
        </w:rPr>
        <w:t xml:space="preserve"> </w:t>
      </w:r>
      <w:r>
        <w:rPr>
          <w:rFonts w:ascii="宋体" w:hAnsi="宋体" w:eastAsia="宋体" w:cs="宋体"/>
          <w:spacing w:val="-9"/>
          <w:sz w:val="22"/>
          <w:szCs w:val="22"/>
          <w:highlight w:val="none"/>
        </w:rPr>
        <w:t>款的约定向承包人发出开始工作通知。</w:t>
      </w:r>
    </w:p>
    <w:p w14:paraId="4FB0E632">
      <w:pPr>
        <w:spacing w:before="280" w:line="222" w:lineRule="auto"/>
        <w:rPr>
          <w:rFonts w:ascii="黑体" w:hAnsi="黑体" w:eastAsia="黑体" w:cs="黑体"/>
          <w:sz w:val="24"/>
          <w:szCs w:val="24"/>
          <w:highlight w:val="none"/>
        </w:rPr>
      </w:pPr>
      <w:r>
        <w:rPr>
          <w:rFonts w:ascii="黑体" w:hAnsi="黑体" w:eastAsia="黑体" w:cs="黑体"/>
          <w:spacing w:val="12"/>
          <w:sz w:val="24"/>
          <w:szCs w:val="24"/>
          <w:highlight w:val="none"/>
        </w:rPr>
        <w:t>2.3提供施工场地</w:t>
      </w:r>
    </w:p>
    <w:p w14:paraId="688D5A55">
      <w:pPr>
        <w:spacing w:before="139" w:line="409" w:lineRule="auto"/>
        <w:ind w:right="44" w:firstLine="440"/>
        <w:rPr>
          <w:rFonts w:ascii="宋体" w:hAnsi="宋体" w:eastAsia="宋体" w:cs="宋体"/>
          <w:sz w:val="21"/>
          <w:szCs w:val="21"/>
          <w:highlight w:val="none"/>
        </w:rPr>
      </w:pPr>
      <w:r>
        <w:rPr>
          <w:rFonts w:ascii="宋体" w:hAnsi="宋体" w:eastAsia="宋体" w:cs="宋体"/>
          <w:spacing w:val="-3"/>
          <w:sz w:val="21"/>
          <w:szCs w:val="21"/>
          <w:highlight w:val="none"/>
        </w:rPr>
        <w:t>发包人应按专用合同条款约定向承包人提供施工场地及进场施工条件，并明确与承包人</w:t>
      </w:r>
      <w:r>
        <w:rPr>
          <w:rFonts w:ascii="宋体" w:hAnsi="宋体" w:eastAsia="宋体" w:cs="宋体"/>
          <w:spacing w:val="11"/>
          <w:sz w:val="21"/>
          <w:szCs w:val="21"/>
          <w:highlight w:val="none"/>
        </w:rPr>
        <w:t xml:space="preserve"> </w:t>
      </w:r>
      <w:r>
        <w:rPr>
          <w:rFonts w:ascii="宋体" w:hAnsi="宋体" w:eastAsia="宋体" w:cs="宋体"/>
          <w:spacing w:val="-8"/>
          <w:sz w:val="21"/>
          <w:szCs w:val="21"/>
          <w:highlight w:val="none"/>
        </w:rPr>
        <w:t>的交接界面。</w:t>
      </w:r>
    </w:p>
    <w:p w14:paraId="1F0B04C7">
      <w:pPr>
        <w:spacing w:before="80" w:line="221" w:lineRule="auto"/>
        <w:rPr>
          <w:rFonts w:ascii="黑体" w:hAnsi="黑体" w:eastAsia="黑体" w:cs="黑体"/>
          <w:sz w:val="24"/>
          <w:szCs w:val="24"/>
          <w:highlight w:val="none"/>
        </w:rPr>
      </w:pPr>
      <w:r>
        <w:rPr>
          <w:rFonts w:ascii="黑体" w:hAnsi="黑体" w:eastAsia="黑体" w:cs="黑体"/>
          <w:spacing w:val="12"/>
          <w:sz w:val="24"/>
          <w:szCs w:val="24"/>
          <w:highlight w:val="none"/>
        </w:rPr>
        <w:t>2.4办理证件和批件</w:t>
      </w:r>
    </w:p>
    <w:p w14:paraId="0C762DC3">
      <w:pPr>
        <w:spacing w:before="134" w:line="413" w:lineRule="auto"/>
        <w:ind w:right="10" w:firstLine="440"/>
        <w:rPr>
          <w:rFonts w:ascii="宋体" w:hAnsi="宋体" w:eastAsia="宋体" w:cs="宋体"/>
          <w:sz w:val="21"/>
          <w:szCs w:val="21"/>
          <w:highlight w:val="none"/>
        </w:rPr>
      </w:pPr>
      <w:r>
        <w:rPr>
          <w:rFonts w:ascii="宋体" w:hAnsi="宋体" w:eastAsia="宋体" w:cs="宋体"/>
          <w:spacing w:val="4"/>
          <w:sz w:val="21"/>
          <w:szCs w:val="21"/>
          <w:highlight w:val="none"/>
        </w:rPr>
        <w:t>法律规定和(或)合同约定由发包人负责办理的工程建设项目</w:t>
      </w:r>
      <w:r>
        <w:rPr>
          <w:rFonts w:ascii="宋体" w:hAnsi="宋体" w:eastAsia="宋体" w:cs="宋体"/>
          <w:spacing w:val="3"/>
          <w:sz w:val="21"/>
          <w:szCs w:val="21"/>
          <w:highlight w:val="none"/>
        </w:rPr>
        <w:t>必须履行的各类审批、核</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准或备案手续，发包人应按时办理。</w:t>
      </w:r>
    </w:p>
    <w:p w14:paraId="2FD2A875">
      <w:pPr>
        <w:spacing w:before="1" w:line="397" w:lineRule="auto"/>
        <w:ind w:right="40" w:firstLine="440"/>
        <w:rPr>
          <w:rFonts w:ascii="宋体" w:hAnsi="宋体" w:eastAsia="宋体" w:cs="宋体"/>
          <w:sz w:val="22"/>
          <w:szCs w:val="22"/>
          <w:highlight w:val="none"/>
        </w:rPr>
      </w:pPr>
      <w:r>
        <w:rPr>
          <w:rFonts w:ascii="宋体" w:hAnsi="宋体" w:eastAsia="宋体" w:cs="宋体"/>
          <w:spacing w:val="-7"/>
          <w:sz w:val="22"/>
          <w:szCs w:val="22"/>
          <w:highlight w:val="none"/>
        </w:rPr>
        <w:t>法律规定和(或)合同约定由承包人负责的有关设计、施工证件和批件，发包人应给予</w:t>
      </w:r>
      <w:r>
        <w:rPr>
          <w:rFonts w:ascii="宋体" w:hAnsi="宋体" w:eastAsia="宋体" w:cs="宋体"/>
          <w:spacing w:val="7"/>
          <w:sz w:val="22"/>
          <w:szCs w:val="22"/>
          <w:highlight w:val="none"/>
        </w:rPr>
        <w:t xml:space="preserve"> </w:t>
      </w:r>
      <w:r>
        <w:rPr>
          <w:rFonts w:ascii="宋体" w:hAnsi="宋体" w:eastAsia="宋体" w:cs="宋体"/>
          <w:spacing w:val="-12"/>
          <w:sz w:val="22"/>
          <w:szCs w:val="22"/>
          <w:highlight w:val="none"/>
        </w:rPr>
        <w:t>必要的协助。</w:t>
      </w:r>
    </w:p>
    <w:p w14:paraId="2157EEE9">
      <w:pPr>
        <w:spacing w:before="82" w:line="222" w:lineRule="auto"/>
        <w:rPr>
          <w:rFonts w:ascii="黑体" w:hAnsi="黑体" w:eastAsia="黑体" w:cs="黑体"/>
          <w:sz w:val="24"/>
          <w:szCs w:val="24"/>
          <w:highlight w:val="none"/>
        </w:rPr>
      </w:pPr>
      <w:r>
        <w:rPr>
          <w:rFonts w:ascii="黑体" w:hAnsi="黑体" w:eastAsia="黑体" w:cs="黑体"/>
          <w:spacing w:val="14"/>
          <w:sz w:val="24"/>
          <w:szCs w:val="24"/>
          <w:highlight w:val="none"/>
        </w:rPr>
        <w:t>2.5支付合同价款</w:t>
      </w:r>
    </w:p>
    <w:p w14:paraId="6DC0820E">
      <w:pPr>
        <w:spacing w:before="139" w:line="418" w:lineRule="auto"/>
        <w:ind w:right="43" w:firstLine="440"/>
        <w:rPr>
          <w:rFonts w:ascii="宋体" w:hAnsi="宋体" w:eastAsia="宋体" w:cs="宋体"/>
          <w:sz w:val="21"/>
          <w:szCs w:val="21"/>
          <w:highlight w:val="none"/>
        </w:rPr>
      </w:pPr>
      <w:r>
        <w:rPr>
          <w:rFonts w:ascii="宋体" w:hAnsi="宋体" w:eastAsia="宋体" w:cs="宋体"/>
          <w:spacing w:val="-3"/>
          <w:sz w:val="21"/>
          <w:szCs w:val="21"/>
          <w:highlight w:val="none"/>
        </w:rPr>
        <w:t>发包人应按合同约定向承包人及时支付合同价款。专用合同条款对发包人工程款支付担</w:t>
      </w:r>
      <w:r>
        <w:rPr>
          <w:rFonts w:ascii="宋体" w:hAnsi="宋体" w:eastAsia="宋体" w:cs="宋体"/>
          <w:spacing w:val="12"/>
          <w:sz w:val="21"/>
          <w:szCs w:val="21"/>
          <w:highlight w:val="none"/>
        </w:rPr>
        <w:t xml:space="preserve"> </w:t>
      </w:r>
      <w:r>
        <w:rPr>
          <w:rFonts w:ascii="宋体" w:hAnsi="宋体" w:eastAsia="宋体" w:cs="宋体"/>
          <w:spacing w:val="-4"/>
          <w:sz w:val="21"/>
          <w:szCs w:val="21"/>
          <w:highlight w:val="none"/>
        </w:rPr>
        <w:t>保有约定的，从其约定。</w:t>
      </w:r>
    </w:p>
    <w:p w14:paraId="2F1A9B15">
      <w:pPr>
        <w:spacing w:line="418" w:lineRule="auto"/>
        <w:rPr>
          <w:rFonts w:ascii="宋体" w:hAnsi="宋体" w:eastAsia="宋体" w:cs="宋体"/>
          <w:sz w:val="21"/>
          <w:szCs w:val="21"/>
          <w:highlight w:val="none"/>
        </w:rPr>
        <w:sectPr>
          <w:footerReference r:id="rId177" w:type="default"/>
          <w:pgSz w:w="11910" w:h="16840"/>
          <w:pgMar w:top="400" w:right="1786" w:bottom="1184" w:left="1759" w:header="0" w:footer="1024" w:gutter="0"/>
          <w:cols w:space="720" w:num="1"/>
        </w:sectPr>
      </w:pPr>
    </w:p>
    <w:p w14:paraId="1D6A177A">
      <w:pPr>
        <w:pStyle w:val="2"/>
        <w:spacing w:line="245" w:lineRule="auto"/>
        <w:rPr>
          <w:highlight w:val="none"/>
        </w:rPr>
      </w:pPr>
    </w:p>
    <w:p w14:paraId="707A7A14">
      <w:pPr>
        <w:pStyle w:val="2"/>
        <w:spacing w:line="246" w:lineRule="auto"/>
        <w:rPr>
          <w:highlight w:val="none"/>
        </w:rPr>
      </w:pPr>
    </w:p>
    <w:p w14:paraId="53FCFEF0">
      <w:pPr>
        <w:pStyle w:val="2"/>
        <w:spacing w:line="246" w:lineRule="auto"/>
        <w:rPr>
          <w:highlight w:val="none"/>
        </w:rPr>
      </w:pPr>
    </w:p>
    <w:p w14:paraId="25F22B01">
      <w:pPr>
        <w:pStyle w:val="2"/>
        <w:spacing w:line="246" w:lineRule="auto"/>
        <w:rPr>
          <w:highlight w:val="none"/>
        </w:rPr>
      </w:pPr>
    </w:p>
    <w:p w14:paraId="36B98EA6">
      <w:pPr>
        <w:spacing w:before="78" w:line="221" w:lineRule="auto"/>
        <w:rPr>
          <w:rFonts w:ascii="黑体" w:hAnsi="黑体" w:eastAsia="黑体" w:cs="黑体"/>
          <w:sz w:val="24"/>
          <w:szCs w:val="24"/>
          <w:highlight w:val="none"/>
        </w:rPr>
      </w:pPr>
      <w:r>
        <w:rPr>
          <w:rFonts w:ascii="黑体" w:hAnsi="黑体" w:eastAsia="黑体" w:cs="黑体"/>
          <w:spacing w:val="10"/>
          <w:sz w:val="24"/>
          <w:szCs w:val="24"/>
          <w:highlight w:val="none"/>
        </w:rPr>
        <w:t>2.6组织竣工验收</w:t>
      </w:r>
    </w:p>
    <w:p w14:paraId="673AA7DB">
      <w:pPr>
        <w:spacing w:before="133" w:line="219" w:lineRule="auto"/>
        <w:ind w:left="420"/>
        <w:rPr>
          <w:rFonts w:ascii="宋体" w:hAnsi="宋体" w:eastAsia="宋体" w:cs="宋体"/>
          <w:sz w:val="20"/>
          <w:szCs w:val="20"/>
          <w:highlight w:val="none"/>
        </w:rPr>
      </w:pPr>
      <w:r>
        <w:rPr>
          <w:rFonts w:ascii="宋体" w:hAnsi="宋体" w:eastAsia="宋体" w:cs="宋体"/>
          <w:spacing w:val="8"/>
          <w:sz w:val="20"/>
          <w:szCs w:val="20"/>
          <w:highlight w:val="none"/>
        </w:rPr>
        <w:t>发包人应按合同约定及时组织竣工验收。</w:t>
      </w:r>
    </w:p>
    <w:p w14:paraId="271E9A7F">
      <w:pPr>
        <w:spacing w:before="291" w:line="221" w:lineRule="auto"/>
        <w:rPr>
          <w:rFonts w:ascii="黑体" w:hAnsi="黑体" w:eastAsia="黑体" w:cs="黑体"/>
          <w:sz w:val="24"/>
          <w:szCs w:val="24"/>
          <w:highlight w:val="none"/>
        </w:rPr>
      </w:pPr>
      <w:r>
        <w:rPr>
          <w:rFonts w:ascii="黑体" w:hAnsi="黑体" w:eastAsia="黑体" w:cs="黑体"/>
          <w:spacing w:val="-3"/>
          <w:sz w:val="24"/>
          <w:szCs w:val="24"/>
          <w:highlight w:val="none"/>
        </w:rPr>
        <w:t>2.7 其他义务</w:t>
      </w:r>
    </w:p>
    <w:p w14:paraId="5FF5AD66">
      <w:pPr>
        <w:spacing w:before="124"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发包人应履行合同约定的其他义务。</w:t>
      </w:r>
    </w:p>
    <w:p w14:paraId="2B62D4D2">
      <w:pPr>
        <w:pStyle w:val="2"/>
        <w:spacing w:before="149" w:line="327" w:lineRule="exact"/>
        <w:outlineLvl w:val="1"/>
        <w:rPr>
          <w:rFonts w:ascii="黑体" w:hAnsi="黑体" w:eastAsia="黑体" w:cs="黑体"/>
          <w:sz w:val="24"/>
          <w:szCs w:val="24"/>
          <w:highlight w:val="none"/>
        </w:rPr>
      </w:pPr>
      <w:bookmarkStart w:id="166" w:name="bookmark98"/>
      <w:bookmarkEnd w:id="166"/>
      <w:r>
        <w:rPr>
          <w:spacing w:val="-4"/>
          <w:position w:val="1"/>
          <w:sz w:val="24"/>
          <w:szCs w:val="24"/>
          <w:highlight w:val="none"/>
        </w:rPr>
        <w:t>3.</w:t>
      </w:r>
      <w:r>
        <w:rPr>
          <w:spacing w:val="56"/>
          <w:position w:val="1"/>
          <w:sz w:val="24"/>
          <w:szCs w:val="24"/>
          <w:highlight w:val="none"/>
        </w:rPr>
        <w:t xml:space="preserve"> </w:t>
      </w:r>
      <w:r>
        <w:rPr>
          <w:rFonts w:ascii="黑体" w:hAnsi="黑体" w:eastAsia="黑体" w:cs="黑体"/>
          <w:spacing w:val="-4"/>
          <w:position w:val="1"/>
          <w:sz w:val="24"/>
          <w:szCs w:val="24"/>
          <w:highlight w:val="none"/>
        </w:rPr>
        <w:t>监理人</w:t>
      </w:r>
    </w:p>
    <w:p w14:paraId="19139123">
      <w:pPr>
        <w:spacing w:before="191" w:line="221" w:lineRule="auto"/>
        <w:rPr>
          <w:rFonts w:ascii="黑体" w:hAnsi="黑体" w:eastAsia="黑体" w:cs="黑体"/>
          <w:sz w:val="24"/>
          <w:szCs w:val="24"/>
          <w:highlight w:val="none"/>
        </w:rPr>
      </w:pPr>
      <w:r>
        <w:rPr>
          <w:rFonts w:ascii="黑体" w:hAnsi="黑体" w:eastAsia="黑体" w:cs="黑体"/>
          <w:spacing w:val="-3"/>
          <w:sz w:val="24"/>
          <w:szCs w:val="24"/>
          <w:highlight w:val="none"/>
        </w:rPr>
        <w:t>3.1 监理人的职责和权力</w:t>
      </w:r>
    </w:p>
    <w:p w14:paraId="1C281B05">
      <w:pPr>
        <w:spacing w:before="135" w:line="354" w:lineRule="auto"/>
        <w:ind w:right="30"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3.1.1    </w:t>
      </w:r>
      <w:r>
        <w:rPr>
          <w:rFonts w:ascii="宋体" w:hAnsi="宋体" w:eastAsia="宋体" w:cs="宋体"/>
          <w:spacing w:val="-2"/>
          <w:sz w:val="21"/>
          <w:szCs w:val="21"/>
          <w:highlight w:val="none"/>
        </w:rPr>
        <w:t>监理人受发包人委托，享有合同约定的权力，其所发出的任何指示应视为已得到</w:t>
      </w:r>
      <w:r>
        <w:rPr>
          <w:rFonts w:ascii="宋体" w:hAnsi="宋体" w:eastAsia="宋体" w:cs="宋体"/>
          <w:spacing w:val="11"/>
          <w:sz w:val="21"/>
          <w:szCs w:val="21"/>
          <w:highlight w:val="none"/>
        </w:rPr>
        <w:t xml:space="preserve"> </w:t>
      </w:r>
      <w:r>
        <w:rPr>
          <w:rFonts w:ascii="宋体" w:hAnsi="宋体" w:eastAsia="宋体" w:cs="宋体"/>
          <w:spacing w:val="3"/>
          <w:sz w:val="21"/>
          <w:szCs w:val="21"/>
          <w:highlight w:val="none"/>
        </w:rPr>
        <w:t>发包人的批准。监理人在行使某项权力前需要经发包人事先批准而通用合同条款没有指明</w:t>
      </w:r>
      <w:r>
        <w:rPr>
          <w:rFonts w:ascii="宋体" w:hAnsi="宋体" w:eastAsia="宋体" w:cs="宋体"/>
          <w:spacing w:val="4"/>
          <w:sz w:val="21"/>
          <w:szCs w:val="21"/>
          <w:highlight w:val="none"/>
        </w:rPr>
        <w:t xml:space="preserve"> </w:t>
      </w:r>
      <w:r>
        <w:rPr>
          <w:rFonts w:ascii="宋体" w:hAnsi="宋体" w:eastAsia="宋体" w:cs="宋体"/>
          <w:spacing w:val="-1"/>
          <w:sz w:val="21"/>
          <w:szCs w:val="21"/>
          <w:highlight w:val="none"/>
        </w:rPr>
        <w:t>的，应在专用合同条款中指明。未经发包人批准，监理人无权修改</w:t>
      </w:r>
      <w:r>
        <w:rPr>
          <w:rFonts w:ascii="宋体" w:hAnsi="宋体" w:eastAsia="宋体" w:cs="宋体"/>
          <w:spacing w:val="-2"/>
          <w:sz w:val="21"/>
          <w:szCs w:val="21"/>
          <w:highlight w:val="none"/>
        </w:rPr>
        <w:t>合同。</w:t>
      </w:r>
    </w:p>
    <w:p w14:paraId="09A8682F">
      <w:pPr>
        <w:spacing w:before="222" w:line="354" w:lineRule="auto"/>
        <w:ind w:right="37" w:firstLine="42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 xml:space="preserve">3.1.2    </w:t>
      </w:r>
      <w:r>
        <w:rPr>
          <w:rFonts w:ascii="宋体" w:hAnsi="宋体" w:eastAsia="宋体" w:cs="宋体"/>
          <w:spacing w:val="3"/>
          <w:sz w:val="21"/>
          <w:szCs w:val="21"/>
          <w:highlight w:val="none"/>
        </w:rPr>
        <w:t>合同约定应由承包人承担的义务和责任，不因监理人对承包人文件的审查</w:t>
      </w:r>
      <w:r>
        <w:rPr>
          <w:rFonts w:ascii="宋体" w:hAnsi="宋体" w:eastAsia="宋体" w:cs="宋体"/>
          <w:spacing w:val="2"/>
          <w:sz w:val="21"/>
          <w:szCs w:val="21"/>
          <w:highlight w:val="none"/>
        </w:rPr>
        <w:t>或批</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准，对工程、材料和工程设备的检查和检验，以及为实施监理作出的指示等职务行为</w:t>
      </w:r>
      <w:r>
        <w:rPr>
          <w:rFonts w:ascii="宋体" w:hAnsi="宋体" w:eastAsia="宋体" w:cs="宋体"/>
          <w:spacing w:val="-3"/>
          <w:sz w:val="21"/>
          <w:szCs w:val="21"/>
          <w:highlight w:val="none"/>
        </w:rPr>
        <w:t>而减轻</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或解除。</w:t>
      </w:r>
    </w:p>
    <w:p w14:paraId="176FAAF3">
      <w:pPr>
        <w:spacing w:before="291" w:line="222" w:lineRule="auto"/>
        <w:rPr>
          <w:rFonts w:ascii="黑体" w:hAnsi="黑体" w:eastAsia="黑体" w:cs="黑体"/>
          <w:sz w:val="24"/>
          <w:szCs w:val="24"/>
          <w:highlight w:val="none"/>
        </w:rPr>
      </w:pPr>
      <w:r>
        <w:rPr>
          <w:rFonts w:ascii="黑体" w:hAnsi="黑体" w:eastAsia="黑体" w:cs="黑体"/>
          <w:spacing w:val="11"/>
          <w:sz w:val="24"/>
          <w:szCs w:val="24"/>
          <w:highlight w:val="none"/>
        </w:rPr>
        <w:t>3.2总监理工程师</w:t>
      </w:r>
    </w:p>
    <w:p w14:paraId="44E3C774">
      <w:pPr>
        <w:spacing w:before="142" w:line="410" w:lineRule="auto"/>
        <w:ind w:right="36"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发包人应在发出开始工作通知前将总监理工程师的任命通知承包人。总</w:t>
      </w:r>
      <w:r>
        <w:rPr>
          <w:rFonts w:ascii="宋体" w:hAnsi="宋体" w:eastAsia="宋体" w:cs="宋体"/>
          <w:spacing w:val="-3"/>
          <w:sz w:val="21"/>
          <w:szCs w:val="21"/>
          <w:highlight w:val="none"/>
        </w:rPr>
        <w:t>监理工程师更换</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时，应提前14天通知承包人。总监理工程师超过2天不能履行职责的，</w:t>
      </w:r>
      <w:r>
        <w:rPr>
          <w:rFonts w:ascii="宋体" w:hAnsi="宋体" w:eastAsia="宋体" w:cs="宋体"/>
          <w:spacing w:val="5"/>
          <w:sz w:val="21"/>
          <w:szCs w:val="21"/>
          <w:highlight w:val="none"/>
        </w:rPr>
        <w:t>应委派代表代行其</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职责，并通知承包人。</w:t>
      </w:r>
    </w:p>
    <w:p w14:paraId="4F9E4C33">
      <w:pPr>
        <w:spacing w:before="89" w:line="221" w:lineRule="auto"/>
        <w:rPr>
          <w:rFonts w:ascii="黑体" w:hAnsi="黑体" w:eastAsia="黑体" w:cs="黑体"/>
          <w:sz w:val="24"/>
          <w:szCs w:val="24"/>
          <w:highlight w:val="none"/>
        </w:rPr>
      </w:pPr>
      <w:r>
        <w:rPr>
          <w:rFonts w:ascii="黑体" w:hAnsi="黑体" w:eastAsia="黑体" w:cs="黑体"/>
          <w:spacing w:val="14"/>
          <w:sz w:val="24"/>
          <w:szCs w:val="24"/>
          <w:highlight w:val="none"/>
        </w:rPr>
        <w:t>3.3监理人员</w:t>
      </w:r>
    </w:p>
    <w:p w14:paraId="06017EBB">
      <w:pPr>
        <w:spacing w:before="125" w:line="371" w:lineRule="auto"/>
        <w:ind w:right="36"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3.3.1    </w:t>
      </w:r>
      <w:r>
        <w:rPr>
          <w:rFonts w:ascii="宋体" w:hAnsi="宋体" w:eastAsia="宋体" w:cs="宋体"/>
          <w:spacing w:val="-2"/>
          <w:sz w:val="21"/>
          <w:szCs w:val="21"/>
          <w:highlight w:val="none"/>
        </w:rPr>
        <w:t>总监理工程师可以授权其他监理人员负责执行其指派的一项或多项</w:t>
      </w:r>
      <w:r>
        <w:rPr>
          <w:rFonts w:ascii="宋体" w:hAnsi="宋体" w:eastAsia="宋体" w:cs="宋体"/>
          <w:spacing w:val="-3"/>
          <w:sz w:val="21"/>
          <w:szCs w:val="21"/>
          <w:highlight w:val="none"/>
        </w:rPr>
        <w:t>监理工作。总</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监理工程师应将被授权监理人员的姓名及其授权范围通知承包人。被授权的监理人员在授权</w:t>
      </w:r>
      <w:r>
        <w:rPr>
          <w:rFonts w:ascii="宋体" w:hAnsi="宋体" w:eastAsia="宋体" w:cs="宋体"/>
          <w:spacing w:val="17"/>
          <w:sz w:val="21"/>
          <w:szCs w:val="21"/>
          <w:highlight w:val="none"/>
        </w:rPr>
        <w:t xml:space="preserve"> </w:t>
      </w:r>
      <w:r>
        <w:rPr>
          <w:rFonts w:ascii="宋体" w:hAnsi="宋体" w:eastAsia="宋体" w:cs="宋体"/>
          <w:spacing w:val="-2"/>
          <w:sz w:val="21"/>
          <w:szCs w:val="21"/>
          <w:highlight w:val="none"/>
        </w:rPr>
        <w:t>范围内发出的指示视为已得到总监理工程师的同意，与总监理工程师发出的指示具有</w:t>
      </w:r>
      <w:r>
        <w:rPr>
          <w:rFonts w:ascii="宋体" w:hAnsi="宋体" w:eastAsia="宋体" w:cs="宋体"/>
          <w:spacing w:val="-3"/>
          <w:sz w:val="21"/>
          <w:szCs w:val="21"/>
          <w:highlight w:val="none"/>
        </w:rPr>
        <w:t>同等效</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力。总监理工程师撤销某项授权时，应将撤销授权的决定及时通知发包人</w:t>
      </w:r>
      <w:r>
        <w:rPr>
          <w:rFonts w:ascii="宋体" w:hAnsi="宋体" w:eastAsia="宋体" w:cs="宋体"/>
          <w:spacing w:val="-2"/>
          <w:sz w:val="21"/>
          <w:szCs w:val="21"/>
          <w:highlight w:val="none"/>
        </w:rPr>
        <w:t>和承包人。</w:t>
      </w:r>
    </w:p>
    <w:p w14:paraId="60D15E42">
      <w:pPr>
        <w:spacing w:before="241" w:line="348" w:lineRule="auto"/>
        <w:ind w:right="32"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3.3.2    </w:t>
      </w:r>
      <w:r>
        <w:rPr>
          <w:rFonts w:ascii="宋体" w:hAnsi="宋体" w:eastAsia="宋体" w:cs="宋体"/>
          <w:spacing w:val="-2"/>
          <w:sz w:val="21"/>
          <w:szCs w:val="21"/>
          <w:highlight w:val="none"/>
        </w:rPr>
        <w:t>总监理工程师授权的监理人员对承包人文件、工程或其采用的材料和工程设备未</w:t>
      </w:r>
      <w:r>
        <w:rPr>
          <w:rFonts w:ascii="宋体" w:hAnsi="宋体" w:eastAsia="宋体" w:cs="宋体"/>
          <w:spacing w:val="7"/>
          <w:sz w:val="21"/>
          <w:szCs w:val="21"/>
          <w:highlight w:val="none"/>
        </w:rPr>
        <w:t xml:space="preserve"> </w:t>
      </w:r>
      <w:r>
        <w:rPr>
          <w:rFonts w:ascii="宋体" w:hAnsi="宋体" w:eastAsia="宋体" w:cs="宋体"/>
          <w:spacing w:val="-2"/>
          <w:sz w:val="21"/>
          <w:szCs w:val="21"/>
          <w:highlight w:val="none"/>
        </w:rPr>
        <w:t>在约定的或合理的期限内提出否定意见的，视为已获批准，但不影响监理人在以后拒绝该项</w:t>
      </w:r>
      <w:r>
        <w:rPr>
          <w:rFonts w:ascii="宋体" w:hAnsi="宋体" w:eastAsia="宋体" w:cs="宋体"/>
          <w:spacing w:val="1"/>
          <w:sz w:val="21"/>
          <w:szCs w:val="21"/>
          <w:highlight w:val="none"/>
        </w:rPr>
        <w:t xml:space="preserve"> </w:t>
      </w:r>
      <w:r>
        <w:rPr>
          <w:rFonts w:ascii="宋体" w:hAnsi="宋体" w:eastAsia="宋体" w:cs="宋体"/>
          <w:spacing w:val="-1"/>
          <w:sz w:val="21"/>
          <w:szCs w:val="21"/>
          <w:highlight w:val="none"/>
        </w:rPr>
        <w:t>工作、工程、材料或工程设备的权利，监理人的拒绝应当符合法律规定和</w:t>
      </w:r>
      <w:r>
        <w:rPr>
          <w:rFonts w:ascii="宋体" w:hAnsi="宋体" w:eastAsia="宋体" w:cs="宋体"/>
          <w:spacing w:val="-2"/>
          <w:sz w:val="21"/>
          <w:szCs w:val="21"/>
          <w:highlight w:val="none"/>
        </w:rPr>
        <w:t>合同约定。</w:t>
      </w:r>
    </w:p>
    <w:p w14:paraId="2F374C59">
      <w:pPr>
        <w:spacing w:before="213" w:line="360" w:lineRule="auto"/>
        <w:ind w:firstLine="420"/>
        <w:rPr>
          <w:rFonts w:ascii="宋体" w:hAnsi="宋体" w:eastAsia="宋体" w:cs="宋体"/>
          <w:sz w:val="21"/>
          <w:szCs w:val="21"/>
          <w:highlight w:val="none"/>
        </w:rPr>
      </w:pPr>
      <w:r>
        <w:rPr>
          <w:rFonts w:ascii="宋体" w:hAnsi="宋体" w:eastAsia="宋体" w:cs="宋体"/>
          <w:spacing w:val="1"/>
          <w:sz w:val="21"/>
          <w:szCs w:val="21"/>
          <w:highlight w:val="none"/>
        </w:rPr>
        <w:t>3.3.3承包人对总监理工程师授权的监理人员发出的指示有疑问</w:t>
      </w:r>
      <w:r>
        <w:rPr>
          <w:rFonts w:ascii="宋体" w:hAnsi="宋体" w:eastAsia="宋体" w:cs="宋体"/>
          <w:sz w:val="21"/>
          <w:szCs w:val="21"/>
          <w:highlight w:val="none"/>
        </w:rPr>
        <w:t xml:space="preserve">的，可在该指示发出的 </w:t>
      </w:r>
      <w:r>
        <w:rPr>
          <w:rFonts w:ascii="宋体" w:hAnsi="宋体" w:eastAsia="宋体" w:cs="宋体"/>
          <w:spacing w:val="4"/>
          <w:sz w:val="21"/>
          <w:szCs w:val="21"/>
          <w:highlight w:val="none"/>
        </w:rPr>
        <w:t>48小时内向总监理工程师提出书面异议，总监理工程师应在48小时内对该指示予以确认、</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更改或撤销。</w:t>
      </w:r>
    </w:p>
    <w:p w14:paraId="5B6FA30D">
      <w:pPr>
        <w:spacing w:before="212" w:line="329" w:lineRule="auto"/>
        <w:ind w:right="33" w:firstLine="420"/>
        <w:rPr>
          <w:rFonts w:ascii="宋体" w:hAnsi="宋体" w:eastAsia="宋体" w:cs="宋体"/>
          <w:sz w:val="21"/>
          <w:szCs w:val="21"/>
          <w:highlight w:val="none"/>
        </w:rPr>
      </w:pPr>
      <w:r>
        <w:rPr>
          <w:rFonts w:ascii="Times New Roman" w:hAnsi="Times New Roman" w:eastAsia="Times New Roman" w:cs="Times New Roman"/>
          <w:spacing w:val="5"/>
          <w:sz w:val="21"/>
          <w:szCs w:val="21"/>
          <w:highlight w:val="none"/>
        </w:rPr>
        <w:t xml:space="preserve">3.3.4    </w:t>
      </w:r>
      <w:r>
        <w:rPr>
          <w:rFonts w:ascii="宋体" w:hAnsi="宋体" w:eastAsia="宋体" w:cs="宋体"/>
          <w:spacing w:val="5"/>
          <w:sz w:val="21"/>
          <w:szCs w:val="21"/>
          <w:highlight w:val="none"/>
        </w:rPr>
        <w:t>除专用合同条款另有约定外，总监理工程师不应将第3.5款约定应由总监理工</w:t>
      </w:r>
      <w:r>
        <w:rPr>
          <w:rFonts w:ascii="宋体" w:hAnsi="宋体" w:eastAsia="宋体" w:cs="宋体"/>
          <w:spacing w:val="15"/>
          <w:sz w:val="21"/>
          <w:szCs w:val="21"/>
          <w:highlight w:val="none"/>
        </w:rPr>
        <w:t xml:space="preserve"> </w:t>
      </w:r>
      <w:r>
        <w:rPr>
          <w:rFonts w:ascii="宋体" w:hAnsi="宋体" w:eastAsia="宋体" w:cs="宋体"/>
          <w:spacing w:val="-2"/>
          <w:sz w:val="21"/>
          <w:szCs w:val="21"/>
          <w:highlight w:val="none"/>
        </w:rPr>
        <w:t>程师作出确定的权力授权或委托给其他监理人员。</w:t>
      </w:r>
    </w:p>
    <w:p w14:paraId="07B5CB56">
      <w:pPr>
        <w:spacing w:line="329" w:lineRule="auto"/>
        <w:rPr>
          <w:rFonts w:ascii="宋体" w:hAnsi="宋体" w:eastAsia="宋体" w:cs="宋体"/>
          <w:sz w:val="21"/>
          <w:szCs w:val="21"/>
          <w:highlight w:val="none"/>
        </w:rPr>
        <w:sectPr>
          <w:footerReference r:id="rId178" w:type="default"/>
          <w:pgSz w:w="11910" w:h="16840"/>
          <w:pgMar w:top="400" w:right="1784" w:bottom="1218" w:left="1769" w:header="0" w:footer="986" w:gutter="0"/>
          <w:cols w:space="720" w:num="1"/>
        </w:sectPr>
      </w:pPr>
    </w:p>
    <w:p w14:paraId="3CD64709">
      <w:pPr>
        <w:pStyle w:val="2"/>
        <w:spacing w:line="246" w:lineRule="auto"/>
        <w:rPr>
          <w:highlight w:val="none"/>
        </w:rPr>
      </w:pPr>
    </w:p>
    <w:p w14:paraId="440CA9E3">
      <w:pPr>
        <w:pStyle w:val="2"/>
        <w:spacing w:line="246" w:lineRule="auto"/>
        <w:rPr>
          <w:highlight w:val="none"/>
        </w:rPr>
      </w:pPr>
    </w:p>
    <w:p w14:paraId="2819CFD2">
      <w:pPr>
        <w:pStyle w:val="2"/>
        <w:spacing w:line="246" w:lineRule="auto"/>
        <w:rPr>
          <w:highlight w:val="none"/>
        </w:rPr>
      </w:pPr>
    </w:p>
    <w:p w14:paraId="136CDB88">
      <w:pPr>
        <w:pStyle w:val="2"/>
        <w:spacing w:line="246" w:lineRule="auto"/>
        <w:rPr>
          <w:highlight w:val="none"/>
        </w:rPr>
      </w:pPr>
    </w:p>
    <w:p w14:paraId="6BF9FC3F">
      <w:pPr>
        <w:spacing w:before="78" w:line="222" w:lineRule="auto"/>
        <w:rPr>
          <w:rFonts w:ascii="黑体" w:hAnsi="黑体" w:eastAsia="黑体" w:cs="黑体"/>
          <w:sz w:val="24"/>
          <w:szCs w:val="24"/>
          <w:highlight w:val="none"/>
        </w:rPr>
      </w:pPr>
      <w:bookmarkStart w:id="167" w:name="bookmark268"/>
      <w:bookmarkEnd w:id="167"/>
      <w:r>
        <w:rPr>
          <w:rFonts w:ascii="黑体" w:hAnsi="黑体" w:eastAsia="黑体" w:cs="黑体"/>
          <w:spacing w:val="11"/>
          <w:sz w:val="24"/>
          <w:szCs w:val="24"/>
          <w:highlight w:val="none"/>
        </w:rPr>
        <w:t>3.4监理人的指示</w:t>
      </w:r>
    </w:p>
    <w:p w14:paraId="33BDAD0A">
      <w:pPr>
        <w:spacing w:before="130" w:line="331" w:lineRule="auto"/>
        <w:ind w:right="75" w:firstLine="420"/>
        <w:rPr>
          <w:rFonts w:ascii="宋体" w:hAnsi="宋体" w:eastAsia="宋体" w:cs="宋体"/>
          <w:sz w:val="20"/>
          <w:szCs w:val="20"/>
          <w:highlight w:val="none"/>
        </w:rPr>
      </w:pPr>
      <w:r>
        <w:rPr>
          <w:rFonts w:ascii="Times New Roman" w:hAnsi="Times New Roman" w:eastAsia="Times New Roman" w:cs="Times New Roman"/>
          <w:spacing w:val="10"/>
          <w:sz w:val="20"/>
          <w:szCs w:val="20"/>
          <w:highlight w:val="none"/>
        </w:rPr>
        <w:t xml:space="preserve">3.4.1    </w:t>
      </w:r>
      <w:r>
        <w:rPr>
          <w:rFonts w:ascii="宋体" w:hAnsi="宋体" w:eastAsia="宋体" w:cs="宋体"/>
          <w:spacing w:val="10"/>
          <w:sz w:val="20"/>
          <w:szCs w:val="20"/>
          <w:highlight w:val="none"/>
        </w:rPr>
        <w:t>监理人应按第3.</w:t>
      </w:r>
      <w:r>
        <w:rPr>
          <w:rFonts w:ascii="宋体" w:hAnsi="宋体" w:eastAsia="宋体" w:cs="宋体"/>
          <w:spacing w:val="-52"/>
          <w:sz w:val="20"/>
          <w:szCs w:val="20"/>
          <w:highlight w:val="none"/>
        </w:rPr>
        <w:t xml:space="preserve"> </w:t>
      </w:r>
      <w:r>
        <w:rPr>
          <w:rFonts w:ascii="宋体" w:hAnsi="宋体" w:eastAsia="宋体" w:cs="宋体"/>
          <w:spacing w:val="10"/>
          <w:sz w:val="20"/>
          <w:szCs w:val="20"/>
          <w:highlight w:val="none"/>
        </w:rPr>
        <w:t>1 款的约定向承包人发出指示，监理人</w:t>
      </w:r>
      <w:r>
        <w:rPr>
          <w:rFonts w:ascii="宋体" w:hAnsi="宋体" w:eastAsia="宋体" w:cs="宋体"/>
          <w:spacing w:val="9"/>
          <w:sz w:val="20"/>
          <w:szCs w:val="20"/>
          <w:highlight w:val="none"/>
        </w:rPr>
        <w:t>的指示应盖有监理人授</w:t>
      </w:r>
      <w:r>
        <w:rPr>
          <w:rFonts w:ascii="宋体" w:hAnsi="宋体" w:eastAsia="宋体" w:cs="宋体"/>
          <w:sz w:val="20"/>
          <w:szCs w:val="20"/>
          <w:highlight w:val="none"/>
        </w:rPr>
        <w:t xml:space="preserve"> </w:t>
      </w:r>
      <w:r>
        <w:rPr>
          <w:rFonts w:ascii="宋体" w:hAnsi="宋体" w:eastAsia="宋体" w:cs="宋体"/>
          <w:spacing w:val="10"/>
          <w:sz w:val="20"/>
          <w:szCs w:val="20"/>
          <w:highlight w:val="none"/>
        </w:rPr>
        <w:t>权的项目管理机构章，并由总监理工程师或总监理工程师</w:t>
      </w:r>
      <w:r>
        <w:rPr>
          <w:rFonts w:ascii="宋体" w:hAnsi="宋体" w:eastAsia="宋体" w:cs="宋体"/>
          <w:spacing w:val="9"/>
          <w:sz w:val="20"/>
          <w:szCs w:val="20"/>
          <w:highlight w:val="none"/>
        </w:rPr>
        <w:t>约定授权的监理人员签字。</w:t>
      </w:r>
    </w:p>
    <w:p w14:paraId="3C9B7DC8">
      <w:pPr>
        <w:spacing w:before="205" w:line="320" w:lineRule="auto"/>
        <w:ind w:right="76" w:firstLine="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3.4.2   </w:t>
      </w:r>
      <w:r>
        <w:rPr>
          <w:rFonts w:ascii="宋体" w:hAnsi="宋体" w:eastAsia="宋体" w:cs="宋体"/>
          <w:spacing w:val="-5"/>
          <w:sz w:val="22"/>
          <w:szCs w:val="22"/>
          <w:highlight w:val="none"/>
        </w:rPr>
        <w:t>承包人收到监理人作出的指示后应遵照执行。指示构成变更的，应按第15条执</w:t>
      </w:r>
      <w:r>
        <w:rPr>
          <w:rFonts w:ascii="宋体" w:hAnsi="宋体" w:eastAsia="宋体" w:cs="宋体"/>
          <w:spacing w:val="18"/>
          <w:sz w:val="22"/>
          <w:szCs w:val="22"/>
          <w:highlight w:val="none"/>
        </w:rPr>
        <w:t xml:space="preserve"> </w:t>
      </w:r>
      <w:r>
        <w:rPr>
          <w:rFonts w:ascii="宋体" w:hAnsi="宋体" w:eastAsia="宋体" w:cs="宋体"/>
          <w:spacing w:val="-12"/>
          <w:sz w:val="22"/>
          <w:szCs w:val="22"/>
          <w:highlight w:val="none"/>
        </w:rPr>
        <w:t>行。</w:t>
      </w:r>
    </w:p>
    <w:p w14:paraId="310D1BA0">
      <w:pPr>
        <w:spacing w:before="206" w:line="357" w:lineRule="auto"/>
        <w:ind w:firstLine="42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3.4.3    </w:t>
      </w:r>
      <w:r>
        <w:rPr>
          <w:rFonts w:ascii="宋体" w:hAnsi="宋体" w:eastAsia="宋体" w:cs="宋体"/>
          <w:sz w:val="21"/>
          <w:szCs w:val="21"/>
          <w:highlight w:val="none"/>
        </w:rPr>
        <w:t>在紧急情况下，总监理工程师或其授权的监</w:t>
      </w:r>
      <w:r>
        <w:rPr>
          <w:rFonts w:ascii="宋体" w:hAnsi="宋体" w:eastAsia="宋体" w:cs="宋体"/>
          <w:spacing w:val="-1"/>
          <w:sz w:val="21"/>
          <w:szCs w:val="21"/>
          <w:highlight w:val="none"/>
        </w:rPr>
        <w:t>理人员可以当场签发临时书面指示，</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承包人应遵照执行。监理应在临时书面指示发出后24小时内发出书面确认函</w:t>
      </w:r>
      <w:r>
        <w:rPr>
          <w:rFonts w:ascii="宋体" w:hAnsi="宋体" w:eastAsia="宋体" w:cs="宋体"/>
          <w:spacing w:val="2"/>
          <w:sz w:val="21"/>
          <w:szCs w:val="21"/>
          <w:highlight w:val="none"/>
        </w:rPr>
        <w:t>，监理人在24</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小时内未发出书面确认函的，该临时书面指示应被视为监理人的正式指示。</w:t>
      </w:r>
    </w:p>
    <w:p w14:paraId="6C9A7034">
      <w:pPr>
        <w:spacing w:before="222" w:line="307" w:lineRule="auto"/>
        <w:ind w:right="56" w:firstLine="42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3.4.4</w:t>
      </w:r>
      <w:r>
        <w:rPr>
          <w:rFonts w:ascii="Times New Roman" w:hAnsi="Times New Roman" w:eastAsia="Times New Roman" w:cs="Times New Roman"/>
          <w:spacing w:val="16"/>
          <w:sz w:val="22"/>
          <w:szCs w:val="22"/>
          <w:highlight w:val="none"/>
        </w:rPr>
        <w:t xml:space="preserve">   </w:t>
      </w:r>
      <w:r>
        <w:rPr>
          <w:rFonts w:ascii="宋体" w:hAnsi="宋体" w:eastAsia="宋体" w:cs="宋体"/>
          <w:spacing w:val="-8"/>
          <w:sz w:val="22"/>
          <w:szCs w:val="22"/>
          <w:highlight w:val="none"/>
        </w:rPr>
        <w:t>除合同另有约定外，承包人只从总监理工程师或按第3.3.1项被授权的监理人员</w:t>
      </w:r>
      <w:r>
        <w:rPr>
          <w:rFonts w:ascii="宋体" w:hAnsi="宋体" w:eastAsia="宋体" w:cs="宋体"/>
          <w:sz w:val="22"/>
          <w:szCs w:val="22"/>
          <w:highlight w:val="none"/>
        </w:rPr>
        <w:t xml:space="preserve"> </w:t>
      </w:r>
      <w:r>
        <w:rPr>
          <w:rFonts w:ascii="宋体" w:hAnsi="宋体" w:eastAsia="宋体" w:cs="宋体"/>
          <w:spacing w:val="-14"/>
          <w:sz w:val="22"/>
          <w:szCs w:val="22"/>
          <w:highlight w:val="none"/>
        </w:rPr>
        <w:t>处取得指示。</w:t>
      </w:r>
    </w:p>
    <w:p w14:paraId="15EC9973">
      <w:pPr>
        <w:spacing w:before="248" w:line="349" w:lineRule="auto"/>
        <w:ind w:right="68"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3.4.5    </w:t>
      </w:r>
      <w:r>
        <w:rPr>
          <w:rFonts w:ascii="宋体" w:hAnsi="宋体" w:eastAsia="宋体" w:cs="宋体"/>
          <w:spacing w:val="-2"/>
          <w:sz w:val="21"/>
          <w:szCs w:val="21"/>
          <w:highlight w:val="none"/>
        </w:rPr>
        <w:t>由于监理人未能按合同约定发出指示、指示延误或指示错误而导致承包人费用增</w:t>
      </w:r>
      <w:r>
        <w:rPr>
          <w:rFonts w:ascii="宋体" w:hAnsi="宋体" w:eastAsia="宋体" w:cs="宋体"/>
          <w:spacing w:val="4"/>
          <w:sz w:val="21"/>
          <w:szCs w:val="21"/>
          <w:highlight w:val="none"/>
        </w:rPr>
        <w:t xml:space="preserve"> </w:t>
      </w:r>
      <w:r>
        <w:rPr>
          <w:rFonts w:ascii="宋体" w:hAnsi="宋体" w:eastAsia="宋体" w:cs="宋体"/>
          <w:spacing w:val="8"/>
          <w:sz w:val="21"/>
          <w:szCs w:val="21"/>
          <w:highlight w:val="none"/>
        </w:rPr>
        <w:t>加和(或)工期延误的，发包人应承担由此增加的费用和(或)工期延误，并向承包人支付</w:t>
      </w:r>
      <w:r>
        <w:rPr>
          <w:rFonts w:ascii="宋体" w:hAnsi="宋体" w:eastAsia="宋体" w:cs="宋体"/>
          <w:spacing w:val="6"/>
          <w:sz w:val="21"/>
          <w:szCs w:val="21"/>
          <w:highlight w:val="none"/>
        </w:rPr>
        <w:t xml:space="preserve"> </w:t>
      </w:r>
      <w:r>
        <w:rPr>
          <w:rFonts w:ascii="宋体" w:hAnsi="宋体" w:eastAsia="宋体" w:cs="宋体"/>
          <w:spacing w:val="-7"/>
          <w:sz w:val="21"/>
          <w:szCs w:val="21"/>
          <w:highlight w:val="none"/>
        </w:rPr>
        <w:t>合理利润。</w:t>
      </w:r>
    </w:p>
    <w:p w14:paraId="16D7BB70">
      <w:pPr>
        <w:spacing w:before="288" w:line="222" w:lineRule="auto"/>
        <w:rPr>
          <w:rFonts w:ascii="黑体" w:hAnsi="黑体" w:eastAsia="黑体" w:cs="黑体"/>
          <w:sz w:val="24"/>
          <w:szCs w:val="24"/>
          <w:highlight w:val="none"/>
        </w:rPr>
      </w:pPr>
      <w:r>
        <w:rPr>
          <w:rFonts w:ascii="黑体" w:hAnsi="黑体" w:eastAsia="黑体" w:cs="黑体"/>
          <w:spacing w:val="-2"/>
          <w:sz w:val="24"/>
          <w:szCs w:val="24"/>
          <w:highlight w:val="none"/>
        </w:rPr>
        <w:t>3.5 商定或确定</w:t>
      </w:r>
    </w:p>
    <w:p w14:paraId="3A8AF711">
      <w:pPr>
        <w:spacing w:before="150" w:line="366" w:lineRule="auto"/>
        <w:ind w:right="69" w:firstLine="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3.5.1    </w:t>
      </w:r>
      <w:r>
        <w:rPr>
          <w:rFonts w:ascii="宋体" w:hAnsi="宋体" w:eastAsia="宋体" w:cs="宋体"/>
          <w:spacing w:val="7"/>
          <w:sz w:val="20"/>
          <w:szCs w:val="20"/>
          <w:highlight w:val="none"/>
        </w:rPr>
        <w:t>合同约定总监理工程师应按照本款</w:t>
      </w:r>
      <w:r>
        <w:rPr>
          <w:rFonts w:ascii="宋体" w:hAnsi="宋体" w:eastAsia="宋体" w:cs="宋体"/>
          <w:spacing w:val="6"/>
          <w:sz w:val="20"/>
          <w:szCs w:val="20"/>
          <w:highlight w:val="none"/>
        </w:rPr>
        <w:t>对任何事项进行商定或确定时，总监理工程师</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应与合同当事人协商，尽量达成一致。不能达成一致的，总监理工程师应认真</w:t>
      </w:r>
      <w:r>
        <w:rPr>
          <w:rFonts w:ascii="宋体" w:hAnsi="宋体" w:eastAsia="宋体" w:cs="宋体"/>
          <w:spacing w:val="7"/>
          <w:sz w:val="20"/>
          <w:szCs w:val="20"/>
          <w:highlight w:val="none"/>
        </w:rPr>
        <w:t>研究后审慎确</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定。</w:t>
      </w:r>
    </w:p>
    <w:p w14:paraId="003FB8CA">
      <w:pPr>
        <w:spacing w:before="240" w:line="365" w:lineRule="auto"/>
        <w:ind w:right="73"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3.5.2</w:t>
      </w:r>
      <w:r>
        <w:rPr>
          <w:rFonts w:ascii="Times New Roman" w:hAnsi="Times New Roman" w:eastAsia="Times New Roman" w:cs="Times New Roman"/>
          <w:spacing w:val="13"/>
          <w:w w:val="101"/>
          <w:sz w:val="21"/>
          <w:szCs w:val="21"/>
          <w:highlight w:val="none"/>
        </w:rPr>
        <w:t xml:space="preserve">   </w:t>
      </w:r>
      <w:r>
        <w:rPr>
          <w:rFonts w:ascii="宋体" w:hAnsi="宋体" w:eastAsia="宋体" w:cs="宋体"/>
          <w:spacing w:val="-2"/>
          <w:sz w:val="21"/>
          <w:szCs w:val="21"/>
          <w:highlight w:val="none"/>
        </w:rPr>
        <w:t>总监理工程师应将商定或确定的事项通知合同当事人，并附详细依据。对</w:t>
      </w:r>
      <w:r>
        <w:rPr>
          <w:rFonts w:ascii="宋体" w:hAnsi="宋体" w:eastAsia="宋体" w:cs="宋体"/>
          <w:spacing w:val="-3"/>
          <w:sz w:val="21"/>
          <w:szCs w:val="21"/>
          <w:highlight w:val="none"/>
        </w:rPr>
        <w:t>总监理</w:t>
      </w:r>
      <w:r>
        <w:rPr>
          <w:rFonts w:ascii="宋体" w:hAnsi="宋体" w:eastAsia="宋体" w:cs="宋体"/>
          <w:spacing w:val="1"/>
          <w:sz w:val="21"/>
          <w:szCs w:val="21"/>
          <w:highlight w:val="none"/>
        </w:rPr>
        <w:t xml:space="preserve"> </w:t>
      </w:r>
      <w:r>
        <w:rPr>
          <w:rFonts w:ascii="宋体" w:hAnsi="宋体" w:eastAsia="宋体" w:cs="宋体"/>
          <w:spacing w:val="3"/>
          <w:sz w:val="21"/>
          <w:szCs w:val="21"/>
          <w:highlight w:val="none"/>
        </w:rPr>
        <w:t>工程师的确定有异议的，构成争议，按照第24条的约定处理。在争议解决前，双方应暂按</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总监理工程师的确定执行，按照第24条的约定对总监理工程师的确定作出修改的，</w:t>
      </w:r>
      <w:r>
        <w:rPr>
          <w:rFonts w:ascii="宋体" w:hAnsi="宋体" w:eastAsia="宋体" w:cs="宋体"/>
          <w:spacing w:val="2"/>
          <w:sz w:val="21"/>
          <w:szCs w:val="21"/>
          <w:highlight w:val="none"/>
        </w:rPr>
        <w:t>按修改</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后的结果执行，由此导致承包人增加的费用和(或)延误的工期由发包人承担。</w:t>
      </w:r>
    </w:p>
    <w:p w14:paraId="2B66A9D6">
      <w:pPr>
        <w:pStyle w:val="2"/>
        <w:spacing w:before="212" w:line="222" w:lineRule="auto"/>
        <w:outlineLvl w:val="1"/>
        <w:rPr>
          <w:rFonts w:ascii="黑体" w:hAnsi="黑体" w:eastAsia="黑体" w:cs="黑体"/>
          <w:sz w:val="24"/>
          <w:szCs w:val="24"/>
          <w:highlight w:val="none"/>
        </w:rPr>
      </w:pPr>
      <w:bookmarkStart w:id="168" w:name="bookmark99"/>
      <w:bookmarkEnd w:id="168"/>
      <w:r>
        <w:rPr>
          <w:spacing w:val="-2"/>
          <w:sz w:val="24"/>
          <w:szCs w:val="24"/>
          <w:highlight w:val="none"/>
        </w:rPr>
        <w:t>4.</w:t>
      </w:r>
      <w:r>
        <w:rPr>
          <w:spacing w:val="46"/>
          <w:sz w:val="24"/>
          <w:szCs w:val="24"/>
          <w:highlight w:val="none"/>
        </w:rPr>
        <w:t xml:space="preserve"> </w:t>
      </w:r>
      <w:r>
        <w:rPr>
          <w:rFonts w:ascii="黑体" w:hAnsi="黑体" w:eastAsia="黑体" w:cs="黑体"/>
          <w:spacing w:val="-2"/>
          <w:sz w:val="24"/>
          <w:szCs w:val="24"/>
          <w:highlight w:val="none"/>
        </w:rPr>
        <w:t>承包人</w:t>
      </w:r>
    </w:p>
    <w:p w14:paraId="789DD3BF">
      <w:pPr>
        <w:spacing w:before="199" w:line="221" w:lineRule="auto"/>
        <w:rPr>
          <w:rFonts w:ascii="黑体" w:hAnsi="黑体" w:eastAsia="黑体" w:cs="黑体"/>
          <w:sz w:val="24"/>
          <w:szCs w:val="24"/>
          <w:highlight w:val="none"/>
        </w:rPr>
      </w:pPr>
      <w:r>
        <w:rPr>
          <w:rFonts w:ascii="黑体" w:hAnsi="黑体" w:eastAsia="黑体" w:cs="黑体"/>
          <w:spacing w:val="9"/>
          <w:sz w:val="24"/>
          <w:szCs w:val="24"/>
          <w:highlight w:val="none"/>
        </w:rPr>
        <w:t>4.1承包人的一般义务</w:t>
      </w:r>
    </w:p>
    <w:p w14:paraId="6DC7673D">
      <w:pPr>
        <w:spacing w:before="134" w:line="219"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4.1.1</w:t>
      </w:r>
      <w:r>
        <w:rPr>
          <w:rFonts w:ascii="Times New Roman" w:hAnsi="Times New Roman" w:eastAsia="Times New Roman" w:cs="Times New Roman"/>
          <w:spacing w:val="5"/>
          <w:sz w:val="20"/>
          <w:szCs w:val="20"/>
          <w:highlight w:val="none"/>
        </w:rPr>
        <w:t xml:space="preserve">    </w:t>
      </w:r>
      <w:r>
        <w:rPr>
          <w:rFonts w:ascii="宋体" w:hAnsi="宋体" w:eastAsia="宋体" w:cs="宋体"/>
          <w:spacing w:val="6"/>
          <w:sz w:val="20"/>
          <w:szCs w:val="20"/>
          <w:highlight w:val="none"/>
        </w:rPr>
        <w:t>遵守法律</w:t>
      </w:r>
    </w:p>
    <w:p w14:paraId="5DB62C78">
      <w:pPr>
        <w:spacing w:before="212" w:line="422" w:lineRule="auto"/>
        <w:ind w:right="76" w:firstLine="420"/>
        <w:rPr>
          <w:rFonts w:ascii="宋体" w:hAnsi="宋体" w:eastAsia="宋体" w:cs="宋体"/>
          <w:sz w:val="21"/>
          <w:szCs w:val="21"/>
          <w:highlight w:val="none"/>
        </w:rPr>
      </w:pPr>
      <w:r>
        <w:rPr>
          <w:rFonts w:ascii="宋体" w:hAnsi="宋体" w:eastAsia="宋体" w:cs="宋体"/>
          <w:spacing w:val="-2"/>
          <w:sz w:val="21"/>
          <w:szCs w:val="21"/>
          <w:highlight w:val="none"/>
        </w:rPr>
        <w:t>承包人在履行合同过程中应遵守法律，并保证发</w:t>
      </w:r>
      <w:r>
        <w:rPr>
          <w:rFonts w:ascii="宋体" w:hAnsi="宋体" w:eastAsia="宋体" w:cs="宋体"/>
          <w:spacing w:val="-3"/>
          <w:sz w:val="21"/>
          <w:szCs w:val="21"/>
          <w:highlight w:val="none"/>
        </w:rPr>
        <w:t>包人免于承担因承包人违反法律而引起</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的任何责任。</w:t>
      </w:r>
    </w:p>
    <w:p w14:paraId="5A2380EC">
      <w:pPr>
        <w:spacing w:before="1" w:line="218" w:lineRule="auto"/>
        <w:ind w:left="42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4.1.2</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3"/>
          <w:sz w:val="22"/>
          <w:szCs w:val="22"/>
          <w:highlight w:val="none"/>
        </w:rPr>
        <w:t>依法纳税</w:t>
      </w:r>
    </w:p>
    <w:p w14:paraId="252E1A6F">
      <w:pPr>
        <w:spacing w:before="208" w:line="218"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承包人应按有关法律规定纳税，应缴纳的税金包括在合同价格内。</w:t>
      </w:r>
    </w:p>
    <w:p w14:paraId="1AE679F0">
      <w:pPr>
        <w:spacing w:before="252" w:line="219" w:lineRule="auto"/>
        <w:ind w:left="420"/>
        <w:rPr>
          <w:rFonts w:ascii="宋体" w:hAnsi="宋体" w:eastAsia="宋体" w:cs="宋体"/>
          <w:sz w:val="20"/>
          <w:szCs w:val="20"/>
          <w:highlight w:val="none"/>
        </w:rPr>
      </w:pPr>
      <w:r>
        <w:rPr>
          <w:rFonts w:ascii="宋体" w:hAnsi="宋体" w:eastAsia="宋体" w:cs="宋体"/>
          <w:spacing w:val="13"/>
          <w:sz w:val="20"/>
          <w:szCs w:val="20"/>
          <w:highlight w:val="none"/>
        </w:rPr>
        <w:t>4.</w:t>
      </w:r>
      <w:r>
        <w:rPr>
          <w:rFonts w:ascii="宋体" w:hAnsi="宋体" w:eastAsia="宋体" w:cs="宋体"/>
          <w:spacing w:val="-47"/>
          <w:sz w:val="20"/>
          <w:szCs w:val="20"/>
          <w:highlight w:val="none"/>
        </w:rPr>
        <w:t xml:space="preserve"> </w:t>
      </w:r>
      <w:r>
        <w:rPr>
          <w:rFonts w:ascii="宋体" w:hAnsi="宋体" w:eastAsia="宋体" w:cs="宋体"/>
          <w:spacing w:val="13"/>
          <w:sz w:val="20"/>
          <w:szCs w:val="20"/>
          <w:highlight w:val="none"/>
        </w:rPr>
        <w:t>1.3完成各项承包工作</w:t>
      </w:r>
    </w:p>
    <w:p w14:paraId="70DEDB86">
      <w:pPr>
        <w:spacing w:line="219" w:lineRule="auto"/>
        <w:rPr>
          <w:rFonts w:ascii="宋体" w:hAnsi="宋体" w:eastAsia="宋体" w:cs="宋体"/>
          <w:sz w:val="20"/>
          <w:szCs w:val="20"/>
          <w:highlight w:val="none"/>
        </w:rPr>
        <w:sectPr>
          <w:footerReference r:id="rId179" w:type="default"/>
          <w:pgSz w:w="11910" w:h="16840"/>
          <w:pgMar w:top="400" w:right="1754" w:bottom="1169" w:left="1769" w:header="0" w:footer="1028" w:gutter="0"/>
          <w:cols w:space="720" w:num="1"/>
        </w:sectPr>
      </w:pPr>
    </w:p>
    <w:p w14:paraId="7AC8ECCA">
      <w:pPr>
        <w:pStyle w:val="2"/>
        <w:spacing w:line="275" w:lineRule="auto"/>
        <w:rPr>
          <w:highlight w:val="none"/>
        </w:rPr>
      </w:pPr>
    </w:p>
    <w:p w14:paraId="6B294A2B">
      <w:pPr>
        <w:pStyle w:val="2"/>
        <w:spacing w:line="276" w:lineRule="auto"/>
        <w:rPr>
          <w:highlight w:val="none"/>
        </w:rPr>
      </w:pPr>
    </w:p>
    <w:p w14:paraId="6D5677A9">
      <w:pPr>
        <w:pStyle w:val="2"/>
        <w:spacing w:line="276" w:lineRule="auto"/>
        <w:rPr>
          <w:highlight w:val="none"/>
        </w:rPr>
      </w:pPr>
    </w:p>
    <w:p w14:paraId="4D62826E">
      <w:pPr>
        <w:pStyle w:val="2"/>
        <w:spacing w:line="276" w:lineRule="auto"/>
        <w:rPr>
          <w:highlight w:val="none"/>
        </w:rPr>
      </w:pPr>
    </w:p>
    <w:p w14:paraId="5B720F29">
      <w:pPr>
        <w:spacing w:before="68" w:line="414" w:lineRule="auto"/>
        <w:ind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承包人应按合同约定以及监理人根据第3.4款作出的指示，完成合同约定的全部工作，</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并对工作中的任何缺陷进行整改、完善和修补，使其满足合同约定的目的。除专用合</w:t>
      </w:r>
      <w:r>
        <w:rPr>
          <w:rFonts w:ascii="宋体" w:hAnsi="宋体" w:eastAsia="宋体" w:cs="宋体"/>
          <w:spacing w:val="-3"/>
          <w:sz w:val="21"/>
          <w:szCs w:val="21"/>
          <w:highlight w:val="none"/>
        </w:rPr>
        <w:t>同条款</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另有约定外，承包人应提供合同约定的工程设备和承包人</w:t>
      </w:r>
      <w:r>
        <w:rPr>
          <w:rFonts w:ascii="宋体" w:hAnsi="宋体" w:eastAsia="宋体" w:cs="宋体"/>
          <w:spacing w:val="-3"/>
          <w:sz w:val="21"/>
          <w:szCs w:val="21"/>
          <w:highlight w:val="none"/>
        </w:rPr>
        <w:t>文件，以及为完成合同工作所需的</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劳务、材料、施工设备和其他物品，并按合同约定负责临时设施的设计、施工、运行、维护、</w:t>
      </w:r>
      <w:r>
        <w:rPr>
          <w:rFonts w:ascii="宋体" w:hAnsi="宋体" w:eastAsia="宋体" w:cs="宋体"/>
          <w:spacing w:val="9"/>
          <w:sz w:val="21"/>
          <w:szCs w:val="21"/>
          <w:highlight w:val="none"/>
        </w:rPr>
        <w:t xml:space="preserve"> </w:t>
      </w:r>
      <w:r>
        <w:rPr>
          <w:rFonts w:ascii="宋体" w:hAnsi="宋体" w:eastAsia="宋体" w:cs="宋体"/>
          <w:spacing w:val="-7"/>
          <w:sz w:val="21"/>
          <w:szCs w:val="21"/>
          <w:highlight w:val="none"/>
        </w:rPr>
        <w:t>管理和拆除。</w:t>
      </w:r>
    </w:p>
    <w:p w14:paraId="6F2775BE">
      <w:pPr>
        <w:spacing w:before="6"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4.1.4   </w:t>
      </w:r>
      <w:r>
        <w:rPr>
          <w:rFonts w:ascii="宋体" w:hAnsi="宋体" w:eastAsia="宋体" w:cs="宋体"/>
          <w:spacing w:val="-6"/>
          <w:sz w:val="22"/>
          <w:szCs w:val="22"/>
          <w:highlight w:val="none"/>
        </w:rPr>
        <w:t>对设计、施工作业和施工方法</w:t>
      </w:r>
      <w:r>
        <w:rPr>
          <w:rFonts w:ascii="宋体" w:hAnsi="宋体" w:eastAsia="宋体" w:cs="宋体"/>
          <w:spacing w:val="-7"/>
          <w:sz w:val="22"/>
          <w:szCs w:val="22"/>
          <w:highlight w:val="none"/>
        </w:rPr>
        <w:t>，以及工程的完备性负责</w:t>
      </w:r>
    </w:p>
    <w:p w14:paraId="0CFCCFB0">
      <w:pPr>
        <w:spacing w:before="199" w:line="415" w:lineRule="auto"/>
        <w:ind w:right="96" w:firstLine="420"/>
        <w:rPr>
          <w:rFonts w:ascii="宋体" w:hAnsi="宋体" w:eastAsia="宋体" w:cs="宋体"/>
          <w:sz w:val="22"/>
          <w:szCs w:val="22"/>
          <w:highlight w:val="none"/>
        </w:rPr>
      </w:pPr>
      <w:r>
        <w:rPr>
          <w:rFonts w:ascii="宋体" w:hAnsi="宋体" w:eastAsia="宋体" w:cs="宋体"/>
          <w:spacing w:val="-12"/>
          <w:sz w:val="22"/>
          <w:szCs w:val="22"/>
          <w:highlight w:val="none"/>
        </w:rPr>
        <w:t>承包人应按合同约定的工作内容和进度要求，编制设计、施工的组织和</w:t>
      </w:r>
      <w:r>
        <w:rPr>
          <w:rFonts w:ascii="宋体" w:hAnsi="宋体" w:eastAsia="宋体" w:cs="宋体"/>
          <w:spacing w:val="-13"/>
          <w:sz w:val="22"/>
          <w:szCs w:val="22"/>
          <w:highlight w:val="none"/>
        </w:rPr>
        <w:t>实施计划，并对</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所有设计、施工作业和施工方法，以及全部工程的完备性和安全可靠性负责。</w:t>
      </w:r>
    </w:p>
    <w:p w14:paraId="16890EEA">
      <w:pPr>
        <w:spacing w:line="220" w:lineRule="auto"/>
        <w:ind w:left="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4.1.5    </w:t>
      </w:r>
      <w:r>
        <w:rPr>
          <w:rFonts w:ascii="宋体" w:hAnsi="宋体" w:eastAsia="宋体" w:cs="宋体"/>
          <w:spacing w:val="7"/>
          <w:sz w:val="20"/>
          <w:szCs w:val="20"/>
          <w:highlight w:val="none"/>
        </w:rPr>
        <w:t>保证工程施工和人员的安全</w:t>
      </w:r>
    </w:p>
    <w:p w14:paraId="0BC7EEA8">
      <w:pPr>
        <w:spacing w:before="221" w:line="422" w:lineRule="auto"/>
        <w:ind w:right="94" w:firstLine="420"/>
        <w:rPr>
          <w:rFonts w:ascii="宋体" w:hAnsi="宋体" w:eastAsia="宋体" w:cs="宋体"/>
          <w:sz w:val="21"/>
          <w:szCs w:val="21"/>
          <w:highlight w:val="none"/>
        </w:rPr>
      </w:pPr>
      <w:r>
        <w:rPr>
          <w:rFonts w:ascii="宋体" w:hAnsi="宋体" w:eastAsia="宋体" w:cs="宋体"/>
          <w:spacing w:val="3"/>
          <w:sz w:val="21"/>
          <w:szCs w:val="21"/>
          <w:highlight w:val="none"/>
        </w:rPr>
        <w:t>承包人应按第10.2款约定采取施工安全措施，确保工程及其人员、材料、设备和设施</w:t>
      </w:r>
      <w:r>
        <w:rPr>
          <w:rFonts w:ascii="宋体" w:hAnsi="宋体" w:eastAsia="宋体" w:cs="宋体"/>
          <w:spacing w:val="12"/>
          <w:sz w:val="21"/>
          <w:szCs w:val="21"/>
          <w:highlight w:val="none"/>
        </w:rPr>
        <w:t xml:space="preserve"> </w:t>
      </w:r>
      <w:r>
        <w:rPr>
          <w:rFonts w:ascii="宋体" w:hAnsi="宋体" w:eastAsia="宋体" w:cs="宋体"/>
          <w:spacing w:val="-2"/>
          <w:sz w:val="21"/>
          <w:szCs w:val="21"/>
          <w:highlight w:val="none"/>
        </w:rPr>
        <w:t>的安全，防止因工程施工造成的人身伤害和财产损失。</w:t>
      </w:r>
    </w:p>
    <w:p w14:paraId="4917D631">
      <w:pPr>
        <w:spacing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4.1.6   </w:t>
      </w:r>
      <w:r>
        <w:rPr>
          <w:rFonts w:ascii="宋体" w:hAnsi="宋体" w:eastAsia="宋体" w:cs="宋体"/>
          <w:spacing w:val="-6"/>
          <w:sz w:val="22"/>
          <w:szCs w:val="22"/>
          <w:highlight w:val="none"/>
        </w:rPr>
        <w:t>负责施工场地及其周边环境与生态的保护工作</w:t>
      </w:r>
    </w:p>
    <w:p w14:paraId="5FC609AA">
      <w:pPr>
        <w:spacing w:before="229" w:line="219" w:lineRule="auto"/>
        <w:ind w:left="420"/>
        <w:rPr>
          <w:rFonts w:ascii="宋体" w:hAnsi="宋体" w:eastAsia="宋体" w:cs="宋体"/>
          <w:sz w:val="22"/>
          <w:szCs w:val="22"/>
          <w:highlight w:val="none"/>
        </w:rPr>
      </w:pPr>
      <w:r>
        <w:rPr>
          <w:rFonts w:ascii="宋体" w:hAnsi="宋体" w:eastAsia="宋体" w:cs="宋体"/>
          <w:spacing w:val="-5"/>
          <w:sz w:val="22"/>
          <w:szCs w:val="22"/>
          <w:highlight w:val="none"/>
        </w:rPr>
        <w:t>承包人应按照第10.4款约定负责施工场地及其周边环境与生态的保护工作。</w:t>
      </w:r>
    </w:p>
    <w:p w14:paraId="3255E85B">
      <w:pPr>
        <w:spacing w:before="238" w:line="219" w:lineRule="auto"/>
        <w:ind w:left="420"/>
        <w:rPr>
          <w:rFonts w:ascii="宋体" w:hAnsi="宋体" w:eastAsia="宋体" w:cs="宋体"/>
          <w:sz w:val="20"/>
          <w:szCs w:val="20"/>
          <w:highlight w:val="none"/>
        </w:rPr>
      </w:pPr>
      <w:r>
        <w:rPr>
          <w:rFonts w:ascii="宋体" w:hAnsi="宋体" w:eastAsia="宋体" w:cs="宋体"/>
          <w:spacing w:val="14"/>
          <w:sz w:val="20"/>
          <w:szCs w:val="20"/>
          <w:highlight w:val="none"/>
        </w:rPr>
        <w:t>4.1.7避免施工对公众与他人的利益造成损害</w:t>
      </w:r>
    </w:p>
    <w:p w14:paraId="506CF17A">
      <w:pPr>
        <w:spacing w:before="243" w:line="413" w:lineRule="auto"/>
        <w:ind w:right="92" w:firstLine="420"/>
        <w:rPr>
          <w:rFonts w:ascii="宋体" w:hAnsi="宋体" w:eastAsia="宋体" w:cs="宋体"/>
          <w:sz w:val="21"/>
          <w:szCs w:val="21"/>
          <w:highlight w:val="none"/>
        </w:rPr>
      </w:pPr>
      <w:r>
        <w:rPr>
          <w:rFonts w:ascii="宋体" w:hAnsi="宋体" w:eastAsia="宋体" w:cs="宋体"/>
          <w:spacing w:val="-2"/>
          <w:sz w:val="21"/>
          <w:szCs w:val="21"/>
          <w:highlight w:val="none"/>
        </w:rPr>
        <w:t>承包人在进行合同约定的各项工作时，不得侵害发包人与他人使用公用道路、水</w:t>
      </w:r>
      <w:r>
        <w:rPr>
          <w:rFonts w:ascii="宋体" w:hAnsi="宋体" w:eastAsia="宋体" w:cs="宋体"/>
          <w:spacing w:val="-3"/>
          <w:sz w:val="21"/>
          <w:szCs w:val="21"/>
          <w:highlight w:val="none"/>
        </w:rPr>
        <w:t>源、市</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政管网等公共设施的权利，避免对邻近的公共设施产生干扰。承包人占用或使用他人的施工</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场地，影响他人作业或生活的，应承担相应责任。</w:t>
      </w:r>
    </w:p>
    <w:p w14:paraId="749FBDCD">
      <w:pPr>
        <w:spacing w:before="1" w:line="218" w:lineRule="auto"/>
        <w:ind w:left="420"/>
        <w:rPr>
          <w:rFonts w:ascii="宋体" w:hAnsi="宋体" w:eastAsia="宋体" w:cs="宋体"/>
          <w:sz w:val="22"/>
          <w:szCs w:val="22"/>
          <w:highlight w:val="none"/>
        </w:rPr>
      </w:pPr>
      <w:r>
        <w:rPr>
          <w:rFonts w:ascii="宋体" w:hAnsi="宋体" w:eastAsia="宋体" w:cs="宋体"/>
          <w:spacing w:val="1"/>
          <w:sz w:val="22"/>
          <w:szCs w:val="22"/>
          <w:highlight w:val="none"/>
        </w:rPr>
        <w:t>4.1.8为他人提供方便</w:t>
      </w:r>
    </w:p>
    <w:p w14:paraId="7F8BEDCB">
      <w:pPr>
        <w:spacing w:before="221" w:line="414" w:lineRule="auto"/>
        <w:ind w:right="91" w:firstLine="420"/>
        <w:rPr>
          <w:rFonts w:ascii="宋体" w:hAnsi="宋体" w:eastAsia="宋体" w:cs="宋体"/>
          <w:sz w:val="20"/>
          <w:szCs w:val="20"/>
          <w:highlight w:val="none"/>
        </w:rPr>
      </w:pPr>
      <w:r>
        <w:rPr>
          <w:rFonts w:ascii="宋体" w:hAnsi="宋体" w:eastAsia="宋体" w:cs="宋体"/>
          <w:spacing w:val="-7"/>
          <w:sz w:val="22"/>
          <w:szCs w:val="22"/>
          <w:highlight w:val="none"/>
        </w:rPr>
        <w:t>承包人应按监理人的指示为他人在施工场地或附近实施与工程有关的其他各项工作提</w:t>
      </w:r>
      <w:r>
        <w:rPr>
          <w:rFonts w:ascii="宋体" w:hAnsi="宋体" w:eastAsia="宋体" w:cs="宋体"/>
          <w:spacing w:val="17"/>
          <w:sz w:val="22"/>
          <w:szCs w:val="22"/>
          <w:highlight w:val="none"/>
        </w:rPr>
        <w:t xml:space="preserve"> </w:t>
      </w:r>
      <w:r>
        <w:rPr>
          <w:rFonts w:ascii="宋体" w:hAnsi="宋体" w:eastAsia="宋体" w:cs="宋体"/>
          <w:spacing w:val="-12"/>
          <w:sz w:val="22"/>
          <w:szCs w:val="22"/>
          <w:highlight w:val="none"/>
        </w:rPr>
        <w:t>供可能的条件。除合同另有约定外，提供有关条件的内容和可能发生的费用，由监理人按第</w:t>
      </w:r>
      <w:r>
        <w:rPr>
          <w:rFonts w:ascii="宋体" w:hAnsi="宋体" w:eastAsia="宋体" w:cs="宋体"/>
          <w:spacing w:val="2"/>
          <w:sz w:val="22"/>
          <w:szCs w:val="22"/>
          <w:highlight w:val="none"/>
        </w:rPr>
        <w:t xml:space="preserve"> </w:t>
      </w:r>
      <w:r>
        <w:rPr>
          <w:rFonts w:ascii="宋体" w:hAnsi="宋体" w:eastAsia="宋体" w:cs="宋体"/>
          <w:spacing w:val="16"/>
          <w:sz w:val="20"/>
          <w:szCs w:val="20"/>
          <w:highlight w:val="none"/>
        </w:rPr>
        <w:t>3.5款商定或确定。</w:t>
      </w:r>
    </w:p>
    <w:p w14:paraId="4B6897FA">
      <w:pPr>
        <w:spacing w:before="4" w:line="219" w:lineRule="auto"/>
        <w:ind w:left="42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4.1.9</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5"/>
          <w:sz w:val="22"/>
          <w:szCs w:val="22"/>
          <w:highlight w:val="none"/>
        </w:rPr>
        <w:t>工程的维护和照管</w:t>
      </w:r>
    </w:p>
    <w:p w14:paraId="15740659">
      <w:pPr>
        <w:spacing w:before="218" w:line="418" w:lineRule="auto"/>
        <w:ind w:firstLine="420"/>
        <w:rPr>
          <w:rFonts w:ascii="宋体" w:hAnsi="宋体" w:eastAsia="宋体" w:cs="宋体"/>
          <w:sz w:val="21"/>
          <w:szCs w:val="21"/>
          <w:highlight w:val="none"/>
        </w:rPr>
      </w:pPr>
      <w:r>
        <w:rPr>
          <w:rFonts w:ascii="宋体" w:hAnsi="宋体" w:eastAsia="宋体" w:cs="宋体"/>
          <w:spacing w:val="-2"/>
          <w:sz w:val="21"/>
          <w:szCs w:val="21"/>
          <w:highlight w:val="none"/>
        </w:rPr>
        <w:t>工程接收证书颁发前，承包人应负责照管和维护工程。工程接收证书颁发时</w:t>
      </w:r>
      <w:r>
        <w:rPr>
          <w:rFonts w:ascii="宋体" w:hAnsi="宋体" w:eastAsia="宋体" w:cs="宋体"/>
          <w:spacing w:val="-3"/>
          <w:sz w:val="21"/>
          <w:szCs w:val="21"/>
          <w:highlight w:val="none"/>
        </w:rPr>
        <w:t>尚有部分未</w:t>
      </w:r>
      <w:r>
        <w:rPr>
          <w:rFonts w:ascii="宋体" w:hAnsi="宋体" w:eastAsia="宋体" w:cs="宋体"/>
          <w:sz w:val="21"/>
          <w:szCs w:val="21"/>
          <w:highlight w:val="none"/>
        </w:rPr>
        <w:t xml:space="preserve">  竣工工程的，承包人还应负责该未竣工工程的照管和维护工作，直至竣工后移交给发包人。</w:t>
      </w:r>
    </w:p>
    <w:p w14:paraId="0B412277">
      <w:pPr>
        <w:spacing w:line="219"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4.1.10其他义务</w:t>
      </w:r>
    </w:p>
    <w:p w14:paraId="6038149D">
      <w:pPr>
        <w:spacing w:before="219"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承包人应履行合同约定的其他义务。</w:t>
      </w:r>
    </w:p>
    <w:p w14:paraId="2B7E4DA9">
      <w:pPr>
        <w:spacing w:before="278" w:line="222" w:lineRule="auto"/>
        <w:rPr>
          <w:rFonts w:ascii="黑体" w:hAnsi="黑体" w:eastAsia="黑体" w:cs="黑体"/>
          <w:sz w:val="24"/>
          <w:szCs w:val="24"/>
          <w:highlight w:val="none"/>
        </w:rPr>
      </w:pPr>
      <w:r>
        <w:rPr>
          <w:rFonts w:ascii="黑体" w:hAnsi="黑体" w:eastAsia="黑体" w:cs="黑体"/>
          <w:spacing w:val="15"/>
          <w:sz w:val="24"/>
          <w:szCs w:val="24"/>
          <w:highlight w:val="none"/>
        </w:rPr>
        <w:t>4.2履约担保</w:t>
      </w:r>
    </w:p>
    <w:p w14:paraId="042E0B37">
      <w:pPr>
        <w:spacing w:before="122" w:line="441" w:lineRule="auto"/>
        <w:ind w:right="93" w:firstLine="42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4.2.1   </w:t>
      </w:r>
      <w:r>
        <w:rPr>
          <w:rFonts w:ascii="宋体" w:hAnsi="宋体" w:eastAsia="宋体" w:cs="宋体"/>
          <w:spacing w:val="-1"/>
          <w:sz w:val="21"/>
          <w:szCs w:val="21"/>
          <w:highlight w:val="none"/>
        </w:rPr>
        <w:t>承包人应保证其履约担保在发包人颁发工程接收证书前一直有效。发包人应在工</w:t>
      </w:r>
      <w:r>
        <w:rPr>
          <w:rFonts w:ascii="宋体" w:hAnsi="宋体" w:eastAsia="宋体" w:cs="宋体"/>
          <w:spacing w:val="15"/>
          <w:sz w:val="21"/>
          <w:szCs w:val="21"/>
          <w:highlight w:val="none"/>
        </w:rPr>
        <w:t xml:space="preserve"> </w:t>
      </w:r>
      <w:r>
        <w:rPr>
          <w:rFonts w:ascii="宋体" w:hAnsi="宋体" w:eastAsia="宋体" w:cs="宋体"/>
          <w:spacing w:val="3"/>
          <w:sz w:val="21"/>
          <w:szCs w:val="21"/>
          <w:highlight w:val="none"/>
        </w:rPr>
        <w:t>程接收证书颁发后28天内将履约担保退还给承包人。需进行竣工后试验的，承包人应保证</w:t>
      </w:r>
    </w:p>
    <w:p w14:paraId="5BE45A58">
      <w:pPr>
        <w:spacing w:line="441" w:lineRule="auto"/>
        <w:rPr>
          <w:rFonts w:ascii="宋体" w:hAnsi="宋体" w:eastAsia="宋体" w:cs="宋体"/>
          <w:sz w:val="21"/>
          <w:szCs w:val="21"/>
          <w:highlight w:val="none"/>
        </w:rPr>
        <w:sectPr>
          <w:footerReference r:id="rId180" w:type="default"/>
          <w:pgSz w:w="11910" w:h="16840"/>
          <w:pgMar w:top="400" w:right="1714" w:bottom="1197" w:left="1779" w:header="0" w:footer="993" w:gutter="0"/>
          <w:cols w:space="720" w:num="1"/>
        </w:sectPr>
      </w:pPr>
    </w:p>
    <w:p w14:paraId="33BF6496">
      <w:pPr>
        <w:pStyle w:val="2"/>
        <w:spacing w:line="276" w:lineRule="auto"/>
        <w:rPr>
          <w:highlight w:val="none"/>
        </w:rPr>
      </w:pPr>
    </w:p>
    <w:p w14:paraId="26158AFB">
      <w:pPr>
        <w:pStyle w:val="2"/>
        <w:spacing w:line="276" w:lineRule="auto"/>
        <w:rPr>
          <w:highlight w:val="none"/>
        </w:rPr>
      </w:pPr>
    </w:p>
    <w:p w14:paraId="684A1746">
      <w:pPr>
        <w:pStyle w:val="2"/>
        <w:spacing w:line="276" w:lineRule="auto"/>
        <w:rPr>
          <w:highlight w:val="none"/>
        </w:rPr>
      </w:pPr>
    </w:p>
    <w:p w14:paraId="1C82CF95">
      <w:pPr>
        <w:pStyle w:val="2"/>
        <w:spacing w:line="277" w:lineRule="auto"/>
        <w:rPr>
          <w:highlight w:val="none"/>
        </w:rPr>
      </w:pPr>
    </w:p>
    <w:p w14:paraId="71CDCB46">
      <w:pPr>
        <w:spacing w:before="65" w:line="434" w:lineRule="auto"/>
        <w:ind w:right="102"/>
        <w:rPr>
          <w:rFonts w:ascii="宋体" w:hAnsi="宋体" w:eastAsia="宋体" w:cs="宋体"/>
          <w:sz w:val="20"/>
          <w:szCs w:val="20"/>
          <w:highlight w:val="none"/>
        </w:rPr>
      </w:pPr>
      <w:bookmarkStart w:id="169" w:name="bookmark269"/>
      <w:bookmarkEnd w:id="169"/>
      <w:r>
        <w:rPr>
          <w:rFonts w:ascii="宋体" w:hAnsi="宋体" w:eastAsia="宋体" w:cs="宋体"/>
          <w:spacing w:val="10"/>
          <w:sz w:val="20"/>
          <w:szCs w:val="20"/>
          <w:highlight w:val="none"/>
        </w:rPr>
        <w:t>其履约担保在竣工后试验通过前一直有效，发包人应在通过竣工验收后7天内将履约担保退</w:t>
      </w:r>
      <w:r>
        <w:rPr>
          <w:rFonts w:ascii="宋体" w:hAnsi="宋体" w:eastAsia="宋体" w:cs="宋体"/>
          <w:spacing w:val="17"/>
          <w:sz w:val="20"/>
          <w:szCs w:val="20"/>
          <w:highlight w:val="none"/>
        </w:rPr>
        <w:t xml:space="preserve"> </w:t>
      </w:r>
      <w:r>
        <w:rPr>
          <w:rFonts w:ascii="宋体" w:hAnsi="宋体" w:eastAsia="宋体" w:cs="宋体"/>
          <w:spacing w:val="4"/>
          <w:sz w:val="20"/>
          <w:szCs w:val="20"/>
          <w:highlight w:val="none"/>
        </w:rPr>
        <w:t>还给承包人。</w:t>
      </w:r>
    </w:p>
    <w:p w14:paraId="6F0C752B">
      <w:pPr>
        <w:spacing w:before="2" w:line="423" w:lineRule="auto"/>
        <w:ind w:right="82" w:firstLine="430"/>
        <w:jc w:val="both"/>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4.2.2</w:t>
      </w:r>
      <w:r>
        <w:rPr>
          <w:rFonts w:ascii="Times New Roman" w:hAnsi="Times New Roman" w:eastAsia="Times New Roman" w:cs="Times New Roman"/>
          <w:spacing w:val="15"/>
          <w:sz w:val="21"/>
          <w:szCs w:val="21"/>
          <w:highlight w:val="none"/>
        </w:rPr>
        <w:t xml:space="preserve">   </w:t>
      </w:r>
      <w:r>
        <w:rPr>
          <w:rFonts w:ascii="宋体" w:hAnsi="宋体" w:eastAsia="宋体" w:cs="宋体"/>
          <w:spacing w:val="-2"/>
          <w:sz w:val="21"/>
          <w:szCs w:val="21"/>
          <w:highlight w:val="none"/>
        </w:rPr>
        <w:t>如工程延期，承包人有义务继续提供履约担保。由于发包人原因导致</w:t>
      </w:r>
      <w:r>
        <w:rPr>
          <w:rFonts w:ascii="宋体" w:hAnsi="宋体" w:eastAsia="宋体" w:cs="宋体"/>
          <w:spacing w:val="-3"/>
          <w:sz w:val="21"/>
          <w:szCs w:val="21"/>
          <w:highlight w:val="none"/>
        </w:rPr>
        <w:t>延期的，继</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续提供履约担保所需的费用由发包人承担；由于承包人原因导致延期的，继续提供履约担保</w:t>
      </w:r>
      <w:r>
        <w:rPr>
          <w:rFonts w:ascii="宋体" w:hAnsi="宋体" w:eastAsia="宋体" w:cs="宋体"/>
          <w:spacing w:val="16"/>
          <w:sz w:val="21"/>
          <w:szCs w:val="21"/>
          <w:highlight w:val="none"/>
        </w:rPr>
        <w:t xml:space="preserve"> </w:t>
      </w:r>
      <w:r>
        <w:rPr>
          <w:rFonts w:ascii="宋体" w:hAnsi="宋体" w:eastAsia="宋体" w:cs="宋体"/>
          <w:spacing w:val="-4"/>
          <w:sz w:val="21"/>
          <w:szCs w:val="21"/>
          <w:highlight w:val="none"/>
        </w:rPr>
        <w:t>所需费用由承包人承担。</w:t>
      </w:r>
    </w:p>
    <w:p w14:paraId="018434A6">
      <w:pPr>
        <w:spacing w:before="44" w:line="222" w:lineRule="auto"/>
        <w:rPr>
          <w:rFonts w:ascii="黑体" w:hAnsi="黑体" w:eastAsia="黑体" w:cs="黑体"/>
          <w:sz w:val="24"/>
          <w:szCs w:val="24"/>
          <w:highlight w:val="none"/>
        </w:rPr>
      </w:pPr>
      <w:r>
        <w:rPr>
          <w:rFonts w:ascii="黑体" w:hAnsi="黑体" w:eastAsia="黑体" w:cs="黑体"/>
          <w:spacing w:val="9"/>
          <w:sz w:val="24"/>
          <w:szCs w:val="24"/>
          <w:highlight w:val="none"/>
        </w:rPr>
        <w:t>4.3分包和不得转包</w:t>
      </w:r>
    </w:p>
    <w:p w14:paraId="41749A3C">
      <w:pPr>
        <w:spacing w:before="112" w:line="329" w:lineRule="auto"/>
        <w:ind w:right="102"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4.3.1   </w:t>
      </w:r>
      <w:r>
        <w:rPr>
          <w:rFonts w:ascii="宋体" w:hAnsi="宋体" w:eastAsia="宋体" w:cs="宋体"/>
          <w:spacing w:val="-1"/>
          <w:sz w:val="21"/>
          <w:szCs w:val="21"/>
          <w:highlight w:val="none"/>
        </w:rPr>
        <w:t>承包人不得将其承包的全部工程转包给第三人，也不得将其承包的全部工程肢解</w:t>
      </w:r>
      <w:r>
        <w:rPr>
          <w:rFonts w:ascii="宋体" w:hAnsi="宋体" w:eastAsia="宋体" w:cs="宋体"/>
          <w:spacing w:val="1"/>
          <w:sz w:val="21"/>
          <w:szCs w:val="21"/>
          <w:highlight w:val="none"/>
        </w:rPr>
        <w:t xml:space="preserve"> </w:t>
      </w:r>
      <w:r>
        <w:rPr>
          <w:rFonts w:ascii="宋体" w:hAnsi="宋体" w:eastAsia="宋体" w:cs="宋体"/>
          <w:spacing w:val="-1"/>
          <w:sz w:val="21"/>
          <w:szCs w:val="21"/>
          <w:highlight w:val="none"/>
        </w:rPr>
        <w:t>后以分包的名义分别转包给第三人。</w:t>
      </w:r>
    </w:p>
    <w:p w14:paraId="63A18C46">
      <w:pPr>
        <w:spacing w:before="211" w:line="311" w:lineRule="auto"/>
        <w:ind w:right="84" w:firstLine="430"/>
        <w:rPr>
          <w:rFonts w:ascii="宋体" w:hAnsi="宋体" w:eastAsia="宋体" w:cs="宋体"/>
          <w:sz w:val="22"/>
          <w:szCs w:val="22"/>
          <w:highlight w:val="none"/>
        </w:rPr>
      </w:pPr>
      <w:r>
        <w:rPr>
          <w:rFonts w:ascii="宋体" w:hAnsi="宋体" w:eastAsia="宋体" w:cs="宋体"/>
          <w:spacing w:val="-9"/>
          <w:sz w:val="22"/>
          <w:szCs w:val="22"/>
          <w:highlight w:val="none"/>
        </w:rPr>
        <w:t>4.3.2承包人不得将设计和施工的主体、关键性工作分包给第三人。除专用合同条款另</w:t>
      </w:r>
      <w:r>
        <w:rPr>
          <w:rFonts w:ascii="宋体" w:hAnsi="宋体" w:eastAsia="宋体" w:cs="宋体"/>
          <w:spacing w:val="14"/>
          <w:sz w:val="22"/>
          <w:szCs w:val="22"/>
          <w:highlight w:val="none"/>
        </w:rPr>
        <w:t xml:space="preserve"> </w:t>
      </w:r>
      <w:r>
        <w:rPr>
          <w:rFonts w:ascii="宋体" w:hAnsi="宋体" w:eastAsia="宋体" w:cs="宋体"/>
          <w:spacing w:val="-10"/>
          <w:sz w:val="22"/>
          <w:szCs w:val="22"/>
          <w:highlight w:val="none"/>
        </w:rPr>
        <w:t>有约定外，未经发包人同意，承包人也不得将非主体、非关键性工作分包给第三人。</w:t>
      </w:r>
    </w:p>
    <w:p w14:paraId="05E80820">
      <w:pPr>
        <w:spacing w:before="229" w:line="219" w:lineRule="auto"/>
        <w:ind w:left="430"/>
        <w:rPr>
          <w:rFonts w:ascii="宋体" w:hAnsi="宋体" w:eastAsia="宋体" w:cs="宋体"/>
          <w:sz w:val="22"/>
          <w:szCs w:val="22"/>
          <w:highlight w:val="none"/>
        </w:rPr>
      </w:pPr>
      <w:r>
        <w:rPr>
          <w:rFonts w:ascii="宋体" w:hAnsi="宋体" w:eastAsia="宋体" w:cs="宋体"/>
          <w:spacing w:val="-9"/>
          <w:sz w:val="22"/>
          <w:szCs w:val="22"/>
          <w:highlight w:val="none"/>
        </w:rPr>
        <w:t>4.3.3 分包人的资格能力应与其分包</w:t>
      </w:r>
      <w:r>
        <w:rPr>
          <w:rFonts w:ascii="宋体" w:hAnsi="宋体" w:eastAsia="宋体" w:cs="宋体"/>
          <w:spacing w:val="-10"/>
          <w:sz w:val="22"/>
          <w:szCs w:val="22"/>
          <w:highlight w:val="none"/>
        </w:rPr>
        <w:t>工作的标准和规模相适应。</w:t>
      </w:r>
    </w:p>
    <w:p w14:paraId="4BC1CD5E">
      <w:pPr>
        <w:spacing w:before="217" w:line="219" w:lineRule="auto"/>
        <w:ind w:right="4"/>
        <w:jc w:val="right"/>
        <w:rPr>
          <w:rFonts w:ascii="宋体" w:hAnsi="宋体" w:eastAsia="宋体" w:cs="宋体"/>
          <w:sz w:val="21"/>
          <w:szCs w:val="21"/>
          <w:highlight w:val="none"/>
        </w:rPr>
      </w:pPr>
      <w:r>
        <w:rPr>
          <w:rFonts w:ascii="Times New Roman" w:hAnsi="Times New Roman" w:eastAsia="Times New Roman" w:cs="Times New Roman"/>
          <w:sz w:val="21"/>
          <w:szCs w:val="21"/>
          <w:highlight w:val="none"/>
        </w:rPr>
        <w:t>4.3.4</w:t>
      </w:r>
      <w:r>
        <w:rPr>
          <w:rFonts w:ascii="Times New Roman" w:hAnsi="Times New Roman" w:eastAsia="Times New Roman" w:cs="Times New Roman"/>
          <w:spacing w:val="18"/>
          <w:w w:val="101"/>
          <w:sz w:val="21"/>
          <w:szCs w:val="21"/>
          <w:highlight w:val="none"/>
        </w:rPr>
        <w:t xml:space="preserve">   </w:t>
      </w:r>
      <w:r>
        <w:rPr>
          <w:rFonts w:ascii="宋体" w:hAnsi="宋体" w:eastAsia="宋体" w:cs="宋体"/>
          <w:sz w:val="21"/>
          <w:szCs w:val="21"/>
          <w:highlight w:val="none"/>
        </w:rPr>
        <w:t>发包人同意承包人分包工作的，承包人应向发包人和监理人提交分包合同副本。</w:t>
      </w:r>
    </w:p>
    <w:p w14:paraId="3EF6C77C">
      <w:pPr>
        <w:spacing w:before="302" w:line="222" w:lineRule="auto"/>
        <w:rPr>
          <w:rFonts w:ascii="黑体" w:hAnsi="黑体" w:eastAsia="黑体" w:cs="黑体"/>
          <w:sz w:val="24"/>
          <w:szCs w:val="24"/>
          <w:highlight w:val="none"/>
        </w:rPr>
      </w:pPr>
      <w:r>
        <w:rPr>
          <w:rFonts w:ascii="黑体" w:hAnsi="黑体" w:eastAsia="黑体" w:cs="黑体"/>
          <w:spacing w:val="17"/>
          <w:sz w:val="24"/>
          <w:szCs w:val="24"/>
          <w:highlight w:val="none"/>
        </w:rPr>
        <w:t>4.4联合体</w:t>
      </w:r>
    </w:p>
    <w:p w14:paraId="1712AB67">
      <w:pPr>
        <w:spacing w:before="122" w:line="219" w:lineRule="auto"/>
        <w:jc w:val="right"/>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4.4.1   </w:t>
      </w:r>
      <w:r>
        <w:rPr>
          <w:rFonts w:ascii="宋体" w:hAnsi="宋体" w:eastAsia="宋体" w:cs="宋体"/>
          <w:spacing w:val="-7"/>
          <w:sz w:val="22"/>
          <w:szCs w:val="22"/>
          <w:highlight w:val="none"/>
        </w:rPr>
        <w:t>联合体各方应共同与发包人签订合同。联合体</w:t>
      </w:r>
      <w:r>
        <w:rPr>
          <w:rFonts w:ascii="宋体" w:hAnsi="宋体" w:eastAsia="宋体" w:cs="宋体"/>
          <w:spacing w:val="-8"/>
          <w:sz w:val="22"/>
          <w:szCs w:val="22"/>
          <w:highlight w:val="none"/>
        </w:rPr>
        <w:t>各方应为履行合同承担连带责任。</w:t>
      </w:r>
    </w:p>
    <w:p w14:paraId="751788F2">
      <w:pPr>
        <w:spacing w:before="247" w:line="308" w:lineRule="auto"/>
        <w:ind w:right="44" w:firstLine="430"/>
        <w:rPr>
          <w:rFonts w:ascii="宋体" w:hAnsi="宋体" w:eastAsia="宋体" w:cs="宋体"/>
          <w:sz w:val="21"/>
          <w:szCs w:val="21"/>
          <w:highlight w:val="none"/>
        </w:rPr>
      </w:pPr>
      <w:r>
        <w:rPr>
          <w:rFonts w:ascii="Times New Roman" w:hAnsi="Times New Roman" w:eastAsia="Times New Roman" w:cs="Times New Roman"/>
          <w:spacing w:val="-6"/>
          <w:sz w:val="21"/>
          <w:szCs w:val="21"/>
          <w:highlight w:val="none"/>
        </w:rPr>
        <w:t>4.4.2</w:t>
      </w:r>
      <w:r>
        <w:rPr>
          <w:rFonts w:ascii="Times New Roman" w:hAnsi="Times New Roman" w:eastAsia="Times New Roman" w:cs="Times New Roman"/>
          <w:spacing w:val="17"/>
          <w:sz w:val="21"/>
          <w:szCs w:val="21"/>
          <w:highlight w:val="none"/>
        </w:rPr>
        <w:t xml:space="preserve">   </w:t>
      </w:r>
      <w:r>
        <w:rPr>
          <w:rFonts w:ascii="宋体" w:hAnsi="宋体" w:eastAsia="宋体" w:cs="宋体"/>
          <w:spacing w:val="-6"/>
          <w:sz w:val="21"/>
          <w:szCs w:val="21"/>
          <w:highlight w:val="none"/>
        </w:rPr>
        <w:t>联合体协议经发包人确认后作为合同附件。在履行合同过程中，未经发包人同意，</w:t>
      </w:r>
      <w:r>
        <w:rPr>
          <w:rFonts w:ascii="宋体" w:hAnsi="宋体" w:eastAsia="宋体" w:cs="宋体"/>
          <w:spacing w:val="1"/>
          <w:sz w:val="21"/>
          <w:szCs w:val="21"/>
          <w:highlight w:val="none"/>
        </w:rPr>
        <w:t xml:space="preserve"> </w:t>
      </w:r>
      <w:r>
        <w:rPr>
          <w:rFonts w:ascii="宋体" w:hAnsi="宋体" w:eastAsia="宋体" w:cs="宋体"/>
          <w:spacing w:val="-4"/>
          <w:sz w:val="21"/>
          <w:szCs w:val="21"/>
          <w:highlight w:val="none"/>
        </w:rPr>
        <w:t>不得修改联合体协议。</w:t>
      </w:r>
    </w:p>
    <w:p w14:paraId="207D786B">
      <w:pPr>
        <w:spacing w:before="229" w:line="322" w:lineRule="auto"/>
        <w:ind w:right="68"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4.4.3</w:t>
      </w:r>
      <w:r>
        <w:rPr>
          <w:rFonts w:ascii="Times New Roman" w:hAnsi="Times New Roman" w:eastAsia="Times New Roman" w:cs="Times New Roman"/>
          <w:spacing w:val="15"/>
          <w:w w:val="101"/>
          <w:sz w:val="21"/>
          <w:szCs w:val="21"/>
          <w:highlight w:val="none"/>
        </w:rPr>
        <w:t xml:space="preserve">   </w:t>
      </w:r>
      <w:r>
        <w:rPr>
          <w:rFonts w:ascii="宋体" w:hAnsi="宋体" w:eastAsia="宋体" w:cs="宋体"/>
          <w:spacing w:val="-1"/>
          <w:sz w:val="21"/>
          <w:szCs w:val="21"/>
          <w:highlight w:val="none"/>
        </w:rPr>
        <w:t>联合体牵头人或联合体授权的代表负责与发包人</w:t>
      </w:r>
      <w:r>
        <w:rPr>
          <w:rFonts w:ascii="宋体" w:hAnsi="宋体" w:eastAsia="宋体" w:cs="宋体"/>
          <w:spacing w:val="-2"/>
          <w:sz w:val="21"/>
          <w:szCs w:val="21"/>
          <w:highlight w:val="none"/>
        </w:rPr>
        <w:t>和监理人联系，并接受指示，负</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责组织联合体各成员全面履行合同。</w:t>
      </w:r>
    </w:p>
    <w:p w14:paraId="193C2FA4">
      <w:pPr>
        <w:spacing w:before="279" w:line="222" w:lineRule="auto"/>
        <w:rPr>
          <w:rFonts w:ascii="黑体" w:hAnsi="黑体" w:eastAsia="黑体" w:cs="黑体"/>
          <w:sz w:val="24"/>
          <w:szCs w:val="24"/>
          <w:highlight w:val="none"/>
        </w:rPr>
      </w:pPr>
      <w:r>
        <w:rPr>
          <w:rFonts w:ascii="黑体" w:hAnsi="黑体" w:eastAsia="黑体" w:cs="黑体"/>
          <w:spacing w:val="9"/>
          <w:sz w:val="24"/>
          <w:szCs w:val="24"/>
          <w:highlight w:val="none"/>
        </w:rPr>
        <w:t>4.5承包人项目经理</w:t>
      </w:r>
    </w:p>
    <w:p w14:paraId="71586D62">
      <w:pPr>
        <w:spacing w:before="123" w:line="371" w:lineRule="auto"/>
        <w:ind w:right="44"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4.5.1   </w:t>
      </w:r>
      <w:r>
        <w:rPr>
          <w:rFonts w:ascii="宋体" w:hAnsi="宋体" w:eastAsia="宋体" w:cs="宋体"/>
          <w:spacing w:val="-1"/>
          <w:sz w:val="21"/>
          <w:szCs w:val="21"/>
          <w:highlight w:val="none"/>
        </w:rPr>
        <w:t>承包人应按合同协议书的约定指派项目经理，并在约定的期限内到职。承包人更</w:t>
      </w:r>
      <w:r>
        <w:rPr>
          <w:rFonts w:ascii="宋体" w:hAnsi="宋体" w:eastAsia="宋体" w:cs="宋体"/>
          <w:spacing w:val="4"/>
          <w:sz w:val="21"/>
          <w:szCs w:val="21"/>
          <w:highlight w:val="none"/>
        </w:rPr>
        <w:t xml:space="preserve"> </w:t>
      </w:r>
      <w:r>
        <w:rPr>
          <w:rFonts w:ascii="宋体" w:hAnsi="宋体" w:eastAsia="宋体" w:cs="宋体"/>
          <w:spacing w:val="3"/>
          <w:sz w:val="21"/>
          <w:szCs w:val="21"/>
          <w:highlight w:val="none"/>
        </w:rPr>
        <w:t>换项目经理应事先征得发包人同意，并应在更换14天前将拟更换的项目经理的姓名和详细</w:t>
      </w:r>
      <w:r>
        <w:rPr>
          <w:rFonts w:ascii="宋体" w:hAnsi="宋体" w:eastAsia="宋体" w:cs="宋体"/>
          <w:spacing w:val="11"/>
          <w:sz w:val="21"/>
          <w:szCs w:val="21"/>
          <w:highlight w:val="none"/>
        </w:rPr>
        <w:t xml:space="preserve"> </w:t>
      </w:r>
      <w:r>
        <w:rPr>
          <w:rFonts w:ascii="宋体" w:hAnsi="宋体" w:eastAsia="宋体" w:cs="宋体"/>
          <w:spacing w:val="-3"/>
          <w:sz w:val="21"/>
          <w:szCs w:val="21"/>
          <w:highlight w:val="none"/>
        </w:rPr>
        <w:t>资料提交发包人和监理人。承包人项目经理2天内不能履行职责的，应事先</w:t>
      </w:r>
      <w:r>
        <w:rPr>
          <w:rFonts w:ascii="宋体" w:hAnsi="宋体" w:eastAsia="宋体" w:cs="宋体"/>
          <w:spacing w:val="-4"/>
          <w:sz w:val="21"/>
          <w:szCs w:val="21"/>
          <w:highlight w:val="none"/>
        </w:rPr>
        <w:t>征得监理人同意，</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并委派代表代行其职责。</w:t>
      </w:r>
    </w:p>
    <w:p w14:paraId="3CA38A8B">
      <w:pPr>
        <w:spacing w:before="241" w:line="335" w:lineRule="auto"/>
        <w:ind w:right="97" w:firstLine="430"/>
        <w:rPr>
          <w:rFonts w:ascii="宋体" w:hAnsi="宋体" w:eastAsia="宋体" w:cs="宋体"/>
          <w:sz w:val="22"/>
          <w:szCs w:val="22"/>
          <w:highlight w:val="none"/>
        </w:rPr>
      </w:pPr>
      <w:r>
        <w:rPr>
          <w:rFonts w:ascii="宋体" w:hAnsi="宋体" w:eastAsia="宋体" w:cs="宋体"/>
          <w:spacing w:val="-1"/>
          <w:sz w:val="22"/>
          <w:szCs w:val="22"/>
          <w:highlight w:val="none"/>
        </w:rPr>
        <w:t>4.5.2承包人项目经理应按合同约定以及监理人按第3.4款作出的指示，负责组织合</w:t>
      </w:r>
      <w:r>
        <w:rPr>
          <w:rFonts w:ascii="宋体" w:hAnsi="宋体" w:eastAsia="宋体" w:cs="宋体"/>
          <w:spacing w:val="8"/>
          <w:sz w:val="22"/>
          <w:szCs w:val="22"/>
          <w:highlight w:val="none"/>
        </w:rPr>
        <w:t xml:space="preserve"> </w:t>
      </w:r>
      <w:r>
        <w:rPr>
          <w:rFonts w:ascii="宋体" w:hAnsi="宋体" w:eastAsia="宋体" w:cs="宋体"/>
          <w:spacing w:val="-12"/>
          <w:sz w:val="22"/>
          <w:szCs w:val="22"/>
          <w:highlight w:val="none"/>
        </w:rPr>
        <w:t>同工作的实施。在情况紧急且无法与监理人取得联系时，可采取保证工程和人员生命财产安</w:t>
      </w:r>
      <w:r>
        <w:rPr>
          <w:rFonts w:ascii="宋体" w:hAnsi="宋体" w:eastAsia="宋体" w:cs="宋体"/>
          <w:spacing w:val="1"/>
          <w:sz w:val="22"/>
          <w:szCs w:val="22"/>
          <w:highlight w:val="none"/>
        </w:rPr>
        <w:t xml:space="preserve"> </w:t>
      </w:r>
      <w:r>
        <w:rPr>
          <w:rFonts w:ascii="宋体" w:hAnsi="宋体" w:eastAsia="宋体" w:cs="宋体"/>
          <w:spacing w:val="-7"/>
          <w:sz w:val="22"/>
          <w:szCs w:val="22"/>
          <w:highlight w:val="none"/>
        </w:rPr>
        <w:t>全的紧急措施，并在采取措施后24小时内向监理人提交书面报告。</w:t>
      </w:r>
    </w:p>
    <w:p w14:paraId="229A0A7F">
      <w:pPr>
        <w:spacing w:before="232" w:line="307" w:lineRule="auto"/>
        <w:ind w:right="102" w:firstLine="430"/>
        <w:rPr>
          <w:rFonts w:ascii="宋体" w:hAnsi="宋体" w:eastAsia="宋体" w:cs="宋体"/>
          <w:sz w:val="22"/>
          <w:szCs w:val="22"/>
          <w:highlight w:val="none"/>
        </w:rPr>
      </w:pPr>
      <w:r>
        <w:rPr>
          <w:rFonts w:ascii="宋体" w:hAnsi="宋体" w:eastAsia="宋体" w:cs="宋体"/>
          <w:spacing w:val="-4"/>
          <w:sz w:val="22"/>
          <w:szCs w:val="22"/>
          <w:highlight w:val="none"/>
        </w:rPr>
        <w:t>4.5.3承包人为履行合同发出的一切函件均应盖有承包人单位章或由承包人项目经理</w:t>
      </w:r>
      <w:r>
        <w:rPr>
          <w:rFonts w:ascii="宋体" w:hAnsi="宋体" w:eastAsia="宋体" w:cs="宋体"/>
          <w:spacing w:val="12"/>
          <w:sz w:val="22"/>
          <w:szCs w:val="22"/>
          <w:highlight w:val="none"/>
        </w:rPr>
        <w:t xml:space="preserve"> </w:t>
      </w:r>
      <w:r>
        <w:rPr>
          <w:rFonts w:ascii="宋体" w:hAnsi="宋体" w:eastAsia="宋体" w:cs="宋体"/>
          <w:spacing w:val="-9"/>
          <w:sz w:val="22"/>
          <w:szCs w:val="22"/>
          <w:highlight w:val="none"/>
        </w:rPr>
        <w:t>签字。</w:t>
      </w:r>
    </w:p>
    <w:p w14:paraId="055A8B2B">
      <w:pPr>
        <w:spacing w:before="238" w:line="219" w:lineRule="auto"/>
        <w:ind w:left="430"/>
        <w:rPr>
          <w:rFonts w:ascii="宋体" w:hAnsi="宋体" w:eastAsia="宋体" w:cs="宋体"/>
          <w:sz w:val="21"/>
          <w:szCs w:val="21"/>
          <w:highlight w:val="none"/>
        </w:rPr>
      </w:pPr>
      <w:r>
        <w:rPr>
          <w:rFonts w:ascii="宋体" w:hAnsi="宋体" w:eastAsia="宋体" w:cs="宋体"/>
          <w:sz w:val="21"/>
          <w:szCs w:val="21"/>
          <w:highlight w:val="none"/>
        </w:rPr>
        <w:t>4.5.4承包人项目经理可以授权其下属人员履行其某项职责，但事先应将这些人员的姓</w:t>
      </w:r>
    </w:p>
    <w:p w14:paraId="2D2EF6F0">
      <w:pPr>
        <w:spacing w:line="219" w:lineRule="auto"/>
        <w:rPr>
          <w:rFonts w:ascii="宋体" w:hAnsi="宋体" w:eastAsia="宋体" w:cs="宋体"/>
          <w:sz w:val="21"/>
          <w:szCs w:val="21"/>
          <w:highlight w:val="none"/>
        </w:rPr>
        <w:sectPr>
          <w:footerReference r:id="rId181" w:type="default"/>
          <w:pgSz w:w="11910" w:h="16840"/>
          <w:pgMar w:top="400" w:right="1719" w:bottom="1217" w:left="1769" w:header="0" w:footer="1013" w:gutter="0"/>
          <w:cols w:space="720" w:num="1"/>
        </w:sectPr>
      </w:pPr>
    </w:p>
    <w:p w14:paraId="6948A536">
      <w:pPr>
        <w:pStyle w:val="2"/>
        <w:spacing w:line="269" w:lineRule="auto"/>
        <w:rPr>
          <w:highlight w:val="none"/>
        </w:rPr>
      </w:pPr>
    </w:p>
    <w:p w14:paraId="64CDD9E8">
      <w:pPr>
        <w:pStyle w:val="2"/>
        <w:spacing w:line="270" w:lineRule="auto"/>
        <w:rPr>
          <w:highlight w:val="none"/>
        </w:rPr>
      </w:pPr>
    </w:p>
    <w:p w14:paraId="139A02A9">
      <w:pPr>
        <w:pStyle w:val="2"/>
        <w:spacing w:line="270" w:lineRule="auto"/>
        <w:rPr>
          <w:highlight w:val="none"/>
        </w:rPr>
      </w:pPr>
    </w:p>
    <w:p w14:paraId="487672CB">
      <w:pPr>
        <w:pStyle w:val="2"/>
        <w:spacing w:line="270" w:lineRule="auto"/>
        <w:rPr>
          <w:highlight w:val="none"/>
        </w:rPr>
      </w:pPr>
    </w:p>
    <w:p w14:paraId="37457C52">
      <w:pPr>
        <w:spacing w:before="72" w:line="219" w:lineRule="auto"/>
        <w:rPr>
          <w:rFonts w:ascii="宋体" w:hAnsi="宋体" w:eastAsia="宋体" w:cs="宋体"/>
          <w:sz w:val="22"/>
          <w:szCs w:val="22"/>
          <w:highlight w:val="none"/>
        </w:rPr>
      </w:pPr>
      <w:bookmarkStart w:id="170" w:name="bookmark270"/>
      <w:bookmarkEnd w:id="170"/>
      <w:r>
        <w:rPr>
          <w:rFonts w:ascii="宋体" w:hAnsi="宋体" w:eastAsia="宋体" w:cs="宋体"/>
          <w:spacing w:val="-12"/>
          <w:sz w:val="22"/>
          <w:szCs w:val="22"/>
          <w:highlight w:val="none"/>
        </w:rPr>
        <w:t>名和授权范围书面通知发包人和监理人。</w:t>
      </w:r>
    </w:p>
    <w:p w14:paraId="4ABA8E8F">
      <w:pPr>
        <w:spacing w:before="288" w:line="221" w:lineRule="auto"/>
        <w:rPr>
          <w:rFonts w:ascii="黑体" w:hAnsi="黑体" w:eastAsia="黑体" w:cs="黑体"/>
          <w:sz w:val="24"/>
          <w:szCs w:val="24"/>
          <w:highlight w:val="none"/>
        </w:rPr>
      </w:pPr>
      <w:r>
        <w:rPr>
          <w:rFonts w:ascii="黑体" w:hAnsi="黑体" w:eastAsia="黑体" w:cs="黑体"/>
          <w:spacing w:val="9"/>
          <w:sz w:val="24"/>
          <w:szCs w:val="24"/>
          <w:highlight w:val="none"/>
        </w:rPr>
        <w:t>4.6承包人人员的管理</w:t>
      </w:r>
    </w:p>
    <w:p w14:paraId="13D76A4F">
      <w:pPr>
        <w:spacing w:before="122" w:line="376" w:lineRule="auto"/>
        <w:ind w:firstLine="43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4.6.1</w:t>
      </w:r>
      <w:r>
        <w:rPr>
          <w:rFonts w:ascii="Times New Roman" w:hAnsi="Times New Roman" w:eastAsia="Times New Roman" w:cs="Times New Roman"/>
          <w:spacing w:val="19"/>
          <w:w w:val="101"/>
          <w:sz w:val="21"/>
          <w:szCs w:val="21"/>
          <w:highlight w:val="none"/>
        </w:rPr>
        <w:t xml:space="preserve">   </w:t>
      </w:r>
      <w:r>
        <w:rPr>
          <w:rFonts w:ascii="宋体" w:hAnsi="宋体" w:eastAsia="宋体" w:cs="宋体"/>
          <w:spacing w:val="3"/>
          <w:sz w:val="21"/>
          <w:szCs w:val="21"/>
          <w:highlight w:val="none"/>
        </w:rPr>
        <w:t>承包人应在接到开始工作通知之日起28天内，向监理人提交承包人的项目管理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机构以及人员安排的报告，其内容应包括项目管理机构的设置、各主要岗位的技术和管理人</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员名单及其资格，以及设计人员和各工种技术工人的安排状况。承包人安排的主要管理人员</w:t>
      </w:r>
      <w:r>
        <w:rPr>
          <w:rFonts w:ascii="宋体" w:hAnsi="宋体" w:eastAsia="宋体" w:cs="宋体"/>
          <w:spacing w:val="3"/>
          <w:sz w:val="21"/>
          <w:szCs w:val="21"/>
          <w:highlight w:val="none"/>
        </w:rPr>
        <w:t xml:space="preserve">  </w:t>
      </w:r>
      <w:r>
        <w:rPr>
          <w:rFonts w:ascii="宋体" w:hAnsi="宋体" w:eastAsia="宋体" w:cs="宋体"/>
          <w:spacing w:val="-3"/>
          <w:sz w:val="21"/>
          <w:szCs w:val="21"/>
          <w:highlight w:val="none"/>
        </w:rPr>
        <w:t>和技术人员应相对稳定，更换主要管理人员和技术人员的，应取得监理人的同意，并向监理</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人提交继任人员的资格、管理经验等资料。项目经理的更换，应按照本章第4.5款规定执行。</w:t>
      </w:r>
    </w:p>
    <w:p w14:paraId="70E0BB7D">
      <w:pPr>
        <w:spacing w:before="250" w:line="355" w:lineRule="auto"/>
        <w:ind w:right="91" w:firstLine="430"/>
        <w:rPr>
          <w:rFonts w:ascii="宋体" w:hAnsi="宋体" w:eastAsia="宋体" w:cs="宋体"/>
          <w:sz w:val="21"/>
          <w:szCs w:val="21"/>
          <w:highlight w:val="none"/>
        </w:rPr>
      </w:pPr>
      <w:r>
        <w:rPr>
          <w:rFonts w:ascii="宋体" w:hAnsi="宋体" w:eastAsia="宋体" w:cs="宋体"/>
          <w:spacing w:val="1"/>
          <w:sz w:val="21"/>
          <w:szCs w:val="21"/>
          <w:highlight w:val="none"/>
        </w:rPr>
        <w:t>4.6.2承包人安排的主要管理人员包括项目经理、设计负</w:t>
      </w:r>
      <w:r>
        <w:rPr>
          <w:rFonts w:ascii="宋体" w:hAnsi="宋体" w:eastAsia="宋体" w:cs="宋体"/>
          <w:sz w:val="21"/>
          <w:szCs w:val="21"/>
          <w:highlight w:val="none"/>
        </w:rPr>
        <w:t xml:space="preserve">责人、施工负责人、采购负责 </w:t>
      </w:r>
      <w:r>
        <w:rPr>
          <w:rFonts w:ascii="宋体" w:hAnsi="宋体" w:eastAsia="宋体" w:cs="宋体"/>
          <w:spacing w:val="-2"/>
          <w:sz w:val="21"/>
          <w:szCs w:val="21"/>
          <w:highlight w:val="none"/>
        </w:rPr>
        <w:t>人以及专职质量、安全生产管理人员等；技术人员包括设计师、建筑师、土木工程师、设备</w:t>
      </w:r>
      <w:r>
        <w:rPr>
          <w:rFonts w:ascii="宋体" w:hAnsi="宋体" w:eastAsia="宋体" w:cs="宋体"/>
          <w:spacing w:val="8"/>
          <w:sz w:val="21"/>
          <w:szCs w:val="21"/>
          <w:highlight w:val="none"/>
        </w:rPr>
        <w:t xml:space="preserve"> </w:t>
      </w:r>
      <w:r>
        <w:rPr>
          <w:rFonts w:ascii="宋体" w:hAnsi="宋体" w:eastAsia="宋体" w:cs="宋体"/>
          <w:spacing w:val="-5"/>
          <w:sz w:val="21"/>
          <w:szCs w:val="21"/>
          <w:highlight w:val="none"/>
        </w:rPr>
        <w:t>工程师、建造师等。</w:t>
      </w:r>
    </w:p>
    <w:p w14:paraId="0AA66AB3">
      <w:pPr>
        <w:spacing w:before="220" w:line="307" w:lineRule="auto"/>
        <w:ind w:right="95" w:firstLine="430"/>
        <w:rPr>
          <w:rFonts w:ascii="宋体" w:hAnsi="宋体" w:eastAsia="宋体" w:cs="宋体"/>
          <w:sz w:val="22"/>
          <w:szCs w:val="22"/>
          <w:highlight w:val="none"/>
        </w:rPr>
      </w:pPr>
      <w:r>
        <w:rPr>
          <w:rFonts w:ascii="宋体" w:hAnsi="宋体" w:eastAsia="宋体" w:cs="宋体"/>
          <w:spacing w:val="-9"/>
          <w:sz w:val="22"/>
          <w:szCs w:val="22"/>
          <w:highlight w:val="none"/>
        </w:rPr>
        <w:t>4.6.3承包人的设计人员应由具有国家规定和发包人要求中约定的资格，并具有从事设</w:t>
      </w:r>
      <w:r>
        <w:rPr>
          <w:rFonts w:ascii="宋体" w:hAnsi="宋体" w:eastAsia="宋体" w:cs="宋体"/>
          <w:spacing w:val="8"/>
          <w:sz w:val="22"/>
          <w:szCs w:val="22"/>
          <w:highlight w:val="none"/>
        </w:rPr>
        <w:t xml:space="preserve"> </w:t>
      </w:r>
      <w:r>
        <w:rPr>
          <w:rFonts w:ascii="宋体" w:hAnsi="宋体" w:eastAsia="宋体" w:cs="宋体"/>
          <w:spacing w:val="-12"/>
          <w:sz w:val="22"/>
          <w:szCs w:val="22"/>
          <w:highlight w:val="none"/>
        </w:rPr>
        <w:t>计所必需的经验与能力。</w:t>
      </w:r>
    </w:p>
    <w:p w14:paraId="3F8FEE8B">
      <w:pPr>
        <w:spacing w:before="229" w:line="404" w:lineRule="auto"/>
        <w:ind w:right="93" w:firstLine="430"/>
        <w:rPr>
          <w:rFonts w:ascii="宋体" w:hAnsi="宋体" w:eastAsia="宋体" w:cs="宋体"/>
          <w:sz w:val="22"/>
          <w:szCs w:val="22"/>
          <w:highlight w:val="none"/>
        </w:rPr>
      </w:pPr>
      <w:r>
        <w:rPr>
          <w:rFonts w:ascii="宋体" w:hAnsi="宋体" w:eastAsia="宋体" w:cs="宋体"/>
          <w:spacing w:val="-6"/>
          <w:sz w:val="22"/>
          <w:szCs w:val="22"/>
          <w:highlight w:val="none"/>
        </w:rPr>
        <w:t>承包人应保证其设计人员(包括分包人的设计人员)在合同</w:t>
      </w:r>
      <w:r>
        <w:rPr>
          <w:rFonts w:ascii="宋体" w:hAnsi="宋体" w:eastAsia="宋体" w:cs="宋体"/>
          <w:spacing w:val="-7"/>
          <w:sz w:val="22"/>
          <w:szCs w:val="22"/>
          <w:highlight w:val="none"/>
        </w:rPr>
        <w:t>期限内的任何时候，都能按</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时参加发包人或其委托的监理人组织的工作会议。</w:t>
      </w:r>
    </w:p>
    <w:p w14:paraId="728DC243">
      <w:pPr>
        <w:spacing w:before="6" w:line="303" w:lineRule="auto"/>
        <w:ind w:right="95" w:firstLine="430"/>
        <w:rPr>
          <w:rFonts w:ascii="宋体" w:hAnsi="宋体" w:eastAsia="宋体" w:cs="宋体"/>
          <w:sz w:val="22"/>
          <w:szCs w:val="22"/>
          <w:highlight w:val="none"/>
        </w:rPr>
      </w:pPr>
      <w:r>
        <w:rPr>
          <w:rFonts w:ascii="宋体" w:hAnsi="宋体" w:eastAsia="宋体" w:cs="宋体"/>
          <w:spacing w:val="-9"/>
          <w:sz w:val="22"/>
          <w:szCs w:val="22"/>
          <w:highlight w:val="none"/>
        </w:rPr>
        <w:t>4.6.4国家规定应当持证上岗的工作人员均应持有相应的资格证明，监理人有权随时检</w:t>
      </w:r>
      <w:r>
        <w:rPr>
          <w:rFonts w:ascii="宋体" w:hAnsi="宋体" w:eastAsia="宋体" w:cs="宋体"/>
          <w:spacing w:val="8"/>
          <w:sz w:val="22"/>
          <w:szCs w:val="22"/>
          <w:highlight w:val="none"/>
        </w:rPr>
        <w:t xml:space="preserve"> </w:t>
      </w:r>
      <w:r>
        <w:rPr>
          <w:rFonts w:ascii="宋体" w:hAnsi="宋体" w:eastAsia="宋体" w:cs="宋体"/>
          <w:spacing w:val="-11"/>
          <w:sz w:val="22"/>
          <w:szCs w:val="22"/>
          <w:highlight w:val="none"/>
        </w:rPr>
        <w:t>查。监理人认为有必要时，可进行现场考核。</w:t>
      </w:r>
    </w:p>
    <w:p w14:paraId="0B6F0E9A">
      <w:pPr>
        <w:spacing w:before="227" w:line="365" w:lineRule="auto"/>
        <w:ind w:right="95" w:firstLine="430"/>
        <w:rPr>
          <w:rFonts w:ascii="宋体" w:hAnsi="宋体" w:eastAsia="宋体" w:cs="宋体"/>
          <w:sz w:val="21"/>
          <w:szCs w:val="21"/>
          <w:highlight w:val="none"/>
        </w:rPr>
      </w:pPr>
      <w:r>
        <w:rPr>
          <w:rFonts w:ascii="宋体" w:hAnsi="宋体" w:eastAsia="宋体" w:cs="宋体"/>
          <w:spacing w:val="1"/>
          <w:sz w:val="21"/>
          <w:szCs w:val="21"/>
          <w:highlight w:val="none"/>
        </w:rPr>
        <w:t>4.6.5除专用合同条款另有约定外，承包人的</w:t>
      </w:r>
      <w:r>
        <w:rPr>
          <w:rFonts w:ascii="宋体" w:hAnsi="宋体" w:eastAsia="宋体" w:cs="宋体"/>
          <w:sz w:val="21"/>
          <w:szCs w:val="21"/>
          <w:highlight w:val="none"/>
        </w:rPr>
        <w:t xml:space="preserve">主要施工管理人员离开施工现场连续超过 </w:t>
      </w:r>
      <w:r>
        <w:rPr>
          <w:rFonts w:ascii="宋体" w:hAnsi="宋体" w:eastAsia="宋体" w:cs="宋体"/>
          <w:spacing w:val="1"/>
          <w:sz w:val="21"/>
          <w:szCs w:val="21"/>
          <w:highlight w:val="none"/>
        </w:rPr>
        <w:t>3天的，应事先征得监理人同意。承包人擅自更换项目经理或主要施工管理</w:t>
      </w:r>
      <w:r>
        <w:rPr>
          <w:rFonts w:ascii="宋体" w:hAnsi="宋体" w:eastAsia="宋体" w:cs="宋体"/>
          <w:sz w:val="21"/>
          <w:szCs w:val="21"/>
          <w:highlight w:val="none"/>
        </w:rPr>
        <w:t>人员，或前述人 员未经监理人许可擅自离开施工现场连续超过3天</w:t>
      </w:r>
      <w:r>
        <w:rPr>
          <w:rFonts w:ascii="宋体" w:hAnsi="宋体" w:eastAsia="宋体" w:cs="宋体"/>
          <w:spacing w:val="-1"/>
          <w:sz w:val="21"/>
          <w:szCs w:val="21"/>
          <w:highlight w:val="none"/>
        </w:rPr>
        <w:t>的，应按照专用合同条款约定承担违约责</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任。</w:t>
      </w:r>
    </w:p>
    <w:p w14:paraId="6FB139E3">
      <w:pPr>
        <w:pStyle w:val="2"/>
        <w:rPr>
          <w:highlight w:val="none"/>
        </w:rPr>
      </w:pPr>
    </w:p>
    <w:p w14:paraId="62904FC4">
      <w:pPr>
        <w:spacing w:before="78" w:line="221" w:lineRule="auto"/>
        <w:rPr>
          <w:rFonts w:ascii="黑体" w:hAnsi="黑体" w:eastAsia="黑体" w:cs="黑体"/>
          <w:sz w:val="24"/>
          <w:szCs w:val="24"/>
          <w:highlight w:val="none"/>
        </w:rPr>
      </w:pPr>
      <w:r>
        <w:rPr>
          <w:rFonts w:ascii="黑体" w:hAnsi="黑体" w:eastAsia="黑体" w:cs="黑体"/>
          <w:spacing w:val="6"/>
          <w:sz w:val="24"/>
          <w:szCs w:val="24"/>
          <w:highlight w:val="none"/>
        </w:rPr>
        <w:t>4.7撤换承包人项目经理和其他人员</w:t>
      </w:r>
    </w:p>
    <w:p w14:paraId="3C392EEA">
      <w:pPr>
        <w:spacing w:before="124" w:line="405" w:lineRule="auto"/>
        <w:ind w:right="15" w:firstLine="430"/>
        <w:rPr>
          <w:rFonts w:ascii="宋体" w:hAnsi="宋体" w:eastAsia="宋体" w:cs="宋体"/>
          <w:sz w:val="22"/>
          <w:szCs w:val="22"/>
          <w:highlight w:val="none"/>
        </w:rPr>
      </w:pPr>
      <w:r>
        <w:rPr>
          <w:rFonts w:ascii="宋体" w:hAnsi="宋体" w:eastAsia="宋体" w:cs="宋体"/>
          <w:spacing w:val="-10"/>
          <w:sz w:val="22"/>
          <w:szCs w:val="22"/>
          <w:highlight w:val="none"/>
        </w:rPr>
        <w:t>承包人应对其项目经理和其他人员进行有效管理。监理人要求撤换不能胜任本职工</w:t>
      </w:r>
      <w:r>
        <w:rPr>
          <w:rFonts w:ascii="宋体" w:hAnsi="宋体" w:eastAsia="宋体" w:cs="宋体"/>
          <w:spacing w:val="-11"/>
          <w:sz w:val="22"/>
          <w:szCs w:val="22"/>
          <w:highlight w:val="none"/>
        </w:rPr>
        <w:t>作、</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行为不端或玩忽职守的承包人项目经理和其他人员的，承包人应予以撤换。</w:t>
      </w:r>
    </w:p>
    <w:p w14:paraId="3E3A8E3E">
      <w:pPr>
        <w:spacing w:before="74" w:line="221" w:lineRule="auto"/>
        <w:rPr>
          <w:rFonts w:ascii="黑体" w:hAnsi="黑体" w:eastAsia="黑体" w:cs="黑体"/>
          <w:sz w:val="24"/>
          <w:szCs w:val="24"/>
          <w:highlight w:val="none"/>
        </w:rPr>
      </w:pPr>
      <w:r>
        <w:rPr>
          <w:rFonts w:ascii="黑体" w:hAnsi="黑体" w:eastAsia="黑体" w:cs="黑体"/>
          <w:spacing w:val="7"/>
          <w:sz w:val="24"/>
          <w:szCs w:val="24"/>
          <w:highlight w:val="none"/>
        </w:rPr>
        <w:t>4.8保障承包人人员的合法权益</w:t>
      </w:r>
    </w:p>
    <w:p w14:paraId="206BDE3C">
      <w:pPr>
        <w:spacing w:before="104"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4.8.1   </w:t>
      </w:r>
      <w:r>
        <w:rPr>
          <w:rFonts w:ascii="宋体" w:hAnsi="宋体" w:eastAsia="宋体" w:cs="宋体"/>
          <w:spacing w:val="-7"/>
          <w:sz w:val="22"/>
          <w:szCs w:val="22"/>
          <w:highlight w:val="none"/>
        </w:rPr>
        <w:t>承包人应与其雇佣的人员签订劳动合同，</w:t>
      </w:r>
      <w:r>
        <w:rPr>
          <w:rFonts w:ascii="宋体" w:hAnsi="宋体" w:eastAsia="宋体" w:cs="宋体"/>
          <w:spacing w:val="-8"/>
          <w:sz w:val="22"/>
          <w:szCs w:val="22"/>
          <w:highlight w:val="none"/>
        </w:rPr>
        <w:t>并按时发放工资。</w:t>
      </w:r>
    </w:p>
    <w:p w14:paraId="43A5D99D">
      <w:pPr>
        <w:spacing w:before="227" w:line="349" w:lineRule="auto"/>
        <w:ind w:right="96" w:firstLine="43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4.8.2</w:t>
      </w:r>
      <w:r>
        <w:rPr>
          <w:rFonts w:ascii="Times New Roman" w:hAnsi="Times New Roman" w:eastAsia="Times New Roman" w:cs="Times New Roman"/>
          <w:spacing w:val="20"/>
          <w:w w:val="101"/>
          <w:sz w:val="21"/>
          <w:szCs w:val="21"/>
          <w:highlight w:val="none"/>
        </w:rPr>
        <w:t xml:space="preserve">   </w:t>
      </w:r>
      <w:r>
        <w:rPr>
          <w:rFonts w:ascii="宋体" w:hAnsi="宋体" w:eastAsia="宋体" w:cs="宋体"/>
          <w:spacing w:val="3"/>
          <w:sz w:val="21"/>
          <w:szCs w:val="21"/>
          <w:highlight w:val="none"/>
        </w:rPr>
        <w:t>承包人应按劳动法的规定安排工作时间，保证其雇佣人员享有休息和休假的权</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利。因设计、施工的特殊需要占用休假日或延长工作时间的，</w:t>
      </w:r>
      <w:r>
        <w:rPr>
          <w:rFonts w:ascii="宋体" w:hAnsi="宋体" w:eastAsia="宋体" w:cs="宋体"/>
          <w:spacing w:val="-3"/>
          <w:sz w:val="21"/>
          <w:szCs w:val="21"/>
          <w:highlight w:val="none"/>
        </w:rPr>
        <w:t>应不超过法律规定的限度，并</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按法律规定给予补休或付酬。</w:t>
      </w:r>
    </w:p>
    <w:p w14:paraId="28E492F8">
      <w:pPr>
        <w:spacing w:before="259" w:line="219" w:lineRule="auto"/>
        <w:ind w:left="430"/>
        <w:rPr>
          <w:rFonts w:ascii="宋体" w:hAnsi="宋体" w:eastAsia="宋体" w:cs="宋体"/>
          <w:sz w:val="20"/>
          <w:szCs w:val="20"/>
          <w:highlight w:val="none"/>
        </w:rPr>
      </w:pPr>
      <w:r>
        <w:rPr>
          <w:rFonts w:ascii="宋体" w:hAnsi="宋体" w:eastAsia="宋体" w:cs="宋体"/>
          <w:spacing w:val="10"/>
          <w:sz w:val="20"/>
          <w:szCs w:val="20"/>
          <w:highlight w:val="none"/>
        </w:rPr>
        <w:t>4.8.3承包人应为其雇佣人员提供必要的食宿条件，以及符合环境保护和卫生要求</w:t>
      </w:r>
      <w:r>
        <w:rPr>
          <w:rFonts w:ascii="宋体" w:hAnsi="宋体" w:eastAsia="宋体" w:cs="宋体"/>
          <w:spacing w:val="9"/>
          <w:sz w:val="20"/>
          <w:szCs w:val="20"/>
          <w:highlight w:val="none"/>
        </w:rPr>
        <w:t>的生</w:t>
      </w:r>
    </w:p>
    <w:p w14:paraId="25086237">
      <w:pPr>
        <w:spacing w:line="219" w:lineRule="auto"/>
        <w:rPr>
          <w:rFonts w:ascii="宋体" w:hAnsi="宋体" w:eastAsia="宋体" w:cs="宋体"/>
          <w:sz w:val="20"/>
          <w:szCs w:val="20"/>
          <w:highlight w:val="none"/>
        </w:rPr>
        <w:sectPr>
          <w:footerReference r:id="rId182" w:type="default"/>
          <w:pgSz w:w="11910" w:h="16840"/>
          <w:pgMar w:top="400" w:right="1715" w:bottom="1184" w:left="1769" w:header="0" w:footer="1024" w:gutter="0"/>
          <w:cols w:space="720" w:num="1"/>
        </w:sectPr>
      </w:pPr>
    </w:p>
    <w:p w14:paraId="5ECB1B6E">
      <w:pPr>
        <w:pStyle w:val="2"/>
        <w:spacing w:line="276" w:lineRule="auto"/>
        <w:rPr>
          <w:highlight w:val="none"/>
        </w:rPr>
      </w:pPr>
    </w:p>
    <w:p w14:paraId="1BB59BD7">
      <w:pPr>
        <w:pStyle w:val="2"/>
        <w:spacing w:line="276" w:lineRule="auto"/>
        <w:rPr>
          <w:highlight w:val="none"/>
        </w:rPr>
      </w:pPr>
    </w:p>
    <w:p w14:paraId="22AB0E96">
      <w:pPr>
        <w:pStyle w:val="2"/>
        <w:spacing w:line="277" w:lineRule="auto"/>
        <w:rPr>
          <w:highlight w:val="none"/>
        </w:rPr>
      </w:pPr>
    </w:p>
    <w:p w14:paraId="3DDF0F8D">
      <w:pPr>
        <w:pStyle w:val="2"/>
        <w:spacing w:line="277" w:lineRule="auto"/>
        <w:rPr>
          <w:highlight w:val="none"/>
        </w:rPr>
      </w:pPr>
    </w:p>
    <w:p w14:paraId="46B45F0A">
      <w:pPr>
        <w:spacing w:before="65" w:line="219" w:lineRule="auto"/>
        <w:rPr>
          <w:rFonts w:ascii="宋体" w:hAnsi="宋体" w:eastAsia="宋体" w:cs="宋体"/>
          <w:sz w:val="20"/>
          <w:szCs w:val="20"/>
          <w:highlight w:val="none"/>
        </w:rPr>
      </w:pPr>
      <w:bookmarkStart w:id="171" w:name="bookmark271"/>
      <w:bookmarkEnd w:id="171"/>
      <w:r>
        <w:rPr>
          <w:rFonts w:ascii="宋体" w:hAnsi="宋体" w:eastAsia="宋体" w:cs="宋体"/>
          <w:spacing w:val="10"/>
          <w:sz w:val="20"/>
          <w:szCs w:val="20"/>
          <w:highlight w:val="none"/>
        </w:rPr>
        <w:t>活环境，在远离城镇的施工场地，还应配备</w:t>
      </w:r>
      <w:r>
        <w:rPr>
          <w:rFonts w:ascii="宋体" w:hAnsi="宋体" w:eastAsia="宋体" w:cs="宋体"/>
          <w:spacing w:val="9"/>
          <w:sz w:val="20"/>
          <w:szCs w:val="20"/>
          <w:highlight w:val="none"/>
        </w:rPr>
        <w:t>必要的伤病防治和急救的医务人员与医疗设施。</w:t>
      </w:r>
    </w:p>
    <w:p w14:paraId="469D4D85">
      <w:pPr>
        <w:spacing w:before="213" w:line="341" w:lineRule="auto"/>
        <w:ind w:firstLine="430"/>
        <w:rPr>
          <w:rFonts w:ascii="宋体" w:hAnsi="宋体" w:eastAsia="宋体" w:cs="宋体"/>
          <w:sz w:val="22"/>
          <w:szCs w:val="22"/>
          <w:highlight w:val="none"/>
        </w:rPr>
      </w:pPr>
      <w:r>
        <w:rPr>
          <w:rFonts w:ascii="宋体" w:hAnsi="宋体" w:eastAsia="宋体" w:cs="宋体"/>
          <w:spacing w:val="-9"/>
          <w:sz w:val="22"/>
          <w:szCs w:val="22"/>
          <w:highlight w:val="none"/>
        </w:rPr>
        <w:t>4.8.4承包人应按国家有关劳动保护的规定，采取有效的防止粉尘、降低噪声、控制有</w:t>
      </w:r>
      <w:r>
        <w:rPr>
          <w:rFonts w:ascii="宋体" w:hAnsi="宋体" w:eastAsia="宋体" w:cs="宋体"/>
          <w:sz w:val="22"/>
          <w:szCs w:val="22"/>
          <w:highlight w:val="none"/>
        </w:rPr>
        <w:t xml:space="preserve"> </w:t>
      </w:r>
      <w:r>
        <w:rPr>
          <w:rFonts w:ascii="宋体" w:hAnsi="宋体" w:eastAsia="宋体" w:cs="宋体"/>
          <w:spacing w:val="-15"/>
          <w:sz w:val="22"/>
          <w:szCs w:val="22"/>
          <w:highlight w:val="none"/>
        </w:rPr>
        <w:t>害气体和保障高温、高寒、高空作业安全等劳动保护措施</w:t>
      </w:r>
      <w:r>
        <w:rPr>
          <w:rFonts w:ascii="宋体" w:hAnsi="宋体" w:eastAsia="宋体" w:cs="宋体"/>
          <w:spacing w:val="-16"/>
          <w:sz w:val="22"/>
          <w:szCs w:val="22"/>
          <w:highlight w:val="none"/>
        </w:rPr>
        <w:t>。其雇佣人员在施工中受到伤害的，</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承包人应立即采取有效措施进行抢救和治疗。</w:t>
      </w:r>
    </w:p>
    <w:p w14:paraId="430DC254">
      <w:pPr>
        <w:spacing w:before="230" w:line="219" w:lineRule="auto"/>
        <w:ind w:left="430"/>
        <w:rPr>
          <w:rFonts w:ascii="宋体" w:hAnsi="宋体" w:eastAsia="宋体" w:cs="宋体"/>
          <w:sz w:val="22"/>
          <w:szCs w:val="22"/>
          <w:highlight w:val="none"/>
        </w:rPr>
      </w:pPr>
      <w:r>
        <w:rPr>
          <w:rFonts w:ascii="宋体" w:hAnsi="宋体" w:eastAsia="宋体" w:cs="宋体"/>
          <w:spacing w:val="-6"/>
          <w:sz w:val="22"/>
          <w:szCs w:val="22"/>
          <w:highlight w:val="none"/>
        </w:rPr>
        <w:t>4.8.5承包人应按有关法律规定和合同约定，为其雇佣人员办理保险。</w:t>
      </w:r>
    </w:p>
    <w:p w14:paraId="2AFB608B">
      <w:pPr>
        <w:spacing w:before="199" w:line="219" w:lineRule="auto"/>
        <w:ind w:left="4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 xml:space="preserve">4.8.6   </w:t>
      </w:r>
      <w:r>
        <w:rPr>
          <w:rFonts w:ascii="宋体" w:hAnsi="宋体" w:eastAsia="宋体" w:cs="宋体"/>
          <w:spacing w:val="-8"/>
          <w:sz w:val="22"/>
          <w:szCs w:val="22"/>
          <w:highlight w:val="none"/>
        </w:rPr>
        <w:t>承包人应负责处理其雇佣人员因工伤亡事故的善后事宜。</w:t>
      </w:r>
    </w:p>
    <w:p w14:paraId="71DC8993">
      <w:pPr>
        <w:spacing w:before="298" w:line="222" w:lineRule="auto"/>
        <w:rPr>
          <w:rFonts w:ascii="黑体" w:hAnsi="黑体" w:eastAsia="黑体" w:cs="黑体"/>
          <w:sz w:val="24"/>
          <w:szCs w:val="24"/>
          <w:highlight w:val="none"/>
        </w:rPr>
      </w:pPr>
      <w:r>
        <w:rPr>
          <w:rFonts w:ascii="黑体" w:hAnsi="黑体" w:eastAsia="黑体" w:cs="黑体"/>
          <w:spacing w:val="10"/>
          <w:sz w:val="24"/>
          <w:szCs w:val="24"/>
          <w:highlight w:val="none"/>
        </w:rPr>
        <w:t>4.9工程价款应专款专用</w:t>
      </w:r>
    </w:p>
    <w:p w14:paraId="30EF185A">
      <w:pPr>
        <w:spacing w:before="110" w:line="218"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发包人按合同约定支付给承包人的各项价款应专用于合同工作。</w:t>
      </w:r>
    </w:p>
    <w:p w14:paraId="04509BDB">
      <w:pPr>
        <w:spacing w:before="301" w:line="222" w:lineRule="auto"/>
        <w:rPr>
          <w:rFonts w:ascii="黑体" w:hAnsi="黑体" w:eastAsia="黑体" w:cs="黑体"/>
          <w:sz w:val="24"/>
          <w:szCs w:val="24"/>
          <w:highlight w:val="none"/>
        </w:rPr>
      </w:pPr>
      <w:r>
        <w:rPr>
          <w:rFonts w:ascii="黑体" w:hAnsi="黑体" w:eastAsia="黑体" w:cs="黑体"/>
          <w:spacing w:val="9"/>
          <w:sz w:val="24"/>
          <w:szCs w:val="24"/>
          <w:highlight w:val="none"/>
        </w:rPr>
        <w:t>4.10承包人现场查勘</w:t>
      </w:r>
    </w:p>
    <w:p w14:paraId="5F13F264">
      <w:pPr>
        <w:spacing w:before="103" w:line="371" w:lineRule="auto"/>
        <w:ind w:right="5"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4.10.1</w:t>
      </w:r>
      <w:r>
        <w:rPr>
          <w:rFonts w:ascii="Times New Roman" w:hAnsi="Times New Roman" w:eastAsia="Times New Roman" w:cs="Times New Roman"/>
          <w:spacing w:val="21"/>
          <w:sz w:val="21"/>
          <w:szCs w:val="21"/>
          <w:highlight w:val="none"/>
        </w:rPr>
        <w:t xml:space="preserve">   </w:t>
      </w:r>
      <w:r>
        <w:rPr>
          <w:rFonts w:ascii="宋体" w:hAnsi="宋体" w:eastAsia="宋体" w:cs="宋体"/>
          <w:sz w:val="21"/>
          <w:szCs w:val="21"/>
          <w:highlight w:val="none"/>
        </w:rPr>
        <w:t xml:space="preserve">发包人应向承包人提供施工场地及毗邻区域内的供水、排水、供电、供气、供 </w:t>
      </w:r>
      <w:r>
        <w:rPr>
          <w:rFonts w:ascii="宋体" w:hAnsi="宋体" w:eastAsia="宋体" w:cs="宋体"/>
          <w:spacing w:val="-2"/>
          <w:sz w:val="21"/>
          <w:szCs w:val="21"/>
          <w:highlight w:val="none"/>
        </w:rPr>
        <w:t>热、通信、广播电视等地下管线资料、气象和水文观测资料，相邻建筑物和构筑物、地下工</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程的有关资料，以及其他与建设工程有关的原</w:t>
      </w:r>
      <w:r>
        <w:rPr>
          <w:rFonts w:ascii="宋体" w:hAnsi="宋体" w:eastAsia="宋体" w:cs="宋体"/>
          <w:spacing w:val="-6"/>
          <w:sz w:val="21"/>
          <w:szCs w:val="21"/>
          <w:highlight w:val="none"/>
        </w:rPr>
        <w:t>始资料，并承担原始资料错误造成的全部责任，</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但承包人应对其阅读上述有关资料后所作出</w:t>
      </w:r>
      <w:r>
        <w:rPr>
          <w:rFonts w:ascii="宋体" w:hAnsi="宋体" w:eastAsia="宋体" w:cs="宋体"/>
          <w:spacing w:val="-2"/>
          <w:sz w:val="21"/>
          <w:szCs w:val="21"/>
          <w:highlight w:val="none"/>
        </w:rPr>
        <w:t>的解释和推断负责。</w:t>
      </w:r>
    </w:p>
    <w:p w14:paraId="563B183F">
      <w:pPr>
        <w:spacing w:before="240" w:line="310" w:lineRule="auto"/>
        <w:ind w:firstLine="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4.10.2   </w:t>
      </w:r>
      <w:r>
        <w:rPr>
          <w:rFonts w:ascii="宋体" w:hAnsi="宋体" w:eastAsia="宋体" w:cs="宋体"/>
          <w:spacing w:val="-7"/>
          <w:sz w:val="22"/>
          <w:szCs w:val="22"/>
          <w:highlight w:val="none"/>
        </w:rPr>
        <w:t>承包人应对施工场地和周围环境进行查勘，并收集除发包人提供外为完成合同</w:t>
      </w:r>
      <w:r>
        <w:rPr>
          <w:rFonts w:ascii="宋体" w:hAnsi="宋体" w:eastAsia="宋体" w:cs="宋体"/>
          <w:spacing w:val="4"/>
          <w:sz w:val="22"/>
          <w:szCs w:val="22"/>
          <w:highlight w:val="none"/>
        </w:rPr>
        <w:t xml:space="preserve"> </w:t>
      </w:r>
      <w:r>
        <w:rPr>
          <w:rFonts w:ascii="宋体" w:hAnsi="宋体" w:eastAsia="宋体" w:cs="宋体"/>
          <w:spacing w:val="-10"/>
          <w:sz w:val="22"/>
          <w:szCs w:val="22"/>
          <w:highlight w:val="none"/>
        </w:rPr>
        <w:t>工作有关的当地资料。在全部合同工作中，视为承包人已充分估计</w:t>
      </w:r>
      <w:r>
        <w:rPr>
          <w:rFonts w:ascii="宋体" w:hAnsi="宋体" w:eastAsia="宋体" w:cs="宋体"/>
          <w:spacing w:val="-11"/>
          <w:sz w:val="22"/>
          <w:szCs w:val="22"/>
          <w:highlight w:val="none"/>
        </w:rPr>
        <w:t>了应承担的责任和风险。</w:t>
      </w:r>
    </w:p>
    <w:p w14:paraId="77FE9592">
      <w:pPr>
        <w:pStyle w:val="2"/>
        <w:spacing w:before="257" w:line="212" w:lineRule="auto"/>
        <w:rPr>
          <w:sz w:val="24"/>
          <w:szCs w:val="24"/>
          <w:highlight w:val="none"/>
        </w:rPr>
      </w:pPr>
      <w:r>
        <w:rPr>
          <w:rFonts w:ascii="黑体" w:hAnsi="黑体" w:eastAsia="黑体" w:cs="黑体"/>
          <w:spacing w:val="-1"/>
          <w:sz w:val="24"/>
          <w:szCs w:val="24"/>
          <w:highlight w:val="none"/>
        </w:rPr>
        <w:t>4.11</w:t>
      </w:r>
      <w:r>
        <w:rPr>
          <w:rFonts w:ascii="黑体" w:hAnsi="黑体" w:eastAsia="黑体" w:cs="黑体"/>
          <w:spacing w:val="-25"/>
          <w:sz w:val="24"/>
          <w:szCs w:val="24"/>
          <w:highlight w:val="none"/>
        </w:rPr>
        <w:t xml:space="preserve"> </w:t>
      </w:r>
      <w:r>
        <w:rPr>
          <w:rFonts w:ascii="黑体" w:hAnsi="黑体" w:eastAsia="黑体" w:cs="黑体"/>
          <w:spacing w:val="-1"/>
          <w:sz w:val="24"/>
          <w:szCs w:val="24"/>
          <w:highlight w:val="none"/>
        </w:rPr>
        <w:t>不可预见物质条件</w:t>
      </w:r>
      <w:r>
        <w:rPr>
          <w:rFonts w:ascii="黑体" w:hAnsi="黑体" w:eastAsia="黑体" w:cs="黑体"/>
          <w:spacing w:val="-32"/>
          <w:sz w:val="24"/>
          <w:szCs w:val="24"/>
          <w:highlight w:val="none"/>
        </w:rPr>
        <w:t xml:space="preserve"> </w:t>
      </w:r>
      <w:r>
        <w:rPr>
          <w:rFonts w:ascii="黑体" w:hAnsi="黑体" w:eastAsia="黑体" w:cs="黑体"/>
          <w:spacing w:val="-1"/>
          <w:sz w:val="24"/>
          <w:szCs w:val="24"/>
          <w:highlight w:val="none"/>
        </w:rPr>
        <w:t>(</w:t>
      </w:r>
      <w:r>
        <w:rPr>
          <w:spacing w:val="-1"/>
          <w:sz w:val="24"/>
          <w:szCs w:val="24"/>
          <w:highlight w:val="none"/>
        </w:rPr>
        <w:t>A)</w:t>
      </w:r>
    </w:p>
    <w:p w14:paraId="3466E392">
      <w:pPr>
        <w:spacing w:before="180" w:line="362" w:lineRule="auto"/>
        <w:ind w:right="66" w:firstLine="430"/>
        <w:rPr>
          <w:rFonts w:ascii="宋体" w:hAnsi="宋体" w:eastAsia="宋体" w:cs="宋体"/>
          <w:sz w:val="20"/>
          <w:szCs w:val="20"/>
          <w:highlight w:val="none"/>
        </w:rPr>
      </w:pPr>
      <w:r>
        <w:rPr>
          <w:rFonts w:ascii="宋体" w:hAnsi="宋体" w:eastAsia="宋体" w:cs="宋体"/>
          <w:spacing w:val="12"/>
          <w:sz w:val="20"/>
          <w:szCs w:val="20"/>
          <w:highlight w:val="none"/>
        </w:rPr>
        <w:t xml:space="preserve">4.11.1不可预见物质条件，除专用合同条款另有约定外，是指承包人在施工场地遇到 </w:t>
      </w:r>
      <w:r>
        <w:rPr>
          <w:rFonts w:ascii="宋体" w:hAnsi="宋体" w:eastAsia="宋体" w:cs="宋体"/>
          <w:spacing w:val="8"/>
          <w:sz w:val="20"/>
          <w:szCs w:val="20"/>
          <w:highlight w:val="none"/>
        </w:rPr>
        <w:t>的不可预见的自然物质条件、非自然的物质障碍和污染物，包括地下和水文条件，但</w:t>
      </w:r>
      <w:r>
        <w:rPr>
          <w:rFonts w:ascii="宋体" w:hAnsi="宋体" w:eastAsia="宋体" w:cs="宋体"/>
          <w:spacing w:val="7"/>
          <w:sz w:val="20"/>
          <w:szCs w:val="20"/>
          <w:highlight w:val="none"/>
        </w:rPr>
        <w:t>不包括</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气候条件。</w:t>
      </w:r>
    </w:p>
    <w:p w14:paraId="026B3AC5">
      <w:pPr>
        <w:spacing w:before="233" w:line="371" w:lineRule="auto"/>
        <w:ind w:right="70" w:firstLine="430"/>
        <w:rPr>
          <w:rFonts w:ascii="宋体" w:hAnsi="宋体" w:eastAsia="宋体" w:cs="宋体"/>
          <w:sz w:val="21"/>
          <w:szCs w:val="21"/>
          <w:highlight w:val="none"/>
        </w:rPr>
      </w:pPr>
      <w:r>
        <w:rPr>
          <w:rFonts w:ascii="宋体" w:hAnsi="宋体" w:eastAsia="宋体" w:cs="宋体"/>
          <w:spacing w:val="3"/>
          <w:sz w:val="21"/>
          <w:szCs w:val="21"/>
          <w:highlight w:val="none"/>
        </w:rPr>
        <w:t>4.11.2承包人遇到不可预见物质条件时，应采取适应不利物质条件的合理措施继</w:t>
      </w:r>
      <w:r>
        <w:rPr>
          <w:rFonts w:ascii="宋体" w:hAnsi="宋体" w:eastAsia="宋体" w:cs="宋体"/>
          <w:spacing w:val="2"/>
          <w:sz w:val="21"/>
          <w:szCs w:val="21"/>
          <w:highlight w:val="none"/>
        </w:rPr>
        <w:t>续设</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计和(或)施工，并及时通知监理人，通知应载明不利物质条件的内容以及承包人认为不可</w:t>
      </w:r>
      <w:r>
        <w:rPr>
          <w:rFonts w:ascii="宋体" w:hAnsi="宋体" w:eastAsia="宋体" w:cs="宋体"/>
          <w:spacing w:val="18"/>
          <w:sz w:val="21"/>
          <w:szCs w:val="21"/>
          <w:highlight w:val="none"/>
        </w:rPr>
        <w:t xml:space="preserve"> </w:t>
      </w:r>
      <w:r>
        <w:rPr>
          <w:rFonts w:ascii="宋体" w:hAnsi="宋体" w:eastAsia="宋体" w:cs="宋体"/>
          <w:spacing w:val="3"/>
          <w:sz w:val="21"/>
          <w:szCs w:val="21"/>
          <w:highlight w:val="none"/>
        </w:rPr>
        <w:t>预见的理由。监理人应当及时发出指示，指示构成变更的，按第15条约定执行。监理人没</w:t>
      </w:r>
      <w:r>
        <w:rPr>
          <w:rFonts w:ascii="宋体" w:hAnsi="宋体" w:eastAsia="宋体" w:cs="宋体"/>
          <w:spacing w:val="8"/>
          <w:sz w:val="21"/>
          <w:szCs w:val="21"/>
          <w:highlight w:val="none"/>
        </w:rPr>
        <w:t xml:space="preserve"> </w:t>
      </w:r>
      <w:r>
        <w:rPr>
          <w:rFonts w:ascii="宋体" w:hAnsi="宋体" w:eastAsia="宋体" w:cs="宋体"/>
          <w:spacing w:val="5"/>
          <w:sz w:val="21"/>
          <w:szCs w:val="21"/>
          <w:highlight w:val="none"/>
        </w:rPr>
        <w:t>有发出指示的，承包人因采取合理措施而增加的费用和(或)工期延误，由发包人承担。</w:t>
      </w:r>
    </w:p>
    <w:p w14:paraId="2CCB93E1">
      <w:pPr>
        <w:pStyle w:val="2"/>
        <w:spacing w:before="297" w:line="212" w:lineRule="auto"/>
        <w:rPr>
          <w:sz w:val="24"/>
          <w:szCs w:val="24"/>
          <w:highlight w:val="none"/>
        </w:rPr>
      </w:pPr>
      <w:r>
        <w:rPr>
          <w:rFonts w:ascii="黑体" w:hAnsi="黑体" w:eastAsia="黑体" w:cs="黑体"/>
          <w:spacing w:val="-2"/>
          <w:sz w:val="24"/>
          <w:szCs w:val="24"/>
          <w:highlight w:val="none"/>
        </w:rPr>
        <w:t>4.11</w:t>
      </w:r>
      <w:r>
        <w:rPr>
          <w:rFonts w:ascii="黑体" w:hAnsi="黑体" w:eastAsia="黑体" w:cs="黑体"/>
          <w:spacing w:val="-40"/>
          <w:sz w:val="24"/>
          <w:szCs w:val="24"/>
          <w:highlight w:val="none"/>
        </w:rPr>
        <w:t xml:space="preserve"> </w:t>
      </w:r>
      <w:r>
        <w:rPr>
          <w:rFonts w:ascii="黑体" w:hAnsi="黑体" w:eastAsia="黑体" w:cs="黑体"/>
          <w:spacing w:val="-2"/>
          <w:sz w:val="24"/>
          <w:szCs w:val="24"/>
          <w:highlight w:val="none"/>
        </w:rPr>
        <w:t>不可预见的困难和费用</w:t>
      </w:r>
      <w:r>
        <w:rPr>
          <w:rFonts w:ascii="黑体" w:hAnsi="黑体" w:eastAsia="黑体" w:cs="黑体"/>
          <w:spacing w:val="-44"/>
          <w:sz w:val="24"/>
          <w:szCs w:val="24"/>
          <w:highlight w:val="none"/>
        </w:rPr>
        <w:t xml:space="preserve"> </w:t>
      </w:r>
      <w:r>
        <w:rPr>
          <w:rFonts w:ascii="黑体" w:hAnsi="黑体" w:eastAsia="黑体" w:cs="黑体"/>
          <w:spacing w:val="-2"/>
          <w:sz w:val="24"/>
          <w:szCs w:val="24"/>
          <w:highlight w:val="none"/>
        </w:rPr>
        <w:t>(</w:t>
      </w:r>
      <w:r>
        <w:rPr>
          <w:rFonts w:ascii="黑体" w:hAnsi="黑体" w:eastAsia="黑体" w:cs="黑体"/>
          <w:spacing w:val="-55"/>
          <w:sz w:val="24"/>
          <w:szCs w:val="24"/>
          <w:highlight w:val="none"/>
        </w:rPr>
        <w:t xml:space="preserve"> </w:t>
      </w:r>
      <w:r>
        <w:rPr>
          <w:spacing w:val="-2"/>
          <w:sz w:val="24"/>
          <w:szCs w:val="24"/>
          <w:highlight w:val="none"/>
        </w:rPr>
        <w:t>B)</w:t>
      </w:r>
    </w:p>
    <w:p w14:paraId="1F4204FC">
      <w:pPr>
        <w:spacing w:before="151" w:line="416" w:lineRule="auto"/>
        <w:ind w:right="42"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除合同另有约定外，承包人应视为已取得工程有关风险、意外事件和其他情况的全部必</w:t>
      </w:r>
      <w:r>
        <w:rPr>
          <w:rFonts w:ascii="宋体" w:hAnsi="宋体" w:eastAsia="宋体" w:cs="宋体"/>
          <w:spacing w:val="12"/>
          <w:sz w:val="21"/>
          <w:szCs w:val="21"/>
          <w:highlight w:val="none"/>
        </w:rPr>
        <w:t xml:space="preserve"> </w:t>
      </w:r>
      <w:r>
        <w:rPr>
          <w:rFonts w:ascii="宋体" w:hAnsi="宋体" w:eastAsia="宋体" w:cs="宋体"/>
          <w:spacing w:val="-2"/>
          <w:sz w:val="21"/>
          <w:szCs w:val="21"/>
          <w:highlight w:val="none"/>
        </w:rPr>
        <w:t>要资料，并预见工程所有困难和费用。承包人遇到不可预见的困难和费用时，合同价格不予</w:t>
      </w:r>
      <w:r>
        <w:rPr>
          <w:rFonts w:ascii="宋体" w:hAnsi="宋体" w:eastAsia="宋体" w:cs="宋体"/>
          <w:spacing w:val="1"/>
          <w:sz w:val="21"/>
          <w:szCs w:val="21"/>
          <w:highlight w:val="none"/>
        </w:rPr>
        <w:t xml:space="preserve"> </w:t>
      </w:r>
      <w:r>
        <w:rPr>
          <w:rFonts w:ascii="宋体" w:hAnsi="宋体" w:eastAsia="宋体" w:cs="宋体"/>
          <w:spacing w:val="-9"/>
          <w:sz w:val="21"/>
          <w:szCs w:val="21"/>
          <w:highlight w:val="none"/>
        </w:rPr>
        <w:t>调整。</w:t>
      </w:r>
    </w:p>
    <w:p w14:paraId="7408CA24">
      <w:pPr>
        <w:spacing w:before="69" w:line="222" w:lineRule="auto"/>
        <w:rPr>
          <w:rFonts w:ascii="黑体" w:hAnsi="黑体" w:eastAsia="黑体" w:cs="黑体"/>
          <w:sz w:val="24"/>
          <w:szCs w:val="24"/>
          <w:highlight w:val="none"/>
        </w:rPr>
      </w:pPr>
      <w:r>
        <w:rPr>
          <w:rFonts w:ascii="黑体" w:hAnsi="黑体" w:eastAsia="黑体" w:cs="黑体"/>
          <w:spacing w:val="15"/>
          <w:sz w:val="24"/>
          <w:szCs w:val="24"/>
          <w:highlight w:val="none"/>
        </w:rPr>
        <w:t>4.12进度计划</w:t>
      </w:r>
    </w:p>
    <w:p w14:paraId="1B6F4589">
      <w:pPr>
        <w:spacing w:before="151" w:line="220" w:lineRule="auto"/>
        <w:ind w:left="43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 xml:space="preserve">4.12.1    </w:t>
      </w:r>
      <w:r>
        <w:rPr>
          <w:rFonts w:ascii="宋体" w:hAnsi="宋体" w:eastAsia="宋体" w:cs="宋体"/>
          <w:spacing w:val="5"/>
          <w:sz w:val="20"/>
          <w:szCs w:val="20"/>
          <w:highlight w:val="none"/>
        </w:rPr>
        <w:t>合同进度计划</w:t>
      </w:r>
    </w:p>
    <w:p w14:paraId="0A42405F">
      <w:pPr>
        <w:spacing w:line="220" w:lineRule="auto"/>
        <w:rPr>
          <w:rFonts w:ascii="宋体" w:hAnsi="宋体" w:eastAsia="宋体" w:cs="宋体"/>
          <w:sz w:val="20"/>
          <w:szCs w:val="20"/>
          <w:highlight w:val="none"/>
        </w:rPr>
        <w:sectPr>
          <w:footerReference r:id="rId183" w:type="default"/>
          <w:pgSz w:w="11910" w:h="16840"/>
          <w:pgMar w:top="400" w:right="1749" w:bottom="1217" w:left="1769" w:header="0" w:footer="1013" w:gutter="0"/>
          <w:cols w:space="720" w:num="1"/>
        </w:sectPr>
      </w:pPr>
    </w:p>
    <w:p w14:paraId="5AEF1E7A">
      <w:pPr>
        <w:pStyle w:val="2"/>
        <w:spacing w:line="274" w:lineRule="auto"/>
        <w:rPr>
          <w:highlight w:val="none"/>
        </w:rPr>
      </w:pPr>
    </w:p>
    <w:p w14:paraId="4AAA3FA4">
      <w:pPr>
        <w:pStyle w:val="2"/>
        <w:spacing w:line="274" w:lineRule="auto"/>
        <w:rPr>
          <w:highlight w:val="none"/>
        </w:rPr>
      </w:pPr>
    </w:p>
    <w:p w14:paraId="0CF78445">
      <w:pPr>
        <w:pStyle w:val="2"/>
        <w:spacing w:line="274" w:lineRule="auto"/>
        <w:rPr>
          <w:highlight w:val="none"/>
        </w:rPr>
      </w:pPr>
    </w:p>
    <w:p w14:paraId="613FBA0D">
      <w:pPr>
        <w:pStyle w:val="2"/>
        <w:spacing w:line="274" w:lineRule="auto"/>
        <w:rPr>
          <w:highlight w:val="none"/>
        </w:rPr>
      </w:pPr>
    </w:p>
    <w:p w14:paraId="0223D202">
      <w:pPr>
        <w:spacing w:before="68" w:line="414" w:lineRule="auto"/>
        <w:ind w:firstLine="430"/>
        <w:jc w:val="both"/>
        <w:rPr>
          <w:rFonts w:ascii="宋体" w:hAnsi="宋体" w:eastAsia="宋体" w:cs="宋体"/>
          <w:sz w:val="21"/>
          <w:szCs w:val="21"/>
          <w:highlight w:val="none"/>
        </w:rPr>
      </w:pPr>
      <w:r>
        <w:rPr>
          <w:rFonts w:ascii="宋体" w:hAnsi="宋体" w:eastAsia="宋体" w:cs="宋体"/>
          <w:spacing w:val="-5"/>
          <w:sz w:val="21"/>
          <w:szCs w:val="21"/>
          <w:highlight w:val="none"/>
        </w:rPr>
        <w:t>承包人应按合同约定的内容和期限，编制详细的进度计划，包括</w:t>
      </w:r>
      <w:r>
        <w:rPr>
          <w:rFonts w:ascii="宋体" w:hAnsi="宋体" w:eastAsia="宋体" w:cs="宋体"/>
          <w:spacing w:val="-6"/>
          <w:sz w:val="21"/>
          <w:szCs w:val="21"/>
          <w:highlight w:val="none"/>
        </w:rPr>
        <w:t>设计、承包人文件提交、</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采购、制造、检验、运达现场、施工、安装、试验的各个阶段的预期时间以及设计</w:t>
      </w:r>
      <w:r>
        <w:rPr>
          <w:rFonts w:ascii="宋体" w:hAnsi="宋体" w:eastAsia="宋体" w:cs="宋体"/>
          <w:spacing w:val="-3"/>
          <w:sz w:val="21"/>
          <w:szCs w:val="21"/>
          <w:highlight w:val="none"/>
        </w:rPr>
        <w:t>和施工组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织方案说明等报送监理人。监理人应在专用合同条款约定的期限内批复或提出修改意见，否</w:t>
      </w:r>
      <w:r>
        <w:rPr>
          <w:rFonts w:ascii="宋体" w:hAnsi="宋体" w:eastAsia="宋体" w:cs="宋体"/>
          <w:spacing w:val="2"/>
          <w:sz w:val="21"/>
          <w:szCs w:val="21"/>
          <w:highlight w:val="none"/>
        </w:rPr>
        <w:t xml:space="preserve">  </w:t>
      </w:r>
      <w:r>
        <w:rPr>
          <w:rFonts w:ascii="宋体" w:hAnsi="宋体" w:eastAsia="宋体" w:cs="宋体"/>
          <w:spacing w:val="-2"/>
          <w:sz w:val="21"/>
          <w:szCs w:val="21"/>
          <w:highlight w:val="none"/>
        </w:rPr>
        <w:t>则该进度计划视为已得到批准。经监理人批准的进度计划称合同进度计划，是控制</w:t>
      </w:r>
      <w:r>
        <w:rPr>
          <w:rFonts w:ascii="宋体" w:hAnsi="宋体" w:eastAsia="宋体" w:cs="宋体"/>
          <w:spacing w:val="-3"/>
          <w:sz w:val="21"/>
          <w:szCs w:val="21"/>
          <w:highlight w:val="none"/>
        </w:rPr>
        <w:t>合同工程</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进度的依据。承包人还应根据合同进度计划，编制更为详细的分阶段或分项进度计划，</w:t>
      </w:r>
      <w:r>
        <w:rPr>
          <w:rFonts w:ascii="宋体" w:hAnsi="宋体" w:eastAsia="宋体" w:cs="宋体"/>
          <w:spacing w:val="-3"/>
          <w:sz w:val="21"/>
          <w:szCs w:val="21"/>
          <w:highlight w:val="none"/>
        </w:rPr>
        <w:t>报监</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理人批准。</w:t>
      </w:r>
    </w:p>
    <w:p w14:paraId="22E7619C">
      <w:pPr>
        <w:spacing w:before="31" w:line="219" w:lineRule="auto"/>
        <w:ind w:left="43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4.12.2</w:t>
      </w:r>
      <w:r>
        <w:rPr>
          <w:rFonts w:ascii="Times New Roman" w:hAnsi="Times New Roman" w:eastAsia="Times New Roman" w:cs="Times New Roman"/>
          <w:spacing w:val="9"/>
          <w:sz w:val="20"/>
          <w:szCs w:val="20"/>
          <w:highlight w:val="none"/>
        </w:rPr>
        <w:t xml:space="preserve">    </w:t>
      </w:r>
      <w:r>
        <w:rPr>
          <w:rFonts w:ascii="宋体" w:hAnsi="宋体" w:eastAsia="宋体" w:cs="宋体"/>
          <w:spacing w:val="6"/>
          <w:sz w:val="20"/>
          <w:szCs w:val="20"/>
          <w:highlight w:val="none"/>
        </w:rPr>
        <w:t>合同进度计划的修订</w:t>
      </w:r>
    </w:p>
    <w:p w14:paraId="7709E489">
      <w:pPr>
        <w:spacing w:before="242" w:line="414" w:lineRule="auto"/>
        <w:ind w:right="65" w:firstLine="430"/>
        <w:rPr>
          <w:rFonts w:ascii="宋体" w:hAnsi="宋体" w:eastAsia="宋体" w:cs="宋体"/>
          <w:sz w:val="21"/>
          <w:szCs w:val="21"/>
          <w:highlight w:val="none"/>
        </w:rPr>
      </w:pPr>
      <w:r>
        <w:rPr>
          <w:rFonts w:ascii="宋体" w:hAnsi="宋体" w:eastAsia="宋体" w:cs="宋体"/>
          <w:spacing w:val="4"/>
          <w:sz w:val="21"/>
          <w:szCs w:val="21"/>
          <w:highlight w:val="none"/>
        </w:rPr>
        <w:t>不论何种原因造成工程的实际进度与第4.12.1项的合同进</w:t>
      </w:r>
      <w:r>
        <w:rPr>
          <w:rFonts w:ascii="宋体" w:hAnsi="宋体" w:eastAsia="宋体" w:cs="宋体"/>
          <w:spacing w:val="3"/>
          <w:sz w:val="21"/>
          <w:szCs w:val="21"/>
          <w:highlight w:val="none"/>
        </w:rPr>
        <w:t>度计划不符时，承包人可以</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在专用合同条款约定的期限内向监理人提交修订合同进度计划的申请报告，并附有关措施和</w:t>
      </w:r>
      <w:r>
        <w:rPr>
          <w:rFonts w:ascii="宋体" w:hAnsi="宋体" w:eastAsia="宋体" w:cs="宋体"/>
          <w:spacing w:val="16"/>
          <w:sz w:val="21"/>
          <w:szCs w:val="21"/>
          <w:highlight w:val="none"/>
        </w:rPr>
        <w:t xml:space="preserve"> </w:t>
      </w:r>
      <w:r>
        <w:rPr>
          <w:rFonts w:ascii="宋体" w:hAnsi="宋体" w:eastAsia="宋体" w:cs="宋体"/>
          <w:spacing w:val="-2"/>
          <w:sz w:val="21"/>
          <w:szCs w:val="21"/>
          <w:highlight w:val="none"/>
        </w:rPr>
        <w:t>相关资料，报监理人批准；监理人也可以直接向承包人作出修订合同进度计划的指示，</w:t>
      </w:r>
      <w:r>
        <w:rPr>
          <w:rFonts w:ascii="宋体" w:hAnsi="宋体" w:eastAsia="宋体" w:cs="宋体"/>
          <w:spacing w:val="-3"/>
          <w:sz w:val="21"/>
          <w:szCs w:val="21"/>
          <w:highlight w:val="none"/>
        </w:rPr>
        <w:t>承包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人应按该指示修订合同进度计划，报监理人批准。监理人应在专用合同条款约定的期</w:t>
      </w:r>
      <w:r>
        <w:rPr>
          <w:rFonts w:ascii="宋体" w:hAnsi="宋体" w:eastAsia="宋体" w:cs="宋体"/>
          <w:spacing w:val="-3"/>
          <w:sz w:val="21"/>
          <w:szCs w:val="21"/>
          <w:highlight w:val="none"/>
        </w:rPr>
        <w:t>限内批</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复。监理人在批复前应获得发包人同意。</w:t>
      </w:r>
    </w:p>
    <w:p w14:paraId="4FA1B552">
      <w:pPr>
        <w:spacing w:before="96" w:line="222" w:lineRule="auto"/>
        <w:rPr>
          <w:rFonts w:ascii="黑体" w:hAnsi="黑体" w:eastAsia="黑体" w:cs="黑体"/>
          <w:sz w:val="24"/>
          <w:szCs w:val="24"/>
          <w:highlight w:val="none"/>
        </w:rPr>
      </w:pPr>
      <w:r>
        <w:rPr>
          <w:rFonts w:ascii="黑体" w:hAnsi="黑体" w:eastAsia="黑体" w:cs="黑体"/>
          <w:sz w:val="24"/>
          <w:szCs w:val="24"/>
          <w:highlight w:val="none"/>
        </w:rPr>
        <w:t>4.13 质量保证</w:t>
      </w:r>
    </w:p>
    <w:p w14:paraId="672C86EE">
      <w:pPr>
        <w:spacing w:before="141" w:line="321" w:lineRule="auto"/>
        <w:ind w:right="94"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4.13.1   </w:t>
      </w:r>
      <w:r>
        <w:rPr>
          <w:rFonts w:ascii="宋体" w:hAnsi="宋体" w:eastAsia="宋体" w:cs="宋体"/>
          <w:spacing w:val="2"/>
          <w:sz w:val="21"/>
          <w:szCs w:val="21"/>
          <w:highlight w:val="none"/>
        </w:rPr>
        <w:t>为保证工程质量，承包人应按照</w:t>
      </w:r>
      <w:r>
        <w:rPr>
          <w:rFonts w:ascii="宋体" w:hAnsi="宋体" w:eastAsia="宋体" w:cs="宋体"/>
          <w:spacing w:val="1"/>
          <w:sz w:val="21"/>
          <w:szCs w:val="21"/>
          <w:highlight w:val="none"/>
        </w:rPr>
        <w:t>合同要求建立质量保证体系。监理人有权对承</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包人的质量保证体系进行审查。</w:t>
      </w:r>
    </w:p>
    <w:p w14:paraId="741CBC74">
      <w:pPr>
        <w:spacing w:before="219" w:line="317" w:lineRule="auto"/>
        <w:ind w:right="87"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4.13.2   </w:t>
      </w:r>
      <w:r>
        <w:rPr>
          <w:rFonts w:ascii="宋体" w:hAnsi="宋体" w:eastAsia="宋体" w:cs="宋体"/>
          <w:spacing w:val="2"/>
          <w:sz w:val="21"/>
          <w:szCs w:val="21"/>
          <w:highlight w:val="none"/>
        </w:rPr>
        <w:t>承包人应在各设计和实施阶段开始前，向监理人</w:t>
      </w:r>
      <w:r>
        <w:rPr>
          <w:rFonts w:ascii="宋体" w:hAnsi="宋体" w:eastAsia="宋体" w:cs="宋体"/>
          <w:spacing w:val="1"/>
          <w:sz w:val="21"/>
          <w:szCs w:val="21"/>
          <w:highlight w:val="none"/>
        </w:rPr>
        <w:t>提交其具体的质量保证细则和</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工作程序。</w:t>
      </w:r>
    </w:p>
    <w:p w14:paraId="2EE210CB">
      <w:pPr>
        <w:spacing w:before="219"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4.13.3   </w:t>
      </w:r>
      <w:r>
        <w:rPr>
          <w:rFonts w:ascii="宋体" w:hAnsi="宋体" w:eastAsia="宋体" w:cs="宋体"/>
          <w:spacing w:val="-7"/>
          <w:sz w:val="22"/>
          <w:szCs w:val="22"/>
          <w:highlight w:val="none"/>
        </w:rPr>
        <w:t>遵守质量保证体系，不应免除合同约定的承包人的义务和责任。</w:t>
      </w:r>
    </w:p>
    <w:p w14:paraId="11282276">
      <w:pPr>
        <w:pStyle w:val="2"/>
        <w:spacing w:before="166" w:line="327" w:lineRule="exact"/>
        <w:outlineLvl w:val="1"/>
        <w:rPr>
          <w:rFonts w:ascii="黑体" w:hAnsi="黑体" w:eastAsia="黑体" w:cs="黑体"/>
          <w:sz w:val="24"/>
          <w:szCs w:val="24"/>
          <w:highlight w:val="none"/>
        </w:rPr>
      </w:pPr>
      <w:bookmarkStart w:id="172" w:name="bookmark100"/>
      <w:bookmarkEnd w:id="172"/>
      <w:r>
        <w:rPr>
          <w:position w:val="1"/>
          <w:sz w:val="24"/>
          <w:szCs w:val="24"/>
          <w:highlight w:val="none"/>
        </w:rPr>
        <w:t>5.</w:t>
      </w:r>
      <w:r>
        <w:rPr>
          <w:spacing w:val="24"/>
          <w:position w:val="1"/>
          <w:sz w:val="24"/>
          <w:szCs w:val="24"/>
          <w:highlight w:val="none"/>
        </w:rPr>
        <w:t xml:space="preserve"> </w:t>
      </w:r>
      <w:r>
        <w:rPr>
          <w:rFonts w:ascii="黑体" w:hAnsi="黑体" w:eastAsia="黑体" w:cs="黑体"/>
          <w:position w:val="1"/>
          <w:sz w:val="24"/>
          <w:szCs w:val="24"/>
          <w:highlight w:val="none"/>
        </w:rPr>
        <w:t>设计</w:t>
      </w:r>
    </w:p>
    <w:p w14:paraId="242B0F9B">
      <w:pPr>
        <w:spacing w:before="195" w:line="221" w:lineRule="auto"/>
        <w:rPr>
          <w:rFonts w:ascii="黑体" w:hAnsi="黑体" w:eastAsia="黑体" w:cs="黑体"/>
          <w:sz w:val="24"/>
          <w:szCs w:val="24"/>
          <w:highlight w:val="none"/>
        </w:rPr>
      </w:pPr>
      <w:r>
        <w:rPr>
          <w:rFonts w:ascii="黑体" w:hAnsi="黑体" w:eastAsia="黑体" w:cs="黑体"/>
          <w:spacing w:val="-3"/>
          <w:sz w:val="24"/>
          <w:szCs w:val="24"/>
          <w:highlight w:val="none"/>
        </w:rPr>
        <w:t>5.1 承包人的设计义务</w:t>
      </w:r>
    </w:p>
    <w:p w14:paraId="6C1ADC59">
      <w:pPr>
        <w:spacing w:before="133" w:line="219" w:lineRule="auto"/>
        <w:ind w:left="43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5.1.1    </w:t>
      </w:r>
      <w:r>
        <w:rPr>
          <w:rFonts w:ascii="宋体" w:hAnsi="宋体" w:eastAsia="宋体" w:cs="宋体"/>
          <w:spacing w:val="6"/>
          <w:sz w:val="20"/>
          <w:szCs w:val="20"/>
          <w:highlight w:val="none"/>
        </w:rPr>
        <w:t>设计义务的一般要求</w:t>
      </w:r>
    </w:p>
    <w:p w14:paraId="51A8E75D">
      <w:pPr>
        <w:spacing w:before="213" w:line="399" w:lineRule="auto"/>
        <w:ind w:right="76" w:firstLine="430"/>
        <w:rPr>
          <w:rFonts w:ascii="宋体" w:hAnsi="宋体" w:eastAsia="宋体" w:cs="宋体"/>
          <w:sz w:val="22"/>
          <w:szCs w:val="22"/>
          <w:highlight w:val="none"/>
        </w:rPr>
      </w:pPr>
      <w:r>
        <w:rPr>
          <w:rFonts w:ascii="宋体" w:hAnsi="宋体" w:eastAsia="宋体" w:cs="宋体"/>
          <w:spacing w:val="-12"/>
          <w:sz w:val="22"/>
          <w:szCs w:val="22"/>
          <w:highlight w:val="none"/>
        </w:rPr>
        <w:t>承包人应按照法律规定，以及国家、行业和地方的规范和标准完成设计工作，并符合发</w:t>
      </w:r>
      <w:r>
        <w:rPr>
          <w:rFonts w:ascii="宋体" w:hAnsi="宋体" w:eastAsia="宋体" w:cs="宋体"/>
          <w:spacing w:val="3"/>
          <w:sz w:val="22"/>
          <w:szCs w:val="22"/>
          <w:highlight w:val="none"/>
        </w:rPr>
        <w:t xml:space="preserve"> </w:t>
      </w:r>
      <w:r>
        <w:rPr>
          <w:rFonts w:ascii="宋体" w:hAnsi="宋体" w:eastAsia="宋体" w:cs="宋体"/>
          <w:spacing w:val="-12"/>
          <w:sz w:val="22"/>
          <w:szCs w:val="22"/>
          <w:highlight w:val="none"/>
        </w:rPr>
        <w:t>包人要求。</w:t>
      </w:r>
    </w:p>
    <w:p w14:paraId="2DBA3415">
      <w:pPr>
        <w:spacing w:before="29" w:line="219" w:lineRule="auto"/>
        <w:ind w:left="43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5.1.2</w:t>
      </w:r>
      <w:r>
        <w:rPr>
          <w:rFonts w:ascii="Times New Roman" w:hAnsi="Times New Roman" w:eastAsia="Times New Roman" w:cs="Times New Roman"/>
          <w:spacing w:val="7"/>
          <w:sz w:val="20"/>
          <w:szCs w:val="20"/>
          <w:highlight w:val="none"/>
        </w:rPr>
        <w:t xml:space="preserve">    </w:t>
      </w:r>
      <w:r>
        <w:rPr>
          <w:rFonts w:ascii="宋体" w:hAnsi="宋体" w:eastAsia="宋体" w:cs="宋体"/>
          <w:spacing w:val="6"/>
          <w:sz w:val="20"/>
          <w:szCs w:val="20"/>
          <w:highlight w:val="none"/>
        </w:rPr>
        <w:t>法律和标准的变化</w:t>
      </w:r>
    </w:p>
    <w:p w14:paraId="5A71BA88">
      <w:pPr>
        <w:spacing w:before="232" w:line="423" w:lineRule="auto"/>
        <w:ind w:right="89" w:firstLine="430"/>
        <w:rPr>
          <w:rFonts w:ascii="宋体" w:hAnsi="宋体" w:eastAsia="宋体" w:cs="宋体"/>
          <w:sz w:val="21"/>
          <w:szCs w:val="21"/>
          <w:highlight w:val="none"/>
        </w:rPr>
      </w:pPr>
      <w:r>
        <w:rPr>
          <w:rFonts w:ascii="宋体" w:hAnsi="宋体" w:eastAsia="宋体" w:cs="宋体"/>
          <w:spacing w:val="-2"/>
          <w:sz w:val="21"/>
          <w:szCs w:val="21"/>
          <w:highlight w:val="none"/>
        </w:rPr>
        <w:t>除合同另有约定外，承包人完成设计工作所应遵</w:t>
      </w:r>
      <w:r>
        <w:rPr>
          <w:rFonts w:ascii="宋体" w:hAnsi="宋体" w:eastAsia="宋体" w:cs="宋体"/>
          <w:spacing w:val="-3"/>
          <w:sz w:val="21"/>
          <w:szCs w:val="21"/>
          <w:highlight w:val="none"/>
        </w:rPr>
        <w:t>守的法律规定，以及国家、行业和地方</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的规范和标准，均应视为在基准日适用的版本。基准日之后，前述版本发生重大变化，或者</w:t>
      </w:r>
      <w:r>
        <w:rPr>
          <w:rFonts w:ascii="宋体" w:hAnsi="宋体" w:eastAsia="宋体" w:cs="宋体"/>
          <w:spacing w:val="8"/>
          <w:sz w:val="21"/>
          <w:szCs w:val="21"/>
          <w:highlight w:val="none"/>
        </w:rPr>
        <w:t xml:space="preserve"> </w:t>
      </w:r>
      <w:r>
        <w:rPr>
          <w:rFonts w:ascii="宋体" w:hAnsi="宋体" w:eastAsia="宋体" w:cs="宋体"/>
          <w:spacing w:val="-2"/>
          <w:sz w:val="21"/>
          <w:szCs w:val="21"/>
          <w:highlight w:val="none"/>
        </w:rPr>
        <w:t>有新的法律，以及国家、行业和地方的规范和标准实施的，承包人应向发包人或发包</w:t>
      </w:r>
      <w:r>
        <w:rPr>
          <w:rFonts w:ascii="宋体" w:hAnsi="宋体" w:eastAsia="宋体" w:cs="宋体"/>
          <w:spacing w:val="-3"/>
          <w:sz w:val="21"/>
          <w:szCs w:val="21"/>
          <w:highlight w:val="none"/>
        </w:rPr>
        <w:t>人委托</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的监理人提出遵守新规定的建议。发包人或其委托的监理人应在收</w:t>
      </w:r>
      <w:r>
        <w:rPr>
          <w:rFonts w:ascii="宋体" w:hAnsi="宋体" w:eastAsia="宋体" w:cs="宋体"/>
          <w:sz w:val="21"/>
          <w:szCs w:val="21"/>
          <w:highlight w:val="none"/>
        </w:rPr>
        <w:t xml:space="preserve">到建议后7天内发出是否 </w:t>
      </w:r>
      <w:r>
        <w:rPr>
          <w:rFonts w:ascii="宋体" w:hAnsi="宋体" w:eastAsia="宋体" w:cs="宋体"/>
          <w:spacing w:val="8"/>
          <w:sz w:val="21"/>
          <w:szCs w:val="21"/>
          <w:highlight w:val="none"/>
        </w:rPr>
        <w:t>遵守新规定的指示。发包人或其委托的监理人指示遵守新规定的，按照第15条或第16.2</w:t>
      </w:r>
    </w:p>
    <w:p w14:paraId="5C11338E">
      <w:pPr>
        <w:spacing w:line="423" w:lineRule="auto"/>
        <w:rPr>
          <w:rFonts w:ascii="宋体" w:hAnsi="宋体" w:eastAsia="宋体" w:cs="宋体"/>
          <w:sz w:val="21"/>
          <w:szCs w:val="21"/>
          <w:highlight w:val="none"/>
        </w:rPr>
        <w:sectPr>
          <w:footerReference r:id="rId184" w:type="default"/>
          <w:pgSz w:w="11910" w:h="16840"/>
          <w:pgMar w:top="400" w:right="1724" w:bottom="1238" w:left="1769" w:header="0" w:footer="1006" w:gutter="0"/>
          <w:cols w:space="720" w:num="1"/>
        </w:sectPr>
      </w:pPr>
    </w:p>
    <w:p w14:paraId="1D26B069">
      <w:pPr>
        <w:pStyle w:val="2"/>
        <w:spacing w:line="274" w:lineRule="auto"/>
        <w:rPr>
          <w:highlight w:val="none"/>
        </w:rPr>
      </w:pPr>
    </w:p>
    <w:p w14:paraId="391784A6">
      <w:pPr>
        <w:pStyle w:val="2"/>
        <w:spacing w:line="274" w:lineRule="auto"/>
        <w:rPr>
          <w:highlight w:val="none"/>
        </w:rPr>
      </w:pPr>
    </w:p>
    <w:p w14:paraId="6D7FE3E8">
      <w:pPr>
        <w:pStyle w:val="2"/>
        <w:spacing w:line="274" w:lineRule="auto"/>
        <w:rPr>
          <w:highlight w:val="none"/>
        </w:rPr>
      </w:pPr>
    </w:p>
    <w:p w14:paraId="61478D0C">
      <w:pPr>
        <w:pStyle w:val="2"/>
        <w:spacing w:line="274" w:lineRule="auto"/>
        <w:rPr>
          <w:highlight w:val="none"/>
        </w:rPr>
      </w:pPr>
    </w:p>
    <w:p w14:paraId="790BFBA0">
      <w:pPr>
        <w:spacing w:before="65" w:line="219" w:lineRule="auto"/>
        <w:rPr>
          <w:rFonts w:ascii="宋体" w:hAnsi="宋体" w:eastAsia="宋体" w:cs="宋体"/>
          <w:sz w:val="20"/>
          <w:szCs w:val="20"/>
          <w:highlight w:val="none"/>
        </w:rPr>
      </w:pPr>
      <w:bookmarkStart w:id="173" w:name="bookmark272"/>
      <w:bookmarkEnd w:id="173"/>
      <w:r>
        <w:rPr>
          <w:rFonts w:ascii="宋体" w:hAnsi="宋体" w:eastAsia="宋体" w:cs="宋体"/>
          <w:spacing w:val="3"/>
          <w:sz w:val="20"/>
          <w:szCs w:val="20"/>
          <w:highlight w:val="none"/>
        </w:rPr>
        <w:t>款约定执行。</w:t>
      </w:r>
    </w:p>
    <w:p w14:paraId="017CEADD">
      <w:pPr>
        <w:spacing w:before="302" w:line="222" w:lineRule="auto"/>
        <w:rPr>
          <w:rFonts w:ascii="黑体" w:hAnsi="黑体" w:eastAsia="黑体" w:cs="黑体"/>
          <w:sz w:val="24"/>
          <w:szCs w:val="24"/>
          <w:highlight w:val="none"/>
        </w:rPr>
      </w:pPr>
      <w:r>
        <w:rPr>
          <w:rFonts w:ascii="黑体" w:hAnsi="黑体" w:eastAsia="黑体" w:cs="黑体"/>
          <w:spacing w:val="11"/>
          <w:sz w:val="24"/>
          <w:szCs w:val="24"/>
          <w:highlight w:val="none"/>
        </w:rPr>
        <w:t>5.2承包人设计进度计划</w:t>
      </w:r>
    </w:p>
    <w:p w14:paraId="07423C44">
      <w:pPr>
        <w:spacing w:before="102" w:line="411" w:lineRule="auto"/>
        <w:ind w:right="84" w:firstLine="420"/>
        <w:rPr>
          <w:rFonts w:ascii="宋体" w:hAnsi="宋体" w:eastAsia="宋体" w:cs="宋体"/>
          <w:sz w:val="22"/>
          <w:szCs w:val="22"/>
          <w:highlight w:val="none"/>
        </w:rPr>
      </w:pPr>
      <w:r>
        <w:rPr>
          <w:rFonts w:ascii="宋体" w:hAnsi="宋体" w:eastAsia="宋体" w:cs="宋体"/>
          <w:spacing w:val="-12"/>
          <w:sz w:val="22"/>
          <w:szCs w:val="22"/>
          <w:highlight w:val="none"/>
        </w:rPr>
        <w:t>承包人应按照发包人要求，在合同进度计划中专门列出设计进度</w:t>
      </w:r>
      <w:r>
        <w:rPr>
          <w:rFonts w:ascii="宋体" w:hAnsi="宋体" w:eastAsia="宋体" w:cs="宋体"/>
          <w:spacing w:val="-13"/>
          <w:sz w:val="22"/>
          <w:szCs w:val="22"/>
          <w:highlight w:val="none"/>
        </w:rPr>
        <w:t>计划，报发包人批准后</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执行。承包人需按照经批准后的计划开展设计工作。</w:t>
      </w:r>
    </w:p>
    <w:p w14:paraId="1FB15399">
      <w:pPr>
        <w:spacing w:line="388" w:lineRule="auto"/>
        <w:ind w:right="87" w:firstLine="420"/>
        <w:rPr>
          <w:rFonts w:ascii="宋体" w:hAnsi="宋体" w:eastAsia="宋体" w:cs="宋体"/>
          <w:sz w:val="22"/>
          <w:szCs w:val="22"/>
          <w:highlight w:val="none"/>
        </w:rPr>
      </w:pPr>
      <w:r>
        <w:rPr>
          <w:rFonts w:ascii="宋体" w:hAnsi="宋体" w:eastAsia="宋体" w:cs="宋体"/>
          <w:spacing w:val="-6"/>
          <w:sz w:val="22"/>
          <w:szCs w:val="22"/>
          <w:highlight w:val="none"/>
        </w:rPr>
        <w:t>因承包人原因影响设计进度的，按第11.5款的约定</w:t>
      </w:r>
      <w:r>
        <w:rPr>
          <w:rFonts w:ascii="宋体" w:hAnsi="宋体" w:eastAsia="宋体" w:cs="宋体"/>
          <w:spacing w:val="-7"/>
          <w:sz w:val="22"/>
          <w:szCs w:val="22"/>
          <w:highlight w:val="none"/>
        </w:rPr>
        <w:t>执行。因发包人原因影响设计进度</w:t>
      </w:r>
      <w:r>
        <w:rPr>
          <w:rFonts w:ascii="宋体" w:hAnsi="宋体" w:eastAsia="宋体" w:cs="宋体"/>
          <w:sz w:val="22"/>
          <w:szCs w:val="22"/>
          <w:highlight w:val="none"/>
        </w:rPr>
        <w:t xml:space="preserve"> </w:t>
      </w:r>
      <w:r>
        <w:rPr>
          <w:rFonts w:ascii="宋体" w:hAnsi="宋体" w:eastAsia="宋体" w:cs="宋体"/>
          <w:spacing w:val="-3"/>
          <w:sz w:val="22"/>
          <w:szCs w:val="22"/>
          <w:highlight w:val="none"/>
        </w:rPr>
        <w:t>的，按第15条变更处理。</w:t>
      </w:r>
    </w:p>
    <w:p w14:paraId="7104C82B">
      <w:pPr>
        <w:spacing w:before="3" w:line="442" w:lineRule="auto"/>
        <w:ind w:right="91" w:firstLine="420"/>
        <w:rPr>
          <w:rFonts w:ascii="宋体" w:hAnsi="宋体" w:eastAsia="宋体" w:cs="宋体"/>
          <w:sz w:val="21"/>
          <w:szCs w:val="21"/>
          <w:highlight w:val="none"/>
        </w:rPr>
      </w:pPr>
      <w:r>
        <w:rPr>
          <w:rFonts w:ascii="宋体" w:hAnsi="宋体" w:eastAsia="宋体" w:cs="宋体"/>
          <w:spacing w:val="3"/>
          <w:sz w:val="21"/>
          <w:szCs w:val="21"/>
          <w:highlight w:val="none"/>
        </w:rPr>
        <w:t>发包人或其委托的监理人有权要求承包人根据第11.5款提交修正的进度计划、增加投</w:t>
      </w:r>
      <w:r>
        <w:rPr>
          <w:rFonts w:ascii="宋体" w:hAnsi="宋体" w:eastAsia="宋体" w:cs="宋体"/>
          <w:spacing w:val="1"/>
          <w:sz w:val="21"/>
          <w:szCs w:val="21"/>
          <w:highlight w:val="none"/>
        </w:rPr>
        <w:t xml:space="preserve"> </w:t>
      </w:r>
      <w:r>
        <w:rPr>
          <w:rFonts w:ascii="宋体" w:hAnsi="宋体" w:eastAsia="宋体" w:cs="宋体"/>
          <w:spacing w:val="-4"/>
          <w:sz w:val="21"/>
          <w:szCs w:val="21"/>
          <w:highlight w:val="none"/>
        </w:rPr>
        <w:t>入资源并加快设计进度。</w:t>
      </w:r>
    </w:p>
    <w:p w14:paraId="04EC484A">
      <w:pPr>
        <w:spacing w:before="35" w:line="222" w:lineRule="auto"/>
        <w:rPr>
          <w:rFonts w:ascii="黑体" w:hAnsi="黑体" w:eastAsia="黑体" w:cs="黑体"/>
          <w:sz w:val="24"/>
          <w:szCs w:val="24"/>
          <w:highlight w:val="none"/>
        </w:rPr>
      </w:pPr>
      <w:r>
        <w:rPr>
          <w:rFonts w:ascii="黑体" w:hAnsi="黑体" w:eastAsia="黑体" w:cs="黑体"/>
          <w:spacing w:val="-5"/>
          <w:sz w:val="24"/>
          <w:szCs w:val="24"/>
          <w:highlight w:val="none"/>
        </w:rPr>
        <w:t>5.3</w:t>
      </w:r>
      <w:r>
        <w:rPr>
          <w:rFonts w:ascii="黑体" w:hAnsi="黑体" w:eastAsia="黑体" w:cs="黑体"/>
          <w:spacing w:val="24"/>
          <w:sz w:val="24"/>
          <w:szCs w:val="24"/>
          <w:highlight w:val="none"/>
        </w:rPr>
        <w:t xml:space="preserve"> </w:t>
      </w:r>
      <w:r>
        <w:rPr>
          <w:rFonts w:ascii="黑体" w:hAnsi="黑体" w:eastAsia="黑体" w:cs="黑体"/>
          <w:spacing w:val="-5"/>
          <w:sz w:val="24"/>
          <w:szCs w:val="24"/>
          <w:highlight w:val="none"/>
        </w:rPr>
        <w:t>设计审查</w:t>
      </w:r>
    </w:p>
    <w:p w14:paraId="6B1E8DA0">
      <w:pPr>
        <w:spacing w:before="102" w:line="411" w:lineRule="auto"/>
        <w:ind w:right="81" w:firstLine="42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 xml:space="preserve">5.3.1   </w:t>
      </w:r>
      <w:r>
        <w:rPr>
          <w:rFonts w:ascii="宋体" w:hAnsi="宋体" w:eastAsia="宋体" w:cs="宋体"/>
          <w:spacing w:val="-4"/>
          <w:sz w:val="22"/>
          <w:szCs w:val="22"/>
          <w:highlight w:val="none"/>
        </w:rPr>
        <w:t>承包人的设计文件应报发包人审查</w:t>
      </w:r>
      <w:r>
        <w:rPr>
          <w:rFonts w:ascii="宋体" w:hAnsi="宋体" w:eastAsia="宋体" w:cs="宋体"/>
          <w:spacing w:val="-5"/>
          <w:sz w:val="22"/>
          <w:szCs w:val="22"/>
          <w:highlight w:val="none"/>
        </w:rPr>
        <w:t>同意。审查的范围和内容在发包人要求中约</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定。</w:t>
      </w:r>
    </w:p>
    <w:p w14:paraId="2539224D">
      <w:pPr>
        <w:spacing w:line="443" w:lineRule="auto"/>
        <w:ind w:right="69" w:firstLine="420"/>
        <w:jc w:val="both"/>
        <w:rPr>
          <w:rFonts w:ascii="宋体" w:hAnsi="宋体" w:eastAsia="宋体" w:cs="宋体"/>
          <w:sz w:val="20"/>
          <w:szCs w:val="20"/>
          <w:highlight w:val="none"/>
        </w:rPr>
      </w:pPr>
      <w:r>
        <w:rPr>
          <w:rFonts w:ascii="宋体" w:hAnsi="宋体" w:eastAsia="宋体" w:cs="宋体"/>
          <w:spacing w:val="8"/>
          <w:sz w:val="20"/>
          <w:szCs w:val="20"/>
          <w:highlight w:val="none"/>
        </w:rPr>
        <w:t>除合同另有约定外，自监理人收到承包人的设计</w:t>
      </w:r>
      <w:r>
        <w:rPr>
          <w:rFonts w:ascii="宋体" w:hAnsi="宋体" w:eastAsia="宋体" w:cs="宋体"/>
          <w:spacing w:val="7"/>
          <w:sz w:val="20"/>
          <w:szCs w:val="20"/>
          <w:highlight w:val="none"/>
        </w:rPr>
        <w:t>文件以及承包人的通知之日起，发包人</w:t>
      </w:r>
      <w:r>
        <w:rPr>
          <w:rFonts w:ascii="宋体" w:hAnsi="宋体" w:eastAsia="宋体" w:cs="宋体"/>
          <w:sz w:val="20"/>
          <w:szCs w:val="20"/>
          <w:highlight w:val="none"/>
        </w:rPr>
        <w:t xml:space="preserve"> </w:t>
      </w:r>
      <w:r>
        <w:rPr>
          <w:rFonts w:ascii="宋体" w:hAnsi="宋体" w:eastAsia="宋体" w:cs="宋体"/>
          <w:spacing w:val="13"/>
          <w:sz w:val="20"/>
          <w:szCs w:val="20"/>
          <w:highlight w:val="none"/>
        </w:rPr>
        <w:t>对承包人的设计文件审查期不超过21天。承包人的设计文件对于合同约定有偏离的，应在</w:t>
      </w:r>
      <w:r>
        <w:rPr>
          <w:rFonts w:ascii="宋体" w:hAnsi="宋体" w:eastAsia="宋体" w:cs="宋体"/>
          <w:spacing w:val="10"/>
          <w:sz w:val="20"/>
          <w:szCs w:val="20"/>
          <w:highlight w:val="none"/>
        </w:rPr>
        <w:t xml:space="preserve"> </w:t>
      </w:r>
      <w:r>
        <w:rPr>
          <w:rFonts w:ascii="宋体" w:hAnsi="宋体" w:eastAsia="宋体" w:cs="宋体"/>
          <w:spacing w:val="8"/>
          <w:sz w:val="20"/>
          <w:szCs w:val="20"/>
          <w:highlight w:val="none"/>
        </w:rPr>
        <w:t>通知中说明。承包人需要修改已提交的承包人文件的，应立即</w:t>
      </w:r>
      <w:r>
        <w:rPr>
          <w:rFonts w:ascii="宋体" w:hAnsi="宋体" w:eastAsia="宋体" w:cs="宋体"/>
          <w:spacing w:val="7"/>
          <w:sz w:val="20"/>
          <w:szCs w:val="20"/>
          <w:highlight w:val="none"/>
        </w:rPr>
        <w:t>通知监理人，并向监理人提交</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修改后的承包人的设计文件，审查期重新起算。</w:t>
      </w:r>
    </w:p>
    <w:p w14:paraId="7A4A8E7E">
      <w:pPr>
        <w:spacing w:before="1" w:line="422" w:lineRule="auto"/>
        <w:ind w:right="89"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发包人不同意设计文件的，应通过监理人以书面形式</w:t>
      </w:r>
      <w:r>
        <w:rPr>
          <w:rFonts w:ascii="宋体" w:hAnsi="宋体" w:eastAsia="宋体" w:cs="宋体"/>
          <w:spacing w:val="-3"/>
          <w:sz w:val="21"/>
          <w:szCs w:val="21"/>
          <w:highlight w:val="none"/>
        </w:rPr>
        <w:t>通知承包人，并说明不符合合同要</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求的具体内容。承包人应根据监理人的书面说明，对承包人文件</w:t>
      </w:r>
      <w:r>
        <w:rPr>
          <w:rFonts w:ascii="宋体" w:hAnsi="宋体" w:eastAsia="宋体" w:cs="宋体"/>
          <w:spacing w:val="-3"/>
          <w:sz w:val="21"/>
          <w:szCs w:val="21"/>
          <w:highlight w:val="none"/>
        </w:rPr>
        <w:t>进行修改后重新报送发包人</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审查，审查期重新起算。</w:t>
      </w:r>
    </w:p>
    <w:p w14:paraId="4D9F2141">
      <w:pPr>
        <w:spacing w:line="415" w:lineRule="auto"/>
        <w:ind w:right="91" w:firstLine="420"/>
        <w:rPr>
          <w:rFonts w:ascii="宋体" w:hAnsi="宋体" w:eastAsia="宋体" w:cs="宋体"/>
          <w:sz w:val="21"/>
          <w:szCs w:val="21"/>
          <w:highlight w:val="none"/>
        </w:rPr>
      </w:pPr>
      <w:r>
        <w:rPr>
          <w:rFonts w:ascii="宋体" w:hAnsi="宋体" w:eastAsia="宋体" w:cs="宋体"/>
          <w:spacing w:val="-2"/>
          <w:sz w:val="21"/>
          <w:szCs w:val="21"/>
          <w:highlight w:val="none"/>
        </w:rPr>
        <w:t>合同约定的审查期满，发包人没有做出审查结论</w:t>
      </w:r>
      <w:r>
        <w:rPr>
          <w:rFonts w:ascii="宋体" w:hAnsi="宋体" w:eastAsia="宋体" w:cs="宋体"/>
          <w:spacing w:val="-3"/>
          <w:sz w:val="21"/>
          <w:szCs w:val="21"/>
          <w:highlight w:val="none"/>
        </w:rPr>
        <w:t>也没有提出异议的，视为承包人的设计</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文件已获发包人同意。</w:t>
      </w:r>
    </w:p>
    <w:p w14:paraId="0259A956">
      <w:pPr>
        <w:spacing w:before="15" w:line="321" w:lineRule="auto"/>
        <w:ind w:right="91" w:firstLine="420"/>
        <w:rPr>
          <w:rFonts w:ascii="宋体" w:hAnsi="宋体" w:eastAsia="宋体" w:cs="宋体"/>
          <w:sz w:val="21"/>
          <w:szCs w:val="21"/>
          <w:highlight w:val="none"/>
        </w:rPr>
      </w:pPr>
      <w:r>
        <w:rPr>
          <w:rFonts w:ascii="宋体" w:hAnsi="宋体" w:eastAsia="宋体" w:cs="宋体"/>
          <w:sz w:val="21"/>
          <w:szCs w:val="21"/>
          <w:highlight w:val="none"/>
        </w:rPr>
        <w:t>5.3.2承包人的设计文件不需要政府有关部门审查或批准的，承包人应当严格按照经发</w:t>
      </w:r>
      <w:r>
        <w:rPr>
          <w:rFonts w:ascii="宋体" w:hAnsi="宋体" w:eastAsia="宋体" w:cs="宋体"/>
          <w:spacing w:val="13"/>
          <w:sz w:val="21"/>
          <w:szCs w:val="21"/>
          <w:highlight w:val="none"/>
        </w:rPr>
        <w:t xml:space="preserve"> </w:t>
      </w:r>
      <w:r>
        <w:rPr>
          <w:rFonts w:ascii="宋体" w:hAnsi="宋体" w:eastAsia="宋体" w:cs="宋体"/>
          <w:spacing w:val="-2"/>
          <w:sz w:val="21"/>
          <w:szCs w:val="21"/>
          <w:highlight w:val="none"/>
        </w:rPr>
        <w:t>包人审查同意的设计文件设计和实施工程。</w:t>
      </w:r>
    </w:p>
    <w:p w14:paraId="515B98B1">
      <w:pPr>
        <w:spacing w:before="229" w:line="316" w:lineRule="auto"/>
        <w:ind w:right="91"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5.3.3    </w:t>
      </w:r>
      <w:r>
        <w:rPr>
          <w:rFonts w:ascii="宋体" w:hAnsi="宋体" w:eastAsia="宋体" w:cs="宋体"/>
          <w:spacing w:val="-2"/>
          <w:sz w:val="21"/>
          <w:szCs w:val="21"/>
          <w:highlight w:val="none"/>
        </w:rPr>
        <w:t>设计文件需政府有关部门审查或批准的，发包人应在审查同意承包人</w:t>
      </w:r>
      <w:r>
        <w:rPr>
          <w:rFonts w:ascii="宋体" w:hAnsi="宋体" w:eastAsia="宋体" w:cs="宋体"/>
          <w:spacing w:val="-3"/>
          <w:sz w:val="21"/>
          <w:szCs w:val="21"/>
          <w:highlight w:val="none"/>
        </w:rPr>
        <w:t>的设计文件</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后7天内，向政府有关部门报送设计文件，承包人应予以协助。</w:t>
      </w:r>
    </w:p>
    <w:p w14:paraId="137BF68C">
      <w:pPr>
        <w:spacing w:before="232" w:line="440" w:lineRule="auto"/>
        <w:ind w:firstLine="420"/>
        <w:jc w:val="both"/>
        <w:rPr>
          <w:rFonts w:ascii="宋体" w:hAnsi="宋体" w:eastAsia="宋体" w:cs="宋体"/>
          <w:sz w:val="20"/>
          <w:szCs w:val="20"/>
          <w:highlight w:val="none"/>
        </w:rPr>
      </w:pPr>
      <w:r>
        <w:rPr>
          <w:rFonts w:ascii="宋体" w:hAnsi="宋体" w:eastAsia="宋体" w:cs="宋体"/>
          <w:spacing w:val="8"/>
          <w:sz w:val="20"/>
          <w:szCs w:val="20"/>
          <w:highlight w:val="none"/>
        </w:rPr>
        <w:t>对于政府有关部门的审查意见，不需要修改发包</w:t>
      </w:r>
      <w:r>
        <w:rPr>
          <w:rFonts w:ascii="宋体" w:hAnsi="宋体" w:eastAsia="宋体" w:cs="宋体"/>
          <w:spacing w:val="7"/>
          <w:sz w:val="20"/>
          <w:szCs w:val="20"/>
          <w:highlight w:val="none"/>
        </w:rPr>
        <w:t>人要求的，承包人需按该审查意见修改</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承包人的设计文件；需要修改发包人要求的，发包人应重新提出发包人</w:t>
      </w:r>
      <w:r>
        <w:rPr>
          <w:rFonts w:ascii="宋体" w:hAnsi="宋体" w:eastAsia="宋体" w:cs="宋体"/>
          <w:spacing w:val="7"/>
          <w:sz w:val="20"/>
          <w:szCs w:val="20"/>
          <w:highlight w:val="none"/>
        </w:rPr>
        <w:t>要求，承包人应根据</w:t>
      </w:r>
      <w:r>
        <w:rPr>
          <w:rFonts w:ascii="宋体" w:hAnsi="宋体" w:eastAsia="宋体" w:cs="宋体"/>
          <w:sz w:val="20"/>
          <w:szCs w:val="20"/>
          <w:highlight w:val="none"/>
        </w:rPr>
        <w:t xml:space="preserve">  </w:t>
      </w:r>
      <w:r>
        <w:rPr>
          <w:rFonts w:ascii="宋体" w:hAnsi="宋体" w:eastAsia="宋体" w:cs="宋体"/>
          <w:spacing w:val="14"/>
          <w:sz w:val="20"/>
          <w:szCs w:val="20"/>
          <w:highlight w:val="none"/>
        </w:rPr>
        <w:t>新提出的发包人要求修改承包人文件。上述情形还应适用第15条、第1.13款的有关约定。</w:t>
      </w:r>
    </w:p>
    <w:p w14:paraId="11EB2D37">
      <w:pPr>
        <w:spacing w:before="1" w:line="425" w:lineRule="auto"/>
        <w:ind w:right="90" w:firstLine="420"/>
        <w:rPr>
          <w:rFonts w:ascii="宋体" w:hAnsi="宋体" w:eastAsia="宋体" w:cs="宋体"/>
          <w:sz w:val="21"/>
          <w:szCs w:val="21"/>
          <w:highlight w:val="none"/>
        </w:rPr>
      </w:pPr>
      <w:r>
        <w:rPr>
          <w:rFonts w:ascii="宋体" w:hAnsi="宋体" w:eastAsia="宋体" w:cs="宋体"/>
          <w:spacing w:val="-2"/>
          <w:sz w:val="21"/>
          <w:szCs w:val="21"/>
          <w:highlight w:val="none"/>
        </w:rPr>
        <w:t>政府有关部门审查批准的，承包人应当严格按照批</w:t>
      </w:r>
      <w:r>
        <w:rPr>
          <w:rFonts w:ascii="宋体" w:hAnsi="宋体" w:eastAsia="宋体" w:cs="宋体"/>
          <w:spacing w:val="-3"/>
          <w:sz w:val="21"/>
          <w:szCs w:val="21"/>
          <w:highlight w:val="none"/>
        </w:rPr>
        <w:t>准后的承包人的设计文件设计和实施</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工程。</w:t>
      </w:r>
    </w:p>
    <w:p w14:paraId="4F022506">
      <w:pPr>
        <w:spacing w:line="425" w:lineRule="auto"/>
        <w:rPr>
          <w:rFonts w:ascii="宋体" w:hAnsi="宋体" w:eastAsia="宋体" w:cs="宋体"/>
          <w:sz w:val="21"/>
          <w:szCs w:val="21"/>
          <w:highlight w:val="none"/>
        </w:rPr>
        <w:sectPr>
          <w:footerReference r:id="rId185" w:type="default"/>
          <w:pgSz w:w="11910" w:h="16840"/>
          <w:pgMar w:top="400" w:right="1729" w:bottom="1217" w:left="1779" w:header="0" w:footer="1013" w:gutter="0"/>
          <w:cols w:space="720" w:num="1"/>
        </w:sectPr>
      </w:pPr>
    </w:p>
    <w:p w14:paraId="2C05C331">
      <w:pPr>
        <w:pStyle w:val="2"/>
        <w:spacing w:line="244" w:lineRule="auto"/>
        <w:rPr>
          <w:highlight w:val="none"/>
        </w:rPr>
      </w:pPr>
    </w:p>
    <w:p w14:paraId="4DFA116A">
      <w:pPr>
        <w:pStyle w:val="2"/>
        <w:spacing w:line="244" w:lineRule="auto"/>
        <w:rPr>
          <w:highlight w:val="none"/>
        </w:rPr>
      </w:pPr>
    </w:p>
    <w:p w14:paraId="77AB9762">
      <w:pPr>
        <w:pStyle w:val="2"/>
        <w:spacing w:line="244" w:lineRule="auto"/>
        <w:rPr>
          <w:highlight w:val="none"/>
        </w:rPr>
      </w:pPr>
    </w:p>
    <w:p w14:paraId="216D0BAF">
      <w:pPr>
        <w:pStyle w:val="2"/>
        <w:spacing w:line="244" w:lineRule="auto"/>
        <w:rPr>
          <w:highlight w:val="none"/>
        </w:rPr>
      </w:pPr>
    </w:p>
    <w:p w14:paraId="586D32AF">
      <w:pPr>
        <w:spacing w:before="78" w:line="223" w:lineRule="auto"/>
        <w:rPr>
          <w:rFonts w:ascii="黑体" w:hAnsi="黑体" w:eastAsia="黑体" w:cs="黑体"/>
          <w:sz w:val="24"/>
          <w:szCs w:val="24"/>
          <w:highlight w:val="none"/>
        </w:rPr>
      </w:pPr>
      <w:r>
        <w:rPr>
          <w:rFonts w:ascii="黑体" w:hAnsi="黑体" w:eastAsia="黑体" w:cs="黑体"/>
          <w:spacing w:val="14"/>
          <w:sz w:val="24"/>
          <w:szCs w:val="24"/>
          <w:highlight w:val="none"/>
        </w:rPr>
        <w:t>5</w:t>
      </w:r>
      <w:r>
        <w:rPr>
          <w:rFonts w:ascii="黑体" w:hAnsi="黑体" w:eastAsia="黑体" w:cs="黑体"/>
          <w:spacing w:val="-71"/>
          <w:sz w:val="24"/>
          <w:szCs w:val="24"/>
          <w:highlight w:val="none"/>
        </w:rPr>
        <w:t xml:space="preserve"> </w:t>
      </w:r>
      <w:r>
        <w:rPr>
          <w:rFonts w:ascii="黑体" w:hAnsi="黑体" w:eastAsia="黑体" w:cs="黑体"/>
          <w:spacing w:val="14"/>
          <w:sz w:val="24"/>
          <w:szCs w:val="24"/>
          <w:highlight w:val="none"/>
        </w:rPr>
        <w:t>.4培训</w:t>
      </w:r>
    </w:p>
    <w:p w14:paraId="130686AC">
      <w:pPr>
        <w:spacing w:before="119" w:line="396" w:lineRule="auto"/>
        <w:ind w:right="96" w:firstLine="410"/>
        <w:rPr>
          <w:rFonts w:ascii="宋体" w:hAnsi="宋体" w:eastAsia="宋体" w:cs="宋体"/>
          <w:sz w:val="22"/>
          <w:szCs w:val="22"/>
          <w:highlight w:val="none"/>
        </w:rPr>
      </w:pPr>
      <w:r>
        <w:rPr>
          <w:rFonts w:ascii="宋体" w:hAnsi="宋体" w:eastAsia="宋体" w:cs="宋体"/>
          <w:spacing w:val="-13"/>
          <w:sz w:val="22"/>
          <w:szCs w:val="22"/>
          <w:highlight w:val="none"/>
        </w:rPr>
        <w:t>承包人应按照发包人要求，对发包人的人员进行工程操作和维修方面的培训。合同约定</w:t>
      </w:r>
      <w:r>
        <w:rPr>
          <w:rFonts w:ascii="宋体" w:hAnsi="宋体" w:eastAsia="宋体" w:cs="宋体"/>
          <w:spacing w:val="16"/>
          <w:sz w:val="22"/>
          <w:szCs w:val="22"/>
          <w:highlight w:val="none"/>
        </w:rPr>
        <w:t xml:space="preserve"> </w:t>
      </w:r>
      <w:r>
        <w:rPr>
          <w:rFonts w:ascii="宋体" w:hAnsi="宋体" w:eastAsia="宋体" w:cs="宋体"/>
          <w:spacing w:val="-7"/>
          <w:sz w:val="22"/>
          <w:szCs w:val="22"/>
          <w:highlight w:val="none"/>
        </w:rPr>
        <w:t>接收之前进行培训的，应在第18.3款约定的竣工验收前</w:t>
      </w:r>
      <w:r>
        <w:rPr>
          <w:rFonts w:ascii="宋体" w:hAnsi="宋体" w:eastAsia="宋体" w:cs="宋体"/>
          <w:spacing w:val="-8"/>
          <w:sz w:val="22"/>
          <w:szCs w:val="22"/>
          <w:highlight w:val="none"/>
        </w:rPr>
        <w:t>完成培训。</w:t>
      </w:r>
    </w:p>
    <w:p w14:paraId="6331DD37">
      <w:pPr>
        <w:spacing w:before="83" w:line="221" w:lineRule="auto"/>
        <w:rPr>
          <w:rFonts w:ascii="黑体" w:hAnsi="黑体" w:eastAsia="黑体" w:cs="黑体"/>
          <w:sz w:val="24"/>
          <w:szCs w:val="24"/>
          <w:highlight w:val="none"/>
        </w:rPr>
      </w:pPr>
      <w:r>
        <w:rPr>
          <w:rFonts w:ascii="黑体" w:hAnsi="黑体" w:eastAsia="黑体" w:cs="黑体"/>
          <w:spacing w:val="14"/>
          <w:sz w:val="24"/>
          <w:szCs w:val="24"/>
          <w:highlight w:val="none"/>
        </w:rPr>
        <w:t>5.5竣工文件</w:t>
      </w:r>
    </w:p>
    <w:p w14:paraId="1C5DB841">
      <w:pPr>
        <w:spacing w:before="123" w:line="400" w:lineRule="auto"/>
        <w:ind w:firstLine="410"/>
        <w:jc w:val="both"/>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 xml:space="preserve">5.5.1   </w:t>
      </w:r>
      <w:r>
        <w:rPr>
          <w:rFonts w:ascii="宋体" w:hAnsi="宋体" w:eastAsia="宋体" w:cs="宋体"/>
          <w:spacing w:val="-10"/>
          <w:sz w:val="22"/>
          <w:szCs w:val="22"/>
          <w:highlight w:val="none"/>
        </w:rPr>
        <w:t>承包人应编制并及时更新反映工程实施结果的竣工记录，如实记载竣工工程的确</w:t>
      </w:r>
      <w:r>
        <w:rPr>
          <w:rFonts w:ascii="宋体" w:hAnsi="宋体" w:eastAsia="宋体" w:cs="宋体"/>
          <w:spacing w:val="5"/>
          <w:sz w:val="22"/>
          <w:szCs w:val="22"/>
          <w:highlight w:val="none"/>
        </w:rPr>
        <w:t xml:space="preserve">  </w:t>
      </w:r>
      <w:r>
        <w:rPr>
          <w:rFonts w:ascii="宋体" w:hAnsi="宋体" w:eastAsia="宋体" w:cs="宋体"/>
          <w:spacing w:val="-15"/>
          <w:sz w:val="22"/>
          <w:szCs w:val="22"/>
          <w:highlight w:val="none"/>
        </w:rPr>
        <w:t>切位置、尺寸和已实施工作的详细说明。竣工记录应保存</w:t>
      </w:r>
      <w:r>
        <w:rPr>
          <w:rFonts w:ascii="宋体" w:hAnsi="宋体" w:eastAsia="宋体" w:cs="宋体"/>
          <w:spacing w:val="-16"/>
          <w:sz w:val="22"/>
          <w:szCs w:val="22"/>
          <w:highlight w:val="none"/>
        </w:rPr>
        <w:t>在施工场地，并在竣工试验开始前，</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按照专用合同条款约定的份数提交给监理人。</w:t>
      </w:r>
    </w:p>
    <w:p w14:paraId="6B6D7A24">
      <w:pPr>
        <w:spacing w:before="10" w:line="410" w:lineRule="auto"/>
        <w:ind w:right="60" w:firstLine="410"/>
        <w:jc w:val="both"/>
        <w:rPr>
          <w:rFonts w:ascii="宋体" w:hAnsi="宋体" w:eastAsia="宋体" w:cs="宋体"/>
          <w:sz w:val="20"/>
          <w:szCs w:val="20"/>
          <w:highlight w:val="none"/>
        </w:rPr>
      </w:pPr>
      <w:r>
        <w:rPr>
          <w:rFonts w:ascii="宋体" w:hAnsi="宋体" w:eastAsia="宋体" w:cs="宋体"/>
          <w:spacing w:val="-8"/>
          <w:sz w:val="22"/>
          <w:szCs w:val="22"/>
          <w:highlight w:val="none"/>
        </w:rPr>
        <w:t>5.5.2在颁发工程接收证书之前，承包人应按照发包人要求</w:t>
      </w:r>
      <w:r>
        <w:rPr>
          <w:rFonts w:ascii="宋体" w:hAnsi="宋体" w:eastAsia="宋体" w:cs="宋体"/>
          <w:spacing w:val="-9"/>
          <w:sz w:val="22"/>
          <w:szCs w:val="22"/>
          <w:highlight w:val="none"/>
        </w:rPr>
        <w:t>的份数和形式向监理人提交</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相应竣工图纸，并取得监理人对尺寸、参照系统及其他有</w:t>
      </w:r>
      <w:r>
        <w:rPr>
          <w:rFonts w:ascii="宋体" w:hAnsi="宋体" w:eastAsia="宋体" w:cs="宋体"/>
          <w:spacing w:val="-8"/>
          <w:sz w:val="22"/>
          <w:szCs w:val="22"/>
          <w:highlight w:val="none"/>
        </w:rPr>
        <w:t>关细节的认可。监理人应按照第</w:t>
      </w:r>
      <w:r>
        <w:rPr>
          <w:rFonts w:ascii="宋体" w:hAnsi="宋体" w:eastAsia="宋体" w:cs="宋体"/>
          <w:sz w:val="22"/>
          <w:szCs w:val="22"/>
          <w:highlight w:val="none"/>
        </w:rPr>
        <w:t xml:space="preserve"> </w:t>
      </w:r>
      <w:r>
        <w:rPr>
          <w:rFonts w:ascii="宋体" w:hAnsi="宋体" w:eastAsia="宋体" w:cs="宋体"/>
          <w:spacing w:val="10"/>
          <w:sz w:val="20"/>
          <w:szCs w:val="20"/>
          <w:highlight w:val="none"/>
        </w:rPr>
        <w:t>5.3款的约定进行审查。</w:t>
      </w:r>
    </w:p>
    <w:p w14:paraId="27A708C4">
      <w:pPr>
        <w:spacing w:before="19" w:line="415" w:lineRule="auto"/>
        <w:ind w:right="60" w:firstLine="410"/>
        <w:rPr>
          <w:rFonts w:ascii="宋体" w:hAnsi="宋体" w:eastAsia="宋体" w:cs="宋体"/>
          <w:sz w:val="21"/>
          <w:szCs w:val="21"/>
          <w:highlight w:val="none"/>
        </w:rPr>
      </w:pPr>
      <w:r>
        <w:rPr>
          <w:rFonts w:ascii="Times New Roman" w:hAnsi="Times New Roman" w:eastAsia="Times New Roman" w:cs="Times New Roman"/>
          <w:spacing w:val="4"/>
          <w:sz w:val="21"/>
          <w:szCs w:val="21"/>
          <w:highlight w:val="none"/>
        </w:rPr>
        <w:t>5.5.3</w:t>
      </w:r>
      <w:r>
        <w:rPr>
          <w:rFonts w:ascii="Times New Roman" w:hAnsi="Times New Roman" w:eastAsia="Times New Roman" w:cs="Times New Roman"/>
          <w:sz w:val="21"/>
          <w:szCs w:val="21"/>
          <w:highlight w:val="none"/>
        </w:rPr>
        <w:t xml:space="preserve">    </w:t>
      </w:r>
      <w:r>
        <w:rPr>
          <w:rFonts w:ascii="宋体" w:hAnsi="宋体" w:eastAsia="宋体" w:cs="宋体"/>
          <w:spacing w:val="4"/>
          <w:sz w:val="21"/>
          <w:szCs w:val="21"/>
          <w:highlight w:val="none"/>
        </w:rPr>
        <w:t>在监理人收到上述文件前，不应</w:t>
      </w:r>
      <w:r>
        <w:rPr>
          <w:rFonts w:ascii="宋体" w:hAnsi="宋体" w:eastAsia="宋体" w:cs="宋体"/>
          <w:spacing w:val="3"/>
          <w:sz w:val="21"/>
          <w:szCs w:val="21"/>
          <w:highlight w:val="none"/>
        </w:rPr>
        <w:t>认为工程已根据第18.3款和第18.5款约定完成</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验收。</w:t>
      </w:r>
    </w:p>
    <w:p w14:paraId="51B2124A">
      <w:pPr>
        <w:spacing w:before="75" w:line="222" w:lineRule="auto"/>
        <w:rPr>
          <w:rFonts w:ascii="黑体" w:hAnsi="黑体" w:eastAsia="黑体" w:cs="黑体"/>
          <w:sz w:val="24"/>
          <w:szCs w:val="24"/>
          <w:highlight w:val="none"/>
        </w:rPr>
      </w:pPr>
      <w:r>
        <w:rPr>
          <w:rFonts w:ascii="黑体" w:hAnsi="黑体" w:eastAsia="黑体" w:cs="黑体"/>
          <w:spacing w:val="11"/>
          <w:sz w:val="24"/>
          <w:szCs w:val="24"/>
          <w:highlight w:val="none"/>
        </w:rPr>
        <w:t>5.6操作和维修手册</w:t>
      </w:r>
    </w:p>
    <w:p w14:paraId="58BBD7E2">
      <w:pPr>
        <w:spacing w:before="142" w:line="331" w:lineRule="auto"/>
        <w:ind w:right="61" w:firstLine="41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5.6.1    </w:t>
      </w:r>
      <w:r>
        <w:rPr>
          <w:rFonts w:ascii="宋体" w:hAnsi="宋体" w:eastAsia="宋体" w:cs="宋体"/>
          <w:spacing w:val="7"/>
          <w:sz w:val="20"/>
          <w:szCs w:val="20"/>
          <w:highlight w:val="none"/>
        </w:rPr>
        <w:t>在竣工试验开始前，承包人应向监理人提交暂行的操作和维修手册，该手册应足</w:t>
      </w:r>
      <w:r>
        <w:rPr>
          <w:rFonts w:ascii="宋体" w:hAnsi="宋体" w:eastAsia="宋体" w:cs="宋体"/>
          <w:spacing w:val="9"/>
          <w:sz w:val="20"/>
          <w:szCs w:val="20"/>
          <w:highlight w:val="none"/>
        </w:rPr>
        <w:t xml:space="preserve"> </w:t>
      </w:r>
      <w:r>
        <w:rPr>
          <w:rFonts w:ascii="宋体" w:hAnsi="宋体" w:eastAsia="宋体" w:cs="宋体"/>
          <w:spacing w:val="10"/>
          <w:sz w:val="20"/>
          <w:szCs w:val="20"/>
          <w:highlight w:val="none"/>
        </w:rPr>
        <w:t>够详细，以便发包人能够对生产设备进行操作、维修、拆卸、</w:t>
      </w:r>
      <w:r>
        <w:rPr>
          <w:rFonts w:ascii="宋体" w:hAnsi="宋体" w:eastAsia="宋体" w:cs="宋体"/>
          <w:spacing w:val="9"/>
          <w:sz w:val="20"/>
          <w:szCs w:val="20"/>
          <w:highlight w:val="none"/>
        </w:rPr>
        <w:t>重新安装、调整及修理。</w:t>
      </w:r>
    </w:p>
    <w:p w14:paraId="4D141D61">
      <w:pPr>
        <w:spacing w:before="223" w:line="336" w:lineRule="auto"/>
        <w:ind w:right="50" w:firstLine="41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5.6.2</w:t>
      </w:r>
      <w:r>
        <w:rPr>
          <w:rFonts w:ascii="Times New Roman" w:hAnsi="Times New Roman" w:eastAsia="Times New Roman" w:cs="Times New Roman"/>
          <w:spacing w:val="17"/>
          <w:w w:val="101"/>
          <w:sz w:val="22"/>
          <w:szCs w:val="22"/>
          <w:highlight w:val="none"/>
        </w:rPr>
        <w:t xml:space="preserve">   </w:t>
      </w:r>
      <w:r>
        <w:rPr>
          <w:rFonts w:ascii="宋体" w:hAnsi="宋体" w:eastAsia="宋体" w:cs="宋体"/>
          <w:spacing w:val="-11"/>
          <w:sz w:val="22"/>
          <w:szCs w:val="22"/>
          <w:highlight w:val="none"/>
        </w:rPr>
        <w:t>承包人应提交足够详细的最终操作和维修手册，以及在发包人要求中明确的相关</w:t>
      </w:r>
      <w:r>
        <w:rPr>
          <w:rFonts w:ascii="宋体" w:hAnsi="宋体" w:eastAsia="宋体" w:cs="宋体"/>
          <w:spacing w:val="1"/>
          <w:sz w:val="22"/>
          <w:szCs w:val="22"/>
          <w:highlight w:val="none"/>
        </w:rPr>
        <w:t xml:space="preserve"> </w:t>
      </w:r>
      <w:r>
        <w:rPr>
          <w:rFonts w:ascii="宋体" w:hAnsi="宋体" w:eastAsia="宋体" w:cs="宋体"/>
          <w:spacing w:val="-6"/>
          <w:sz w:val="22"/>
          <w:szCs w:val="22"/>
          <w:highlight w:val="none"/>
        </w:rPr>
        <w:t>操作和维修手册。在监理人收到上述文件前，不应认为工程已根据第18.3款和第18.5款约</w:t>
      </w:r>
      <w:r>
        <w:rPr>
          <w:rFonts w:ascii="宋体" w:hAnsi="宋体" w:eastAsia="宋体" w:cs="宋体"/>
          <w:spacing w:val="16"/>
          <w:sz w:val="22"/>
          <w:szCs w:val="22"/>
          <w:highlight w:val="none"/>
        </w:rPr>
        <w:t xml:space="preserve"> </w:t>
      </w:r>
      <w:r>
        <w:rPr>
          <w:rFonts w:ascii="宋体" w:hAnsi="宋体" w:eastAsia="宋体" w:cs="宋体"/>
          <w:spacing w:val="-13"/>
          <w:sz w:val="22"/>
          <w:szCs w:val="22"/>
          <w:highlight w:val="none"/>
        </w:rPr>
        <w:t>定完成验收。</w:t>
      </w:r>
    </w:p>
    <w:p w14:paraId="77C6EF65">
      <w:pPr>
        <w:spacing w:before="298" w:line="222" w:lineRule="auto"/>
        <w:rPr>
          <w:rFonts w:ascii="黑体" w:hAnsi="黑体" w:eastAsia="黑体" w:cs="黑体"/>
          <w:sz w:val="24"/>
          <w:szCs w:val="24"/>
          <w:highlight w:val="none"/>
        </w:rPr>
      </w:pPr>
      <w:r>
        <w:rPr>
          <w:rFonts w:ascii="黑体" w:hAnsi="黑体" w:eastAsia="黑体" w:cs="黑体"/>
          <w:spacing w:val="12"/>
          <w:sz w:val="24"/>
          <w:szCs w:val="24"/>
          <w:highlight w:val="none"/>
        </w:rPr>
        <w:t>5.7承包人文件错误</w:t>
      </w:r>
    </w:p>
    <w:p w14:paraId="60A19D91">
      <w:pPr>
        <w:spacing w:before="111" w:line="404" w:lineRule="auto"/>
        <w:ind w:right="5" w:firstLine="410"/>
        <w:jc w:val="both"/>
        <w:rPr>
          <w:rFonts w:ascii="宋体" w:hAnsi="宋体" w:eastAsia="宋体" w:cs="宋体"/>
          <w:sz w:val="21"/>
          <w:szCs w:val="21"/>
          <w:highlight w:val="none"/>
        </w:rPr>
      </w:pPr>
      <w:r>
        <w:rPr>
          <w:rFonts w:ascii="宋体" w:hAnsi="宋体" w:eastAsia="宋体" w:cs="宋体"/>
          <w:spacing w:val="-1"/>
          <w:sz w:val="21"/>
          <w:szCs w:val="21"/>
          <w:highlight w:val="none"/>
        </w:rPr>
        <w:t>承包人文件存在错误、遗漏、含混、矛盾、不充分之处或其他缺陷，无论承</w:t>
      </w:r>
      <w:r>
        <w:rPr>
          <w:rFonts w:ascii="宋体" w:hAnsi="宋体" w:eastAsia="宋体" w:cs="宋体"/>
          <w:spacing w:val="-2"/>
          <w:sz w:val="21"/>
          <w:szCs w:val="21"/>
          <w:highlight w:val="none"/>
        </w:rPr>
        <w:t>包人是否根</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据本款获得了批准，承包人均应自费对前述问</w:t>
      </w:r>
      <w:r>
        <w:rPr>
          <w:rFonts w:ascii="宋体" w:hAnsi="宋体" w:eastAsia="宋体" w:cs="宋体"/>
          <w:spacing w:val="2"/>
          <w:sz w:val="21"/>
          <w:szCs w:val="21"/>
          <w:highlight w:val="none"/>
        </w:rPr>
        <w:t>题带来的缺陷和工程问题进行改正。第1.13</w:t>
      </w:r>
      <w:r>
        <w:rPr>
          <w:rFonts w:ascii="宋体" w:hAnsi="宋体" w:eastAsia="宋体" w:cs="宋体"/>
          <w:sz w:val="21"/>
          <w:szCs w:val="21"/>
          <w:highlight w:val="none"/>
        </w:rPr>
        <w:t xml:space="preserve">  款发包人要求的错误导致承包人文件错误、遗漏、含</w:t>
      </w:r>
      <w:r>
        <w:rPr>
          <w:rFonts w:ascii="宋体" w:hAnsi="宋体" w:eastAsia="宋体" w:cs="宋体"/>
          <w:spacing w:val="-1"/>
          <w:sz w:val="21"/>
          <w:szCs w:val="21"/>
          <w:highlight w:val="none"/>
        </w:rPr>
        <w:t>混、矛盾、不充分或其他缺陷的除外。</w:t>
      </w:r>
    </w:p>
    <w:p w14:paraId="67F61DD9">
      <w:pPr>
        <w:pStyle w:val="2"/>
        <w:spacing w:line="327" w:lineRule="exact"/>
        <w:outlineLvl w:val="1"/>
        <w:rPr>
          <w:rFonts w:ascii="黑体" w:hAnsi="黑体" w:eastAsia="黑体" w:cs="黑体"/>
          <w:sz w:val="24"/>
          <w:szCs w:val="24"/>
          <w:highlight w:val="none"/>
        </w:rPr>
      </w:pPr>
      <w:bookmarkStart w:id="174" w:name="bookmark101"/>
      <w:bookmarkEnd w:id="174"/>
      <w:r>
        <w:rPr>
          <w:spacing w:val="1"/>
          <w:position w:val="1"/>
          <w:sz w:val="24"/>
          <w:szCs w:val="24"/>
          <w:highlight w:val="none"/>
        </w:rPr>
        <w:t>6.</w:t>
      </w:r>
      <w:r>
        <w:rPr>
          <w:spacing w:val="22"/>
          <w:position w:val="1"/>
          <w:sz w:val="24"/>
          <w:szCs w:val="24"/>
          <w:highlight w:val="none"/>
        </w:rPr>
        <w:t xml:space="preserve"> </w:t>
      </w:r>
      <w:r>
        <w:rPr>
          <w:rFonts w:ascii="黑体" w:hAnsi="黑体" w:eastAsia="黑体" w:cs="黑体"/>
          <w:spacing w:val="1"/>
          <w:position w:val="1"/>
          <w:sz w:val="24"/>
          <w:szCs w:val="24"/>
          <w:highlight w:val="none"/>
        </w:rPr>
        <w:t>材料和工程设备</w:t>
      </w:r>
    </w:p>
    <w:p w14:paraId="11A278F2">
      <w:pPr>
        <w:spacing w:before="215" w:line="222" w:lineRule="auto"/>
        <w:rPr>
          <w:rFonts w:ascii="黑体" w:hAnsi="黑体" w:eastAsia="黑体" w:cs="黑体"/>
          <w:sz w:val="24"/>
          <w:szCs w:val="24"/>
          <w:highlight w:val="none"/>
        </w:rPr>
      </w:pPr>
      <w:r>
        <w:rPr>
          <w:rFonts w:ascii="黑体" w:hAnsi="黑体" w:eastAsia="黑体" w:cs="黑体"/>
          <w:spacing w:val="7"/>
          <w:sz w:val="24"/>
          <w:szCs w:val="24"/>
          <w:highlight w:val="none"/>
        </w:rPr>
        <w:t>6.1承包人提供的材料和工程设备</w:t>
      </w:r>
    </w:p>
    <w:p w14:paraId="4AC42212">
      <w:pPr>
        <w:spacing w:before="81" w:line="329" w:lineRule="auto"/>
        <w:ind w:right="101" w:firstLine="41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6.1.1</w:t>
      </w:r>
      <w:r>
        <w:rPr>
          <w:rFonts w:ascii="Times New Roman" w:hAnsi="Times New Roman" w:eastAsia="Times New Roman" w:cs="Times New Roman"/>
          <w:spacing w:val="17"/>
          <w:sz w:val="21"/>
          <w:szCs w:val="21"/>
          <w:highlight w:val="none"/>
        </w:rPr>
        <w:t xml:space="preserve">   </w:t>
      </w:r>
      <w:r>
        <w:rPr>
          <w:rFonts w:ascii="宋体" w:hAnsi="宋体" w:eastAsia="宋体" w:cs="宋体"/>
          <w:spacing w:val="3"/>
          <w:sz w:val="21"/>
          <w:szCs w:val="21"/>
          <w:highlight w:val="none"/>
        </w:rPr>
        <w:t>除专用合同条款另有约定外，承包人提供的材料和工程设</w:t>
      </w:r>
      <w:r>
        <w:rPr>
          <w:rFonts w:ascii="宋体" w:hAnsi="宋体" w:eastAsia="宋体" w:cs="宋体"/>
          <w:spacing w:val="2"/>
          <w:sz w:val="21"/>
          <w:szCs w:val="21"/>
          <w:highlight w:val="none"/>
        </w:rPr>
        <w:t>备均由承包人负责采</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购、运输和保管。承包人应对其采购的材料和工程设备负责。</w:t>
      </w:r>
    </w:p>
    <w:p w14:paraId="3D1FF5AC">
      <w:pPr>
        <w:spacing w:before="221" w:line="342" w:lineRule="auto"/>
        <w:ind w:right="60" w:firstLine="41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6.1.2</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10"/>
          <w:sz w:val="22"/>
          <w:szCs w:val="22"/>
          <w:highlight w:val="none"/>
        </w:rPr>
        <w:t>承包人应按专用合同条款的约定</w:t>
      </w:r>
      <w:r>
        <w:rPr>
          <w:rFonts w:ascii="宋体" w:hAnsi="宋体" w:eastAsia="宋体" w:cs="宋体"/>
          <w:spacing w:val="-11"/>
          <w:sz w:val="22"/>
          <w:szCs w:val="22"/>
          <w:highlight w:val="none"/>
        </w:rPr>
        <w:t>，将各项材料和工程设备的供货人及品种、技术</w:t>
      </w:r>
      <w:r>
        <w:rPr>
          <w:rFonts w:ascii="宋体" w:hAnsi="宋体" w:eastAsia="宋体" w:cs="宋体"/>
          <w:spacing w:val="1"/>
          <w:sz w:val="22"/>
          <w:szCs w:val="22"/>
          <w:highlight w:val="none"/>
        </w:rPr>
        <w:t xml:space="preserve"> </w:t>
      </w:r>
      <w:r>
        <w:rPr>
          <w:rFonts w:ascii="宋体" w:hAnsi="宋体" w:eastAsia="宋体" w:cs="宋体"/>
          <w:spacing w:val="-12"/>
          <w:sz w:val="22"/>
          <w:szCs w:val="22"/>
          <w:highlight w:val="none"/>
        </w:rPr>
        <w:t>要求、规格、数量和供货时间等报送监理人批准。承包人应向监理人提交其负责提供的材料</w:t>
      </w:r>
      <w:r>
        <w:rPr>
          <w:rFonts w:ascii="宋体" w:hAnsi="宋体" w:eastAsia="宋体" w:cs="宋体"/>
          <w:spacing w:val="6"/>
          <w:sz w:val="22"/>
          <w:szCs w:val="22"/>
          <w:highlight w:val="none"/>
        </w:rPr>
        <w:t xml:space="preserve"> </w:t>
      </w:r>
      <w:r>
        <w:rPr>
          <w:rFonts w:ascii="宋体" w:hAnsi="宋体" w:eastAsia="宋体" w:cs="宋体"/>
          <w:spacing w:val="-11"/>
          <w:sz w:val="22"/>
          <w:szCs w:val="22"/>
          <w:highlight w:val="none"/>
        </w:rPr>
        <w:t>和工程设备的质量证明文件，并满足合同约定的质量标准。</w:t>
      </w:r>
    </w:p>
    <w:p w14:paraId="194066E4">
      <w:pPr>
        <w:spacing w:line="342" w:lineRule="auto"/>
        <w:rPr>
          <w:rFonts w:ascii="宋体" w:hAnsi="宋体" w:eastAsia="宋体" w:cs="宋体"/>
          <w:sz w:val="22"/>
          <w:szCs w:val="22"/>
          <w:highlight w:val="none"/>
        </w:rPr>
        <w:sectPr>
          <w:footerReference r:id="rId186" w:type="default"/>
          <w:pgSz w:w="11910" w:h="16840"/>
          <w:pgMar w:top="400" w:right="1739" w:bottom="1217" w:left="1779" w:header="0" w:footer="1013" w:gutter="0"/>
          <w:cols w:space="720" w:num="1"/>
        </w:sectPr>
      </w:pPr>
    </w:p>
    <w:p w14:paraId="3BC887A3">
      <w:pPr>
        <w:pStyle w:val="2"/>
        <w:spacing w:line="272" w:lineRule="auto"/>
        <w:rPr>
          <w:highlight w:val="none"/>
        </w:rPr>
      </w:pPr>
    </w:p>
    <w:p w14:paraId="59C6CF11">
      <w:pPr>
        <w:pStyle w:val="2"/>
        <w:spacing w:line="272" w:lineRule="auto"/>
        <w:rPr>
          <w:highlight w:val="none"/>
        </w:rPr>
      </w:pPr>
    </w:p>
    <w:p w14:paraId="23814E85">
      <w:pPr>
        <w:pStyle w:val="2"/>
        <w:spacing w:line="273" w:lineRule="auto"/>
        <w:rPr>
          <w:highlight w:val="none"/>
        </w:rPr>
      </w:pPr>
    </w:p>
    <w:p w14:paraId="3194110C">
      <w:pPr>
        <w:pStyle w:val="2"/>
        <w:spacing w:line="273" w:lineRule="auto"/>
        <w:rPr>
          <w:highlight w:val="none"/>
        </w:rPr>
      </w:pPr>
    </w:p>
    <w:p w14:paraId="047CB9B6">
      <w:pPr>
        <w:spacing w:before="71" w:line="396" w:lineRule="auto"/>
        <w:ind w:right="59" w:firstLine="430"/>
        <w:jc w:val="both"/>
        <w:rPr>
          <w:rFonts w:ascii="宋体" w:hAnsi="宋体" w:eastAsia="宋体" w:cs="宋体"/>
          <w:sz w:val="22"/>
          <w:szCs w:val="22"/>
          <w:highlight w:val="none"/>
        </w:rPr>
      </w:pPr>
      <w:bookmarkStart w:id="175" w:name="bookmark273"/>
      <w:bookmarkEnd w:id="175"/>
      <w:r>
        <w:rPr>
          <w:rFonts w:ascii="Times New Roman" w:hAnsi="Times New Roman" w:eastAsia="Times New Roman" w:cs="Times New Roman"/>
          <w:spacing w:val="-9"/>
          <w:sz w:val="22"/>
          <w:szCs w:val="22"/>
          <w:highlight w:val="none"/>
        </w:rPr>
        <w:t xml:space="preserve">6.1.3   </w:t>
      </w:r>
      <w:r>
        <w:rPr>
          <w:rFonts w:ascii="宋体" w:hAnsi="宋体" w:eastAsia="宋体" w:cs="宋体"/>
          <w:spacing w:val="-9"/>
          <w:sz w:val="22"/>
          <w:szCs w:val="22"/>
          <w:highlight w:val="none"/>
        </w:rPr>
        <w:t>对承包人提供的材料和工程设备，承包人应会同监理人进行检验和交货验收，查</w:t>
      </w:r>
      <w:r>
        <w:rPr>
          <w:rFonts w:ascii="宋体" w:hAnsi="宋体" w:eastAsia="宋体" w:cs="宋体"/>
          <w:spacing w:val="1"/>
          <w:sz w:val="22"/>
          <w:szCs w:val="22"/>
          <w:highlight w:val="none"/>
        </w:rPr>
        <w:t xml:space="preserve"> </w:t>
      </w:r>
      <w:r>
        <w:rPr>
          <w:rFonts w:ascii="宋体" w:hAnsi="宋体" w:eastAsia="宋体" w:cs="宋体"/>
          <w:spacing w:val="-12"/>
          <w:sz w:val="22"/>
          <w:szCs w:val="22"/>
          <w:highlight w:val="none"/>
        </w:rPr>
        <w:t>验材料合格证明和产品合格证书，并按合同约定和监理人指示，进行材料的抽样检验和工程</w:t>
      </w:r>
      <w:r>
        <w:rPr>
          <w:rFonts w:ascii="宋体" w:hAnsi="宋体" w:eastAsia="宋体" w:cs="宋体"/>
          <w:spacing w:val="6"/>
          <w:sz w:val="22"/>
          <w:szCs w:val="22"/>
          <w:highlight w:val="none"/>
        </w:rPr>
        <w:t xml:space="preserve"> </w:t>
      </w:r>
      <w:r>
        <w:rPr>
          <w:rFonts w:ascii="宋体" w:hAnsi="宋体" w:eastAsia="宋体" w:cs="宋体"/>
          <w:spacing w:val="-10"/>
          <w:sz w:val="22"/>
          <w:szCs w:val="22"/>
          <w:highlight w:val="none"/>
        </w:rPr>
        <w:t>设备的检验测试，检验和测试结果应提交监理人，所需费用由承包人承担。</w:t>
      </w:r>
    </w:p>
    <w:p w14:paraId="1F1BBF86">
      <w:pPr>
        <w:pStyle w:val="2"/>
        <w:spacing w:before="59" w:line="212" w:lineRule="auto"/>
        <w:rPr>
          <w:sz w:val="24"/>
          <w:szCs w:val="24"/>
          <w:highlight w:val="none"/>
        </w:rPr>
      </w:pPr>
      <w:r>
        <w:rPr>
          <w:rFonts w:ascii="黑体" w:hAnsi="黑体" w:eastAsia="黑体" w:cs="黑体"/>
          <w:spacing w:val="3"/>
          <w:sz w:val="24"/>
          <w:szCs w:val="24"/>
          <w:highlight w:val="none"/>
        </w:rPr>
        <w:t>6.2发包人提供的材料和工程设备</w:t>
      </w:r>
      <w:r>
        <w:rPr>
          <w:rFonts w:ascii="黑体" w:hAnsi="黑体" w:eastAsia="黑体" w:cs="黑体"/>
          <w:spacing w:val="-13"/>
          <w:sz w:val="24"/>
          <w:szCs w:val="24"/>
          <w:highlight w:val="none"/>
        </w:rPr>
        <w:t xml:space="preserve"> </w:t>
      </w:r>
      <w:r>
        <w:rPr>
          <w:rFonts w:ascii="黑体" w:hAnsi="黑体" w:eastAsia="黑体" w:cs="黑体"/>
          <w:spacing w:val="3"/>
          <w:sz w:val="24"/>
          <w:szCs w:val="24"/>
          <w:highlight w:val="none"/>
        </w:rPr>
        <w:t>(</w:t>
      </w:r>
      <w:r>
        <w:rPr>
          <w:rFonts w:ascii="黑体" w:hAnsi="黑体" w:eastAsia="黑体" w:cs="黑体"/>
          <w:spacing w:val="-66"/>
          <w:sz w:val="24"/>
          <w:szCs w:val="24"/>
          <w:highlight w:val="none"/>
        </w:rPr>
        <w:t xml:space="preserve"> </w:t>
      </w:r>
      <w:r>
        <w:rPr>
          <w:spacing w:val="3"/>
          <w:sz w:val="24"/>
          <w:szCs w:val="24"/>
          <w:highlight w:val="none"/>
        </w:rPr>
        <w:t>A)</w:t>
      </w:r>
    </w:p>
    <w:p w14:paraId="01BDB264">
      <w:pPr>
        <w:spacing w:before="138" w:line="310" w:lineRule="auto"/>
        <w:ind w:right="73" w:firstLine="4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6.2.1   </w:t>
      </w:r>
      <w:r>
        <w:rPr>
          <w:rFonts w:ascii="宋体" w:hAnsi="宋体" w:eastAsia="宋体" w:cs="宋体"/>
          <w:spacing w:val="-9"/>
          <w:sz w:val="22"/>
          <w:szCs w:val="22"/>
          <w:highlight w:val="none"/>
        </w:rPr>
        <w:t>专用合同条款约定发包人提供部分材料和工程设备</w:t>
      </w:r>
      <w:r>
        <w:rPr>
          <w:rFonts w:ascii="宋体" w:hAnsi="宋体" w:eastAsia="宋体" w:cs="宋体"/>
          <w:spacing w:val="-10"/>
          <w:sz w:val="22"/>
          <w:szCs w:val="22"/>
          <w:highlight w:val="none"/>
        </w:rPr>
        <w:t>的，应写明材料和工程设备的</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名称、规格、数量、价格、交货方式、交货地点等。</w:t>
      </w:r>
    </w:p>
    <w:p w14:paraId="5A7D52F9">
      <w:pPr>
        <w:spacing w:before="211" w:line="329" w:lineRule="auto"/>
        <w:ind w:right="4" w:firstLine="430"/>
        <w:rPr>
          <w:rFonts w:ascii="宋体" w:hAnsi="宋体" w:eastAsia="宋体" w:cs="宋体"/>
          <w:sz w:val="21"/>
          <w:szCs w:val="21"/>
          <w:highlight w:val="none"/>
        </w:rPr>
      </w:pPr>
      <w:r>
        <w:rPr>
          <w:rFonts w:ascii="宋体" w:hAnsi="宋体" w:eastAsia="宋体" w:cs="宋体"/>
          <w:spacing w:val="3"/>
          <w:sz w:val="21"/>
          <w:szCs w:val="21"/>
          <w:highlight w:val="none"/>
        </w:rPr>
        <w:t>6.2.2承包人应根据合同进度计划的安</w:t>
      </w:r>
      <w:r>
        <w:rPr>
          <w:rFonts w:ascii="宋体" w:hAnsi="宋体" w:eastAsia="宋体" w:cs="宋体"/>
          <w:spacing w:val="2"/>
          <w:sz w:val="21"/>
          <w:szCs w:val="21"/>
          <w:highlight w:val="none"/>
        </w:rPr>
        <w:t>排，向监理人报送要求发包人交货的日期计划。</w:t>
      </w:r>
      <w:r>
        <w:rPr>
          <w:rFonts w:ascii="宋体" w:hAnsi="宋体" w:eastAsia="宋体" w:cs="宋体"/>
          <w:sz w:val="21"/>
          <w:szCs w:val="21"/>
          <w:highlight w:val="none"/>
        </w:rPr>
        <w:t xml:space="preserve"> 发包人应按照监理人与合同双方当事人商定的交货日期，向承包人提交材料</w:t>
      </w:r>
      <w:r>
        <w:rPr>
          <w:rFonts w:ascii="宋体" w:hAnsi="宋体" w:eastAsia="宋体" w:cs="宋体"/>
          <w:spacing w:val="-1"/>
          <w:sz w:val="21"/>
          <w:szCs w:val="21"/>
          <w:highlight w:val="none"/>
        </w:rPr>
        <w:t>和工程设备。</w:t>
      </w:r>
    </w:p>
    <w:p w14:paraId="486EB574">
      <w:pPr>
        <w:spacing w:before="232" w:line="336" w:lineRule="auto"/>
        <w:ind w:right="72" w:firstLine="430"/>
        <w:rPr>
          <w:rFonts w:ascii="宋体" w:hAnsi="宋体" w:eastAsia="宋体" w:cs="宋体"/>
          <w:sz w:val="22"/>
          <w:szCs w:val="22"/>
          <w:highlight w:val="none"/>
        </w:rPr>
      </w:pPr>
      <w:r>
        <w:rPr>
          <w:rFonts w:ascii="Times New Roman" w:hAnsi="Times New Roman" w:eastAsia="Times New Roman" w:cs="Times New Roman"/>
          <w:spacing w:val="-2"/>
          <w:sz w:val="22"/>
          <w:szCs w:val="22"/>
          <w:highlight w:val="none"/>
        </w:rPr>
        <w:t xml:space="preserve">6.2.3   </w:t>
      </w:r>
      <w:r>
        <w:rPr>
          <w:rFonts w:ascii="宋体" w:hAnsi="宋体" w:eastAsia="宋体" w:cs="宋体"/>
          <w:spacing w:val="-2"/>
          <w:sz w:val="22"/>
          <w:szCs w:val="22"/>
          <w:highlight w:val="none"/>
        </w:rPr>
        <w:t>发包人应在材料和工程设备到货7天前通知承包人，承包人应会同监理</w:t>
      </w:r>
      <w:r>
        <w:rPr>
          <w:rFonts w:ascii="宋体" w:hAnsi="宋体" w:eastAsia="宋体" w:cs="宋体"/>
          <w:spacing w:val="-3"/>
          <w:sz w:val="22"/>
          <w:szCs w:val="22"/>
          <w:highlight w:val="none"/>
        </w:rPr>
        <w:t>人在约</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定的时间内，赴交货地点共同进行验收。除专用合同条款另有约定外，发包人提供的材料和</w:t>
      </w:r>
      <w:r>
        <w:rPr>
          <w:rFonts w:ascii="宋体" w:hAnsi="宋体" w:eastAsia="宋体" w:cs="宋体"/>
          <w:spacing w:val="16"/>
          <w:sz w:val="22"/>
          <w:szCs w:val="22"/>
          <w:highlight w:val="none"/>
        </w:rPr>
        <w:t xml:space="preserve"> </w:t>
      </w:r>
      <w:r>
        <w:rPr>
          <w:rFonts w:ascii="宋体" w:hAnsi="宋体" w:eastAsia="宋体" w:cs="宋体"/>
          <w:spacing w:val="-12"/>
          <w:sz w:val="22"/>
          <w:szCs w:val="22"/>
          <w:highlight w:val="none"/>
        </w:rPr>
        <w:t>工程设备验收后，由承包人负责接收、运输和保管。</w:t>
      </w:r>
    </w:p>
    <w:p w14:paraId="3A6CFDE0">
      <w:pPr>
        <w:spacing w:before="228" w:line="326" w:lineRule="auto"/>
        <w:ind w:right="81"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6.2.4    </w:t>
      </w:r>
      <w:r>
        <w:rPr>
          <w:rFonts w:ascii="宋体" w:hAnsi="宋体" w:eastAsia="宋体" w:cs="宋体"/>
          <w:spacing w:val="-2"/>
          <w:sz w:val="21"/>
          <w:szCs w:val="21"/>
          <w:highlight w:val="none"/>
        </w:rPr>
        <w:t>发包人要求向承包人提前交货的，承包人不得拒绝，但发包人应承担承包人由此</w:t>
      </w:r>
      <w:r>
        <w:rPr>
          <w:rFonts w:ascii="宋体" w:hAnsi="宋体" w:eastAsia="宋体" w:cs="宋体"/>
          <w:spacing w:val="5"/>
          <w:sz w:val="21"/>
          <w:szCs w:val="21"/>
          <w:highlight w:val="none"/>
        </w:rPr>
        <w:t xml:space="preserve"> </w:t>
      </w:r>
      <w:r>
        <w:rPr>
          <w:rFonts w:ascii="宋体" w:hAnsi="宋体" w:eastAsia="宋体" w:cs="宋体"/>
          <w:spacing w:val="-6"/>
          <w:sz w:val="21"/>
          <w:szCs w:val="21"/>
          <w:highlight w:val="none"/>
        </w:rPr>
        <w:t>增加的费用。</w:t>
      </w:r>
    </w:p>
    <w:p w14:paraId="33A3A8ED">
      <w:pPr>
        <w:spacing w:before="218" w:line="311" w:lineRule="auto"/>
        <w:ind w:right="80" w:firstLine="4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6.2.5   </w:t>
      </w:r>
      <w:r>
        <w:rPr>
          <w:rFonts w:ascii="宋体" w:hAnsi="宋体" w:eastAsia="宋体" w:cs="宋体"/>
          <w:spacing w:val="-9"/>
          <w:sz w:val="22"/>
          <w:szCs w:val="22"/>
          <w:highlight w:val="none"/>
        </w:rPr>
        <w:t>承包人要求更改交货日期或地点的</w:t>
      </w:r>
      <w:r>
        <w:rPr>
          <w:rFonts w:ascii="宋体" w:hAnsi="宋体" w:eastAsia="宋体" w:cs="宋体"/>
          <w:spacing w:val="-10"/>
          <w:sz w:val="22"/>
          <w:szCs w:val="22"/>
          <w:highlight w:val="none"/>
        </w:rPr>
        <w:t>，应事先报请监理人批准。由于承包人要求更</w:t>
      </w:r>
      <w:r>
        <w:rPr>
          <w:rFonts w:ascii="宋体" w:hAnsi="宋体" w:eastAsia="宋体" w:cs="宋体"/>
          <w:sz w:val="22"/>
          <w:szCs w:val="22"/>
          <w:highlight w:val="none"/>
        </w:rPr>
        <w:t xml:space="preserve"> </w:t>
      </w:r>
      <w:r>
        <w:rPr>
          <w:rFonts w:ascii="宋体" w:hAnsi="宋体" w:eastAsia="宋体" w:cs="宋体"/>
          <w:spacing w:val="-3"/>
          <w:sz w:val="22"/>
          <w:szCs w:val="22"/>
          <w:highlight w:val="none"/>
        </w:rPr>
        <w:t>改交货时间或地点所增加的费用和(或)工期延误由承包人承担。</w:t>
      </w:r>
    </w:p>
    <w:p w14:paraId="0D4167C7">
      <w:pPr>
        <w:spacing w:before="218" w:line="355" w:lineRule="auto"/>
        <w:ind w:right="44" w:firstLine="430"/>
        <w:rPr>
          <w:rFonts w:ascii="宋体" w:hAnsi="宋体" w:eastAsia="宋体" w:cs="宋体"/>
          <w:sz w:val="21"/>
          <w:szCs w:val="21"/>
          <w:highlight w:val="none"/>
        </w:rPr>
      </w:pPr>
      <w:r>
        <w:rPr>
          <w:rFonts w:ascii="宋体" w:hAnsi="宋体" w:eastAsia="宋体" w:cs="宋体"/>
          <w:spacing w:val="1"/>
          <w:sz w:val="21"/>
          <w:szCs w:val="21"/>
          <w:highlight w:val="none"/>
        </w:rPr>
        <w:t>6.2.6发包人提供的材料和工程设备的规格、数量</w:t>
      </w:r>
      <w:r>
        <w:rPr>
          <w:rFonts w:ascii="宋体" w:hAnsi="宋体" w:eastAsia="宋体" w:cs="宋体"/>
          <w:sz w:val="21"/>
          <w:szCs w:val="21"/>
          <w:highlight w:val="none"/>
        </w:rPr>
        <w:t xml:space="preserve">或质量不符合合同要求，或由于发包 </w:t>
      </w:r>
      <w:r>
        <w:rPr>
          <w:rFonts w:ascii="宋体" w:hAnsi="宋体" w:eastAsia="宋体" w:cs="宋体"/>
          <w:spacing w:val="4"/>
          <w:sz w:val="21"/>
          <w:szCs w:val="21"/>
          <w:highlight w:val="none"/>
        </w:rPr>
        <w:t>人原因发生交货日期延误及交货地点变更等情况的，发包人应承担由此增加的费用和(或)</w:t>
      </w:r>
      <w:r>
        <w:rPr>
          <w:rFonts w:ascii="宋体" w:hAnsi="宋体" w:eastAsia="宋体" w:cs="宋体"/>
          <w:spacing w:val="14"/>
          <w:sz w:val="21"/>
          <w:szCs w:val="21"/>
          <w:highlight w:val="none"/>
        </w:rPr>
        <w:t xml:space="preserve"> </w:t>
      </w:r>
      <w:r>
        <w:rPr>
          <w:rFonts w:ascii="宋体" w:hAnsi="宋体" w:eastAsia="宋体" w:cs="宋体"/>
          <w:spacing w:val="-3"/>
          <w:sz w:val="21"/>
          <w:szCs w:val="21"/>
          <w:highlight w:val="none"/>
        </w:rPr>
        <w:t>工期延误，并向承包人支付合理利润。</w:t>
      </w:r>
    </w:p>
    <w:p w14:paraId="63EF0F0C">
      <w:pPr>
        <w:pStyle w:val="2"/>
        <w:spacing w:before="275" w:line="271" w:lineRule="auto"/>
        <w:ind w:left="430" w:right="4367" w:hanging="430"/>
        <w:rPr>
          <w:rFonts w:ascii="宋体" w:hAnsi="宋体" w:eastAsia="宋体" w:cs="宋体"/>
          <w:sz w:val="22"/>
          <w:szCs w:val="22"/>
          <w:highlight w:val="none"/>
        </w:rPr>
      </w:pPr>
      <w:r>
        <w:rPr>
          <w:rFonts w:ascii="黑体" w:hAnsi="黑体" w:eastAsia="黑体" w:cs="黑体"/>
          <w:spacing w:val="-4"/>
          <w:sz w:val="24"/>
          <w:szCs w:val="24"/>
          <w:highlight w:val="none"/>
        </w:rPr>
        <w:t>6.2 发包人提供的材料和工程设备</w:t>
      </w:r>
      <w:r>
        <w:rPr>
          <w:rFonts w:ascii="黑体" w:hAnsi="黑体" w:eastAsia="黑体" w:cs="黑体"/>
          <w:spacing w:val="-14"/>
          <w:sz w:val="24"/>
          <w:szCs w:val="24"/>
          <w:highlight w:val="none"/>
        </w:rPr>
        <w:t xml:space="preserve"> </w:t>
      </w:r>
      <w:r>
        <w:rPr>
          <w:rFonts w:ascii="黑体" w:hAnsi="黑体" w:eastAsia="黑体" w:cs="黑体"/>
          <w:spacing w:val="-4"/>
          <w:sz w:val="24"/>
          <w:szCs w:val="24"/>
          <w:highlight w:val="none"/>
        </w:rPr>
        <w:t>(</w:t>
      </w:r>
      <w:r>
        <w:rPr>
          <w:rFonts w:ascii="黑体" w:hAnsi="黑体" w:eastAsia="黑体" w:cs="黑体"/>
          <w:spacing w:val="-65"/>
          <w:sz w:val="24"/>
          <w:szCs w:val="24"/>
          <w:highlight w:val="none"/>
        </w:rPr>
        <w:t xml:space="preserve"> </w:t>
      </w:r>
      <w:r>
        <w:rPr>
          <w:spacing w:val="-4"/>
          <w:sz w:val="24"/>
          <w:szCs w:val="24"/>
          <w:highlight w:val="none"/>
        </w:rPr>
        <w:t>B)</w:t>
      </w:r>
      <w:r>
        <w:rPr>
          <w:sz w:val="24"/>
          <w:szCs w:val="24"/>
          <w:highlight w:val="none"/>
        </w:rPr>
        <w:t xml:space="preserve"> </w:t>
      </w:r>
      <w:r>
        <w:rPr>
          <w:rFonts w:ascii="宋体" w:hAnsi="宋体" w:eastAsia="宋体" w:cs="宋体"/>
          <w:spacing w:val="-11"/>
          <w:sz w:val="22"/>
          <w:szCs w:val="22"/>
          <w:highlight w:val="none"/>
        </w:rPr>
        <w:t>发包人不提供材料和工程设备。</w:t>
      </w:r>
    </w:p>
    <w:p w14:paraId="490720E7">
      <w:pPr>
        <w:pStyle w:val="2"/>
        <w:spacing w:before="267" w:line="327" w:lineRule="exact"/>
        <w:rPr>
          <w:rFonts w:ascii="黑体" w:hAnsi="黑体" w:eastAsia="黑体" w:cs="黑体"/>
          <w:sz w:val="24"/>
          <w:szCs w:val="24"/>
          <w:highlight w:val="none"/>
        </w:rPr>
      </w:pPr>
      <w:r>
        <w:rPr>
          <w:spacing w:val="1"/>
          <w:position w:val="1"/>
          <w:sz w:val="24"/>
          <w:szCs w:val="24"/>
          <w:highlight w:val="none"/>
        </w:rPr>
        <w:t xml:space="preserve">6.3  </w:t>
      </w:r>
      <w:r>
        <w:rPr>
          <w:rFonts w:ascii="黑体" w:hAnsi="黑体" w:eastAsia="黑体" w:cs="黑体"/>
          <w:spacing w:val="1"/>
          <w:position w:val="1"/>
          <w:sz w:val="24"/>
          <w:szCs w:val="24"/>
          <w:highlight w:val="none"/>
        </w:rPr>
        <w:t>专用于工程的材料和工程设备</w:t>
      </w:r>
    </w:p>
    <w:p w14:paraId="1C6215DD">
      <w:pPr>
        <w:spacing w:before="116" w:line="307" w:lineRule="auto"/>
        <w:ind w:firstLine="430"/>
        <w:rPr>
          <w:rFonts w:ascii="宋体" w:hAnsi="宋体" w:eastAsia="宋体" w:cs="宋体"/>
          <w:sz w:val="22"/>
          <w:szCs w:val="22"/>
          <w:highlight w:val="none"/>
        </w:rPr>
      </w:pPr>
      <w:r>
        <w:rPr>
          <w:rFonts w:ascii="宋体" w:hAnsi="宋体" w:eastAsia="宋体" w:cs="宋体"/>
          <w:spacing w:val="-7"/>
          <w:sz w:val="22"/>
          <w:szCs w:val="22"/>
          <w:highlight w:val="none"/>
        </w:rPr>
        <w:t>6.3.1运入施工场地的材料、工程设备，包括备品备件、安装专用工器具与随机资料，</w:t>
      </w:r>
      <w:r>
        <w:rPr>
          <w:rFonts w:ascii="宋体" w:hAnsi="宋体" w:eastAsia="宋体" w:cs="宋体"/>
          <w:spacing w:val="9"/>
          <w:sz w:val="22"/>
          <w:szCs w:val="22"/>
          <w:highlight w:val="none"/>
        </w:rPr>
        <w:t xml:space="preserve"> </w:t>
      </w:r>
      <w:r>
        <w:rPr>
          <w:rFonts w:ascii="宋体" w:hAnsi="宋体" w:eastAsia="宋体" w:cs="宋体"/>
          <w:spacing w:val="-15"/>
          <w:sz w:val="22"/>
          <w:szCs w:val="22"/>
          <w:highlight w:val="none"/>
        </w:rPr>
        <w:t>必须专用于合同约定范围内的工程，未经监理人同意，承包人不得运出施工场地或挪作他用。</w:t>
      </w:r>
    </w:p>
    <w:p w14:paraId="24A09E56">
      <w:pPr>
        <w:spacing w:before="229" w:line="336" w:lineRule="auto"/>
        <w:ind w:right="76" w:firstLine="4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6.3.2   </w:t>
      </w:r>
      <w:r>
        <w:rPr>
          <w:rFonts w:ascii="宋体" w:hAnsi="宋体" w:eastAsia="宋体" w:cs="宋体"/>
          <w:spacing w:val="-9"/>
          <w:sz w:val="22"/>
          <w:szCs w:val="22"/>
          <w:highlight w:val="none"/>
        </w:rPr>
        <w:t>随同工程设备运入施工场地的备</w:t>
      </w:r>
      <w:r>
        <w:rPr>
          <w:rFonts w:ascii="宋体" w:hAnsi="宋体" w:eastAsia="宋体" w:cs="宋体"/>
          <w:spacing w:val="-10"/>
          <w:sz w:val="22"/>
          <w:szCs w:val="22"/>
          <w:highlight w:val="none"/>
        </w:rPr>
        <w:t>品备件、专用工器具与随机资料，应由承包人会</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同监理人按供货人的装箱单清点后共同封存，未经监理人同意不得启用。承包人因合同工作</w:t>
      </w:r>
      <w:r>
        <w:rPr>
          <w:rFonts w:ascii="宋体" w:hAnsi="宋体" w:eastAsia="宋体" w:cs="宋体"/>
          <w:spacing w:val="12"/>
          <w:sz w:val="22"/>
          <w:szCs w:val="22"/>
          <w:highlight w:val="none"/>
        </w:rPr>
        <w:t xml:space="preserve"> </w:t>
      </w:r>
      <w:r>
        <w:rPr>
          <w:rFonts w:ascii="宋体" w:hAnsi="宋体" w:eastAsia="宋体" w:cs="宋体"/>
          <w:spacing w:val="-11"/>
          <w:sz w:val="22"/>
          <w:szCs w:val="22"/>
          <w:highlight w:val="none"/>
        </w:rPr>
        <w:t>需要使用上述物品时，应向监理人提出申请。</w:t>
      </w:r>
    </w:p>
    <w:p w14:paraId="5A2121CF">
      <w:pPr>
        <w:spacing w:before="297" w:line="221" w:lineRule="auto"/>
        <w:rPr>
          <w:rFonts w:ascii="黑体" w:hAnsi="黑体" w:eastAsia="黑体" w:cs="黑体"/>
          <w:sz w:val="24"/>
          <w:szCs w:val="24"/>
          <w:highlight w:val="none"/>
        </w:rPr>
      </w:pPr>
      <w:r>
        <w:rPr>
          <w:rFonts w:ascii="黑体" w:hAnsi="黑体" w:eastAsia="黑体" w:cs="黑体"/>
          <w:spacing w:val="-1"/>
          <w:sz w:val="24"/>
          <w:szCs w:val="24"/>
          <w:highlight w:val="none"/>
        </w:rPr>
        <w:t>6.4 实施方法</w:t>
      </w:r>
    </w:p>
    <w:p w14:paraId="3E8A3545">
      <w:pPr>
        <w:spacing w:before="114" w:line="441" w:lineRule="auto"/>
        <w:ind w:right="78" w:firstLine="430"/>
        <w:rPr>
          <w:rFonts w:ascii="宋体" w:hAnsi="宋体" w:eastAsia="宋体" w:cs="宋体"/>
          <w:sz w:val="21"/>
          <w:szCs w:val="21"/>
          <w:highlight w:val="none"/>
        </w:rPr>
      </w:pPr>
      <w:r>
        <w:rPr>
          <w:rFonts w:ascii="宋体" w:hAnsi="宋体" w:eastAsia="宋体" w:cs="宋体"/>
          <w:spacing w:val="-2"/>
          <w:sz w:val="21"/>
          <w:szCs w:val="21"/>
          <w:highlight w:val="none"/>
        </w:rPr>
        <w:t>承包人对材料的加工、工程设备的采购、制造、安装应当按照法律规定、合同</w:t>
      </w:r>
      <w:r>
        <w:rPr>
          <w:rFonts w:ascii="宋体" w:hAnsi="宋体" w:eastAsia="宋体" w:cs="宋体"/>
          <w:spacing w:val="-3"/>
          <w:sz w:val="21"/>
          <w:szCs w:val="21"/>
          <w:highlight w:val="none"/>
        </w:rPr>
        <w:t>约定以及</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行业习惯来实施。</w:t>
      </w:r>
    </w:p>
    <w:p w14:paraId="3DB72203">
      <w:pPr>
        <w:spacing w:line="441" w:lineRule="auto"/>
        <w:rPr>
          <w:rFonts w:ascii="宋体" w:hAnsi="宋体" w:eastAsia="宋体" w:cs="宋体"/>
          <w:sz w:val="21"/>
          <w:szCs w:val="21"/>
          <w:highlight w:val="none"/>
        </w:rPr>
        <w:sectPr>
          <w:footerReference r:id="rId187" w:type="default"/>
          <w:pgSz w:w="11910" w:h="16840"/>
          <w:pgMar w:top="400" w:right="1729" w:bottom="1217" w:left="1769" w:header="0" w:footer="1013" w:gutter="0"/>
          <w:cols w:space="720" w:num="1"/>
        </w:sectPr>
      </w:pPr>
    </w:p>
    <w:p w14:paraId="14278D1B">
      <w:pPr>
        <w:pStyle w:val="2"/>
        <w:spacing w:line="241" w:lineRule="auto"/>
        <w:rPr>
          <w:highlight w:val="none"/>
        </w:rPr>
      </w:pPr>
    </w:p>
    <w:p w14:paraId="7B2D9486">
      <w:pPr>
        <w:pStyle w:val="2"/>
        <w:spacing w:line="241" w:lineRule="auto"/>
        <w:rPr>
          <w:highlight w:val="none"/>
        </w:rPr>
      </w:pPr>
    </w:p>
    <w:p w14:paraId="30D7FB32">
      <w:pPr>
        <w:pStyle w:val="2"/>
        <w:spacing w:line="241" w:lineRule="auto"/>
        <w:rPr>
          <w:highlight w:val="none"/>
        </w:rPr>
      </w:pPr>
    </w:p>
    <w:p w14:paraId="45C95401">
      <w:pPr>
        <w:pStyle w:val="2"/>
        <w:spacing w:line="241" w:lineRule="auto"/>
        <w:rPr>
          <w:highlight w:val="none"/>
        </w:rPr>
      </w:pPr>
    </w:p>
    <w:p w14:paraId="0C0AC8D5">
      <w:pPr>
        <w:spacing w:before="78" w:line="222" w:lineRule="auto"/>
        <w:rPr>
          <w:rFonts w:ascii="黑体" w:hAnsi="黑体" w:eastAsia="黑体" w:cs="黑体"/>
          <w:sz w:val="24"/>
          <w:szCs w:val="24"/>
          <w:highlight w:val="none"/>
        </w:rPr>
      </w:pPr>
      <w:bookmarkStart w:id="176" w:name="bookmark274"/>
      <w:bookmarkEnd w:id="176"/>
      <w:r>
        <w:rPr>
          <w:rFonts w:ascii="黑体" w:hAnsi="黑体" w:eastAsia="黑体" w:cs="黑体"/>
          <w:spacing w:val="7"/>
          <w:sz w:val="24"/>
          <w:szCs w:val="24"/>
          <w:highlight w:val="none"/>
        </w:rPr>
        <w:t>6.5禁止使用不合格的材料和工程设备</w:t>
      </w:r>
    </w:p>
    <w:p w14:paraId="12AD4771">
      <w:pPr>
        <w:spacing w:before="151" w:line="369" w:lineRule="auto"/>
        <w:ind w:right="55" w:firstLine="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6.5.1    </w:t>
      </w:r>
      <w:r>
        <w:rPr>
          <w:rFonts w:ascii="宋体" w:hAnsi="宋体" w:eastAsia="宋体" w:cs="宋体"/>
          <w:spacing w:val="7"/>
          <w:sz w:val="20"/>
          <w:szCs w:val="20"/>
          <w:highlight w:val="none"/>
        </w:rPr>
        <w:t>监理人有权拒绝承包人提供的不合格材料或工程设备，并</w:t>
      </w:r>
      <w:r>
        <w:rPr>
          <w:rFonts w:ascii="宋体" w:hAnsi="宋体" w:eastAsia="宋体" w:cs="宋体"/>
          <w:spacing w:val="6"/>
          <w:sz w:val="20"/>
          <w:szCs w:val="20"/>
          <w:highlight w:val="none"/>
        </w:rPr>
        <w:t>要求承包人立即进行更</w:t>
      </w:r>
      <w:r>
        <w:rPr>
          <w:rFonts w:ascii="宋体" w:hAnsi="宋体" w:eastAsia="宋体" w:cs="宋体"/>
          <w:sz w:val="20"/>
          <w:szCs w:val="20"/>
          <w:highlight w:val="none"/>
        </w:rPr>
        <w:t xml:space="preserve"> </w:t>
      </w:r>
      <w:r>
        <w:rPr>
          <w:rFonts w:ascii="宋体" w:hAnsi="宋体" w:eastAsia="宋体" w:cs="宋体"/>
          <w:spacing w:val="12"/>
          <w:sz w:val="20"/>
          <w:szCs w:val="20"/>
          <w:highlight w:val="none"/>
        </w:rPr>
        <w:t>换。监理人应在更换后再次进行检查和检验，由此增加的费用和(或)工期延误由承包</w:t>
      </w:r>
      <w:r>
        <w:rPr>
          <w:rFonts w:ascii="宋体" w:hAnsi="宋体" w:eastAsia="宋体" w:cs="宋体"/>
          <w:spacing w:val="11"/>
          <w:sz w:val="20"/>
          <w:szCs w:val="20"/>
          <w:highlight w:val="none"/>
        </w:rPr>
        <w:t>人承</w:t>
      </w:r>
      <w:r>
        <w:rPr>
          <w:rFonts w:ascii="宋体" w:hAnsi="宋体" w:eastAsia="宋体" w:cs="宋体"/>
          <w:sz w:val="20"/>
          <w:szCs w:val="20"/>
          <w:highlight w:val="none"/>
        </w:rPr>
        <w:t xml:space="preserve"> </w:t>
      </w:r>
      <w:r>
        <w:rPr>
          <w:rFonts w:ascii="宋体" w:hAnsi="宋体" w:eastAsia="宋体" w:cs="宋体"/>
          <w:spacing w:val="-3"/>
          <w:sz w:val="20"/>
          <w:szCs w:val="20"/>
          <w:highlight w:val="none"/>
        </w:rPr>
        <w:t>担。</w:t>
      </w:r>
    </w:p>
    <w:p w14:paraId="5C6EEB25">
      <w:pPr>
        <w:spacing w:before="219" w:line="307" w:lineRule="auto"/>
        <w:ind w:right="55" w:firstLine="42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6.5.2</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11"/>
          <w:sz w:val="22"/>
          <w:szCs w:val="22"/>
          <w:highlight w:val="none"/>
        </w:rPr>
        <w:t>监理人发现承包人使用了不合格的材料和工程设备，应即时发出指示要求承</w:t>
      </w:r>
      <w:r>
        <w:rPr>
          <w:rFonts w:ascii="宋体" w:hAnsi="宋体" w:eastAsia="宋体" w:cs="宋体"/>
          <w:spacing w:val="-12"/>
          <w:sz w:val="22"/>
          <w:szCs w:val="22"/>
          <w:highlight w:val="none"/>
        </w:rPr>
        <w:t>包人</w:t>
      </w:r>
      <w:r>
        <w:rPr>
          <w:rFonts w:ascii="宋体" w:hAnsi="宋体" w:eastAsia="宋体" w:cs="宋体"/>
          <w:spacing w:val="1"/>
          <w:sz w:val="22"/>
          <w:szCs w:val="22"/>
          <w:highlight w:val="none"/>
        </w:rPr>
        <w:t xml:space="preserve"> </w:t>
      </w:r>
      <w:r>
        <w:rPr>
          <w:rFonts w:ascii="宋体" w:hAnsi="宋体" w:eastAsia="宋体" w:cs="宋体"/>
          <w:spacing w:val="-10"/>
          <w:sz w:val="22"/>
          <w:szCs w:val="22"/>
          <w:highlight w:val="none"/>
        </w:rPr>
        <w:t>立即改正，并禁止在工程中继续使用不合格的材料和工程设备。</w:t>
      </w:r>
    </w:p>
    <w:p w14:paraId="777D05F6">
      <w:pPr>
        <w:spacing w:before="238" w:line="321" w:lineRule="auto"/>
        <w:ind w:right="35" w:firstLine="42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6.5.3    </w:t>
      </w:r>
      <w:r>
        <w:rPr>
          <w:rFonts w:ascii="宋体" w:hAnsi="宋体" w:eastAsia="宋体" w:cs="宋体"/>
          <w:spacing w:val="-1"/>
          <w:sz w:val="21"/>
          <w:szCs w:val="21"/>
          <w:highlight w:val="none"/>
        </w:rPr>
        <w:t>发包人提供的材料或工程设备不符合合</w:t>
      </w:r>
      <w:r>
        <w:rPr>
          <w:rFonts w:ascii="宋体" w:hAnsi="宋体" w:eastAsia="宋体" w:cs="宋体"/>
          <w:spacing w:val="-2"/>
          <w:sz w:val="21"/>
          <w:szCs w:val="21"/>
          <w:highlight w:val="none"/>
        </w:rPr>
        <w:t>同要求的，承包人有权拒绝，并可要求发</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包人更换，由此增加的费用和(或)工期延误由发包人承担。</w:t>
      </w:r>
    </w:p>
    <w:p w14:paraId="686822E0">
      <w:pPr>
        <w:pStyle w:val="2"/>
        <w:spacing w:before="200" w:line="222" w:lineRule="auto"/>
        <w:outlineLvl w:val="1"/>
        <w:rPr>
          <w:rFonts w:ascii="黑体" w:hAnsi="黑体" w:eastAsia="黑体" w:cs="黑体"/>
          <w:sz w:val="24"/>
          <w:szCs w:val="24"/>
          <w:highlight w:val="none"/>
        </w:rPr>
      </w:pPr>
      <w:bookmarkStart w:id="177" w:name="bookmark102"/>
      <w:bookmarkEnd w:id="177"/>
      <w:r>
        <w:rPr>
          <w:spacing w:val="2"/>
          <w:sz w:val="24"/>
          <w:szCs w:val="24"/>
          <w:highlight w:val="none"/>
        </w:rPr>
        <w:t xml:space="preserve">7. </w:t>
      </w:r>
      <w:r>
        <w:rPr>
          <w:rFonts w:ascii="黑体" w:hAnsi="黑体" w:eastAsia="黑体" w:cs="黑体"/>
          <w:spacing w:val="2"/>
          <w:sz w:val="24"/>
          <w:szCs w:val="24"/>
          <w:highlight w:val="none"/>
        </w:rPr>
        <w:t>施工设备和临时设施</w:t>
      </w:r>
    </w:p>
    <w:p w14:paraId="45EE0975">
      <w:pPr>
        <w:spacing w:before="181" w:line="222" w:lineRule="auto"/>
        <w:rPr>
          <w:rFonts w:ascii="黑体" w:hAnsi="黑体" w:eastAsia="黑体" w:cs="黑体"/>
          <w:sz w:val="24"/>
          <w:szCs w:val="24"/>
          <w:highlight w:val="none"/>
        </w:rPr>
      </w:pPr>
      <w:r>
        <w:rPr>
          <w:rFonts w:ascii="黑体" w:hAnsi="黑体" w:eastAsia="黑体" w:cs="黑体"/>
          <w:spacing w:val="6"/>
          <w:sz w:val="24"/>
          <w:szCs w:val="24"/>
          <w:highlight w:val="none"/>
        </w:rPr>
        <w:t>7.1承包人提供的施工设备和临时设施</w:t>
      </w:r>
    </w:p>
    <w:p w14:paraId="702FC09D">
      <w:pPr>
        <w:spacing w:before="133" w:line="354" w:lineRule="auto"/>
        <w:ind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7.1.1</w:t>
      </w:r>
      <w:r>
        <w:rPr>
          <w:rFonts w:ascii="Times New Roman" w:hAnsi="Times New Roman" w:eastAsia="Times New Roman" w:cs="Times New Roman"/>
          <w:spacing w:val="17"/>
          <w:w w:val="101"/>
          <w:sz w:val="21"/>
          <w:szCs w:val="21"/>
          <w:highlight w:val="none"/>
        </w:rPr>
        <w:t xml:space="preserve">   </w:t>
      </w:r>
      <w:r>
        <w:rPr>
          <w:rFonts w:ascii="宋体" w:hAnsi="宋体" w:eastAsia="宋体" w:cs="宋体"/>
          <w:spacing w:val="-2"/>
          <w:sz w:val="21"/>
          <w:szCs w:val="21"/>
          <w:highlight w:val="none"/>
        </w:rPr>
        <w:t>承包人应按合同进度计划的要求，及时配置施工设备和修建临时设施。进入施工</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场地的承包人设备需经监理人核查后才能投入使用。承包人更换合同约定的承包人设备的，</w:t>
      </w:r>
      <w:r>
        <w:rPr>
          <w:rFonts w:ascii="宋体" w:hAnsi="宋体" w:eastAsia="宋体" w:cs="宋体"/>
          <w:spacing w:val="13"/>
          <w:sz w:val="21"/>
          <w:szCs w:val="21"/>
          <w:highlight w:val="none"/>
        </w:rPr>
        <w:t xml:space="preserve"> </w:t>
      </w:r>
      <w:r>
        <w:rPr>
          <w:rFonts w:ascii="宋体" w:hAnsi="宋体" w:eastAsia="宋体" w:cs="宋体"/>
          <w:spacing w:val="-5"/>
          <w:sz w:val="21"/>
          <w:szCs w:val="21"/>
          <w:highlight w:val="none"/>
        </w:rPr>
        <w:t>应报监理人批准。</w:t>
      </w:r>
    </w:p>
    <w:p w14:paraId="6A6724CD">
      <w:pPr>
        <w:spacing w:before="231" w:line="312" w:lineRule="auto"/>
        <w:ind w:right="52" w:firstLine="420"/>
        <w:rPr>
          <w:rFonts w:ascii="宋体" w:hAnsi="宋体" w:eastAsia="宋体" w:cs="宋体"/>
          <w:sz w:val="21"/>
          <w:szCs w:val="21"/>
          <w:highlight w:val="none"/>
        </w:rPr>
      </w:pPr>
      <w:r>
        <w:rPr>
          <w:rFonts w:ascii="宋体" w:hAnsi="宋体" w:eastAsia="宋体" w:cs="宋体"/>
          <w:spacing w:val="-3"/>
          <w:sz w:val="21"/>
          <w:szCs w:val="21"/>
          <w:highlight w:val="none"/>
        </w:rPr>
        <w:t>7.1.2</w:t>
      </w:r>
      <w:r>
        <w:rPr>
          <w:rFonts w:ascii="宋体" w:hAnsi="宋体" w:eastAsia="宋体" w:cs="宋体"/>
          <w:spacing w:val="41"/>
          <w:sz w:val="21"/>
          <w:szCs w:val="21"/>
          <w:highlight w:val="none"/>
        </w:rPr>
        <w:t xml:space="preserve"> </w:t>
      </w:r>
      <w:r>
        <w:rPr>
          <w:rFonts w:ascii="宋体" w:hAnsi="宋体" w:eastAsia="宋体" w:cs="宋体"/>
          <w:spacing w:val="-3"/>
          <w:sz w:val="21"/>
          <w:szCs w:val="21"/>
          <w:highlight w:val="none"/>
        </w:rPr>
        <w:t>除专用合同条款另有约定外，承包人应自行承担修建临时设施的费用。需要临时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占地的，应由发包人办理申请手续并承担相应费用。</w:t>
      </w:r>
    </w:p>
    <w:p w14:paraId="1AFEB284">
      <w:pPr>
        <w:pStyle w:val="2"/>
        <w:spacing w:before="275" w:line="212" w:lineRule="auto"/>
        <w:rPr>
          <w:sz w:val="24"/>
          <w:szCs w:val="24"/>
          <w:highlight w:val="none"/>
        </w:rPr>
      </w:pPr>
      <w:r>
        <w:rPr>
          <w:rFonts w:ascii="黑体" w:hAnsi="黑体" w:eastAsia="黑体" w:cs="黑体"/>
          <w:spacing w:val="4"/>
          <w:sz w:val="24"/>
          <w:szCs w:val="24"/>
          <w:highlight w:val="none"/>
        </w:rPr>
        <w:t>7.2发包人提供的施工设备和临时设施</w:t>
      </w:r>
      <w:r>
        <w:rPr>
          <w:rFonts w:ascii="黑体" w:hAnsi="黑体" w:eastAsia="黑体" w:cs="黑体"/>
          <w:spacing w:val="-20"/>
          <w:sz w:val="24"/>
          <w:szCs w:val="24"/>
          <w:highlight w:val="none"/>
        </w:rPr>
        <w:t xml:space="preserve"> </w:t>
      </w:r>
      <w:r>
        <w:rPr>
          <w:rFonts w:ascii="黑体" w:hAnsi="黑体" w:eastAsia="黑体" w:cs="黑体"/>
          <w:spacing w:val="4"/>
          <w:sz w:val="24"/>
          <w:szCs w:val="24"/>
          <w:highlight w:val="none"/>
        </w:rPr>
        <w:t>(</w:t>
      </w:r>
      <w:r>
        <w:rPr>
          <w:spacing w:val="4"/>
          <w:sz w:val="24"/>
          <w:szCs w:val="24"/>
          <w:highlight w:val="none"/>
        </w:rPr>
        <w:t>A)</w:t>
      </w:r>
    </w:p>
    <w:p w14:paraId="44DB0E65">
      <w:pPr>
        <w:spacing w:before="139" w:line="219"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发包人提供的施工设备或临时设施在专用合同条款</w:t>
      </w:r>
      <w:r>
        <w:rPr>
          <w:rFonts w:ascii="宋体" w:hAnsi="宋体" w:eastAsia="宋体" w:cs="宋体"/>
          <w:spacing w:val="-12"/>
          <w:sz w:val="22"/>
          <w:szCs w:val="22"/>
          <w:highlight w:val="none"/>
        </w:rPr>
        <w:t>中约定。</w:t>
      </w:r>
    </w:p>
    <w:p w14:paraId="7850A552">
      <w:pPr>
        <w:pStyle w:val="2"/>
        <w:spacing w:before="286" w:line="281" w:lineRule="auto"/>
        <w:ind w:left="420" w:right="3862" w:hanging="420"/>
        <w:rPr>
          <w:rFonts w:ascii="宋体" w:hAnsi="宋体" w:eastAsia="宋体" w:cs="宋体"/>
          <w:sz w:val="20"/>
          <w:szCs w:val="20"/>
          <w:highlight w:val="none"/>
        </w:rPr>
      </w:pPr>
      <w:r>
        <w:rPr>
          <w:rFonts w:ascii="黑体" w:hAnsi="黑体" w:eastAsia="黑体" w:cs="黑体"/>
          <w:spacing w:val="4"/>
          <w:sz w:val="24"/>
          <w:szCs w:val="24"/>
          <w:highlight w:val="none"/>
        </w:rPr>
        <w:t>7.2发包人提供的施工设备和临时设施</w:t>
      </w:r>
      <w:r>
        <w:rPr>
          <w:rFonts w:ascii="黑体" w:hAnsi="黑体" w:eastAsia="黑体" w:cs="黑体"/>
          <w:spacing w:val="-13"/>
          <w:sz w:val="24"/>
          <w:szCs w:val="24"/>
          <w:highlight w:val="none"/>
        </w:rPr>
        <w:t xml:space="preserve"> </w:t>
      </w:r>
      <w:r>
        <w:rPr>
          <w:rFonts w:ascii="黑体" w:hAnsi="黑体" w:eastAsia="黑体" w:cs="黑体"/>
          <w:spacing w:val="4"/>
          <w:sz w:val="24"/>
          <w:szCs w:val="24"/>
          <w:highlight w:val="none"/>
        </w:rPr>
        <w:t>(</w:t>
      </w:r>
      <w:r>
        <w:rPr>
          <w:spacing w:val="4"/>
          <w:sz w:val="24"/>
          <w:szCs w:val="24"/>
          <w:highlight w:val="none"/>
        </w:rPr>
        <w:t>B)</w:t>
      </w:r>
      <w:r>
        <w:rPr>
          <w:sz w:val="24"/>
          <w:szCs w:val="24"/>
          <w:highlight w:val="none"/>
        </w:rPr>
        <w:t xml:space="preserve"> </w:t>
      </w:r>
      <w:r>
        <w:rPr>
          <w:rFonts w:ascii="宋体" w:hAnsi="宋体" w:eastAsia="宋体" w:cs="宋体"/>
          <w:spacing w:val="8"/>
          <w:sz w:val="20"/>
          <w:szCs w:val="20"/>
          <w:highlight w:val="none"/>
        </w:rPr>
        <w:t>发包人不提供施工设备或临时设施。</w:t>
      </w:r>
    </w:p>
    <w:p w14:paraId="6709C5EB">
      <w:pPr>
        <w:spacing w:before="314" w:line="222" w:lineRule="auto"/>
        <w:rPr>
          <w:rFonts w:ascii="黑体" w:hAnsi="黑体" w:eastAsia="黑体" w:cs="黑体"/>
          <w:sz w:val="24"/>
          <w:szCs w:val="24"/>
          <w:highlight w:val="none"/>
        </w:rPr>
      </w:pPr>
      <w:r>
        <w:rPr>
          <w:rFonts w:ascii="黑体" w:hAnsi="黑体" w:eastAsia="黑体" w:cs="黑体"/>
          <w:spacing w:val="5"/>
          <w:sz w:val="24"/>
          <w:szCs w:val="24"/>
          <w:highlight w:val="none"/>
        </w:rPr>
        <w:t>7.3要求承包人增加或更换施工设备</w:t>
      </w:r>
    </w:p>
    <w:p w14:paraId="6820F191">
      <w:pPr>
        <w:spacing w:before="122" w:line="423" w:lineRule="auto"/>
        <w:ind w:right="54" w:firstLine="420"/>
        <w:jc w:val="both"/>
        <w:rPr>
          <w:rFonts w:ascii="宋体" w:hAnsi="宋体" w:eastAsia="宋体" w:cs="宋体"/>
          <w:sz w:val="21"/>
          <w:szCs w:val="21"/>
          <w:highlight w:val="none"/>
        </w:rPr>
      </w:pPr>
      <w:r>
        <w:rPr>
          <w:rFonts w:ascii="宋体" w:hAnsi="宋体" w:eastAsia="宋体" w:cs="宋体"/>
          <w:spacing w:val="3"/>
          <w:sz w:val="21"/>
          <w:szCs w:val="21"/>
          <w:highlight w:val="none"/>
        </w:rPr>
        <w:t>承包人使用的施工设备不能满足合同进度计划和(或)质量标准时，监理人有权要求承</w:t>
      </w:r>
      <w:r>
        <w:rPr>
          <w:rFonts w:ascii="宋体" w:hAnsi="宋体" w:eastAsia="宋体" w:cs="宋体"/>
          <w:spacing w:val="15"/>
          <w:sz w:val="21"/>
          <w:szCs w:val="21"/>
          <w:highlight w:val="none"/>
        </w:rPr>
        <w:t xml:space="preserve"> </w:t>
      </w:r>
      <w:r>
        <w:rPr>
          <w:rFonts w:ascii="宋体" w:hAnsi="宋体" w:eastAsia="宋体" w:cs="宋体"/>
          <w:spacing w:val="3"/>
          <w:sz w:val="21"/>
          <w:szCs w:val="21"/>
          <w:highlight w:val="none"/>
        </w:rPr>
        <w:t>包人增加或更换施工设备，承包人应及时增加或更换</w:t>
      </w:r>
      <w:r>
        <w:rPr>
          <w:rFonts w:ascii="宋体" w:hAnsi="宋体" w:eastAsia="宋体" w:cs="宋体"/>
          <w:spacing w:val="2"/>
          <w:sz w:val="21"/>
          <w:szCs w:val="21"/>
          <w:highlight w:val="none"/>
        </w:rPr>
        <w:t>，由此增加的费用和(或)工期延误由</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承包人承担。</w:t>
      </w:r>
    </w:p>
    <w:p w14:paraId="54395FDF">
      <w:pPr>
        <w:spacing w:before="46" w:line="222" w:lineRule="auto"/>
        <w:rPr>
          <w:rFonts w:ascii="黑体" w:hAnsi="黑体" w:eastAsia="黑体" w:cs="黑体"/>
          <w:sz w:val="24"/>
          <w:szCs w:val="24"/>
          <w:highlight w:val="none"/>
        </w:rPr>
      </w:pPr>
      <w:r>
        <w:rPr>
          <w:rFonts w:ascii="黑体" w:hAnsi="黑体" w:eastAsia="黑体" w:cs="黑体"/>
          <w:spacing w:val="4"/>
          <w:sz w:val="24"/>
          <w:szCs w:val="24"/>
          <w:highlight w:val="none"/>
        </w:rPr>
        <w:t>7.4施工设备和临时设施专用于合同工程</w:t>
      </w:r>
    </w:p>
    <w:p w14:paraId="5F24DA41">
      <w:pPr>
        <w:spacing w:before="100" w:line="348" w:lineRule="auto"/>
        <w:ind w:right="39" w:firstLine="42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7.4.1   </w:t>
      </w:r>
      <w:r>
        <w:rPr>
          <w:rFonts w:ascii="宋体" w:hAnsi="宋体" w:eastAsia="宋体" w:cs="宋体"/>
          <w:spacing w:val="-9"/>
          <w:sz w:val="22"/>
          <w:szCs w:val="22"/>
          <w:highlight w:val="none"/>
        </w:rPr>
        <w:t>除合同另有约定外，运入施工场地</w:t>
      </w:r>
      <w:r>
        <w:rPr>
          <w:rFonts w:ascii="宋体" w:hAnsi="宋体" w:eastAsia="宋体" w:cs="宋体"/>
          <w:spacing w:val="-10"/>
          <w:sz w:val="22"/>
          <w:szCs w:val="22"/>
          <w:highlight w:val="none"/>
        </w:rPr>
        <w:t>的所有施工设备以及在施工场地建设的临时设</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施应专用于合同工程。未经监理人同意，不得将上述施工设备和临时设施中的任何部分运出</w:t>
      </w:r>
      <w:r>
        <w:rPr>
          <w:rFonts w:ascii="宋体" w:hAnsi="宋体" w:eastAsia="宋体" w:cs="宋体"/>
          <w:spacing w:val="14"/>
          <w:sz w:val="22"/>
          <w:szCs w:val="22"/>
          <w:highlight w:val="none"/>
        </w:rPr>
        <w:t xml:space="preserve"> </w:t>
      </w:r>
      <w:r>
        <w:rPr>
          <w:rFonts w:ascii="宋体" w:hAnsi="宋体" w:eastAsia="宋体" w:cs="宋体"/>
          <w:spacing w:val="-12"/>
          <w:sz w:val="22"/>
          <w:szCs w:val="22"/>
          <w:highlight w:val="none"/>
        </w:rPr>
        <w:t>施工场地或挪作他用。</w:t>
      </w:r>
    </w:p>
    <w:p w14:paraId="358EB007">
      <w:pPr>
        <w:spacing w:before="208" w:line="219" w:lineRule="auto"/>
        <w:ind w:left="420"/>
        <w:rPr>
          <w:rFonts w:ascii="宋体" w:hAnsi="宋体" w:eastAsia="宋体" w:cs="宋体"/>
          <w:sz w:val="22"/>
          <w:szCs w:val="22"/>
          <w:highlight w:val="none"/>
        </w:rPr>
      </w:pPr>
      <w:r>
        <w:rPr>
          <w:rFonts w:ascii="宋体" w:hAnsi="宋体" w:eastAsia="宋体" w:cs="宋体"/>
          <w:spacing w:val="-6"/>
          <w:sz w:val="22"/>
          <w:szCs w:val="22"/>
          <w:highlight w:val="none"/>
        </w:rPr>
        <w:t>7.4.2经监理人同意，承包人可根据合同进度计划撤走闲置的施工设备。</w:t>
      </w:r>
    </w:p>
    <w:p w14:paraId="2703A1C3">
      <w:pPr>
        <w:spacing w:line="219" w:lineRule="auto"/>
        <w:rPr>
          <w:rFonts w:ascii="宋体" w:hAnsi="宋体" w:eastAsia="宋体" w:cs="宋体"/>
          <w:sz w:val="22"/>
          <w:szCs w:val="22"/>
          <w:highlight w:val="none"/>
        </w:rPr>
        <w:sectPr>
          <w:footerReference r:id="rId188" w:type="default"/>
          <w:pgSz w:w="11910" w:h="16840"/>
          <w:pgMar w:top="400" w:right="1765" w:bottom="1217" w:left="1769" w:header="0" w:footer="1013" w:gutter="0"/>
          <w:cols w:space="720" w:num="1"/>
        </w:sectPr>
      </w:pPr>
    </w:p>
    <w:p w14:paraId="018AEB7A">
      <w:pPr>
        <w:pStyle w:val="2"/>
        <w:spacing w:line="317" w:lineRule="auto"/>
        <w:rPr>
          <w:highlight w:val="none"/>
        </w:rPr>
      </w:pPr>
    </w:p>
    <w:p w14:paraId="245A8564">
      <w:pPr>
        <w:pStyle w:val="2"/>
        <w:spacing w:line="317" w:lineRule="auto"/>
        <w:rPr>
          <w:highlight w:val="none"/>
        </w:rPr>
      </w:pPr>
    </w:p>
    <w:p w14:paraId="26A8CEC6">
      <w:pPr>
        <w:pStyle w:val="2"/>
        <w:spacing w:line="317" w:lineRule="auto"/>
        <w:rPr>
          <w:highlight w:val="none"/>
        </w:rPr>
      </w:pPr>
    </w:p>
    <w:p w14:paraId="7C89E686">
      <w:pPr>
        <w:pStyle w:val="2"/>
        <w:spacing w:before="78" w:line="327" w:lineRule="exact"/>
        <w:outlineLvl w:val="1"/>
        <w:rPr>
          <w:rFonts w:ascii="黑体" w:hAnsi="黑体" w:eastAsia="黑体" w:cs="黑体"/>
          <w:sz w:val="24"/>
          <w:szCs w:val="24"/>
          <w:highlight w:val="none"/>
        </w:rPr>
      </w:pPr>
      <w:bookmarkStart w:id="178" w:name="bookmark103"/>
      <w:bookmarkEnd w:id="178"/>
      <w:r>
        <w:rPr>
          <w:spacing w:val="-4"/>
          <w:position w:val="1"/>
          <w:sz w:val="24"/>
          <w:szCs w:val="24"/>
          <w:highlight w:val="none"/>
        </w:rPr>
        <w:t>8.</w:t>
      </w:r>
      <w:r>
        <w:rPr>
          <w:spacing w:val="45"/>
          <w:position w:val="1"/>
          <w:sz w:val="24"/>
          <w:szCs w:val="24"/>
          <w:highlight w:val="none"/>
        </w:rPr>
        <w:t xml:space="preserve"> </w:t>
      </w:r>
      <w:r>
        <w:rPr>
          <w:rFonts w:ascii="黑体" w:hAnsi="黑体" w:eastAsia="黑体" w:cs="黑体"/>
          <w:spacing w:val="-4"/>
          <w:position w:val="1"/>
          <w:sz w:val="24"/>
          <w:szCs w:val="24"/>
          <w:highlight w:val="none"/>
        </w:rPr>
        <w:t>交通运输</w:t>
      </w:r>
    </w:p>
    <w:p w14:paraId="5C4D0FF3">
      <w:pPr>
        <w:pStyle w:val="2"/>
        <w:spacing w:before="150" w:line="212" w:lineRule="auto"/>
        <w:rPr>
          <w:sz w:val="24"/>
          <w:szCs w:val="24"/>
          <w:highlight w:val="none"/>
        </w:rPr>
      </w:pPr>
      <w:r>
        <w:rPr>
          <w:rFonts w:ascii="黑体" w:hAnsi="黑体" w:eastAsia="黑体" w:cs="黑体"/>
          <w:spacing w:val="-3"/>
          <w:sz w:val="24"/>
          <w:szCs w:val="24"/>
          <w:highlight w:val="none"/>
        </w:rPr>
        <w:t>8.1</w:t>
      </w:r>
      <w:r>
        <w:rPr>
          <w:rFonts w:ascii="黑体" w:hAnsi="黑体" w:eastAsia="黑体" w:cs="黑体"/>
          <w:spacing w:val="-31"/>
          <w:sz w:val="24"/>
          <w:szCs w:val="24"/>
          <w:highlight w:val="none"/>
        </w:rPr>
        <w:t xml:space="preserve"> </w:t>
      </w:r>
      <w:r>
        <w:rPr>
          <w:rFonts w:ascii="黑体" w:hAnsi="黑体" w:eastAsia="黑体" w:cs="黑体"/>
          <w:spacing w:val="-3"/>
          <w:sz w:val="24"/>
          <w:szCs w:val="24"/>
          <w:highlight w:val="none"/>
        </w:rPr>
        <w:t>道路通行权和场外设施</w:t>
      </w:r>
      <w:r>
        <w:rPr>
          <w:rFonts w:ascii="黑体" w:hAnsi="黑体" w:eastAsia="黑体" w:cs="黑体"/>
          <w:spacing w:val="-32"/>
          <w:sz w:val="24"/>
          <w:szCs w:val="24"/>
          <w:highlight w:val="none"/>
        </w:rPr>
        <w:t xml:space="preserve"> </w:t>
      </w:r>
      <w:r>
        <w:rPr>
          <w:rFonts w:ascii="黑体" w:hAnsi="黑体" w:eastAsia="黑体" w:cs="黑体"/>
          <w:spacing w:val="-3"/>
          <w:sz w:val="24"/>
          <w:szCs w:val="24"/>
          <w:highlight w:val="none"/>
        </w:rPr>
        <w:t>(</w:t>
      </w:r>
      <w:r>
        <w:rPr>
          <w:rFonts w:ascii="黑体" w:hAnsi="黑体" w:eastAsia="黑体" w:cs="黑体"/>
          <w:spacing w:val="-55"/>
          <w:sz w:val="24"/>
          <w:szCs w:val="24"/>
          <w:highlight w:val="none"/>
        </w:rPr>
        <w:t xml:space="preserve"> </w:t>
      </w:r>
      <w:r>
        <w:rPr>
          <w:spacing w:val="-3"/>
          <w:sz w:val="24"/>
          <w:szCs w:val="24"/>
          <w:highlight w:val="none"/>
        </w:rPr>
        <w:t>A)</w:t>
      </w:r>
    </w:p>
    <w:p w14:paraId="572A239D">
      <w:pPr>
        <w:spacing w:before="167" w:line="415" w:lineRule="auto"/>
        <w:ind w:right="34" w:firstLine="420"/>
        <w:jc w:val="both"/>
        <w:rPr>
          <w:rFonts w:ascii="宋体" w:hAnsi="宋体" w:eastAsia="宋体" w:cs="宋体"/>
          <w:sz w:val="21"/>
          <w:szCs w:val="21"/>
          <w:highlight w:val="none"/>
        </w:rPr>
      </w:pPr>
      <w:r>
        <w:rPr>
          <w:rFonts w:ascii="宋体" w:hAnsi="宋体" w:eastAsia="宋体" w:cs="宋体"/>
          <w:spacing w:val="4"/>
          <w:sz w:val="21"/>
          <w:szCs w:val="21"/>
          <w:highlight w:val="none"/>
        </w:rPr>
        <w:t>发包人应根据工程的施工需要，负责办理取</w:t>
      </w:r>
      <w:r>
        <w:rPr>
          <w:rFonts w:ascii="宋体" w:hAnsi="宋体" w:eastAsia="宋体" w:cs="宋体"/>
          <w:spacing w:val="3"/>
          <w:sz w:val="21"/>
          <w:szCs w:val="21"/>
          <w:highlight w:val="none"/>
        </w:rPr>
        <w:t>得出入施工场地的专用和临时道路的通行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权，以及取得为工程建设所需修建场外设施的权利，并承担有关费用。承包人应协助发</w:t>
      </w:r>
      <w:r>
        <w:rPr>
          <w:rFonts w:ascii="宋体" w:hAnsi="宋体" w:eastAsia="宋体" w:cs="宋体"/>
          <w:spacing w:val="-3"/>
          <w:sz w:val="21"/>
          <w:szCs w:val="21"/>
          <w:highlight w:val="none"/>
        </w:rPr>
        <w:t>包人</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办理上述手续。</w:t>
      </w:r>
    </w:p>
    <w:p w14:paraId="0C8C1E79">
      <w:pPr>
        <w:pStyle w:val="2"/>
        <w:spacing w:before="71" w:line="212" w:lineRule="auto"/>
        <w:rPr>
          <w:sz w:val="24"/>
          <w:szCs w:val="24"/>
          <w:highlight w:val="none"/>
        </w:rPr>
      </w:pPr>
      <w:r>
        <w:rPr>
          <w:rFonts w:ascii="黑体" w:hAnsi="黑体" w:eastAsia="黑体" w:cs="黑体"/>
          <w:spacing w:val="4"/>
          <w:sz w:val="24"/>
          <w:szCs w:val="24"/>
          <w:highlight w:val="none"/>
        </w:rPr>
        <w:t>8.1道路通行权和场外设施 (</w:t>
      </w:r>
      <w:r>
        <w:rPr>
          <w:spacing w:val="4"/>
          <w:sz w:val="24"/>
          <w:szCs w:val="24"/>
          <w:highlight w:val="none"/>
        </w:rPr>
        <w:t>B)</w:t>
      </w:r>
    </w:p>
    <w:p w14:paraId="5E9EFDDC">
      <w:pPr>
        <w:spacing w:before="130" w:line="404" w:lineRule="auto"/>
        <w:ind w:right="34" w:firstLine="420"/>
        <w:jc w:val="both"/>
        <w:rPr>
          <w:rFonts w:ascii="宋体" w:hAnsi="宋体" w:eastAsia="宋体" w:cs="宋体"/>
          <w:sz w:val="22"/>
          <w:szCs w:val="22"/>
          <w:highlight w:val="none"/>
        </w:rPr>
      </w:pPr>
      <w:r>
        <w:rPr>
          <w:rFonts w:ascii="宋体" w:hAnsi="宋体" w:eastAsia="宋体" w:cs="宋体"/>
          <w:spacing w:val="-7"/>
          <w:sz w:val="22"/>
          <w:szCs w:val="22"/>
          <w:highlight w:val="none"/>
        </w:rPr>
        <w:t>承包人应根据工程的施工需要，负责办理取得出入施工场地的专用和临时道路的通行</w:t>
      </w:r>
      <w:r>
        <w:rPr>
          <w:rFonts w:ascii="宋体" w:hAnsi="宋体" w:eastAsia="宋体" w:cs="宋体"/>
          <w:spacing w:val="18"/>
          <w:sz w:val="22"/>
          <w:szCs w:val="22"/>
          <w:highlight w:val="none"/>
        </w:rPr>
        <w:t xml:space="preserve"> </w:t>
      </w:r>
      <w:r>
        <w:rPr>
          <w:rFonts w:ascii="宋体" w:hAnsi="宋体" w:eastAsia="宋体" w:cs="宋体"/>
          <w:spacing w:val="-12"/>
          <w:sz w:val="22"/>
          <w:szCs w:val="22"/>
          <w:highlight w:val="none"/>
        </w:rPr>
        <w:t>权，以及取得为工程建设所需修建场外设施的权利，并承担有关费用。发包人应协助承</w:t>
      </w:r>
      <w:r>
        <w:rPr>
          <w:rFonts w:ascii="宋体" w:hAnsi="宋体" w:eastAsia="宋体" w:cs="宋体"/>
          <w:spacing w:val="-13"/>
          <w:sz w:val="22"/>
          <w:szCs w:val="22"/>
          <w:highlight w:val="none"/>
        </w:rPr>
        <w:t>包人</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办理上述手续。</w:t>
      </w:r>
    </w:p>
    <w:p w14:paraId="73907D80">
      <w:pPr>
        <w:pStyle w:val="2"/>
        <w:spacing w:line="466" w:lineRule="auto"/>
        <w:rPr>
          <w:highlight w:val="none"/>
        </w:rPr>
      </w:pPr>
    </w:p>
    <w:p w14:paraId="35620B6F">
      <w:pPr>
        <w:spacing w:before="78" w:line="224" w:lineRule="auto"/>
        <w:rPr>
          <w:rFonts w:ascii="黑体" w:hAnsi="黑体" w:eastAsia="黑体" w:cs="黑体"/>
          <w:sz w:val="24"/>
          <w:szCs w:val="24"/>
          <w:highlight w:val="none"/>
        </w:rPr>
      </w:pPr>
      <w:r>
        <w:rPr>
          <w:rFonts w:ascii="黑体" w:hAnsi="黑体" w:eastAsia="黑体" w:cs="黑体"/>
          <w:spacing w:val="11"/>
          <w:sz w:val="24"/>
          <w:szCs w:val="24"/>
          <w:highlight w:val="none"/>
        </w:rPr>
        <w:t>8.2场内施工道路</w:t>
      </w:r>
    </w:p>
    <w:p w14:paraId="1C5D388D">
      <w:pPr>
        <w:spacing w:before="128" w:line="355" w:lineRule="auto"/>
        <w:ind w:right="28"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8.2.1    </w:t>
      </w:r>
      <w:r>
        <w:rPr>
          <w:rFonts w:ascii="宋体" w:hAnsi="宋体" w:eastAsia="宋体" w:cs="宋体"/>
          <w:spacing w:val="-2"/>
          <w:sz w:val="21"/>
          <w:szCs w:val="21"/>
          <w:highlight w:val="none"/>
        </w:rPr>
        <w:t>除专用合同条款另有约定外，承包人应负责修建、维修、养护和管理施工所需的</w:t>
      </w:r>
      <w:r>
        <w:rPr>
          <w:rFonts w:ascii="宋体" w:hAnsi="宋体" w:eastAsia="宋体" w:cs="宋体"/>
          <w:spacing w:val="13"/>
          <w:sz w:val="21"/>
          <w:szCs w:val="21"/>
          <w:highlight w:val="none"/>
        </w:rPr>
        <w:t xml:space="preserve"> </w:t>
      </w:r>
      <w:r>
        <w:rPr>
          <w:rFonts w:ascii="宋体" w:hAnsi="宋体" w:eastAsia="宋体" w:cs="宋体"/>
          <w:spacing w:val="-2"/>
          <w:sz w:val="21"/>
          <w:szCs w:val="21"/>
          <w:highlight w:val="none"/>
        </w:rPr>
        <w:t>临时道路和交通设施，包括维修、养护和管理发包人提供的道路和交通设施，并承担相应费</w:t>
      </w:r>
      <w:r>
        <w:rPr>
          <w:rFonts w:ascii="宋体" w:hAnsi="宋体" w:eastAsia="宋体" w:cs="宋体"/>
          <w:spacing w:val="2"/>
          <w:sz w:val="21"/>
          <w:szCs w:val="21"/>
          <w:highlight w:val="none"/>
        </w:rPr>
        <w:t xml:space="preserve"> </w:t>
      </w:r>
      <w:r>
        <w:rPr>
          <w:rFonts w:ascii="宋体" w:hAnsi="宋体" w:eastAsia="宋体" w:cs="宋体"/>
          <w:spacing w:val="-11"/>
          <w:sz w:val="21"/>
          <w:szCs w:val="21"/>
          <w:highlight w:val="none"/>
        </w:rPr>
        <w:t>用。</w:t>
      </w:r>
    </w:p>
    <w:p w14:paraId="136F3ED7">
      <w:pPr>
        <w:spacing w:before="236" w:line="321" w:lineRule="auto"/>
        <w:ind w:right="35"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8.2.2    </w:t>
      </w:r>
      <w:r>
        <w:rPr>
          <w:rFonts w:ascii="宋体" w:hAnsi="宋体" w:eastAsia="宋体" w:cs="宋体"/>
          <w:spacing w:val="-2"/>
          <w:sz w:val="21"/>
          <w:szCs w:val="21"/>
          <w:highlight w:val="none"/>
        </w:rPr>
        <w:t>除专用合同条款另有约定外，承包人修建的临时道路和交通设施应免费提供发包</w:t>
      </w:r>
      <w:r>
        <w:rPr>
          <w:rFonts w:ascii="宋体" w:hAnsi="宋体" w:eastAsia="宋体" w:cs="宋体"/>
          <w:spacing w:val="6"/>
          <w:sz w:val="21"/>
          <w:szCs w:val="21"/>
          <w:highlight w:val="none"/>
        </w:rPr>
        <w:t xml:space="preserve"> </w:t>
      </w:r>
      <w:r>
        <w:rPr>
          <w:rFonts w:ascii="宋体" w:hAnsi="宋体" w:eastAsia="宋体" w:cs="宋体"/>
          <w:spacing w:val="-3"/>
          <w:sz w:val="21"/>
          <w:szCs w:val="21"/>
          <w:highlight w:val="none"/>
        </w:rPr>
        <w:t>人和监理人为实现合同目的使用。</w:t>
      </w:r>
    </w:p>
    <w:p w14:paraId="47C7A8E4">
      <w:pPr>
        <w:spacing w:before="292" w:line="222" w:lineRule="auto"/>
        <w:rPr>
          <w:rFonts w:ascii="黑体" w:hAnsi="黑体" w:eastAsia="黑体" w:cs="黑体"/>
          <w:sz w:val="24"/>
          <w:szCs w:val="24"/>
          <w:highlight w:val="none"/>
        </w:rPr>
      </w:pPr>
      <w:r>
        <w:rPr>
          <w:rFonts w:ascii="黑体" w:hAnsi="黑体" w:eastAsia="黑体" w:cs="黑体"/>
          <w:spacing w:val="12"/>
          <w:sz w:val="24"/>
          <w:szCs w:val="24"/>
          <w:highlight w:val="none"/>
        </w:rPr>
        <w:t>8.3场外交通</w:t>
      </w:r>
    </w:p>
    <w:p w14:paraId="23116202">
      <w:pPr>
        <w:spacing w:before="129" w:line="313" w:lineRule="auto"/>
        <w:ind w:right="35" w:firstLine="420"/>
        <w:rPr>
          <w:rFonts w:ascii="宋体" w:hAnsi="宋体" w:eastAsia="宋体" w:cs="宋体"/>
          <w:sz w:val="21"/>
          <w:szCs w:val="21"/>
          <w:highlight w:val="none"/>
        </w:rPr>
      </w:pPr>
      <w:r>
        <w:rPr>
          <w:rFonts w:ascii="宋体" w:hAnsi="宋体" w:eastAsia="宋体" w:cs="宋体"/>
          <w:spacing w:val="1"/>
          <w:sz w:val="21"/>
          <w:szCs w:val="21"/>
          <w:highlight w:val="none"/>
        </w:rPr>
        <w:t>8.3.1承包人车辆外出行驶所需的场外公共道路</w:t>
      </w:r>
      <w:r>
        <w:rPr>
          <w:rFonts w:ascii="宋体" w:hAnsi="宋体" w:eastAsia="宋体" w:cs="宋体"/>
          <w:sz w:val="21"/>
          <w:szCs w:val="21"/>
          <w:highlight w:val="none"/>
        </w:rPr>
        <w:t xml:space="preserve">的通行费、养路费和税款等由承包人承 </w:t>
      </w:r>
      <w:r>
        <w:rPr>
          <w:rFonts w:ascii="宋体" w:hAnsi="宋体" w:eastAsia="宋体" w:cs="宋体"/>
          <w:spacing w:val="-10"/>
          <w:sz w:val="21"/>
          <w:szCs w:val="21"/>
          <w:highlight w:val="none"/>
        </w:rPr>
        <w:t>担。</w:t>
      </w:r>
    </w:p>
    <w:p w14:paraId="53145D72">
      <w:pPr>
        <w:spacing w:before="239" w:line="316" w:lineRule="auto"/>
        <w:ind w:right="16" w:firstLine="42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8.3.2    </w:t>
      </w:r>
      <w:r>
        <w:rPr>
          <w:rFonts w:ascii="宋体" w:hAnsi="宋体" w:eastAsia="宋体" w:cs="宋体"/>
          <w:spacing w:val="-1"/>
          <w:sz w:val="21"/>
          <w:szCs w:val="21"/>
          <w:highlight w:val="none"/>
        </w:rPr>
        <w:t>承包人应遵守有关交通法规，严格按</w:t>
      </w:r>
      <w:r>
        <w:rPr>
          <w:rFonts w:ascii="宋体" w:hAnsi="宋体" w:eastAsia="宋体" w:cs="宋体"/>
          <w:spacing w:val="-2"/>
          <w:sz w:val="21"/>
          <w:szCs w:val="21"/>
          <w:highlight w:val="none"/>
        </w:rPr>
        <w:t>照道路和桥梁的限制荷重安全行驶，并服从</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交通管理部门的检查和监督。</w:t>
      </w:r>
    </w:p>
    <w:p w14:paraId="54783C32">
      <w:pPr>
        <w:spacing w:before="301" w:line="222" w:lineRule="auto"/>
        <w:rPr>
          <w:rFonts w:ascii="黑体" w:hAnsi="黑体" w:eastAsia="黑体" w:cs="黑体"/>
          <w:sz w:val="24"/>
          <w:szCs w:val="24"/>
          <w:highlight w:val="none"/>
        </w:rPr>
      </w:pPr>
      <w:r>
        <w:rPr>
          <w:rFonts w:ascii="黑体" w:hAnsi="黑体" w:eastAsia="黑体" w:cs="黑体"/>
          <w:spacing w:val="6"/>
          <w:sz w:val="24"/>
          <w:szCs w:val="24"/>
          <w:highlight w:val="none"/>
        </w:rPr>
        <w:t>8.4超大件和超重件的运输</w:t>
      </w:r>
    </w:p>
    <w:p w14:paraId="5A81855E">
      <w:pPr>
        <w:spacing w:before="131" w:line="419" w:lineRule="auto"/>
        <w:ind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由承包人负责运输的超大件或超重件，应由承包人负责向交通管理部</w:t>
      </w:r>
      <w:r>
        <w:rPr>
          <w:rFonts w:ascii="宋体" w:hAnsi="宋体" w:eastAsia="宋体" w:cs="宋体"/>
          <w:spacing w:val="-2"/>
          <w:sz w:val="21"/>
          <w:szCs w:val="21"/>
          <w:highlight w:val="none"/>
        </w:rPr>
        <w:t>门办理申请手续，</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发包人给予协助。运输超大件或超重件所需的道路和桥</w:t>
      </w:r>
      <w:r>
        <w:rPr>
          <w:rFonts w:ascii="宋体" w:hAnsi="宋体" w:eastAsia="宋体" w:cs="宋体"/>
          <w:spacing w:val="2"/>
          <w:sz w:val="21"/>
          <w:szCs w:val="21"/>
          <w:highlight w:val="none"/>
        </w:rPr>
        <w:t>梁临时加固改造费用和其他有关费</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用，由承包人承担，但专用合同条款另有约定除外。</w:t>
      </w:r>
    </w:p>
    <w:p w14:paraId="0FCAD266">
      <w:pPr>
        <w:spacing w:before="70" w:line="221" w:lineRule="auto"/>
        <w:rPr>
          <w:rFonts w:ascii="黑体" w:hAnsi="黑体" w:eastAsia="黑体" w:cs="黑体"/>
          <w:sz w:val="24"/>
          <w:szCs w:val="24"/>
          <w:highlight w:val="none"/>
        </w:rPr>
      </w:pPr>
      <w:r>
        <w:rPr>
          <w:rFonts w:ascii="黑体" w:hAnsi="黑体" w:eastAsia="黑体" w:cs="黑体"/>
          <w:spacing w:val="8"/>
          <w:sz w:val="24"/>
          <w:szCs w:val="24"/>
          <w:highlight w:val="none"/>
        </w:rPr>
        <w:t>8.5道路和桥梁的损坏责任</w:t>
      </w:r>
    </w:p>
    <w:p w14:paraId="24642ED5">
      <w:pPr>
        <w:spacing w:before="122" w:line="407" w:lineRule="auto"/>
        <w:ind w:right="33" w:firstLine="420"/>
        <w:rPr>
          <w:rFonts w:ascii="宋体" w:hAnsi="宋体" w:eastAsia="宋体" w:cs="宋体"/>
          <w:sz w:val="21"/>
          <w:szCs w:val="21"/>
          <w:highlight w:val="none"/>
        </w:rPr>
      </w:pPr>
      <w:r>
        <w:rPr>
          <w:rFonts w:ascii="宋体" w:hAnsi="宋体" w:eastAsia="宋体" w:cs="宋体"/>
          <w:spacing w:val="-2"/>
          <w:sz w:val="21"/>
          <w:szCs w:val="21"/>
          <w:highlight w:val="none"/>
        </w:rPr>
        <w:t>因承包人运输造成施工场地内外公共道路和桥梁损坏的，由承包人承担修复损</w:t>
      </w:r>
      <w:r>
        <w:rPr>
          <w:rFonts w:ascii="宋体" w:hAnsi="宋体" w:eastAsia="宋体" w:cs="宋体"/>
          <w:spacing w:val="-3"/>
          <w:sz w:val="21"/>
          <w:szCs w:val="21"/>
          <w:highlight w:val="none"/>
        </w:rPr>
        <w:t>坏的全部</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费用和可能引起的赔偿。</w:t>
      </w:r>
    </w:p>
    <w:p w14:paraId="36198613">
      <w:pPr>
        <w:spacing w:line="407" w:lineRule="auto"/>
        <w:rPr>
          <w:rFonts w:ascii="宋体" w:hAnsi="宋体" w:eastAsia="宋体" w:cs="宋体"/>
          <w:sz w:val="21"/>
          <w:szCs w:val="21"/>
          <w:highlight w:val="none"/>
        </w:rPr>
        <w:sectPr>
          <w:footerReference r:id="rId189" w:type="default"/>
          <w:pgSz w:w="11910" w:h="16840"/>
          <w:pgMar w:top="400" w:right="1784" w:bottom="1217" w:left="1769" w:header="0" w:footer="1013" w:gutter="0"/>
          <w:cols w:space="720" w:num="1"/>
        </w:sectPr>
      </w:pPr>
    </w:p>
    <w:p w14:paraId="26D68FC1">
      <w:pPr>
        <w:pStyle w:val="2"/>
        <w:spacing w:line="241" w:lineRule="auto"/>
        <w:rPr>
          <w:highlight w:val="none"/>
        </w:rPr>
      </w:pPr>
    </w:p>
    <w:p w14:paraId="7D832329">
      <w:pPr>
        <w:pStyle w:val="2"/>
        <w:spacing w:line="241" w:lineRule="auto"/>
        <w:rPr>
          <w:highlight w:val="none"/>
        </w:rPr>
      </w:pPr>
    </w:p>
    <w:p w14:paraId="3E11322B">
      <w:pPr>
        <w:pStyle w:val="2"/>
        <w:spacing w:line="241" w:lineRule="auto"/>
        <w:rPr>
          <w:highlight w:val="none"/>
        </w:rPr>
      </w:pPr>
    </w:p>
    <w:p w14:paraId="6265AEDD">
      <w:pPr>
        <w:pStyle w:val="2"/>
        <w:spacing w:line="241" w:lineRule="auto"/>
        <w:rPr>
          <w:highlight w:val="none"/>
        </w:rPr>
      </w:pPr>
    </w:p>
    <w:p w14:paraId="268B6432">
      <w:pPr>
        <w:spacing w:before="78" w:line="222" w:lineRule="auto"/>
        <w:rPr>
          <w:rFonts w:ascii="黑体" w:hAnsi="黑体" w:eastAsia="黑体" w:cs="黑体"/>
          <w:sz w:val="24"/>
          <w:szCs w:val="24"/>
          <w:highlight w:val="none"/>
        </w:rPr>
      </w:pPr>
      <w:bookmarkStart w:id="179" w:name="bookmark275"/>
      <w:bookmarkEnd w:id="179"/>
      <w:r>
        <w:rPr>
          <w:rFonts w:ascii="黑体" w:hAnsi="黑体" w:eastAsia="黑体" w:cs="黑体"/>
          <w:spacing w:val="9"/>
          <w:sz w:val="24"/>
          <w:szCs w:val="24"/>
          <w:highlight w:val="none"/>
        </w:rPr>
        <w:t>8.6水路和航空运输</w:t>
      </w:r>
    </w:p>
    <w:p w14:paraId="4AB1572E">
      <w:pPr>
        <w:spacing w:before="141" w:line="397" w:lineRule="auto"/>
        <w:ind w:right="120" w:firstLine="420"/>
        <w:jc w:val="both"/>
        <w:rPr>
          <w:rFonts w:ascii="宋体" w:hAnsi="宋体" w:eastAsia="宋体" w:cs="宋体"/>
          <w:sz w:val="21"/>
          <w:szCs w:val="21"/>
          <w:highlight w:val="none"/>
        </w:rPr>
      </w:pPr>
      <w:r>
        <w:rPr>
          <w:rFonts w:ascii="宋体" w:hAnsi="宋体" w:eastAsia="宋体" w:cs="宋体"/>
          <w:spacing w:val="-8"/>
          <w:sz w:val="21"/>
          <w:szCs w:val="21"/>
          <w:highlight w:val="none"/>
        </w:rPr>
        <w:t>本条上述各款的内容适用于水路运输和航空运输，其中“道路”一词的涵义包括河道</w:t>
      </w:r>
      <w:r>
        <w:rPr>
          <w:rFonts w:ascii="宋体" w:hAnsi="宋体" w:eastAsia="宋体" w:cs="宋体"/>
          <w:spacing w:val="-9"/>
          <w:sz w:val="21"/>
          <w:szCs w:val="21"/>
          <w:highlight w:val="none"/>
        </w:rPr>
        <w:t>、航</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线、船闸、机场、码头、堤防以及水路或航空运输中其他相似结构物；“车辆”一词的涵义包</w:t>
      </w:r>
      <w:r>
        <w:rPr>
          <w:rFonts w:ascii="宋体" w:hAnsi="宋体" w:eastAsia="宋体" w:cs="宋体"/>
          <w:spacing w:val="16"/>
          <w:sz w:val="21"/>
          <w:szCs w:val="21"/>
          <w:highlight w:val="none"/>
        </w:rPr>
        <w:t xml:space="preserve"> </w:t>
      </w:r>
      <w:r>
        <w:rPr>
          <w:rFonts w:ascii="宋体" w:hAnsi="宋体" w:eastAsia="宋体" w:cs="宋体"/>
          <w:spacing w:val="-5"/>
          <w:sz w:val="21"/>
          <w:szCs w:val="21"/>
          <w:highlight w:val="none"/>
        </w:rPr>
        <w:t>括船舶和飞机等。</w:t>
      </w:r>
    </w:p>
    <w:p w14:paraId="507A1701">
      <w:pPr>
        <w:pStyle w:val="2"/>
        <w:spacing w:line="327" w:lineRule="exact"/>
        <w:outlineLvl w:val="1"/>
        <w:rPr>
          <w:rFonts w:ascii="黑体" w:hAnsi="黑体" w:eastAsia="黑体" w:cs="黑体"/>
          <w:sz w:val="24"/>
          <w:szCs w:val="24"/>
          <w:highlight w:val="none"/>
        </w:rPr>
      </w:pPr>
      <w:bookmarkStart w:id="180" w:name="bookmark104"/>
      <w:bookmarkEnd w:id="180"/>
      <w:r>
        <w:rPr>
          <w:spacing w:val="2"/>
          <w:position w:val="1"/>
          <w:sz w:val="24"/>
          <w:szCs w:val="24"/>
          <w:highlight w:val="none"/>
        </w:rPr>
        <w:t>9.</w:t>
      </w:r>
      <w:r>
        <w:rPr>
          <w:spacing w:val="27"/>
          <w:w w:val="101"/>
          <w:position w:val="1"/>
          <w:sz w:val="24"/>
          <w:szCs w:val="24"/>
          <w:highlight w:val="none"/>
        </w:rPr>
        <w:t xml:space="preserve"> </w:t>
      </w:r>
      <w:r>
        <w:rPr>
          <w:rFonts w:ascii="黑体" w:hAnsi="黑体" w:eastAsia="黑体" w:cs="黑体"/>
          <w:spacing w:val="2"/>
          <w:position w:val="1"/>
          <w:sz w:val="24"/>
          <w:szCs w:val="24"/>
          <w:highlight w:val="none"/>
        </w:rPr>
        <w:t>测量放线</w:t>
      </w:r>
    </w:p>
    <w:p w14:paraId="202C7B3A">
      <w:pPr>
        <w:spacing w:before="190" w:line="223" w:lineRule="auto"/>
        <w:rPr>
          <w:rFonts w:ascii="黑体" w:hAnsi="黑体" w:eastAsia="黑体" w:cs="黑体"/>
          <w:sz w:val="24"/>
          <w:szCs w:val="24"/>
          <w:highlight w:val="none"/>
        </w:rPr>
      </w:pPr>
      <w:r>
        <w:rPr>
          <w:rFonts w:ascii="黑体" w:hAnsi="黑体" w:eastAsia="黑体" w:cs="黑体"/>
          <w:spacing w:val="-2"/>
          <w:sz w:val="24"/>
          <w:szCs w:val="24"/>
          <w:highlight w:val="none"/>
        </w:rPr>
        <w:t>9.1 施工控制网</w:t>
      </w:r>
    </w:p>
    <w:p w14:paraId="5946BE2C">
      <w:pPr>
        <w:spacing w:before="136" w:line="365" w:lineRule="auto"/>
        <w:ind w:right="25" w:firstLine="42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9.1.1    </w:t>
      </w:r>
      <w:r>
        <w:rPr>
          <w:rFonts w:ascii="宋体" w:hAnsi="宋体" w:eastAsia="宋体" w:cs="宋体"/>
          <w:sz w:val="21"/>
          <w:szCs w:val="21"/>
          <w:highlight w:val="none"/>
        </w:rPr>
        <w:t>发包人应在专用合同条款约定的期限内，通过监理人向承包人提</w:t>
      </w:r>
      <w:r>
        <w:rPr>
          <w:rFonts w:ascii="宋体" w:hAnsi="宋体" w:eastAsia="宋体" w:cs="宋体"/>
          <w:spacing w:val="-1"/>
          <w:sz w:val="21"/>
          <w:szCs w:val="21"/>
          <w:highlight w:val="none"/>
        </w:rPr>
        <w:t>供测量基准点、</w:t>
      </w:r>
      <w:r>
        <w:rPr>
          <w:rFonts w:ascii="宋体" w:hAnsi="宋体" w:eastAsia="宋体" w:cs="宋体"/>
          <w:sz w:val="21"/>
          <w:szCs w:val="21"/>
          <w:highlight w:val="none"/>
        </w:rPr>
        <w:t xml:space="preserve"> 基准线和水准点及其书面资料。除专用合同条款另有约定外，承包人应根据</w:t>
      </w:r>
      <w:r>
        <w:rPr>
          <w:rFonts w:ascii="宋体" w:hAnsi="宋体" w:eastAsia="宋体" w:cs="宋体"/>
          <w:spacing w:val="-1"/>
          <w:sz w:val="21"/>
          <w:szCs w:val="21"/>
          <w:highlight w:val="none"/>
        </w:rPr>
        <w:t>国家测绘基准、</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测绘系统和工程测量技术规范，按上述基准点(线)以及合同工程精度要求，测设施</w:t>
      </w:r>
      <w:r>
        <w:rPr>
          <w:rFonts w:ascii="宋体" w:hAnsi="宋体" w:eastAsia="宋体" w:cs="宋体"/>
          <w:spacing w:val="2"/>
          <w:sz w:val="21"/>
          <w:szCs w:val="21"/>
          <w:highlight w:val="none"/>
        </w:rPr>
        <w:t>工控制</w:t>
      </w:r>
      <w:r>
        <w:rPr>
          <w:rFonts w:ascii="宋体" w:hAnsi="宋体" w:eastAsia="宋体" w:cs="宋体"/>
          <w:sz w:val="21"/>
          <w:szCs w:val="21"/>
          <w:highlight w:val="none"/>
        </w:rPr>
        <w:t xml:space="preserve">  网，并在专用合同条款约定的期限内，将施工控制网资料报送</w:t>
      </w:r>
      <w:r>
        <w:rPr>
          <w:rFonts w:ascii="宋体" w:hAnsi="宋体" w:eastAsia="宋体" w:cs="宋体"/>
          <w:spacing w:val="-1"/>
          <w:sz w:val="21"/>
          <w:szCs w:val="21"/>
          <w:highlight w:val="none"/>
        </w:rPr>
        <w:t>监理人批准。</w:t>
      </w:r>
    </w:p>
    <w:p w14:paraId="14C2D9EA">
      <w:pPr>
        <w:spacing w:before="271" w:line="364" w:lineRule="auto"/>
        <w:ind w:right="81" w:firstLine="42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9.1.2    </w:t>
      </w:r>
      <w:r>
        <w:rPr>
          <w:rFonts w:ascii="宋体" w:hAnsi="宋体" w:eastAsia="宋体" w:cs="宋体"/>
          <w:spacing w:val="7"/>
          <w:sz w:val="20"/>
          <w:szCs w:val="20"/>
          <w:highlight w:val="none"/>
        </w:rPr>
        <w:t>承包人应负责管理施工控制网点。施工控制网点丢失或损坏的，承包人应及时修</w:t>
      </w:r>
      <w:r>
        <w:rPr>
          <w:rFonts w:ascii="宋体" w:hAnsi="宋体" w:eastAsia="宋体" w:cs="宋体"/>
          <w:spacing w:val="9"/>
          <w:sz w:val="20"/>
          <w:szCs w:val="20"/>
          <w:highlight w:val="none"/>
        </w:rPr>
        <w:t xml:space="preserve"> </w:t>
      </w:r>
      <w:r>
        <w:rPr>
          <w:rFonts w:ascii="宋体" w:hAnsi="宋体" w:eastAsia="宋体" w:cs="宋体"/>
          <w:spacing w:val="8"/>
          <w:sz w:val="20"/>
          <w:szCs w:val="20"/>
          <w:highlight w:val="none"/>
        </w:rPr>
        <w:t>复。承包人应承担施工控制网点的管理与修复费用，并在工程竣工后将施工控制网点</w:t>
      </w:r>
      <w:r>
        <w:rPr>
          <w:rFonts w:ascii="宋体" w:hAnsi="宋体" w:eastAsia="宋体" w:cs="宋体"/>
          <w:spacing w:val="7"/>
          <w:sz w:val="20"/>
          <w:szCs w:val="20"/>
          <w:highlight w:val="none"/>
        </w:rPr>
        <w:t>移交发</w:t>
      </w:r>
      <w:r>
        <w:rPr>
          <w:rFonts w:ascii="宋体" w:hAnsi="宋体" w:eastAsia="宋体" w:cs="宋体"/>
          <w:sz w:val="20"/>
          <w:szCs w:val="20"/>
          <w:highlight w:val="none"/>
        </w:rPr>
        <w:t xml:space="preserve"> 包人。</w:t>
      </w:r>
    </w:p>
    <w:p w14:paraId="3EF45FAB">
      <w:pPr>
        <w:spacing w:before="299" w:line="224" w:lineRule="auto"/>
        <w:rPr>
          <w:rFonts w:ascii="黑体" w:hAnsi="黑体" w:eastAsia="黑体" w:cs="黑体"/>
          <w:sz w:val="24"/>
          <w:szCs w:val="24"/>
          <w:highlight w:val="none"/>
        </w:rPr>
      </w:pPr>
      <w:r>
        <w:rPr>
          <w:rFonts w:ascii="黑体" w:hAnsi="黑体" w:eastAsia="黑体" w:cs="黑体"/>
          <w:spacing w:val="13"/>
          <w:sz w:val="24"/>
          <w:szCs w:val="24"/>
          <w:highlight w:val="none"/>
        </w:rPr>
        <w:t>9.2施工测量</w:t>
      </w:r>
    </w:p>
    <w:p w14:paraId="605FFD4F">
      <w:pPr>
        <w:spacing w:before="106" w:line="312" w:lineRule="auto"/>
        <w:ind w:firstLine="420"/>
        <w:rPr>
          <w:rFonts w:ascii="宋体" w:hAnsi="宋体" w:eastAsia="宋体" w:cs="宋体"/>
          <w:sz w:val="22"/>
          <w:szCs w:val="22"/>
          <w:highlight w:val="none"/>
        </w:rPr>
      </w:pPr>
      <w:r>
        <w:rPr>
          <w:rFonts w:ascii="宋体" w:hAnsi="宋体" w:eastAsia="宋体" w:cs="宋体"/>
          <w:spacing w:val="-6"/>
          <w:sz w:val="22"/>
          <w:szCs w:val="22"/>
          <w:highlight w:val="none"/>
        </w:rPr>
        <w:t>9.2.1承包人应负责施工过程中的全部施工测量放线工作，并</w:t>
      </w:r>
      <w:r>
        <w:rPr>
          <w:rFonts w:ascii="宋体" w:hAnsi="宋体" w:eastAsia="宋体" w:cs="宋体"/>
          <w:spacing w:val="-7"/>
          <w:sz w:val="22"/>
          <w:szCs w:val="22"/>
          <w:highlight w:val="none"/>
        </w:rPr>
        <w:t>配置合格的人员、仪器、</w:t>
      </w:r>
      <w:r>
        <w:rPr>
          <w:rFonts w:ascii="宋体" w:hAnsi="宋体" w:eastAsia="宋体" w:cs="宋体"/>
          <w:sz w:val="22"/>
          <w:szCs w:val="22"/>
          <w:highlight w:val="none"/>
        </w:rPr>
        <w:t xml:space="preserve"> </w:t>
      </w:r>
      <w:r>
        <w:rPr>
          <w:rFonts w:ascii="宋体" w:hAnsi="宋体" w:eastAsia="宋体" w:cs="宋体"/>
          <w:spacing w:val="-14"/>
          <w:sz w:val="22"/>
          <w:szCs w:val="22"/>
          <w:highlight w:val="none"/>
        </w:rPr>
        <w:t>设备和其他物品。</w:t>
      </w:r>
    </w:p>
    <w:p w14:paraId="264CA93D">
      <w:pPr>
        <w:spacing w:before="237" w:line="316" w:lineRule="auto"/>
        <w:ind w:right="93" w:firstLine="4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9.2.2    </w:t>
      </w:r>
      <w:r>
        <w:rPr>
          <w:rFonts w:ascii="宋体" w:hAnsi="宋体" w:eastAsia="宋体" w:cs="宋体"/>
          <w:spacing w:val="-2"/>
          <w:sz w:val="21"/>
          <w:szCs w:val="21"/>
          <w:highlight w:val="none"/>
        </w:rPr>
        <w:t>监理人可以指示承包人进行抽样复测，当复测中发现错误或出现超过合同约定的</w:t>
      </w:r>
      <w:r>
        <w:rPr>
          <w:rFonts w:ascii="宋体" w:hAnsi="宋体" w:eastAsia="宋体" w:cs="宋体"/>
          <w:spacing w:val="13"/>
          <w:sz w:val="21"/>
          <w:szCs w:val="21"/>
          <w:highlight w:val="none"/>
        </w:rPr>
        <w:t xml:space="preserve"> </w:t>
      </w:r>
      <w:r>
        <w:rPr>
          <w:rFonts w:ascii="宋体" w:hAnsi="宋体" w:eastAsia="宋体" w:cs="宋体"/>
          <w:spacing w:val="-1"/>
          <w:sz w:val="21"/>
          <w:szCs w:val="21"/>
          <w:highlight w:val="none"/>
        </w:rPr>
        <w:t>误差时，承包人应按监理人指示进行修正或补测，并承担</w:t>
      </w:r>
      <w:r>
        <w:rPr>
          <w:rFonts w:ascii="宋体" w:hAnsi="宋体" w:eastAsia="宋体" w:cs="宋体"/>
          <w:spacing w:val="-2"/>
          <w:sz w:val="21"/>
          <w:szCs w:val="21"/>
          <w:highlight w:val="none"/>
        </w:rPr>
        <w:t>相应的复测费用。</w:t>
      </w:r>
    </w:p>
    <w:p w14:paraId="1EF93740">
      <w:pPr>
        <w:spacing w:before="300" w:line="221" w:lineRule="auto"/>
        <w:rPr>
          <w:rFonts w:ascii="黑体" w:hAnsi="黑体" w:eastAsia="黑体" w:cs="黑体"/>
          <w:sz w:val="24"/>
          <w:szCs w:val="24"/>
          <w:highlight w:val="none"/>
        </w:rPr>
      </w:pPr>
      <w:r>
        <w:rPr>
          <w:rFonts w:ascii="黑体" w:hAnsi="黑体" w:eastAsia="黑体" w:cs="黑体"/>
          <w:spacing w:val="10"/>
          <w:sz w:val="24"/>
          <w:szCs w:val="24"/>
          <w:highlight w:val="none"/>
        </w:rPr>
        <w:t>9.3基准资料错误的责任</w:t>
      </w:r>
    </w:p>
    <w:p w14:paraId="20B1F94A">
      <w:pPr>
        <w:spacing w:before="123" w:line="423" w:lineRule="auto"/>
        <w:ind w:right="99"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发包人应对其提供的测量基准点、基准线和水准点及其书面资料的真实性、</w:t>
      </w:r>
      <w:r>
        <w:rPr>
          <w:rFonts w:ascii="宋体" w:hAnsi="宋体" w:eastAsia="宋体" w:cs="宋体"/>
          <w:spacing w:val="-3"/>
          <w:sz w:val="21"/>
          <w:szCs w:val="21"/>
          <w:highlight w:val="none"/>
        </w:rPr>
        <w:t>准确性和完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整性负责，对其提供上述基准资料错误导致承包人损失的，发包人应当承担由</w:t>
      </w:r>
      <w:r>
        <w:rPr>
          <w:rFonts w:ascii="宋体" w:hAnsi="宋体" w:eastAsia="宋体" w:cs="宋体"/>
          <w:spacing w:val="-3"/>
          <w:sz w:val="21"/>
          <w:szCs w:val="21"/>
          <w:highlight w:val="none"/>
        </w:rPr>
        <w:t>此增加的费用</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和(或)工期延误，并向承包人支付合理利润。承包人应在设计或施工中对上述</w:t>
      </w:r>
      <w:r>
        <w:rPr>
          <w:rFonts w:ascii="宋体" w:hAnsi="宋体" w:eastAsia="宋体" w:cs="宋体"/>
          <w:spacing w:val="2"/>
          <w:sz w:val="21"/>
          <w:szCs w:val="21"/>
          <w:highlight w:val="none"/>
        </w:rPr>
        <w:t>资料的准确</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性进行核实，发现存在明显错误或疏忽的，应及时通知监理人。</w:t>
      </w:r>
    </w:p>
    <w:p w14:paraId="5DFF3FA3">
      <w:pPr>
        <w:spacing w:before="75" w:line="222" w:lineRule="auto"/>
        <w:rPr>
          <w:rFonts w:ascii="黑体" w:hAnsi="黑体" w:eastAsia="黑体" w:cs="黑体"/>
          <w:sz w:val="24"/>
          <w:szCs w:val="24"/>
          <w:highlight w:val="none"/>
        </w:rPr>
      </w:pPr>
      <w:r>
        <w:rPr>
          <w:rFonts w:ascii="黑体" w:hAnsi="黑体" w:eastAsia="黑体" w:cs="黑体"/>
          <w:spacing w:val="8"/>
          <w:sz w:val="24"/>
          <w:szCs w:val="24"/>
          <w:highlight w:val="none"/>
        </w:rPr>
        <w:t>9.4监理人使用施工控制网</w:t>
      </w:r>
    </w:p>
    <w:p w14:paraId="43C95770">
      <w:pPr>
        <w:spacing w:before="91" w:line="219" w:lineRule="auto"/>
        <w:ind w:left="420"/>
        <w:rPr>
          <w:rFonts w:ascii="宋体" w:hAnsi="宋体" w:eastAsia="宋体" w:cs="宋体"/>
          <w:sz w:val="21"/>
          <w:szCs w:val="21"/>
          <w:highlight w:val="none"/>
        </w:rPr>
      </w:pPr>
      <w:r>
        <w:rPr>
          <w:rFonts w:ascii="宋体" w:hAnsi="宋体" w:eastAsia="宋体" w:cs="宋体"/>
          <w:spacing w:val="-1"/>
          <w:sz w:val="21"/>
          <w:szCs w:val="21"/>
          <w:highlight w:val="none"/>
        </w:rPr>
        <w:t>监理人需要使用施工控制网的，承包人应提供必要的协助，发包人不再为此支付费</w:t>
      </w:r>
      <w:r>
        <w:rPr>
          <w:rFonts w:ascii="宋体" w:hAnsi="宋体" w:eastAsia="宋体" w:cs="宋体"/>
          <w:spacing w:val="-2"/>
          <w:sz w:val="21"/>
          <w:szCs w:val="21"/>
          <w:highlight w:val="none"/>
        </w:rPr>
        <w:t>用。</w:t>
      </w:r>
    </w:p>
    <w:p w14:paraId="41B7783F">
      <w:pPr>
        <w:pStyle w:val="2"/>
        <w:spacing w:before="179" w:line="327" w:lineRule="exact"/>
        <w:outlineLvl w:val="1"/>
        <w:rPr>
          <w:rFonts w:ascii="黑体" w:hAnsi="黑体" w:eastAsia="黑体" w:cs="黑体"/>
          <w:sz w:val="24"/>
          <w:szCs w:val="24"/>
          <w:highlight w:val="none"/>
        </w:rPr>
      </w:pPr>
      <w:bookmarkStart w:id="181" w:name="bookmark105"/>
      <w:bookmarkEnd w:id="181"/>
      <w:r>
        <w:rPr>
          <w:spacing w:val="-1"/>
          <w:position w:val="1"/>
          <w:sz w:val="24"/>
          <w:szCs w:val="24"/>
          <w:highlight w:val="none"/>
        </w:rPr>
        <w:t xml:space="preserve">10. </w:t>
      </w:r>
      <w:r>
        <w:rPr>
          <w:rFonts w:ascii="黑体" w:hAnsi="黑体" w:eastAsia="黑体" w:cs="黑体"/>
          <w:spacing w:val="-1"/>
          <w:position w:val="1"/>
          <w:sz w:val="24"/>
          <w:szCs w:val="24"/>
          <w:highlight w:val="none"/>
        </w:rPr>
        <w:t>安全、治安保卫和环境保护</w:t>
      </w:r>
    </w:p>
    <w:p w14:paraId="2C073A0C">
      <w:pPr>
        <w:spacing w:before="185" w:line="221" w:lineRule="auto"/>
        <w:rPr>
          <w:rFonts w:ascii="黑体" w:hAnsi="黑体" w:eastAsia="黑体" w:cs="黑体"/>
          <w:sz w:val="24"/>
          <w:szCs w:val="24"/>
          <w:highlight w:val="none"/>
        </w:rPr>
      </w:pPr>
      <w:r>
        <w:rPr>
          <w:rFonts w:ascii="黑体" w:hAnsi="黑体" w:eastAsia="黑体" w:cs="黑体"/>
          <w:spacing w:val="-4"/>
          <w:sz w:val="24"/>
          <w:szCs w:val="24"/>
          <w:highlight w:val="none"/>
        </w:rPr>
        <w:t>10.1 发包人的安全责任</w:t>
      </w:r>
    </w:p>
    <w:p w14:paraId="396E04F7">
      <w:pPr>
        <w:spacing w:before="105" w:line="319" w:lineRule="auto"/>
        <w:ind w:right="120" w:firstLine="42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10.1.1</w:t>
      </w:r>
      <w:r>
        <w:rPr>
          <w:rFonts w:ascii="Times New Roman" w:hAnsi="Times New Roman" w:eastAsia="Times New Roman" w:cs="Times New Roman"/>
          <w:spacing w:val="14"/>
          <w:sz w:val="22"/>
          <w:szCs w:val="22"/>
          <w:highlight w:val="none"/>
        </w:rPr>
        <w:t xml:space="preserve">   </w:t>
      </w:r>
      <w:r>
        <w:rPr>
          <w:rFonts w:ascii="宋体" w:hAnsi="宋体" w:eastAsia="宋体" w:cs="宋体"/>
          <w:spacing w:val="-9"/>
          <w:sz w:val="22"/>
          <w:szCs w:val="22"/>
          <w:highlight w:val="none"/>
        </w:rPr>
        <w:t>发包人应按合同约定履行安全职责，授权监理人按合同约定的安全工作内容监</w:t>
      </w:r>
      <w:r>
        <w:rPr>
          <w:rFonts w:ascii="宋体" w:hAnsi="宋体" w:eastAsia="宋体" w:cs="宋体"/>
          <w:spacing w:val="1"/>
          <w:sz w:val="22"/>
          <w:szCs w:val="22"/>
          <w:highlight w:val="none"/>
        </w:rPr>
        <w:t xml:space="preserve"> </w:t>
      </w:r>
      <w:r>
        <w:rPr>
          <w:rFonts w:ascii="宋体" w:hAnsi="宋体" w:eastAsia="宋体" w:cs="宋体"/>
          <w:spacing w:val="-10"/>
          <w:sz w:val="22"/>
          <w:szCs w:val="22"/>
          <w:highlight w:val="none"/>
        </w:rPr>
        <w:t>督、检查承包人安全工作的实施，组织承包人和</w:t>
      </w:r>
      <w:r>
        <w:rPr>
          <w:rFonts w:ascii="宋体" w:hAnsi="宋体" w:eastAsia="宋体" w:cs="宋体"/>
          <w:spacing w:val="-11"/>
          <w:sz w:val="22"/>
          <w:szCs w:val="22"/>
          <w:highlight w:val="none"/>
        </w:rPr>
        <w:t>有关单位进行安全检查。</w:t>
      </w:r>
    </w:p>
    <w:p w14:paraId="1190E08B">
      <w:pPr>
        <w:spacing w:before="227" w:line="219" w:lineRule="auto"/>
        <w:ind w:left="42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10.1.2    </w:t>
      </w:r>
      <w:r>
        <w:rPr>
          <w:rFonts w:ascii="宋体" w:hAnsi="宋体" w:eastAsia="宋体" w:cs="宋体"/>
          <w:spacing w:val="9"/>
          <w:sz w:val="20"/>
          <w:szCs w:val="20"/>
          <w:highlight w:val="none"/>
        </w:rPr>
        <w:t>发包人应对其现场机构雇佣的全部人员的工伤事故承</w:t>
      </w:r>
      <w:r>
        <w:rPr>
          <w:rFonts w:ascii="宋体" w:hAnsi="宋体" w:eastAsia="宋体" w:cs="宋体"/>
          <w:spacing w:val="8"/>
          <w:sz w:val="20"/>
          <w:szCs w:val="20"/>
          <w:highlight w:val="none"/>
        </w:rPr>
        <w:t>担责任，但由于承包人原</w:t>
      </w:r>
    </w:p>
    <w:p w14:paraId="27DB5913">
      <w:pPr>
        <w:spacing w:line="219" w:lineRule="auto"/>
        <w:rPr>
          <w:rFonts w:ascii="宋体" w:hAnsi="宋体" w:eastAsia="宋体" w:cs="宋体"/>
          <w:sz w:val="20"/>
          <w:szCs w:val="20"/>
          <w:highlight w:val="none"/>
        </w:rPr>
        <w:sectPr>
          <w:footerReference r:id="rId190" w:type="default"/>
          <w:pgSz w:w="11910" w:h="16840"/>
          <w:pgMar w:top="400" w:right="1719" w:bottom="1217" w:left="1769" w:header="0" w:footer="1013" w:gutter="0"/>
          <w:cols w:space="720" w:num="1"/>
        </w:sectPr>
      </w:pPr>
    </w:p>
    <w:p w14:paraId="39865F63">
      <w:pPr>
        <w:pStyle w:val="2"/>
        <w:spacing w:line="270" w:lineRule="auto"/>
        <w:rPr>
          <w:highlight w:val="none"/>
        </w:rPr>
      </w:pPr>
    </w:p>
    <w:p w14:paraId="62771F1D">
      <w:pPr>
        <w:pStyle w:val="2"/>
        <w:spacing w:line="270" w:lineRule="auto"/>
        <w:rPr>
          <w:highlight w:val="none"/>
        </w:rPr>
      </w:pPr>
    </w:p>
    <w:p w14:paraId="4625B983">
      <w:pPr>
        <w:pStyle w:val="2"/>
        <w:spacing w:line="270" w:lineRule="auto"/>
        <w:rPr>
          <w:highlight w:val="none"/>
        </w:rPr>
      </w:pPr>
    </w:p>
    <w:p w14:paraId="4ADBB93B">
      <w:pPr>
        <w:pStyle w:val="2"/>
        <w:spacing w:line="271" w:lineRule="auto"/>
        <w:rPr>
          <w:highlight w:val="none"/>
        </w:rPr>
      </w:pPr>
    </w:p>
    <w:p w14:paraId="2EE80FF5">
      <w:pPr>
        <w:spacing w:before="71" w:line="219" w:lineRule="auto"/>
        <w:rPr>
          <w:rFonts w:ascii="宋体" w:hAnsi="宋体" w:eastAsia="宋体" w:cs="宋体"/>
          <w:sz w:val="22"/>
          <w:szCs w:val="22"/>
          <w:highlight w:val="none"/>
        </w:rPr>
      </w:pPr>
      <w:r>
        <w:rPr>
          <w:rFonts w:ascii="宋体" w:hAnsi="宋体" w:eastAsia="宋体" w:cs="宋体"/>
          <w:spacing w:val="-11"/>
          <w:sz w:val="22"/>
          <w:szCs w:val="22"/>
          <w:highlight w:val="none"/>
        </w:rPr>
        <w:t>因造成发包人人员工伤的，应由承包人承担责任。</w:t>
      </w:r>
    </w:p>
    <w:p w14:paraId="3352F0DA">
      <w:pPr>
        <w:spacing w:before="228" w:line="219" w:lineRule="auto"/>
        <w:ind w:left="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10.1.3    </w:t>
      </w:r>
      <w:r>
        <w:rPr>
          <w:rFonts w:ascii="宋体" w:hAnsi="宋体" w:eastAsia="宋体" w:cs="宋体"/>
          <w:spacing w:val="-1"/>
          <w:sz w:val="21"/>
          <w:szCs w:val="21"/>
          <w:highlight w:val="none"/>
        </w:rPr>
        <w:t>发包人应负责赔偿以下各种情况造成的第三者人身伤亡和财产损失：</w:t>
      </w:r>
    </w:p>
    <w:p w14:paraId="1131DDEF">
      <w:pPr>
        <w:spacing w:before="230" w:line="219"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(1)工程或工程的任何部分对土地的占用所造成的第三者财产损失；</w:t>
      </w:r>
    </w:p>
    <w:p w14:paraId="24953255">
      <w:pPr>
        <w:spacing w:before="243" w:line="316" w:lineRule="auto"/>
        <w:ind w:right="99" w:firstLine="539"/>
        <w:rPr>
          <w:rFonts w:ascii="宋体" w:hAnsi="宋体" w:eastAsia="宋体" w:cs="宋体"/>
          <w:sz w:val="21"/>
          <w:szCs w:val="21"/>
          <w:highlight w:val="none"/>
        </w:rPr>
      </w:pPr>
      <w:r>
        <w:rPr>
          <w:rFonts w:ascii="宋体" w:hAnsi="宋体" w:eastAsia="宋体" w:cs="宋体"/>
          <w:spacing w:val="3"/>
          <w:sz w:val="21"/>
          <w:szCs w:val="21"/>
          <w:highlight w:val="none"/>
        </w:rPr>
        <w:t>(2)由于发包人原因在施工场地及其毗邻地带、履行合同工作</w:t>
      </w:r>
      <w:r>
        <w:rPr>
          <w:rFonts w:ascii="宋体" w:hAnsi="宋体" w:eastAsia="宋体" w:cs="宋体"/>
          <w:spacing w:val="2"/>
          <w:sz w:val="21"/>
          <w:szCs w:val="21"/>
          <w:highlight w:val="none"/>
        </w:rPr>
        <w:t>中造成的第三者人身伤</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亡和财产损失。</w:t>
      </w:r>
    </w:p>
    <w:p w14:paraId="74FE89BD">
      <w:pPr>
        <w:spacing w:before="279" w:line="221" w:lineRule="auto"/>
        <w:rPr>
          <w:rFonts w:ascii="黑体" w:hAnsi="黑体" w:eastAsia="黑体" w:cs="黑体"/>
          <w:sz w:val="24"/>
          <w:szCs w:val="24"/>
          <w:highlight w:val="none"/>
        </w:rPr>
      </w:pPr>
      <w:r>
        <w:rPr>
          <w:rFonts w:ascii="黑体" w:hAnsi="黑体" w:eastAsia="黑体" w:cs="黑体"/>
          <w:spacing w:val="6"/>
          <w:sz w:val="24"/>
          <w:szCs w:val="24"/>
          <w:highlight w:val="none"/>
        </w:rPr>
        <w:t>10.2承包人的安全责任</w:t>
      </w:r>
    </w:p>
    <w:p w14:paraId="489DD0D7">
      <w:pPr>
        <w:spacing w:before="115" w:line="315" w:lineRule="auto"/>
        <w:ind w:firstLine="430"/>
        <w:rPr>
          <w:rFonts w:ascii="宋体" w:hAnsi="宋体" w:eastAsia="宋体" w:cs="宋体"/>
          <w:sz w:val="22"/>
          <w:szCs w:val="22"/>
          <w:highlight w:val="none"/>
        </w:rPr>
      </w:pPr>
      <w:r>
        <w:rPr>
          <w:rFonts w:ascii="宋体" w:hAnsi="宋体" w:eastAsia="宋体" w:cs="宋体"/>
          <w:spacing w:val="-6"/>
          <w:sz w:val="22"/>
          <w:szCs w:val="22"/>
          <w:highlight w:val="none"/>
        </w:rPr>
        <w:t>10.2.1承包人应按合同约定履行安全职</w:t>
      </w:r>
      <w:r>
        <w:rPr>
          <w:rFonts w:ascii="宋体" w:hAnsi="宋体" w:eastAsia="宋体" w:cs="宋体"/>
          <w:spacing w:val="-7"/>
          <w:sz w:val="22"/>
          <w:szCs w:val="22"/>
          <w:highlight w:val="none"/>
        </w:rPr>
        <w:t>责，执行监理人有关安全工作的指示，并在专</w:t>
      </w:r>
      <w:r>
        <w:rPr>
          <w:rFonts w:ascii="宋体" w:hAnsi="宋体" w:eastAsia="宋体" w:cs="宋体"/>
          <w:sz w:val="22"/>
          <w:szCs w:val="22"/>
          <w:highlight w:val="none"/>
        </w:rPr>
        <w:t xml:space="preserve">  </w:t>
      </w:r>
      <w:r>
        <w:rPr>
          <w:rFonts w:ascii="宋体" w:hAnsi="宋体" w:eastAsia="宋体" w:cs="宋体"/>
          <w:spacing w:val="-15"/>
          <w:sz w:val="22"/>
          <w:szCs w:val="22"/>
          <w:highlight w:val="none"/>
        </w:rPr>
        <w:t>用合同条款约定的期限内，按合同约定的安全工作内容，编制安全措施计划报送监理人批准。</w:t>
      </w:r>
    </w:p>
    <w:p w14:paraId="248C0430">
      <w:pPr>
        <w:spacing w:before="207" w:line="330" w:lineRule="auto"/>
        <w:ind w:right="100"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10.2.2</w:t>
      </w:r>
      <w:r>
        <w:rPr>
          <w:rFonts w:ascii="Times New Roman" w:hAnsi="Times New Roman" w:eastAsia="Times New Roman" w:cs="Times New Roman"/>
          <w:spacing w:val="18"/>
          <w:w w:val="101"/>
          <w:sz w:val="21"/>
          <w:szCs w:val="21"/>
          <w:highlight w:val="none"/>
        </w:rPr>
        <w:t xml:space="preserve">   </w:t>
      </w:r>
      <w:r>
        <w:rPr>
          <w:rFonts w:ascii="宋体" w:hAnsi="宋体" w:eastAsia="宋体" w:cs="宋体"/>
          <w:sz w:val="21"/>
          <w:szCs w:val="21"/>
          <w:highlight w:val="none"/>
        </w:rPr>
        <w:t xml:space="preserve">承包人按照合同约定需要进行勘察的，应严格执行操作规程，采取措施保证各 </w:t>
      </w:r>
      <w:r>
        <w:rPr>
          <w:rFonts w:ascii="宋体" w:hAnsi="宋体" w:eastAsia="宋体" w:cs="宋体"/>
          <w:spacing w:val="-2"/>
          <w:sz w:val="21"/>
          <w:szCs w:val="21"/>
          <w:highlight w:val="none"/>
        </w:rPr>
        <w:t>类管线、设施和周边建筑物、构筑物的安全。</w:t>
      </w:r>
    </w:p>
    <w:p w14:paraId="4248ADD8">
      <w:pPr>
        <w:spacing w:before="232" w:line="354" w:lineRule="auto"/>
        <w:ind w:right="98"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10.2.3</w:t>
      </w:r>
      <w:r>
        <w:rPr>
          <w:rFonts w:ascii="Times New Roman" w:hAnsi="Times New Roman" w:eastAsia="Times New Roman" w:cs="Times New Roman"/>
          <w:spacing w:val="19"/>
          <w:sz w:val="21"/>
          <w:szCs w:val="21"/>
          <w:highlight w:val="none"/>
        </w:rPr>
        <w:t xml:space="preserve">   </w:t>
      </w:r>
      <w:r>
        <w:rPr>
          <w:rFonts w:ascii="宋体" w:hAnsi="宋体" w:eastAsia="宋体" w:cs="宋体"/>
          <w:sz w:val="21"/>
          <w:szCs w:val="21"/>
          <w:highlight w:val="none"/>
        </w:rPr>
        <w:t xml:space="preserve">承包人应当按照法律、法规和工程建设强制性标准进行设计，在设计文件中注 </w:t>
      </w:r>
      <w:r>
        <w:rPr>
          <w:rFonts w:ascii="宋体" w:hAnsi="宋体" w:eastAsia="宋体" w:cs="宋体"/>
          <w:spacing w:val="-2"/>
          <w:sz w:val="21"/>
          <w:szCs w:val="21"/>
          <w:highlight w:val="none"/>
        </w:rPr>
        <w:t>明涉及施工安全的重点部位和环节，提出保障施工作业人员和预防安</w:t>
      </w:r>
      <w:r>
        <w:rPr>
          <w:rFonts w:ascii="宋体" w:hAnsi="宋体" w:eastAsia="宋体" w:cs="宋体"/>
          <w:spacing w:val="-3"/>
          <w:sz w:val="21"/>
          <w:szCs w:val="21"/>
          <w:highlight w:val="none"/>
        </w:rPr>
        <w:t>全事故的措施建议，防</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止因设计不合理导致生产安全事故的发生。</w:t>
      </w:r>
    </w:p>
    <w:p w14:paraId="098788EC">
      <w:pPr>
        <w:spacing w:before="220" w:line="310" w:lineRule="auto"/>
        <w:ind w:firstLine="430"/>
        <w:rPr>
          <w:rFonts w:ascii="宋体" w:hAnsi="宋体" w:eastAsia="宋体" w:cs="宋体"/>
          <w:sz w:val="22"/>
          <w:szCs w:val="22"/>
          <w:highlight w:val="none"/>
        </w:rPr>
      </w:pPr>
      <w:r>
        <w:rPr>
          <w:rFonts w:ascii="宋体" w:hAnsi="宋体" w:eastAsia="宋体" w:cs="宋体"/>
          <w:spacing w:val="-6"/>
          <w:sz w:val="22"/>
          <w:szCs w:val="22"/>
          <w:highlight w:val="none"/>
        </w:rPr>
        <w:t>10.2.4承包人应加强施工作业安全管</w:t>
      </w:r>
      <w:r>
        <w:rPr>
          <w:rFonts w:ascii="宋体" w:hAnsi="宋体" w:eastAsia="宋体" w:cs="宋体"/>
          <w:spacing w:val="-7"/>
          <w:sz w:val="22"/>
          <w:szCs w:val="22"/>
          <w:highlight w:val="none"/>
        </w:rPr>
        <w:t>理，特别应加强易燃、易爆材料、火工器材、有</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毒与腐蚀性材料和其他危险品的管理，以及对爆破作业和地下工程施工等危险作业的管理。</w:t>
      </w:r>
    </w:p>
    <w:p w14:paraId="15FE17DA">
      <w:pPr>
        <w:spacing w:before="211" w:line="307" w:lineRule="auto"/>
        <w:ind w:right="96" w:firstLine="430"/>
        <w:rPr>
          <w:rFonts w:ascii="宋体" w:hAnsi="宋体" w:eastAsia="宋体" w:cs="宋体"/>
          <w:sz w:val="22"/>
          <w:szCs w:val="22"/>
          <w:highlight w:val="none"/>
        </w:rPr>
      </w:pPr>
      <w:r>
        <w:rPr>
          <w:rFonts w:ascii="宋体" w:hAnsi="宋体" w:eastAsia="宋体" w:cs="宋体"/>
          <w:spacing w:val="-6"/>
          <w:sz w:val="22"/>
          <w:szCs w:val="22"/>
          <w:highlight w:val="none"/>
        </w:rPr>
        <w:t>10.2.5承包人应严格按照国家安全标准制定</w:t>
      </w:r>
      <w:r>
        <w:rPr>
          <w:rFonts w:ascii="宋体" w:hAnsi="宋体" w:eastAsia="宋体" w:cs="宋体"/>
          <w:spacing w:val="-7"/>
          <w:sz w:val="22"/>
          <w:szCs w:val="22"/>
          <w:highlight w:val="none"/>
        </w:rPr>
        <w:t>施工安全操作规程，配备必要的安全生产</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和劳动保护设施，加强对承包人人员的安全教育，并发放安全工作手册和劳动保护用具。</w:t>
      </w:r>
    </w:p>
    <w:p w14:paraId="79BB8D77">
      <w:pPr>
        <w:spacing w:before="237" w:line="350" w:lineRule="auto"/>
        <w:ind w:right="97" w:firstLine="430"/>
        <w:rPr>
          <w:rFonts w:ascii="宋体" w:hAnsi="宋体" w:eastAsia="宋体" w:cs="宋体"/>
          <w:sz w:val="21"/>
          <w:szCs w:val="21"/>
          <w:highlight w:val="none"/>
        </w:rPr>
      </w:pPr>
      <w:r>
        <w:rPr>
          <w:rFonts w:ascii="宋体" w:hAnsi="宋体" w:eastAsia="宋体" w:cs="宋体"/>
          <w:spacing w:val="3"/>
          <w:sz w:val="21"/>
          <w:szCs w:val="21"/>
          <w:highlight w:val="none"/>
        </w:rPr>
        <w:t>10.2.6承包人应按监理人的指示制定应对灾害的紧急预</w:t>
      </w:r>
      <w:r>
        <w:rPr>
          <w:rFonts w:ascii="宋体" w:hAnsi="宋体" w:eastAsia="宋体" w:cs="宋体"/>
          <w:spacing w:val="2"/>
          <w:sz w:val="21"/>
          <w:szCs w:val="21"/>
          <w:highlight w:val="none"/>
        </w:rPr>
        <w:t>案，报送监理人批准。承包人</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还应按预案做好安全检查，配置必要的救助物资和器材，切实保护好有关</w:t>
      </w:r>
      <w:r>
        <w:rPr>
          <w:rFonts w:ascii="宋体" w:hAnsi="宋体" w:eastAsia="宋体" w:cs="宋体"/>
          <w:spacing w:val="-3"/>
          <w:sz w:val="21"/>
          <w:szCs w:val="21"/>
          <w:highlight w:val="none"/>
        </w:rPr>
        <w:t>人员的人身和财产</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安全。</w:t>
      </w:r>
    </w:p>
    <w:p w14:paraId="445CD193">
      <w:pPr>
        <w:spacing w:before="258" w:line="368" w:lineRule="auto"/>
        <w:ind w:right="86" w:firstLine="43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10.2.7    </w:t>
      </w:r>
      <w:r>
        <w:rPr>
          <w:rFonts w:ascii="宋体" w:hAnsi="宋体" w:eastAsia="宋体" w:cs="宋体"/>
          <w:spacing w:val="9"/>
          <w:sz w:val="20"/>
          <w:szCs w:val="20"/>
          <w:highlight w:val="none"/>
        </w:rPr>
        <w:t>合同约定的安全作业环境及安全施工措</w:t>
      </w:r>
      <w:r>
        <w:rPr>
          <w:rFonts w:ascii="宋体" w:hAnsi="宋体" w:eastAsia="宋体" w:cs="宋体"/>
          <w:spacing w:val="8"/>
          <w:sz w:val="20"/>
          <w:szCs w:val="20"/>
          <w:highlight w:val="none"/>
        </w:rPr>
        <w:t>施所需费用应遵守有关规定，并包括在</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相关工作的合同价格中。因采取合同未约定的安全作业环境及安全施工措施增加的费用，由</w:t>
      </w:r>
      <w:r>
        <w:rPr>
          <w:rFonts w:ascii="宋体" w:hAnsi="宋体" w:eastAsia="宋体" w:cs="宋体"/>
          <w:spacing w:val="2"/>
          <w:sz w:val="20"/>
          <w:szCs w:val="20"/>
          <w:highlight w:val="none"/>
        </w:rPr>
        <w:t xml:space="preserve"> </w:t>
      </w:r>
      <w:r>
        <w:rPr>
          <w:rFonts w:ascii="宋体" w:hAnsi="宋体" w:eastAsia="宋体" w:cs="宋体"/>
          <w:spacing w:val="18"/>
          <w:sz w:val="20"/>
          <w:szCs w:val="20"/>
          <w:highlight w:val="none"/>
        </w:rPr>
        <w:t>监理人按第3.5款商定或确定。</w:t>
      </w:r>
    </w:p>
    <w:p w14:paraId="39C54AEC">
      <w:pPr>
        <w:spacing w:before="243" w:line="312" w:lineRule="auto"/>
        <w:ind w:right="96" w:firstLine="430"/>
        <w:rPr>
          <w:rFonts w:ascii="宋体" w:hAnsi="宋体" w:eastAsia="宋体" w:cs="宋体"/>
          <w:sz w:val="21"/>
          <w:szCs w:val="21"/>
          <w:highlight w:val="none"/>
        </w:rPr>
      </w:pPr>
      <w:r>
        <w:rPr>
          <w:rFonts w:ascii="宋体" w:hAnsi="宋体" w:eastAsia="宋体" w:cs="宋体"/>
          <w:spacing w:val="3"/>
          <w:sz w:val="21"/>
          <w:szCs w:val="21"/>
          <w:highlight w:val="none"/>
        </w:rPr>
        <w:t>10.2.8承包人应对其履行合同所雇佣的全部人员，包括分包人人员</w:t>
      </w:r>
      <w:r>
        <w:rPr>
          <w:rFonts w:ascii="宋体" w:hAnsi="宋体" w:eastAsia="宋体" w:cs="宋体"/>
          <w:spacing w:val="2"/>
          <w:sz w:val="21"/>
          <w:szCs w:val="21"/>
          <w:highlight w:val="none"/>
        </w:rPr>
        <w:t>的工伤事故承担责</w:t>
      </w:r>
      <w:r>
        <w:rPr>
          <w:rFonts w:ascii="宋体" w:hAnsi="宋体" w:eastAsia="宋体" w:cs="宋体"/>
          <w:sz w:val="21"/>
          <w:szCs w:val="21"/>
          <w:highlight w:val="none"/>
        </w:rPr>
        <w:t xml:space="preserve"> 任，但由于发包人原因造成承包人人员工伤事故的，应由发</w:t>
      </w:r>
      <w:r>
        <w:rPr>
          <w:rFonts w:ascii="宋体" w:hAnsi="宋体" w:eastAsia="宋体" w:cs="宋体"/>
          <w:spacing w:val="-1"/>
          <w:sz w:val="21"/>
          <w:szCs w:val="21"/>
          <w:highlight w:val="none"/>
        </w:rPr>
        <w:t>包人承担责任。</w:t>
      </w:r>
    </w:p>
    <w:p w14:paraId="7BBF3B3D">
      <w:pPr>
        <w:spacing w:before="221" w:line="311" w:lineRule="auto"/>
        <w:ind w:right="84" w:firstLine="430"/>
        <w:rPr>
          <w:rFonts w:ascii="宋体" w:hAnsi="宋体" w:eastAsia="宋体" w:cs="宋体"/>
          <w:sz w:val="22"/>
          <w:szCs w:val="22"/>
          <w:highlight w:val="none"/>
        </w:rPr>
      </w:pPr>
      <w:r>
        <w:rPr>
          <w:rFonts w:ascii="宋体" w:hAnsi="宋体" w:eastAsia="宋体" w:cs="宋体"/>
          <w:spacing w:val="-1"/>
          <w:sz w:val="22"/>
          <w:szCs w:val="22"/>
          <w:highlight w:val="none"/>
        </w:rPr>
        <w:t>10.2.9由于承包人原因在施工场地内及其毗邻地带造成的第三者人员伤亡和财产损</w:t>
      </w:r>
      <w:r>
        <w:rPr>
          <w:rFonts w:ascii="宋体" w:hAnsi="宋体" w:eastAsia="宋体" w:cs="宋体"/>
          <w:spacing w:val="13"/>
          <w:sz w:val="22"/>
          <w:szCs w:val="22"/>
          <w:highlight w:val="none"/>
        </w:rPr>
        <w:t xml:space="preserve"> </w:t>
      </w:r>
      <w:r>
        <w:rPr>
          <w:rFonts w:ascii="宋体" w:hAnsi="宋体" w:eastAsia="宋体" w:cs="宋体"/>
          <w:spacing w:val="-11"/>
          <w:sz w:val="22"/>
          <w:szCs w:val="22"/>
          <w:highlight w:val="none"/>
        </w:rPr>
        <w:t>失，由承包人负责赔偿。</w:t>
      </w:r>
    </w:p>
    <w:p w14:paraId="2047793E">
      <w:pPr>
        <w:spacing w:before="278" w:line="222" w:lineRule="auto"/>
        <w:rPr>
          <w:rFonts w:ascii="黑体" w:hAnsi="黑体" w:eastAsia="黑体" w:cs="黑体"/>
          <w:sz w:val="24"/>
          <w:szCs w:val="24"/>
          <w:highlight w:val="none"/>
        </w:rPr>
      </w:pPr>
      <w:r>
        <w:rPr>
          <w:rFonts w:ascii="黑体" w:hAnsi="黑体" w:eastAsia="黑体" w:cs="黑体"/>
          <w:spacing w:val="10"/>
          <w:sz w:val="24"/>
          <w:szCs w:val="24"/>
          <w:highlight w:val="none"/>
        </w:rPr>
        <w:t>10.3治安保卫</w:t>
      </w:r>
    </w:p>
    <w:p w14:paraId="028BE795">
      <w:pPr>
        <w:spacing w:before="141" w:line="219" w:lineRule="auto"/>
        <w:ind w:left="430"/>
        <w:rPr>
          <w:rFonts w:ascii="宋体" w:hAnsi="宋体" w:eastAsia="宋体" w:cs="宋体"/>
          <w:sz w:val="21"/>
          <w:szCs w:val="21"/>
          <w:highlight w:val="none"/>
        </w:rPr>
      </w:pPr>
      <w:r>
        <w:rPr>
          <w:rFonts w:ascii="Times New Roman" w:hAnsi="Times New Roman" w:eastAsia="Times New Roman" w:cs="Times New Roman"/>
          <w:sz w:val="21"/>
          <w:szCs w:val="21"/>
          <w:highlight w:val="none"/>
        </w:rPr>
        <w:t>10.3.1</w:t>
      </w:r>
      <w:r>
        <w:rPr>
          <w:rFonts w:ascii="Times New Roman" w:hAnsi="Times New Roman" w:eastAsia="Times New Roman" w:cs="Times New Roman"/>
          <w:spacing w:val="20"/>
          <w:sz w:val="21"/>
          <w:szCs w:val="21"/>
          <w:highlight w:val="none"/>
        </w:rPr>
        <w:t xml:space="preserve">   </w:t>
      </w:r>
      <w:r>
        <w:rPr>
          <w:rFonts w:ascii="宋体" w:hAnsi="宋体" w:eastAsia="宋体" w:cs="宋体"/>
          <w:sz w:val="21"/>
          <w:szCs w:val="21"/>
          <w:highlight w:val="none"/>
        </w:rPr>
        <w:t>除合同另有约定外，承包人应与当地公安部门协商，在现场建立治安管理机构</w:t>
      </w:r>
    </w:p>
    <w:p w14:paraId="68313EC3">
      <w:pPr>
        <w:spacing w:line="219" w:lineRule="auto"/>
        <w:rPr>
          <w:rFonts w:ascii="宋体" w:hAnsi="宋体" w:eastAsia="宋体" w:cs="宋体"/>
          <w:sz w:val="21"/>
          <w:szCs w:val="21"/>
          <w:highlight w:val="none"/>
        </w:rPr>
        <w:sectPr>
          <w:footerReference r:id="rId191" w:type="default"/>
          <w:pgSz w:w="11910" w:h="16840"/>
          <w:pgMar w:top="400" w:right="1719" w:bottom="1217" w:left="1779" w:header="0" w:footer="1013" w:gutter="0"/>
          <w:cols w:space="720" w:num="1"/>
        </w:sectPr>
      </w:pPr>
    </w:p>
    <w:p w14:paraId="5E66A1AC">
      <w:pPr>
        <w:pStyle w:val="2"/>
        <w:spacing w:line="273" w:lineRule="auto"/>
        <w:rPr>
          <w:highlight w:val="none"/>
        </w:rPr>
      </w:pPr>
    </w:p>
    <w:p w14:paraId="67C77A87">
      <w:pPr>
        <w:pStyle w:val="2"/>
        <w:spacing w:line="273" w:lineRule="auto"/>
        <w:rPr>
          <w:highlight w:val="none"/>
        </w:rPr>
      </w:pPr>
    </w:p>
    <w:p w14:paraId="1E1B5F32">
      <w:pPr>
        <w:pStyle w:val="2"/>
        <w:spacing w:line="273" w:lineRule="auto"/>
        <w:rPr>
          <w:highlight w:val="none"/>
        </w:rPr>
      </w:pPr>
    </w:p>
    <w:p w14:paraId="4BB45456">
      <w:pPr>
        <w:pStyle w:val="2"/>
        <w:spacing w:line="274" w:lineRule="auto"/>
        <w:rPr>
          <w:highlight w:val="none"/>
        </w:rPr>
      </w:pPr>
    </w:p>
    <w:p w14:paraId="375BD714">
      <w:pPr>
        <w:spacing w:before="69" w:line="219" w:lineRule="auto"/>
        <w:rPr>
          <w:rFonts w:ascii="宋体" w:hAnsi="宋体" w:eastAsia="宋体" w:cs="宋体"/>
          <w:sz w:val="21"/>
          <w:szCs w:val="21"/>
          <w:highlight w:val="none"/>
        </w:rPr>
      </w:pPr>
      <w:r>
        <w:rPr>
          <w:rFonts w:ascii="宋体" w:hAnsi="宋体" w:eastAsia="宋体" w:cs="宋体"/>
          <w:sz w:val="21"/>
          <w:szCs w:val="21"/>
          <w:highlight w:val="none"/>
        </w:rPr>
        <w:t>或联防组织，统一管理施工场地的治安保卫事</w:t>
      </w:r>
      <w:r>
        <w:rPr>
          <w:rFonts w:ascii="宋体" w:hAnsi="宋体" w:eastAsia="宋体" w:cs="宋体"/>
          <w:spacing w:val="-1"/>
          <w:sz w:val="21"/>
          <w:szCs w:val="21"/>
          <w:highlight w:val="none"/>
        </w:rPr>
        <w:t>项，履行合同工程的治安保卫职责。</w:t>
      </w:r>
    </w:p>
    <w:p w14:paraId="5D7B187D">
      <w:pPr>
        <w:spacing w:before="209" w:line="311" w:lineRule="auto"/>
        <w:ind w:right="71" w:firstLine="42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10.3.2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8"/>
          <w:sz w:val="22"/>
          <w:szCs w:val="22"/>
          <w:highlight w:val="none"/>
        </w:rPr>
        <w:t>发包人和承包人除应协助现场治安</w:t>
      </w:r>
      <w:r>
        <w:rPr>
          <w:rFonts w:ascii="宋体" w:hAnsi="宋体" w:eastAsia="宋体" w:cs="宋体"/>
          <w:spacing w:val="-9"/>
          <w:sz w:val="22"/>
          <w:szCs w:val="22"/>
          <w:highlight w:val="none"/>
        </w:rPr>
        <w:t>管理机构或联防组织维护施工场地的社会治</w:t>
      </w:r>
      <w:r>
        <w:rPr>
          <w:rFonts w:ascii="宋体" w:hAnsi="宋体" w:eastAsia="宋体" w:cs="宋体"/>
          <w:spacing w:val="2"/>
          <w:sz w:val="22"/>
          <w:szCs w:val="22"/>
          <w:highlight w:val="none"/>
        </w:rPr>
        <w:t xml:space="preserve"> </w:t>
      </w:r>
      <w:r>
        <w:rPr>
          <w:rFonts w:ascii="宋体" w:hAnsi="宋体" w:eastAsia="宋体" w:cs="宋体"/>
          <w:spacing w:val="-11"/>
          <w:sz w:val="22"/>
          <w:szCs w:val="22"/>
          <w:highlight w:val="none"/>
        </w:rPr>
        <w:t>安外，还应做好包括生活区在内的各自管辖区的治安保卫工作。</w:t>
      </w:r>
    </w:p>
    <w:p w14:paraId="3043699E">
      <w:pPr>
        <w:spacing w:before="240" w:line="376" w:lineRule="auto"/>
        <w:ind w:right="5" w:firstLine="42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10.3.3    </w:t>
      </w:r>
      <w:r>
        <w:rPr>
          <w:rFonts w:ascii="宋体" w:hAnsi="宋体" w:eastAsia="宋体" w:cs="宋体"/>
          <w:spacing w:val="1"/>
          <w:sz w:val="21"/>
          <w:szCs w:val="21"/>
          <w:highlight w:val="none"/>
        </w:rPr>
        <w:t>除合同另有约定外，承包人</w:t>
      </w:r>
      <w:r>
        <w:rPr>
          <w:rFonts w:ascii="宋体" w:hAnsi="宋体" w:eastAsia="宋体" w:cs="宋体"/>
          <w:sz w:val="21"/>
          <w:szCs w:val="21"/>
          <w:highlight w:val="none"/>
        </w:rPr>
        <w:t xml:space="preserve">应编制施工场地治安管理计划，并制定应对突发治 </w:t>
      </w:r>
      <w:r>
        <w:rPr>
          <w:rFonts w:ascii="宋体" w:hAnsi="宋体" w:eastAsia="宋体" w:cs="宋体"/>
          <w:spacing w:val="-2"/>
          <w:sz w:val="21"/>
          <w:szCs w:val="21"/>
          <w:highlight w:val="none"/>
        </w:rPr>
        <w:t>安事件的紧急预案，报监理人批准。自承包人进入施工现场，至</w:t>
      </w:r>
      <w:r>
        <w:rPr>
          <w:rFonts w:ascii="宋体" w:hAnsi="宋体" w:eastAsia="宋体" w:cs="宋体"/>
          <w:spacing w:val="-3"/>
          <w:sz w:val="21"/>
          <w:szCs w:val="21"/>
          <w:highlight w:val="none"/>
        </w:rPr>
        <w:t>发包人接收工程的期间，施</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工现场发生暴乱、爆炸等恐怖事件，以及群殴、械斗等群体性突发治安事件的，发包人和承</w:t>
      </w:r>
      <w:r>
        <w:rPr>
          <w:rFonts w:ascii="宋体" w:hAnsi="宋体" w:eastAsia="宋体" w:cs="宋体"/>
          <w:spacing w:val="4"/>
          <w:sz w:val="21"/>
          <w:szCs w:val="21"/>
          <w:highlight w:val="none"/>
        </w:rPr>
        <w:t xml:space="preserve">  </w:t>
      </w:r>
      <w:r>
        <w:rPr>
          <w:rFonts w:ascii="宋体" w:hAnsi="宋体" w:eastAsia="宋体" w:cs="宋体"/>
          <w:sz w:val="21"/>
          <w:szCs w:val="21"/>
          <w:highlight w:val="none"/>
        </w:rPr>
        <w:t>包人应立即向当地政府报告。发包人和承包人应积极</w:t>
      </w:r>
      <w:r>
        <w:rPr>
          <w:rFonts w:ascii="宋体" w:hAnsi="宋体" w:eastAsia="宋体" w:cs="宋体"/>
          <w:spacing w:val="-1"/>
          <w:sz w:val="21"/>
          <w:szCs w:val="21"/>
          <w:highlight w:val="none"/>
        </w:rPr>
        <w:t>协助当地有关部门采取措施平息事态，</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防止事态扩大，尽量减少财产损失和避免人员伤亡。</w:t>
      </w:r>
    </w:p>
    <w:p w14:paraId="208E0B03">
      <w:pPr>
        <w:spacing w:before="310" w:line="222" w:lineRule="auto"/>
        <w:rPr>
          <w:rFonts w:ascii="黑体" w:hAnsi="黑体" w:eastAsia="黑体" w:cs="黑体"/>
          <w:sz w:val="24"/>
          <w:szCs w:val="24"/>
          <w:highlight w:val="none"/>
        </w:rPr>
      </w:pPr>
      <w:r>
        <w:rPr>
          <w:rFonts w:ascii="黑体" w:hAnsi="黑体" w:eastAsia="黑体" w:cs="黑体"/>
          <w:spacing w:val="10"/>
          <w:sz w:val="24"/>
          <w:szCs w:val="24"/>
          <w:highlight w:val="none"/>
        </w:rPr>
        <w:t>10.4环境保护</w:t>
      </w:r>
    </w:p>
    <w:p w14:paraId="6690C0F8">
      <w:pPr>
        <w:spacing w:before="102" w:line="329" w:lineRule="auto"/>
        <w:ind w:right="80" w:firstLine="420"/>
        <w:rPr>
          <w:rFonts w:ascii="宋体" w:hAnsi="宋体" w:eastAsia="宋体" w:cs="宋体"/>
          <w:sz w:val="21"/>
          <w:szCs w:val="21"/>
          <w:highlight w:val="none"/>
        </w:rPr>
      </w:pPr>
      <w:r>
        <w:rPr>
          <w:rFonts w:ascii="宋体" w:hAnsi="宋体" w:eastAsia="宋体" w:cs="宋体"/>
          <w:spacing w:val="3"/>
          <w:sz w:val="21"/>
          <w:szCs w:val="21"/>
          <w:highlight w:val="none"/>
        </w:rPr>
        <w:t>10.4.1承包人在履行合同过程中，应遵守有关环境保护的法律，履行合同约定的</w:t>
      </w:r>
      <w:r>
        <w:rPr>
          <w:rFonts w:ascii="宋体" w:hAnsi="宋体" w:eastAsia="宋体" w:cs="宋体"/>
          <w:spacing w:val="2"/>
          <w:sz w:val="21"/>
          <w:szCs w:val="21"/>
          <w:highlight w:val="none"/>
        </w:rPr>
        <w:t>环境</w:t>
      </w:r>
      <w:r>
        <w:rPr>
          <w:rFonts w:ascii="宋体" w:hAnsi="宋体" w:eastAsia="宋体" w:cs="宋体"/>
          <w:sz w:val="21"/>
          <w:szCs w:val="21"/>
          <w:highlight w:val="none"/>
        </w:rPr>
        <w:t xml:space="preserve"> 保护义务，并对违反法律和合同约定义务所造成的环境破坏、人身伤害和财</w:t>
      </w:r>
      <w:r>
        <w:rPr>
          <w:rFonts w:ascii="宋体" w:hAnsi="宋体" w:eastAsia="宋体" w:cs="宋体"/>
          <w:spacing w:val="-1"/>
          <w:sz w:val="21"/>
          <w:szCs w:val="21"/>
          <w:highlight w:val="none"/>
        </w:rPr>
        <w:t>产损失负责。</w:t>
      </w:r>
    </w:p>
    <w:p w14:paraId="531B1636">
      <w:pPr>
        <w:spacing w:before="221" w:line="219" w:lineRule="auto"/>
        <w:ind w:left="420"/>
        <w:rPr>
          <w:rFonts w:ascii="宋体" w:hAnsi="宋体" w:eastAsia="宋体" w:cs="宋体"/>
          <w:sz w:val="21"/>
          <w:szCs w:val="21"/>
          <w:highlight w:val="none"/>
        </w:rPr>
      </w:pPr>
      <w:r>
        <w:rPr>
          <w:rFonts w:ascii="宋体" w:hAnsi="宋体" w:eastAsia="宋体" w:cs="宋体"/>
          <w:spacing w:val="2"/>
          <w:sz w:val="21"/>
          <w:szCs w:val="21"/>
          <w:highlight w:val="none"/>
        </w:rPr>
        <w:t>10.4.2承包人应按合同约定的环保工作内容，编制环保措施计划，报送监理人批准。</w:t>
      </w:r>
    </w:p>
    <w:p w14:paraId="04FD5361">
      <w:pPr>
        <w:spacing w:before="231" w:line="311" w:lineRule="auto"/>
        <w:ind w:firstLine="420"/>
        <w:rPr>
          <w:rFonts w:ascii="宋体" w:hAnsi="宋体" w:eastAsia="宋体" w:cs="宋体"/>
          <w:sz w:val="22"/>
          <w:szCs w:val="22"/>
          <w:highlight w:val="none"/>
        </w:rPr>
      </w:pPr>
      <w:r>
        <w:rPr>
          <w:rFonts w:ascii="宋体" w:hAnsi="宋体" w:eastAsia="宋体" w:cs="宋体"/>
          <w:spacing w:val="-10"/>
          <w:sz w:val="22"/>
          <w:szCs w:val="22"/>
          <w:highlight w:val="none"/>
        </w:rPr>
        <w:t>10.4.3承包人应确保施工过程中产生的气体排放物、粉尘、噪声、地面排水及排污等，</w:t>
      </w:r>
      <w:r>
        <w:rPr>
          <w:rFonts w:ascii="宋体" w:hAnsi="宋体" w:eastAsia="宋体" w:cs="宋体"/>
          <w:spacing w:val="18"/>
          <w:sz w:val="22"/>
          <w:szCs w:val="22"/>
          <w:highlight w:val="none"/>
        </w:rPr>
        <w:t xml:space="preserve"> </w:t>
      </w:r>
      <w:r>
        <w:rPr>
          <w:rFonts w:ascii="宋体" w:hAnsi="宋体" w:eastAsia="宋体" w:cs="宋体"/>
          <w:spacing w:val="-11"/>
          <w:sz w:val="22"/>
          <w:szCs w:val="22"/>
          <w:highlight w:val="none"/>
        </w:rPr>
        <w:t>符合法律规定和发包人要求。</w:t>
      </w:r>
    </w:p>
    <w:p w14:paraId="56B6138A">
      <w:pPr>
        <w:spacing w:before="290" w:line="223" w:lineRule="auto"/>
        <w:rPr>
          <w:rFonts w:ascii="黑体" w:hAnsi="黑体" w:eastAsia="黑体" w:cs="黑体"/>
          <w:sz w:val="24"/>
          <w:szCs w:val="24"/>
          <w:highlight w:val="none"/>
        </w:rPr>
      </w:pPr>
      <w:r>
        <w:rPr>
          <w:rFonts w:ascii="黑体" w:hAnsi="黑体" w:eastAsia="黑体" w:cs="黑体"/>
          <w:spacing w:val="9"/>
          <w:sz w:val="24"/>
          <w:szCs w:val="24"/>
          <w:highlight w:val="none"/>
        </w:rPr>
        <w:t>10.5事故处理</w:t>
      </w:r>
    </w:p>
    <w:p w14:paraId="3F3494CC">
      <w:pPr>
        <w:spacing w:before="119" w:line="413" w:lineRule="auto"/>
        <w:ind w:right="60"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合同履行过程中发生事故的，承包人应立即通知</w:t>
      </w:r>
      <w:r>
        <w:rPr>
          <w:rFonts w:ascii="宋体" w:hAnsi="宋体" w:eastAsia="宋体" w:cs="宋体"/>
          <w:spacing w:val="-3"/>
          <w:sz w:val="21"/>
          <w:szCs w:val="21"/>
          <w:highlight w:val="none"/>
        </w:rPr>
        <w:t>监理人，监理人应立即通知发包人。发</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包人和承包人应立即组织人员和设备进行紧急抢救和抢修，减少人员伤亡和财产损失，防止</w:t>
      </w:r>
      <w:r>
        <w:rPr>
          <w:rFonts w:ascii="宋体" w:hAnsi="宋体" w:eastAsia="宋体" w:cs="宋体"/>
          <w:spacing w:val="8"/>
          <w:sz w:val="21"/>
          <w:szCs w:val="21"/>
          <w:highlight w:val="none"/>
        </w:rPr>
        <w:t xml:space="preserve"> </w:t>
      </w:r>
      <w:r>
        <w:rPr>
          <w:rFonts w:ascii="宋体" w:hAnsi="宋体" w:eastAsia="宋体" w:cs="宋体"/>
          <w:spacing w:val="-2"/>
          <w:sz w:val="21"/>
          <w:szCs w:val="21"/>
          <w:highlight w:val="none"/>
        </w:rPr>
        <w:t>事故扩大，并保护事故现场。需要移动现场物品时，应作出标记</w:t>
      </w:r>
      <w:r>
        <w:rPr>
          <w:rFonts w:ascii="宋体" w:hAnsi="宋体" w:eastAsia="宋体" w:cs="宋体"/>
          <w:spacing w:val="-3"/>
          <w:sz w:val="21"/>
          <w:szCs w:val="21"/>
          <w:highlight w:val="none"/>
        </w:rPr>
        <w:t>和书面记录，妥善保管有关</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证据。发包人和承包人应按国家有关规定，及时如实地向有关部门报告事故发生的情</w:t>
      </w:r>
      <w:r>
        <w:rPr>
          <w:rFonts w:ascii="宋体" w:hAnsi="宋体" w:eastAsia="宋体" w:cs="宋体"/>
          <w:spacing w:val="-3"/>
          <w:sz w:val="21"/>
          <w:szCs w:val="21"/>
          <w:highlight w:val="none"/>
        </w:rPr>
        <w:t>况，以</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及正在采取的紧急措施等。</w:t>
      </w:r>
    </w:p>
    <w:p w14:paraId="0325481E">
      <w:pPr>
        <w:pStyle w:val="2"/>
        <w:spacing w:before="1" w:line="220" w:lineRule="auto"/>
        <w:outlineLvl w:val="1"/>
        <w:rPr>
          <w:rFonts w:ascii="黑体" w:hAnsi="黑体" w:eastAsia="黑体" w:cs="黑体"/>
          <w:sz w:val="25"/>
          <w:szCs w:val="25"/>
          <w:highlight w:val="none"/>
        </w:rPr>
      </w:pPr>
      <w:bookmarkStart w:id="182" w:name="bookmark106"/>
      <w:bookmarkEnd w:id="182"/>
      <w:r>
        <w:rPr>
          <w:spacing w:val="-10"/>
          <w:sz w:val="25"/>
          <w:szCs w:val="25"/>
          <w:highlight w:val="none"/>
        </w:rPr>
        <w:t xml:space="preserve">11. </w:t>
      </w:r>
      <w:r>
        <w:rPr>
          <w:rFonts w:ascii="黑体" w:hAnsi="黑体" w:eastAsia="黑体" w:cs="黑体"/>
          <w:spacing w:val="-10"/>
          <w:sz w:val="25"/>
          <w:szCs w:val="25"/>
          <w:highlight w:val="none"/>
        </w:rPr>
        <w:t>开始工作和竣工</w:t>
      </w:r>
    </w:p>
    <w:p w14:paraId="603C50DA">
      <w:pPr>
        <w:spacing w:before="191" w:line="222" w:lineRule="auto"/>
        <w:rPr>
          <w:rFonts w:ascii="黑体" w:hAnsi="黑体" w:eastAsia="黑体" w:cs="黑体"/>
          <w:sz w:val="24"/>
          <w:szCs w:val="24"/>
          <w:highlight w:val="none"/>
        </w:rPr>
      </w:pPr>
      <w:r>
        <w:rPr>
          <w:rFonts w:ascii="黑体" w:hAnsi="黑体" w:eastAsia="黑体" w:cs="黑体"/>
          <w:spacing w:val="-5"/>
          <w:sz w:val="24"/>
          <w:szCs w:val="24"/>
          <w:highlight w:val="none"/>
        </w:rPr>
        <w:t>11.1 开始工作</w:t>
      </w:r>
    </w:p>
    <w:p w14:paraId="2565D2FB">
      <w:pPr>
        <w:spacing w:before="124" w:line="397" w:lineRule="auto"/>
        <w:ind w:right="56" w:firstLine="420"/>
        <w:jc w:val="both"/>
        <w:rPr>
          <w:rFonts w:ascii="宋体" w:hAnsi="宋体" w:eastAsia="宋体" w:cs="宋体"/>
          <w:sz w:val="22"/>
          <w:szCs w:val="22"/>
          <w:highlight w:val="none"/>
        </w:rPr>
      </w:pPr>
      <w:r>
        <w:rPr>
          <w:rFonts w:ascii="宋体" w:hAnsi="宋体" w:eastAsia="宋体" w:cs="宋体"/>
          <w:spacing w:val="-9"/>
          <w:sz w:val="22"/>
          <w:szCs w:val="22"/>
          <w:highlight w:val="none"/>
        </w:rPr>
        <w:t>符合专用合同条款约定的开始工作的条件的，监理</w:t>
      </w:r>
      <w:r>
        <w:rPr>
          <w:rFonts w:ascii="宋体" w:hAnsi="宋体" w:eastAsia="宋体" w:cs="宋体"/>
          <w:spacing w:val="-10"/>
          <w:sz w:val="22"/>
          <w:szCs w:val="22"/>
          <w:highlight w:val="none"/>
        </w:rPr>
        <w:t>人应提前7天向承包人发出开始工作</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通知。监理人在发出开始工作通知前应获得发包人同意。工期自开始工作通知中载明的开始</w:t>
      </w:r>
      <w:r>
        <w:rPr>
          <w:rFonts w:ascii="宋体" w:hAnsi="宋体" w:eastAsia="宋体" w:cs="宋体"/>
          <w:spacing w:val="12"/>
          <w:sz w:val="22"/>
          <w:szCs w:val="22"/>
          <w:highlight w:val="none"/>
        </w:rPr>
        <w:t xml:space="preserve"> </w:t>
      </w:r>
      <w:r>
        <w:rPr>
          <w:rFonts w:ascii="宋体" w:hAnsi="宋体" w:eastAsia="宋体" w:cs="宋体"/>
          <w:spacing w:val="-12"/>
          <w:sz w:val="22"/>
          <w:szCs w:val="22"/>
          <w:highlight w:val="none"/>
        </w:rPr>
        <w:t>工作日期起计算。除专用合同条款另有约定外，因发包人原因</w:t>
      </w:r>
      <w:r>
        <w:rPr>
          <w:rFonts w:ascii="宋体" w:hAnsi="宋体" w:eastAsia="宋体" w:cs="宋体"/>
          <w:spacing w:val="-13"/>
          <w:sz w:val="22"/>
          <w:szCs w:val="22"/>
          <w:highlight w:val="none"/>
        </w:rPr>
        <w:t>造成监理人未能在合同签订之</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日起90天内发出开始工作通知的，承包人有权提出价格调整要求，或者解除合同。发包人</w:t>
      </w:r>
      <w:r>
        <w:rPr>
          <w:rFonts w:ascii="宋体" w:hAnsi="宋体" w:eastAsia="宋体" w:cs="宋体"/>
          <w:spacing w:val="8"/>
          <w:sz w:val="22"/>
          <w:szCs w:val="22"/>
          <w:highlight w:val="none"/>
        </w:rPr>
        <w:t xml:space="preserve"> </w:t>
      </w:r>
      <w:r>
        <w:rPr>
          <w:rFonts w:ascii="宋体" w:hAnsi="宋体" w:eastAsia="宋体" w:cs="宋体"/>
          <w:spacing w:val="-3"/>
          <w:sz w:val="22"/>
          <w:szCs w:val="22"/>
          <w:highlight w:val="none"/>
        </w:rPr>
        <w:t>应当承担由此增加的费用和(或)工期延误，并向承包人支付合理利</w:t>
      </w:r>
      <w:r>
        <w:rPr>
          <w:rFonts w:ascii="宋体" w:hAnsi="宋体" w:eastAsia="宋体" w:cs="宋体"/>
          <w:spacing w:val="-4"/>
          <w:sz w:val="22"/>
          <w:szCs w:val="22"/>
          <w:highlight w:val="none"/>
        </w:rPr>
        <w:t>润。</w:t>
      </w:r>
    </w:p>
    <w:p w14:paraId="7647AED3">
      <w:pPr>
        <w:spacing w:before="101" w:line="221" w:lineRule="auto"/>
        <w:rPr>
          <w:rFonts w:ascii="黑体" w:hAnsi="黑体" w:eastAsia="黑体" w:cs="黑体"/>
          <w:sz w:val="24"/>
          <w:szCs w:val="24"/>
          <w:highlight w:val="none"/>
        </w:rPr>
      </w:pPr>
      <w:r>
        <w:rPr>
          <w:rFonts w:ascii="黑体" w:hAnsi="黑体" w:eastAsia="黑体" w:cs="黑体"/>
          <w:spacing w:val="11"/>
          <w:sz w:val="24"/>
          <w:szCs w:val="24"/>
          <w:highlight w:val="none"/>
        </w:rPr>
        <w:t>11.2竣工</w:t>
      </w:r>
    </w:p>
    <w:p w14:paraId="6D231728">
      <w:pPr>
        <w:spacing w:before="115" w:line="219"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承包人应在第1.1.4.3 目约定的期限内完成合同工作。实际竣工日期按第18.3款约定确</w:t>
      </w:r>
    </w:p>
    <w:p w14:paraId="67BE50C1">
      <w:pPr>
        <w:spacing w:line="219" w:lineRule="auto"/>
        <w:rPr>
          <w:rFonts w:ascii="宋体" w:hAnsi="宋体" w:eastAsia="宋体" w:cs="宋体"/>
          <w:sz w:val="22"/>
          <w:szCs w:val="22"/>
          <w:highlight w:val="none"/>
        </w:rPr>
        <w:sectPr>
          <w:footerReference r:id="rId192" w:type="default"/>
          <w:pgSz w:w="11910" w:h="16840"/>
          <w:pgMar w:top="400" w:right="1739" w:bottom="1217" w:left="1779" w:header="0" w:footer="1013" w:gutter="0"/>
          <w:cols w:space="720" w:num="1"/>
        </w:sectPr>
      </w:pPr>
    </w:p>
    <w:p w14:paraId="07BF4EEB">
      <w:pPr>
        <w:pStyle w:val="2"/>
        <w:spacing w:line="269" w:lineRule="auto"/>
        <w:rPr>
          <w:highlight w:val="none"/>
        </w:rPr>
      </w:pPr>
    </w:p>
    <w:p w14:paraId="3FCF1F46">
      <w:pPr>
        <w:pStyle w:val="2"/>
        <w:spacing w:line="270" w:lineRule="auto"/>
        <w:rPr>
          <w:highlight w:val="none"/>
        </w:rPr>
      </w:pPr>
    </w:p>
    <w:p w14:paraId="0C8BADF2">
      <w:pPr>
        <w:pStyle w:val="2"/>
        <w:spacing w:line="270" w:lineRule="auto"/>
        <w:rPr>
          <w:highlight w:val="none"/>
        </w:rPr>
      </w:pPr>
    </w:p>
    <w:p w14:paraId="64412E25">
      <w:pPr>
        <w:pStyle w:val="2"/>
        <w:spacing w:line="270" w:lineRule="auto"/>
        <w:rPr>
          <w:highlight w:val="none"/>
        </w:rPr>
      </w:pPr>
    </w:p>
    <w:p w14:paraId="7071782A">
      <w:pPr>
        <w:spacing w:before="72" w:line="219" w:lineRule="auto"/>
        <w:rPr>
          <w:rFonts w:ascii="宋体" w:hAnsi="宋体" w:eastAsia="宋体" w:cs="宋体"/>
          <w:sz w:val="22"/>
          <w:szCs w:val="22"/>
          <w:highlight w:val="none"/>
        </w:rPr>
      </w:pPr>
      <w:bookmarkStart w:id="183" w:name="bookmark276"/>
      <w:bookmarkEnd w:id="183"/>
      <w:r>
        <w:rPr>
          <w:rFonts w:ascii="宋体" w:hAnsi="宋体" w:eastAsia="宋体" w:cs="宋体"/>
          <w:spacing w:val="-11"/>
          <w:sz w:val="22"/>
          <w:szCs w:val="22"/>
          <w:highlight w:val="none"/>
        </w:rPr>
        <w:t>定，并在工程接收证书中载明。</w:t>
      </w:r>
    </w:p>
    <w:p w14:paraId="62A8B0CD">
      <w:pPr>
        <w:pStyle w:val="2"/>
        <w:spacing w:before="245" w:line="328" w:lineRule="exact"/>
        <w:rPr>
          <w:rFonts w:ascii="黑体" w:hAnsi="黑体" w:eastAsia="黑体" w:cs="黑体"/>
          <w:sz w:val="24"/>
          <w:szCs w:val="24"/>
          <w:highlight w:val="none"/>
        </w:rPr>
      </w:pPr>
      <w:r>
        <w:rPr>
          <w:spacing w:val="-1"/>
          <w:position w:val="1"/>
          <w:sz w:val="24"/>
          <w:szCs w:val="24"/>
          <w:highlight w:val="none"/>
        </w:rPr>
        <w:t>11.3</w:t>
      </w:r>
      <w:r>
        <w:rPr>
          <w:spacing w:val="59"/>
          <w:position w:val="1"/>
          <w:sz w:val="24"/>
          <w:szCs w:val="24"/>
          <w:highlight w:val="none"/>
        </w:rPr>
        <w:t xml:space="preserve"> </w:t>
      </w:r>
      <w:r>
        <w:rPr>
          <w:rFonts w:ascii="黑体" w:hAnsi="黑体" w:eastAsia="黑体" w:cs="黑体"/>
          <w:spacing w:val="-1"/>
          <w:position w:val="1"/>
          <w:sz w:val="24"/>
          <w:szCs w:val="24"/>
          <w:highlight w:val="none"/>
        </w:rPr>
        <w:t>发包人引起的工期延误</w:t>
      </w:r>
    </w:p>
    <w:p w14:paraId="4025612B">
      <w:pPr>
        <w:spacing w:before="124" w:line="435" w:lineRule="auto"/>
        <w:ind w:right="57" w:firstLine="430"/>
        <w:jc w:val="both"/>
        <w:rPr>
          <w:rFonts w:ascii="宋体" w:hAnsi="宋体" w:eastAsia="宋体" w:cs="宋体"/>
          <w:sz w:val="20"/>
          <w:szCs w:val="20"/>
          <w:highlight w:val="none"/>
        </w:rPr>
      </w:pPr>
      <w:r>
        <w:rPr>
          <w:rFonts w:ascii="宋体" w:hAnsi="宋体" w:eastAsia="宋体" w:cs="宋体"/>
          <w:spacing w:val="8"/>
          <w:sz w:val="20"/>
          <w:szCs w:val="20"/>
          <w:highlight w:val="none"/>
        </w:rPr>
        <w:t>在履行合同过程中，由于发包人的下列原因造成工期延</w:t>
      </w:r>
      <w:r>
        <w:rPr>
          <w:rFonts w:ascii="宋体" w:hAnsi="宋体" w:eastAsia="宋体" w:cs="宋体"/>
          <w:spacing w:val="7"/>
          <w:sz w:val="20"/>
          <w:szCs w:val="20"/>
          <w:highlight w:val="none"/>
        </w:rPr>
        <w:t>误的，承包人有权要求发包人延</w:t>
      </w:r>
      <w:r>
        <w:rPr>
          <w:rFonts w:ascii="宋体" w:hAnsi="宋体" w:eastAsia="宋体" w:cs="宋体"/>
          <w:sz w:val="20"/>
          <w:szCs w:val="20"/>
          <w:highlight w:val="none"/>
        </w:rPr>
        <w:t xml:space="preserve"> </w:t>
      </w:r>
      <w:r>
        <w:rPr>
          <w:rFonts w:ascii="宋体" w:hAnsi="宋体" w:eastAsia="宋体" w:cs="宋体"/>
          <w:spacing w:val="16"/>
          <w:sz w:val="20"/>
          <w:szCs w:val="20"/>
          <w:highlight w:val="none"/>
        </w:rPr>
        <w:t>长工期和(或)增加费用，并支付合理利润。需要修订合同进度计划的，按照第4.</w:t>
      </w:r>
      <w:r>
        <w:rPr>
          <w:rFonts w:ascii="宋体" w:hAnsi="宋体" w:eastAsia="宋体" w:cs="宋体"/>
          <w:spacing w:val="-51"/>
          <w:sz w:val="20"/>
          <w:szCs w:val="20"/>
          <w:highlight w:val="none"/>
        </w:rPr>
        <w:t xml:space="preserve"> </w:t>
      </w:r>
      <w:r>
        <w:rPr>
          <w:rFonts w:ascii="宋体" w:hAnsi="宋体" w:eastAsia="宋体" w:cs="宋体"/>
          <w:spacing w:val="16"/>
          <w:sz w:val="20"/>
          <w:szCs w:val="20"/>
          <w:highlight w:val="none"/>
        </w:rPr>
        <w:t>12.2项</w:t>
      </w:r>
      <w:r>
        <w:rPr>
          <w:rFonts w:ascii="宋体" w:hAnsi="宋体" w:eastAsia="宋体" w:cs="宋体"/>
          <w:sz w:val="20"/>
          <w:szCs w:val="20"/>
          <w:highlight w:val="none"/>
        </w:rPr>
        <w:t xml:space="preserve"> </w:t>
      </w:r>
      <w:r>
        <w:rPr>
          <w:rFonts w:ascii="宋体" w:hAnsi="宋体" w:eastAsia="宋体" w:cs="宋体"/>
          <w:spacing w:val="1"/>
          <w:sz w:val="20"/>
          <w:szCs w:val="20"/>
          <w:highlight w:val="none"/>
        </w:rPr>
        <w:t>的约定执行。</w:t>
      </w:r>
    </w:p>
    <w:p w14:paraId="160A09EB">
      <w:pPr>
        <w:spacing w:line="220" w:lineRule="auto"/>
        <w:ind w:left="529"/>
        <w:rPr>
          <w:rFonts w:ascii="宋体" w:hAnsi="宋体" w:eastAsia="宋体" w:cs="宋体"/>
          <w:sz w:val="22"/>
          <w:szCs w:val="22"/>
          <w:highlight w:val="none"/>
        </w:rPr>
      </w:pPr>
      <w:r>
        <w:rPr>
          <w:rFonts w:ascii="宋体" w:hAnsi="宋体" w:eastAsia="宋体" w:cs="宋体"/>
          <w:spacing w:val="3"/>
          <w:sz w:val="22"/>
          <w:szCs w:val="22"/>
          <w:highlight w:val="none"/>
        </w:rPr>
        <w:t>(1)变更；</w:t>
      </w:r>
    </w:p>
    <w:p w14:paraId="27C6BC27">
      <w:pPr>
        <w:spacing w:before="234" w:line="219" w:lineRule="auto"/>
        <w:ind w:left="529"/>
        <w:rPr>
          <w:rFonts w:ascii="宋体" w:hAnsi="宋体" w:eastAsia="宋体" w:cs="宋体"/>
          <w:sz w:val="20"/>
          <w:szCs w:val="20"/>
          <w:highlight w:val="none"/>
        </w:rPr>
      </w:pPr>
      <w:r>
        <w:rPr>
          <w:rFonts w:ascii="宋体" w:hAnsi="宋体" w:eastAsia="宋体" w:cs="宋体"/>
          <w:spacing w:val="11"/>
          <w:sz w:val="20"/>
          <w:szCs w:val="20"/>
          <w:highlight w:val="none"/>
        </w:rPr>
        <w:t>(2)未能按照合同要求的期限对承包人文件进行审查；</w:t>
      </w:r>
    </w:p>
    <w:p w14:paraId="2261AFDD">
      <w:pPr>
        <w:spacing w:before="234" w:line="220" w:lineRule="auto"/>
        <w:ind w:left="529"/>
        <w:rPr>
          <w:rFonts w:ascii="宋体" w:hAnsi="宋体" w:eastAsia="宋体" w:cs="宋体"/>
          <w:sz w:val="22"/>
          <w:szCs w:val="22"/>
          <w:highlight w:val="none"/>
        </w:rPr>
      </w:pPr>
      <w:r>
        <w:rPr>
          <w:rFonts w:ascii="宋体" w:hAnsi="宋体" w:eastAsia="宋体" w:cs="宋体"/>
          <w:spacing w:val="-6"/>
          <w:sz w:val="22"/>
          <w:szCs w:val="22"/>
          <w:highlight w:val="none"/>
        </w:rPr>
        <w:t>(3)因发包人原因导致的暂停施工；</w:t>
      </w:r>
    </w:p>
    <w:p w14:paraId="2732B01A">
      <w:pPr>
        <w:spacing w:before="227" w:line="219"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(4)未按合同约定及时支付预付款、进度款；</w:t>
      </w:r>
    </w:p>
    <w:p w14:paraId="5A7BEFCF">
      <w:pPr>
        <w:spacing w:before="241" w:line="219" w:lineRule="auto"/>
        <w:ind w:left="529"/>
        <w:rPr>
          <w:rFonts w:ascii="宋体" w:hAnsi="宋体" w:eastAsia="宋体" w:cs="宋体"/>
          <w:sz w:val="20"/>
          <w:szCs w:val="20"/>
          <w:highlight w:val="none"/>
        </w:rPr>
      </w:pPr>
      <w:r>
        <w:rPr>
          <w:rFonts w:ascii="宋体" w:hAnsi="宋体" w:eastAsia="宋体" w:cs="宋体"/>
          <w:spacing w:val="16"/>
          <w:sz w:val="20"/>
          <w:szCs w:val="20"/>
          <w:highlight w:val="none"/>
        </w:rPr>
        <w:t>(5)发包人按第9.3款提供的基准资料错误；</w:t>
      </w:r>
    </w:p>
    <w:p w14:paraId="2051E7B8">
      <w:pPr>
        <w:spacing w:before="243" w:line="219" w:lineRule="auto"/>
        <w:ind w:left="529"/>
        <w:rPr>
          <w:rFonts w:ascii="宋体" w:hAnsi="宋体" w:eastAsia="宋体" w:cs="宋体"/>
          <w:sz w:val="21"/>
          <w:szCs w:val="21"/>
          <w:highlight w:val="none"/>
        </w:rPr>
      </w:pPr>
      <w:r>
        <w:rPr>
          <w:rFonts w:ascii="宋体" w:hAnsi="宋体" w:eastAsia="宋体" w:cs="宋体"/>
          <w:spacing w:val="6"/>
          <w:sz w:val="21"/>
          <w:szCs w:val="21"/>
          <w:highlight w:val="none"/>
        </w:rPr>
        <w:t>(6)发包人按第6.2款迟延提供材料、工程设备或</w:t>
      </w:r>
      <w:r>
        <w:rPr>
          <w:rFonts w:ascii="宋体" w:hAnsi="宋体" w:eastAsia="宋体" w:cs="宋体"/>
          <w:spacing w:val="5"/>
          <w:sz w:val="21"/>
          <w:szCs w:val="21"/>
          <w:highlight w:val="none"/>
        </w:rPr>
        <w:t>变更交货地点的；</w:t>
      </w:r>
    </w:p>
    <w:p w14:paraId="14762A47">
      <w:pPr>
        <w:spacing w:before="213"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(7)发包人未及时按照“发包人要求”履行相关义务；</w:t>
      </w:r>
    </w:p>
    <w:p w14:paraId="4A8A7DBD">
      <w:pPr>
        <w:spacing w:before="249" w:line="220" w:lineRule="auto"/>
        <w:ind w:left="529"/>
        <w:rPr>
          <w:rFonts w:ascii="宋体" w:hAnsi="宋体" w:eastAsia="宋体" w:cs="宋体"/>
          <w:sz w:val="20"/>
          <w:szCs w:val="20"/>
          <w:highlight w:val="none"/>
        </w:rPr>
      </w:pPr>
      <w:r>
        <w:rPr>
          <w:rFonts w:ascii="宋体" w:hAnsi="宋体" w:eastAsia="宋体" w:cs="宋体"/>
          <w:spacing w:val="13"/>
          <w:sz w:val="20"/>
          <w:szCs w:val="20"/>
          <w:highlight w:val="none"/>
        </w:rPr>
        <w:t>(8)发包人造成工期延误的其他原因。</w:t>
      </w:r>
    </w:p>
    <w:p w14:paraId="10168A9E">
      <w:pPr>
        <w:spacing w:before="300" w:line="221" w:lineRule="auto"/>
        <w:rPr>
          <w:rFonts w:ascii="黑体" w:hAnsi="黑体" w:eastAsia="黑体" w:cs="黑体"/>
          <w:sz w:val="24"/>
          <w:szCs w:val="24"/>
          <w:highlight w:val="none"/>
        </w:rPr>
      </w:pPr>
      <w:r>
        <w:rPr>
          <w:rFonts w:ascii="黑体" w:hAnsi="黑体" w:eastAsia="黑体" w:cs="黑体"/>
          <w:spacing w:val="5"/>
          <w:sz w:val="24"/>
          <w:szCs w:val="24"/>
          <w:highlight w:val="none"/>
        </w:rPr>
        <w:t>11.4异常恶劣的气候条件</w:t>
      </w:r>
    </w:p>
    <w:p w14:paraId="1F94FADA">
      <w:pPr>
        <w:spacing w:before="125" w:line="416" w:lineRule="auto"/>
        <w:ind w:right="61" w:firstLine="430"/>
        <w:rPr>
          <w:rFonts w:ascii="宋体" w:hAnsi="宋体" w:eastAsia="宋体" w:cs="宋体"/>
          <w:sz w:val="21"/>
          <w:szCs w:val="21"/>
          <w:highlight w:val="none"/>
        </w:rPr>
      </w:pPr>
      <w:r>
        <w:rPr>
          <w:rFonts w:ascii="宋体" w:hAnsi="宋体" w:eastAsia="宋体" w:cs="宋体"/>
          <w:spacing w:val="-2"/>
          <w:sz w:val="21"/>
          <w:szCs w:val="21"/>
          <w:highlight w:val="none"/>
        </w:rPr>
        <w:t>由于出现专用合同条款规定的异常恶劣气候的条</w:t>
      </w:r>
      <w:r>
        <w:rPr>
          <w:rFonts w:ascii="宋体" w:hAnsi="宋体" w:eastAsia="宋体" w:cs="宋体"/>
          <w:spacing w:val="-3"/>
          <w:sz w:val="21"/>
          <w:szCs w:val="21"/>
          <w:highlight w:val="none"/>
        </w:rPr>
        <w:t>件导致工期延误的，承包人有权要求发</w:t>
      </w:r>
      <w:r>
        <w:rPr>
          <w:rFonts w:ascii="宋体" w:hAnsi="宋体" w:eastAsia="宋体" w:cs="宋体"/>
          <w:sz w:val="21"/>
          <w:szCs w:val="21"/>
          <w:highlight w:val="none"/>
        </w:rPr>
        <w:t xml:space="preserve"> </w:t>
      </w:r>
      <w:r>
        <w:rPr>
          <w:rFonts w:ascii="宋体" w:hAnsi="宋体" w:eastAsia="宋体" w:cs="宋体"/>
          <w:spacing w:val="12"/>
          <w:sz w:val="21"/>
          <w:szCs w:val="21"/>
          <w:highlight w:val="none"/>
        </w:rPr>
        <w:t>包人延长工期和(或)增加费用。</w:t>
      </w:r>
    </w:p>
    <w:p w14:paraId="2221DBBC">
      <w:pPr>
        <w:spacing w:before="52" w:line="222" w:lineRule="auto"/>
        <w:rPr>
          <w:rFonts w:ascii="黑体" w:hAnsi="黑体" w:eastAsia="黑体" w:cs="黑体"/>
          <w:sz w:val="24"/>
          <w:szCs w:val="24"/>
          <w:highlight w:val="none"/>
        </w:rPr>
      </w:pPr>
      <w:r>
        <w:rPr>
          <w:rFonts w:ascii="黑体" w:hAnsi="黑体" w:eastAsia="黑体" w:cs="黑体"/>
          <w:spacing w:val="5"/>
          <w:sz w:val="24"/>
          <w:szCs w:val="24"/>
          <w:highlight w:val="none"/>
        </w:rPr>
        <w:t>11.5承包人引起的工期延误</w:t>
      </w:r>
    </w:p>
    <w:p w14:paraId="7D576208">
      <w:pPr>
        <w:spacing w:before="142" w:line="414" w:lineRule="auto"/>
        <w:ind w:right="53"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由于承包人原因，未能按合同进度计划完成工作，</w:t>
      </w:r>
      <w:r>
        <w:rPr>
          <w:rFonts w:ascii="宋体" w:hAnsi="宋体" w:eastAsia="宋体" w:cs="宋体"/>
          <w:spacing w:val="-3"/>
          <w:sz w:val="21"/>
          <w:szCs w:val="21"/>
          <w:highlight w:val="none"/>
        </w:rPr>
        <w:t>或监理人认为承包人工作进度不能满</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足合同工期要求的，承包人应采取措施加快进度，并承担加快进度所增加的费用。由于</w:t>
      </w:r>
      <w:r>
        <w:rPr>
          <w:rFonts w:ascii="宋体" w:hAnsi="宋体" w:eastAsia="宋体" w:cs="宋体"/>
          <w:spacing w:val="-3"/>
          <w:sz w:val="21"/>
          <w:szCs w:val="21"/>
          <w:highlight w:val="none"/>
        </w:rPr>
        <w:t>承包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人原因造成工期延误，承包人应支付逾期竣工违约金。逾期竣工违约金的计算方法和最高限</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额在专用合同条款中约定。承包人支付逾期竣工违约金，不免除承包人完成工作及修补缺陷</w:t>
      </w:r>
      <w:r>
        <w:rPr>
          <w:rFonts w:ascii="宋体" w:hAnsi="宋体" w:eastAsia="宋体" w:cs="宋体"/>
          <w:spacing w:val="5"/>
          <w:sz w:val="21"/>
          <w:szCs w:val="21"/>
          <w:highlight w:val="none"/>
        </w:rPr>
        <w:t xml:space="preserve"> </w:t>
      </w:r>
      <w:r>
        <w:rPr>
          <w:rFonts w:ascii="宋体" w:hAnsi="宋体" w:eastAsia="宋体" w:cs="宋体"/>
          <w:spacing w:val="-11"/>
          <w:sz w:val="21"/>
          <w:szCs w:val="21"/>
          <w:highlight w:val="none"/>
        </w:rPr>
        <w:t>的义务。</w:t>
      </w:r>
    </w:p>
    <w:p w14:paraId="2AC3375E">
      <w:pPr>
        <w:spacing w:before="117" w:line="222" w:lineRule="auto"/>
        <w:rPr>
          <w:rFonts w:ascii="黑体" w:hAnsi="黑体" w:eastAsia="黑体" w:cs="黑体"/>
          <w:sz w:val="24"/>
          <w:szCs w:val="24"/>
          <w:highlight w:val="none"/>
        </w:rPr>
      </w:pPr>
      <w:r>
        <w:rPr>
          <w:rFonts w:ascii="黑体" w:hAnsi="黑体" w:eastAsia="黑体" w:cs="黑体"/>
          <w:spacing w:val="8"/>
          <w:sz w:val="24"/>
          <w:szCs w:val="24"/>
          <w:highlight w:val="none"/>
        </w:rPr>
        <w:t>11.6工期提前</w:t>
      </w:r>
    </w:p>
    <w:p w14:paraId="53B7703E">
      <w:pPr>
        <w:spacing w:before="121" w:line="387" w:lineRule="auto"/>
        <w:ind w:firstLine="430"/>
        <w:jc w:val="both"/>
        <w:rPr>
          <w:rFonts w:ascii="宋体" w:hAnsi="宋体" w:eastAsia="宋体" w:cs="宋体"/>
          <w:sz w:val="22"/>
          <w:szCs w:val="22"/>
          <w:highlight w:val="none"/>
        </w:rPr>
      </w:pPr>
      <w:r>
        <w:rPr>
          <w:rFonts w:ascii="宋体" w:hAnsi="宋体" w:eastAsia="宋体" w:cs="宋体"/>
          <w:spacing w:val="-11"/>
          <w:sz w:val="22"/>
          <w:szCs w:val="22"/>
          <w:highlight w:val="none"/>
        </w:rPr>
        <w:t>发包人要求承包人提前竣工，或承包人提出提前竣工的建议能够给发包人带来效益的，</w:t>
      </w:r>
      <w:r>
        <w:rPr>
          <w:rFonts w:ascii="宋体" w:hAnsi="宋体" w:eastAsia="宋体" w:cs="宋体"/>
          <w:spacing w:val="6"/>
          <w:sz w:val="22"/>
          <w:szCs w:val="22"/>
          <w:highlight w:val="none"/>
        </w:rPr>
        <w:t xml:space="preserve"> </w:t>
      </w:r>
      <w:r>
        <w:rPr>
          <w:rFonts w:ascii="宋体" w:hAnsi="宋体" w:eastAsia="宋体" w:cs="宋体"/>
          <w:spacing w:val="-12"/>
          <w:sz w:val="22"/>
          <w:szCs w:val="22"/>
          <w:highlight w:val="none"/>
        </w:rPr>
        <w:t>应由监理人与承包人共同协商采取加快工程进度的措施和修订合同进度计划。发包人应</w:t>
      </w:r>
      <w:r>
        <w:rPr>
          <w:rFonts w:ascii="宋体" w:hAnsi="宋体" w:eastAsia="宋体" w:cs="宋体"/>
          <w:spacing w:val="-13"/>
          <w:sz w:val="22"/>
          <w:szCs w:val="22"/>
          <w:highlight w:val="none"/>
        </w:rPr>
        <w:t>承担</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承包人由此增加的费用，并向承包人支付专用合同条款约定的相应奖金。</w:t>
      </w:r>
    </w:p>
    <w:p w14:paraId="23802459">
      <w:pPr>
        <w:spacing w:before="105" w:line="222" w:lineRule="auto"/>
        <w:rPr>
          <w:rFonts w:ascii="黑体" w:hAnsi="黑体" w:eastAsia="黑体" w:cs="黑体"/>
          <w:sz w:val="24"/>
          <w:szCs w:val="24"/>
          <w:highlight w:val="none"/>
        </w:rPr>
      </w:pPr>
      <w:r>
        <w:rPr>
          <w:rFonts w:ascii="黑体" w:hAnsi="黑体" w:eastAsia="黑体" w:cs="黑体"/>
          <w:spacing w:val="6"/>
          <w:sz w:val="24"/>
          <w:szCs w:val="24"/>
          <w:highlight w:val="none"/>
        </w:rPr>
        <w:t>11.7行政审批迟延</w:t>
      </w:r>
    </w:p>
    <w:p w14:paraId="1FB2BF3D">
      <w:pPr>
        <w:spacing w:before="121" w:line="433" w:lineRule="auto"/>
        <w:ind w:right="5" w:firstLine="430"/>
        <w:rPr>
          <w:rFonts w:ascii="宋体" w:hAnsi="宋体" w:eastAsia="宋体" w:cs="宋体"/>
          <w:sz w:val="21"/>
          <w:szCs w:val="21"/>
          <w:highlight w:val="none"/>
        </w:rPr>
      </w:pPr>
      <w:r>
        <w:rPr>
          <w:rFonts w:ascii="宋体" w:hAnsi="宋体" w:eastAsia="宋体" w:cs="宋体"/>
          <w:spacing w:val="3"/>
          <w:sz w:val="21"/>
          <w:szCs w:val="21"/>
          <w:highlight w:val="none"/>
        </w:rPr>
        <w:t>合同约定范围内的工作需国家有关部门审批的，发包人和(或)承包人应按照合同约定</w:t>
      </w:r>
      <w:r>
        <w:rPr>
          <w:rFonts w:ascii="宋体" w:hAnsi="宋体" w:eastAsia="宋体" w:cs="宋体"/>
          <w:spacing w:val="9"/>
          <w:sz w:val="21"/>
          <w:szCs w:val="21"/>
          <w:highlight w:val="none"/>
        </w:rPr>
        <w:t xml:space="preserve"> </w:t>
      </w:r>
      <w:r>
        <w:rPr>
          <w:rFonts w:ascii="宋体" w:hAnsi="宋体" w:eastAsia="宋体" w:cs="宋体"/>
          <w:spacing w:val="-1"/>
          <w:sz w:val="21"/>
          <w:szCs w:val="21"/>
          <w:highlight w:val="none"/>
        </w:rPr>
        <w:t>的职责分工完成行政审批报送。因国家有关部门审批迟延造成费用增加和(或)工期延误的，</w:t>
      </w:r>
    </w:p>
    <w:p w14:paraId="0069F270">
      <w:pPr>
        <w:spacing w:line="433" w:lineRule="auto"/>
        <w:rPr>
          <w:rFonts w:ascii="宋体" w:hAnsi="宋体" w:eastAsia="宋体" w:cs="宋体"/>
          <w:sz w:val="21"/>
          <w:szCs w:val="21"/>
          <w:highlight w:val="none"/>
        </w:rPr>
        <w:sectPr>
          <w:footerReference r:id="rId193" w:type="default"/>
          <w:pgSz w:w="11910" w:h="16840"/>
          <w:pgMar w:top="400" w:right="1749" w:bottom="1217" w:left="1779" w:header="0" w:footer="1013" w:gutter="0"/>
          <w:cols w:space="720" w:num="1"/>
        </w:sectPr>
      </w:pPr>
    </w:p>
    <w:p w14:paraId="2B66AE29">
      <w:pPr>
        <w:pStyle w:val="2"/>
        <w:spacing w:line="271" w:lineRule="auto"/>
        <w:rPr>
          <w:highlight w:val="none"/>
        </w:rPr>
      </w:pPr>
    </w:p>
    <w:p w14:paraId="46DAA04E">
      <w:pPr>
        <w:pStyle w:val="2"/>
        <w:spacing w:line="271" w:lineRule="auto"/>
        <w:rPr>
          <w:highlight w:val="none"/>
        </w:rPr>
      </w:pPr>
    </w:p>
    <w:p w14:paraId="3A892FFA">
      <w:pPr>
        <w:pStyle w:val="2"/>
        <w:spacing w:line="272" w:lineRule="auto"/>
        <w:rPr>
          <w:highlight w:val="none"/>
        </w:rPr>
      </w:pPr>
    </w:p>
    <w:p w14:paraId="193357E9">
      <w:pPr>
        <w:pStyle w:val="2"/>
        <w:spacing w:line="272" w:lineRule="auto"/>
        <w:rPr>
          <w:highlight w:val="none"/>
        </w:rPr>
      </w:pPr>
    </w:p>
    <w:p w14:paraId="21D304F5">
      <w:pPr>
        <w:spacing w:before="65" w:line="219" w:lineRule="auto"/>
        <w:rPr>
          <w:rFonts w:ascii="宋体" w:hAnsi="宋体" w:eastAsia="宋体" w:cs="宋体"/>
          <w:sz w:val="20"/>
          <w:szCs w:val="20"/>
          <w:highlight w:val="none"/>
        </w:rPr>
      </w:pPr>
      <w:bookmarkStart w:id="184" w:name="bookmark277"/>
      <w:bookmarkEnd w:id="184"/>
      <w:r>
        <w:rPr>
          <w:rFonts w:ascii="宋体" w:hAnsi="宋体" w:eastAsia="宋体" w:cs="宋体"/>
          <w:spacing w:val="4"/>
          <w:sz w:val="20"/>
          <w:szCs w:val="20"/>
          <w:highlight w:val="none"/>
        </w:rPr>
        <w:t>由发包人承担。</w:t>
      </w:r>
    </w:p>
    <w:p w14:paraId="54F3E984">
      <w:pPr>
        <w:pStyle w:val="2"/>
        <w:spacing w:before="222" w:line="222" w:lineRule="auto"/>
        <w:outlineLvl w:val="1"/>
        <w:rPr>
          <w:rFonts w:ascii="黑体" w:hAnsi="黑体" w:eastAsia="黑体" w:cs="黑体"/>
          <w:sz w:val="24"/>
          <w:szCs w:val="24"/>
          <w:highlight w:val="none"/>
        </w:rPr>
      </w:pPr>
      <w:bookmarkStart w:id="185" w:name="bookmark107"/>
      <w:bookmarkEnd w:id="185"/>
      <w:r>
        <w:rPr>
          <w:spacing w:val="-2"/>
          <w:sz w:val="24"/>
          <w:szCs w:val="24"/>
          <w:highlight w:val="none"/>
        </w:rPr>
        <w:t>12.</w:t>
      </w:r>
      <w:r>
        <w:rPr>
          <w:spacing w:val="16"/>
          <w:sz w:val="24"/>
          <w:szCs w:val="24"/>
          <w:highlight w:val="none"/>
        </w:rPr>
        <w:t xml:space="preserve"> </w:t>
      </w:r>
      <w:r>
        <w:rPr>
          <w:rFonts w:ascii="黑体" w:hAnsi="黑体" w:eastAsia="黑体" w:cs="黑体"/>
          <w:spacing w:val="-2"/>
          <w:sz w:val="24"/>
          <w:szCs w:val="24"/>
          <w:highlight w:val="none"/>
        </w:rPr>
        <w:t>暂停工作</w:t>
      </w:r>
    </w:p>
    <w:p w14:paraId="587381E9">
      <w:pPr>
        <w:pStyle w:val="2"/>
        <w:spacing w:before="180" w:line="221" w:lineRule="auto"/>
        <w:rPr>
          <w:rFonts w:ascii="黑体" w:hAnsi="黑体" w:eastAsia="黑体" w:cs="黑体"/>
          <w:sz w:val="24"/>
          <w:szCs w:val="24"/>
          <w:highlight w:val="none"/>
        </w:rPr>
      </w:pPr>
      <w:r>
        <w:rPr>
          <w:spacing w:val="-1"/>
          <w:sz w:val="24"/>
          <w:szCs w:val="24"/>
          <w:highlight w:val="none"/>
        </w:rPr>
        <w:t>12.1</w:t>
      </w:r>
      <w:r>
        <w:rPr>
          <w:spacing w:val="60"/>
          <w:sz w:val="24"/>
          <w:szCs w:val="24"/>
          <w:highlight w:val="none"/>
        </w:rPr>
        <w:t xml:space="preserve"> </w:t>
      </w:r>
      <w:r>
        <w:rPr>
          <w:rFonts w:ascii="黑体" w:hAnsi="黑体" w:eastAsia="黑体" w:cs="黑体"/>
          <w:spacing w:val="-1"/>
          <w:sz w:val="24"/>
          <w:szCs w:val="24"/>
          <w:highlight w:val="none"/>
        </w:rPr>
        <w:t>由发包人暂停工作</w:t>
      </w:r>
    </w:p>
    <w:p w14:paraId="1D80E373">
      <w:pPr>
        <w:spacing w:before="115" w:line="354" w:lineRule="auto"/>
        <w:ind w:right="32" w:firstLine="42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12.1.1    </w:t>
      </w:r>
      <w:r>
        <w:rPr>
          <w:rFonts w:ascii="宋体" w:hAnsi="宋体" w:eastAsia="宋体" w:cs="宋体"/>
          <w:sz w:val="21"/>
          <w:szCs w:val="21"/>
          <w:highlight w:val="none"/>
        </w:rPr>
        <w:t>发包人认为必要时，可通过监理人向承包人发出暂停工作的指示，承包人应按</w:t>
      </w:r>
      <w:r>
        <w:rPr>
          <w:rFonts w:ascii="宋体" w:hAnsi="宋体" w:eastAsia="宋体" w:cs="宋体"/>
          <w:spacing w:val="15"/>
          <w:sz w:val="21"/>
          <w:szCs w:val="21"/>
          <w:highlight w:val="none"/>
        </w:rPr>
        <w:t xml:space="preserve"> </w:t>
      </w:r>
      <w:r>
        <w:rPr>
          <w:rFonts w:ascii="宋体" w:hAnsi="宋体" w:eastAsia="宋体" w:cs="宋体"/>
          <w:spacing w:val="-2"/>
          <w:sz w:val="21"/>
          <w:szCs w:val="21"/>
          <w:highlight w:val="none"/>
        </w:rPr>
        <w:t>监理人指示暂停工作。由于发包人原因引起的暂停工作造成工</w:t>
      </w:r>
      <w:r>
        <w:rPr>
          <w:rFonts w:ascii="宋体" w:hAnsi="宋体" w:eastAsia="宋体" w:cs="宋体"/>
          <w:spacing w:val="-3"/>
          <w:sz w:val="21"/>
          <w:szCs w:val="21"/>
          <w:highlight w:val="none"/>
        </w:rPr>
        <w:t>期延误的，承包人有权要求发</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包人延长工期和(或)增加费用，并支付合理利润。</w:t>
      </w:r>
    </w:p>
    <w:p w14:paraId="1933B435">
      <w:pPr>
        <w:spacing w:before="239" w:line="321" w:lineRule="auto"/>
        <w:ind w:right="31" w:firstLine="420"/>
        <w:rPr>
          <w:rFonts w:ascii="宋体" w:hAnsi="宋体" w:eastAsia="宋体" w:cs="宋体"/>
          <w:sz w:val="21"/>
          <w:szCs w:val="21"/>
          <w:highlight w:val="none"/>
        </w:rPr>
      </w:pPr>
      <w:r>
        <w:rPr>
          <w:rFonts w:ascii="Times New Roman" w:hAnsi="Times New Roman" w:eastAsia="Times New Roman" w:cs="Times New Roman"/>
          <w:spacing w:val="5"/>
          <w:sz w:val="21"/>
          <w:szCs w:val="21"/>
          <w:highlight w:val="none"/>
        </w:rPr>
        <w:t xml:space="preserve">12.1.2    </w:t>
      </w:r>
      <w:r>
        <w:rPr>
          <w:rFonts w:ascii="宋体" w:hAnsi="宋体" w:eastAsia="宋体" w:cs="宋体"/>
          <w:spacing w:val="5"/>
          <w:sz w:val="21"/>
          <w:szCs w:val="21"/>
          <w:highlight w:val="none"/>
        </w:rPr>
        <w:t xml:space="preserve">由于承包人下列原因造成发包人暂停工作的，由此造成费用的增加和(或)工 </w:t>
      </w:r>
      <w:r>
        <w:rPr>
          <w:rFonts w:ascii="宋体" w:hAnsi="宋体" w:eastAsia="宋体" w:cs="宋体"/>
          <w:spacing w:val="-6"/>
          <w:sz w:val="21"/>
          <w:szCs w:val="21"/>
          <w:highlight w:val="none"/>
        </w:rPr>
        <w:t>期延误由承包人承担：</w:t>
      </w:r>
    </w:p>
    <w:p w14:paraId="4D2C7606">
      <w:pPr>
        <w:spacing w:before="231" w:line="219" w:lineRule="auto"/>
        <w:ind w:left="529"/>
        <w:rPr>
          <w:rFonts w:ascii="宋体" w:hAnsi="宋体" w:eastAsia="宋体" w:cs="宋体"/>
          <w:sz w:val="20"/>
          <w:szCs w:val="20"/>
          <w:highlight w:val="none"/>
        </w:rPr>
      </w:pPr>
      <w:r>
        <w:rPr>
          <w:rFonts w:ascii="宋体" w:hAnsi="宋体" w:eastAsia="宋体" w:cs="宋体"/>
          <w:spacing w:val="14"/>
          <w:sz w:val="20"/>
          <w:szCs w:val="20"/>
          <w:highlight w:val="none"/>
        </w:rPr>
        <w:t>(1)承包人违约；</w:t>
      </w:r>
    </w:p>
    <w:p w14:paraId="47F0A05A">
      <w:pPr>
        <w:spacing w:before="233" w:line="219" w:lineRule="auto"/>
        <w:ind w:left="529"/>
        <w:rPr>
          <w:rFonts w:ascii="宋体" w:hAnsi="宋体" w:eastAsia="宋体" w:cs="宋体"/>
          <w:sz w:val="22"/>
          <w:szCs w:val="22"/>
          <w:highlight w:val="none"/>
        </w:rPr>
      </w:pPr>
      <w:r>
        <w:rPr>
          <w:rFonts w:ascii="宋体" w:hAnsi="宋体" w:eastAsia="宋体" w:cs="宋体"/>
          <w:spacing w:val="-4"/>
          <w:sz w:val="22"/>
          <w:szCs w:val="22"/>
          <w:highlight w:val="none"/>
        </w:rPr>
        <w:t>(2)承包人擅自暂停工作；</w:t>
      </w:r>
    </w:p>
    <w:p w14:paraId="740E1866">
      <w:pPr>
        <w:spacing w:before="209" w:line="219" w:lineRule="auto"/>
        <w:ind w:left="529"/>
        <w:rPr>
          <w:rFonts w:ascii="宋体" w:hAnsi="宋体" w:eastAsia="宋体" w:cs="宋体"/>
          <w:sz w:val="22"/>
          <w:szCs w:val="22"/>
          <w:highlight w:val="none"/>
        </w:rPr>
      </w:pPr>
      <w:r>
        <w:rPr>
          <w:rFonts w:ascii="宋体" w:hAnsi="宋体" w:eastAsia="宋体" w:cs="宋体"/>
          <w:spacing w:val="-6"/>
          <w:sz w:val="22"/>
          <w:szCs w:val="22"/>
          <w:highlight w:val="none"/>
        </w:rPr>
        <w:t>(3)合同约定由承包人承担责任的其他暂停工作。</w:t>
      </w:r>
    </w:p>
    <w:p w14:paraId="04344DC0">
      <w:pPr>
        <w:spacing w:before="288" w:line="222" w:lineRule="auto"/>
        <w:rPr>
          <w:rFonts w:ascii="黑体" w:hAnsi="黑体" w:eastAsia="黑体" w:cs="黑体"/>
          <w:sz w:val="24"/>
          <w:szCs w:val="24"/>
          <w:highlight w:val="none"/>
        </w:rPr>
      </w:pPr>
      <w:r>
        <w:rPr>
          <w:rFonts w:ascii="黑体" w:hAnsi="黑体" w:eastAsia="黑体" w:cs="黑体"/>
          <w:spacing w:val="8"/>
          <w:sz w:val="24"/>
          <w:szCs w:val="24"/>
          <w:highlight w:val="none"/>
        </w:rPr>
        <w:t>12.2由承包人暂停工作</w:t>
      </w:r>
    </w:p>
    <w:p w14:paraId="49514127">
      <w:pPr>
        <w:spacing w:before="143" w:line="417" w:lineRule="auto"/>
        <w:ind w:right="1" w:firstLine="420"/>
        <w:jc w:val="both"/>
        <w:rPr>
          <w:rFonts w:ascii="宋体" w:hAnsi="宋体" w:eastAsia="宋体" w:cs="宋体"/>
          <w:sz w:val="21"/>
          <w:szCs w:val="21"/>
          <w:highlight w:val="none"/>
        </w:rPr>
      </w:pPr>
      <w:r>
        <w:rPr>
          <w:rFonts w:ascii="宋体" w:hAnsi="宋体" w:eastAsia="宋体" w:cs="宋体"/>
          <w:spacing w:val="3"/>
          <w:sz w:val="21"/>
          <w:szCs w:val="21"/>
          <w:highlight w:val="none"/>
        </w:rPr>
        <w:t>12.2.1合同履行过程中发生下列情形之一的，承包人可向发包人发出通知，要求</w:t>
      </w:r>
      <w:r>
        <w:rPr>
          <w:rFonts w:ascii="宋体" w:hAnsi="宋体" w:eastAsia="宋体" w:cs="宋体"/>
          <w:spacing w:val="2"/>
          <w:sz w:val="21"/>
          <w:szCs w:val="21"/>
          <w:highlight w:val="none"/>
        </w:rPr>
        <w:t>发包</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人采取有效措施予以纠正。发包人收到承包人通知后的28天内仍不履行合同义务，</w:t>
      </w:r>
      <w:r>
        <w:rPr>
          <w:rFonts w:ascii="宋体" w:hAnsi="宋体" w:eastAsia="宋体" w:cs="宋体"/>
          <w:spacing w:val="2"/>
          <w:sz w:val="21"/>
          <w:szCs w:val="21"/>
          <w:highlight w:val="none"/>
        </w:rPr>
        <w:t>承包人</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有权暂停施工，并通知监理人，发包人应承担由此增加的费用和(或</w:t>
      </w:r>
      <w:r>
        <w:rPr>
          <w:rFonts w:ascii="宋体" w:hAnsi="宋体" w:eastAsia="宋体" w:cs="宋体"/>
          <w:spacing w:val="3"/>
          <w:sz w:val="21"/>
          <w:szCs w:val="21"/>
          <w:highlight w:val="none"/>
        </w:rPr>
        <w:t>)工期延误责任，并支</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付承包人合理利润。</w:t>
      </w:r>
    </w:p>
    <w:p w14:paraId="79864919">
      <w:pPr>
        <w:spacing w:before="1" w:line="321" w:lineRule="auto"/>
        <w:ind w:right="35" w:firstLine="529"/>
        <w:rPr>
          <w:rFonts w:ascii="宋体" w:hAnsi="宋体" w:eastAsia="宋体" w:cs="宋体"/>
          <w:sz w:val="21"/>
          <w:szCs w:val="21"/>
          <w:highlight w:val="none"/>
        </w:rPr>
      </w:pPr>
      <w:r>
        <w:rPr>
          <w:rFonts w:ascii="宋体" w:hAnsi="宋体" w:eastAsia="宋体" w:cs="宋体"/>
          <w:spacing w:val="3"/>
          <w:sz w:val="21"/>
          <w:szCs w:val="21"/>
          <w:highlight w:val="none"/>
        </w:rPr>
        <w:t>(1)发包人未能按合同约定支付价款，或拖延、拒绝批准付款申请和支付证书，</w:t>
      </w:r>
      <w:r>
        <w:rPr>
          <w:rFonts w:ascii="宋体" w:hAnsi="宋体" w:eastAsia="宋体" w:cs="宋体"/>
          <w:spacing w:val="2"/>
          <w:sz w:val="21"/>
          <w:szCs w:val="21"/>
          <w:highlight w:val="none"/>
        </w:rPr>
        <w:t>导致</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付款延误的；</w:t>
      </w:r>
    </w:p>
    <w:p w14:paraId="10370EE2">
      <w:pPr>
        <w:spacing w:before="241" w:line="219" w:lineRule="auto"/>
        <w:ind w:left="529"/>
        <w:rPr>
          <w:rFonts w:ascii="宋体" w:hAnsi="宋体" w:eastAsia="宋体" w:cs="宋体"/>
          <w:sz w:val="21"/>
          <w:szCs w:val="21"/>
          <w:highlight w:val="none"/>
        </w:rPr>
      </w:pPr>
      <w:r>
        <w:rPr>
          <w:rFonts w:ascii="宋体" w:hAnsi="宋体" w:eastAsia="宋体" w:cs="宋体"/>
          <w:spacing w:val="2"/>
          <w:sz w:val="21"/>
          <w:szCs w:val="21"/>
          <w:highlight w:val="none"/>
        </w:rPr>
        <w:t>(2)监理人无正当理由没有在约定期限内发出复工指示，导致承包人</w:t>
      </w:r>
      <w:r>
        <w:rPr>
          <w:rFonts w:ascii="宋体" w:hAnsi="宋体" w:eastAsia="宋体" w:cs="宋体"/>
          <w:spacing w:val="1"/>
          <w:sz w:val="21"/>
          <w:szCs w:val="21"/>
          <w:highlight w:val="none"/>
        </w:rPr>
        <w:t>无法复工的；</w:t>
      </w:r>
    </w:p>
    <w:p w14:paraId="67299B52">
      <w:pPr>
        <w:spacing w:before="231" w:line="219" w:lineRule="auto"/>
        <w:ind w:left="529"/>
        <w:rPr>
          <w:rFonts w:ascii="宋体" w:hAnsi="宋体" w:eastAsia="宋体" w:cs="宋体"/>
          <w:sz w:val="21"/>
          <w:szCs w:val="21"/>
          <w:highlight w:val="none"/>
        </w:rPr>
      </w:pPr>
      <w:r>
        <w:rPr>
          <w:rFonts w:ascii="宋体" w:hAnsi="宋体" w:eastAsia="宋体" w:cs="宋体"/>
          <w:spacing w:val="2"/>
          <w:sz w:val="21"/>
          <w:szCs w:val="21"/>
          <w:highlight w:val="none"/>
        </w:rPr>
        <w:t>(3)发包人无法继续履行或明确表示不履行或实质上已停止履行合同的；</w:t>
      </w:r>
    </w:p>
    <w:p w14:paraId="0E2CF47E">
      <w:pPr>
        <w:spacing w:before="211" w:line="219" w:lineRule="auto"/>
        <w:ind w:left="529"/>
        <w:rPr>
          <w:rFonts w:ascii="宋体" w:hAnsi="宋体" w:eastAsia="宋体" w:cs="宋体"/>
          <w:sz w:val="22"/>
          <w:szCs w:val="22"/>
          <w:highlight w:val="none"/>
        </w:rPr>
      </w:pPr>
      <w:r>
        <w:rPr>
          <w:rFonts w:ascii="宋体" w:hAnsi="宋体" w:eastAsia="宋体" w:cs="宋体"/>
          <w:spacing w:val="-4"/>
          <w:sz w:val="22"/>
          <w:szCs w:val="22"/>
          <w:highlight w:val="none"/>
        </w:rPr>
        <w:t>(4)发包人不履行合同约定其他义务的。</w:t>
      </w:r>
    </w:p>
    <w:p w14:paraId="6655BAD7">
      <w:pPr>
        <w:spacing w:before="207" w:line="428" w:lineRule="auto"/>
        <w:ind w:right="29" w:firstLine="420"/>
        <w:jc w:val="both"/>
        <w:rPr>
          <w:rFonts w:ascii="宋体" w:hAnsi="宋体" w:eastAsia="宋体" w:cs="宋体"/>
          <w:sz w:val="21"/>
          <w:szCs w:val="21"/>
          <w:highlight w:val="none"/>
        </w:rPr>
      </w:pPr>
      <w:r>
        <w:rPr>
          <w:rFonts w:ascii="Times New Roman" w:hAnsi="Times New Roman" w:eastAsia="Times New Roman" w:cs="Times New Roman"/>
          <w:sz w:val="21"/>
          <w:szCs w:val="21"/>
          <w:highlight w:val="none"/>
        </w:rPr>
        <w:t>12.2.2</w:t>
      </w:r>
      <w:r>
        <w:rPr>
          <w:rFonts w:ascii="Times New Roman" w:hAnsi="Times New Roman" w:eastAsia="Times New Roman" w:cs="Times New Roman"/>
          <w:spacing w:val="23"/>
          <w:sz w:val="21"/>
          <w:szCs w:val="21"/>
          <w:highlight w:val="none"/>
        </w:rPr>
        <w:t xml:space="preserve">   </w:t>
      </w:r>
      <w:r>
        <w:rPr>
          <w:rFonts w:ascii="宋体" w:hAnsi="宋体" w:eastAsia="宋体" w:cs="宋体"/>
          <w:sz w:val="21"/>
          <w:szCs w:val="21"/>
          <w:highlight w:val="none"/>
        </w:rPr>
        <w:t>由于发包人的原因发生暂停施工的紧急情况，且监理人未及时下达暂停工作指</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示的，承包人可先暂停施工，并及时向监理人提出暂停工作的书面请求。</w:t>
      </w:r>
      <w:r>
        <w:rPr>
          <w:rFonts w:ascii="宋体" w:hAnsi="宋体" w:eastAsia="宋体" w:cs="宋体"/>
          <w:spacing w:val="-3"/>
          <w:sz w:val="21"/>
          <w:szCs w:val="21"/>
          <w:highlight w:val="none"/>
        </w:rPr>
        <w:t>监理人应在收到书</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面请求后的24小时内予以答复，逾期未答复的，视为同意承包人的</w:t>
      </w:r>
      <w:r>
        <w:rPr>
          <w:rFonts w:ascii="宋体" w:hAnsi="宋体" w:eastAsia="宋体" w:cs="宋体"/>
          <w:spacing w:val="2"/>
          <w:sz w:val="21"/>
          <w:szCs w:val="21"/>
          <w:highlight w:val="none"/>
        </w:rPr>
        <w:t>暂停工作请求。</w:t>
      </w:r>
    </w:p>
    <w:p w14:paraId="64A07721">
      <w:pPr>
        <w:spacing w:before="61" w:line="222" w:lineRule="auto"/>
        <w:rPr>
          <w:rFonts w:ascii="黑体" w:hAnsi="黑体" w:eastAsia="黑体" w:cs="黑体"/>
          <w:sz w:val="24"/>
          <w:szCs w:val="24"/>
          <w:highlight w:val="none"/>
        </w:rPr>
      </w:pPr>
      <w:r>
        <w:rPr>
          <w:rFonts w:ascii="黑体" w:hAnsi="黑体" w:eastAsia="黑体" w:cs="黑体"/>
          <w:spacing w:val="6"/>
          <w:sz w:val="24"/>
          <w:szCs w:val="24"/>
          <w:highlight w:val="none"/>
        </w:rPr>
        <w:t>12.3暂停工作后的照管</w:t>
      </w:r>
    </w:p>
    <w:p w14:paraId="3A90DECC">
      <w:pPr>
        <w:spacing w:before="129" w:line="425" w:lineRule="auto"/>
        <w:ind w:right="36" w:firstLine="420"/>
        <w:rPr>
          <w:rFonts w:ascii="宋体" w:hAnsi="宋体" w:eastAsia="宋体" w:cs="宋体"/>
          <w:sz w:val="21"/>
          <w:szCs w:val="21"/>
          <w:highlight w:val="none"/>
        </w:rPr>
      </w:pPr>
      <w:r>
        <w:rPr>
          <w:rFonts w:ascii="宋体" w:hAnsi="宋体" w:eastAsia="宋体" w:cs="宋体"/>
          <w:spacing w:val="-2"/>
          <w:sz w:val="21"/>
          <w:szCs w:val="21"/>
          <w:highlight w:val="none"/>
        </w:rPr>
        <w:t>不论由于何种原因引起暂停工作的，暂停工作</w:t>
      </w:r>
      <w:r>
        <w:rPr>
          <w:rFonts w:ascii="宋体" w:hAnsi="宋体" w:eastAsia="宋体" w:cs="宋体"/>
          <w:spacing w:val="-3"/>
          <w:sz w:val="21"/>
          <w:szCs w:val="21"/>
          <w:highlight w:val="none"/>
        </w:rPr>
        <w:t>期间，承包人应负责妥善保护工程并提供</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安全保障，由此增加的费用由责任方承担。</w:t>
      </w:r>
    </w:p>
    <w:p w14:paraId="077DD449">
      <w:pPr>
        <w:spacing w:before="55" w:line="222" w:lineRule="auto"/>
        <w:rPr>
          <w:rFonts w:ascii="黑体" w:hAnsi="黑体" w:eastAsia="黑体" w:cs="黑体"/>
          <w:sz w:val="24"/>
          <w:szCs w:val="24"/>
          <w:highlight w:val="none"/>
        </w:rPr>
      </w:pPr>
      <w:r>
        <w:rPr>
          <w:rFonts w:ascii="黑体" w:hAnsi="黑体" w:eastAsia="黑体" w:cs="黑体"/>
          <w:spacing w:val="8"/>
          <w:sz w:val="24"/>
          <w:szCs w:val="24"/>
          <w:highlight w:val="none"/>
        </w:rPr>
        <w:t>12.4暂停工作后的复工</w:t>
      </w:r>
    </w:p>
    <w:p w14:paraId="58496472">
      <w:pPr>
        <w:spacing w:before="130" w:line="219" w:lineRule="auto"/>
        <w:ind w:right="31"/>
        <w:jc w:val="right"/>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12.4.1    </w:t>
      </w:r>
      <w:r>
        <w:rPr>
          <w:rFonts w:ascii="宋体" w:hAnsi="宋体" w:eastAsia="宋体" w:cs="宋体"/>
          <w:sz w:val="21"/>
          <w:szCs w:val="21"/>
          <w:highlight w:val="none"/>
        </w:rPr>
        <w:t>暂停工作后，监理人应与发包人和承包人协商，采取有效措施积极消除暂停工</w:t>
      </w:r>
    </w:p>
    <w:p w14:paraId="010F0B78">
      <w:pPr>
        <w:spacing w:line="219" w:lineRule="auto"/>
        <w:rPr>
          <w:rFonts w:ascii="宋体" w:hAnsi="宋体" w:eastAsia="宋体" w:cs="宋体"/>
          <w:sz w:val="21"/>
          <w:szCs w:val="21"/>
          <w:highlight w:val="none"/>
        </w:rPr>
        <w:sectPr>
          <w:footerReference r:id="rId194" w:type="default"/>
          <w:pgSz w:w="11910" w:h="16840"/>
          <w:pgMar w:top="400" w:right="1786" w:bottom="1217" w:left="1779" w:header="0" w:footer="1013" w:gutter="0"/>
          <w:cols w:space="720" w:num="1"/>
        </w:sectPr>
      </w:pPr>
    </w:p>
    <w:p w14:paraId="41BE6F06">
      <w:pPr>
        <w:pStyle w:val="2"/>
        <w:spacing w:line="276" w:lineRule="auto"/>
        <w:rPr>
          <w:highlight w:val="none"/>
        </w:rPr>
      </w:pPr>
    </w:p>
    <w:p w14:paraId="2A62A9A3">
      <w:pPr>
        <w:pStyle w:val="2"/>
        <w:spacing w:line="276" w:lineRule="auto"/>
        <w:rPr>
          <w:highlight w:val="none"/>
        </w:rPr>
      </w:pPr>
    </w:p>
    <w:p w14:paraId="38279776">
      <w:pPr>
        <w:pStyle w:val="2"/>
        <w:spacing w:line="277" w:lineRule="auto"/>
        <w:rPr>
          <w:highlight w:val="none"/>
        </w:rPr>
      </w:pPr>
    </w:p>
    <w:p w14:paraId="22FA9239">
      <w:pPr>
        <w:pStyle w:val="2"/>
        <w:spacing w:line="277" w:lineRule="auto"/>
        <w:rPr>
          <w:highlight w:val="none"/>
        </w:rPr>
      </w:pPr>
    </w:p>
    <w:p w14:paraId="1CF08DFA">
      <w:pPr>
        <w:spacing w:before="65" w:line="434" w:lineRule="auto"/>
        <w:ind w:right="93"/>
        <w:rPr>
          <w:rFonts w:ascii="宋体" w:hAnsi="宋体" w:eastAsia="宋体" w:cs="宋体"/>
          <w:sz w:val="20"/>
          <w:szCs w:val="20"/>
          <w:highlight w:val="none"/>
        </w:rPr>
      </w:pPr>
      <w:r>
        <w:rPr>
          <w:rFonts w:ascii="宋体" w:hAnsi="宋体" w:eastAsia="宋体" w:cs="宋体"/>
          <w:spacing w:val="8"/>
          <w:sz w:val="20"/>
          <w:szCs w:val="20"/>
          <w:highlight w:val="none"/>
        </w:rPr>
        <w:t>作的影响。当工程具备复工条件时，监理人应立即向承包人发出复工</w:t>
      </w:r>
      <w:r>
        <w:rPr>
          <w:rFonts w:ascii="宋体" w:hAnsi="宋体" w:eastAsia="宋体" w:cs="宋体"/>
          <w:spacing w:val="7"/>
          <w:sz w:val="20"/>
          <w:szCs w:val="20"/>
          <w:highlight w:val="none"/>
        </w:rPr>
        <w:t>通知。承包人收到复工</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通知后，应在监理人指定的期限内复工。</w:t>
      </w:r>
    </w:p>
    <w:p w14:paraId="5C9A66A2">
      <w:pPr>
        <w:spacing w:before="3" w:line="423" w:lineRule="auto"/>
        <w:ind w:right="83" w:firstLine="430"/>
        <w:jc w:val="both"/>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12.4.2</w:t>
      </w:r>
      <w:r>
        <w:rPr>
          <w:rFonts w:ascii="Times New Roman" w:hAnsi="Times New Roman" w:eastAsia="Times New Roman" w:cs="Times New Roman"/>
          <w:spacing w:val="14"/>
          <w:sz w:val="21"/>
          <w:szCs w:val="21"/>
          <w:highlight w:val="none"/>
        </w:rPr>
        <w:t xml:space="preserve">   </w:t>
      </w:r>
      <w:r>
        <w:rPr>
          <w:rFonts w:ascii="宋体" w:hAnsi="宋体" w:eastAsia="宋体" w:cs="宋体"/>
          <w:spacing w:val="1"/>
          <w:sz w:val="21"/>
          <w:szCs w:val="21"/>
          <w:highlight w:val="none"/>
        </w:rPr>
        <w:t>承包人无故拖延和拒绝复工的，由此增加的</w:t>
      </w:r>
      <w:r>
        <w:rPr>
          <w:rFonts w:ascii="宋体" w:hAnsi="宋体" w:eastAsia="宋体" w:cs="宋体"/>
          <w:sz w:val="21"/>
          <w:szCs w:val="21"/>
          <w:highlight w:val="none"/>
        </w:rPr>
        <w:t xml:space="preserve">费用和工期延误由承包人承担；因 </w:t>
      </w:r>
      <w:r>
        <w:rPr>
          <w:rFonts w:ascii="宋体" w:hAnsi="宋体" w:eastAsia="宋体" w:cs="宋体"/>
          <w:spacing w:val="3"/>
          <w:sz w:val="21"/>
          <w:szCs w:val="21"/>
          <w:highlight w:val="none"/>
        </w:rPr>
        <w:t>发包人原因无法按时复工的，承包人有权要求发包人延长工期和(或)增加费用，并支</w:t>
      </w:r>
      <w:r>
        <w:rPr>
          <w:rFonts w:ascii="宋体" w:hAnsi="宋体" w:eastAsia="宋体" w:cs="宋体"/>
          <w:spacing w:val="2"/>
          <w:sz w:val="21"/>
          <w:szCs w:val="21"/>
          <w:highlight w:val="none"/>
        </w:rPr>
        <w:t>付合</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理利润。</w:t>
      </w:r>
    </w:p>
    <w:p w14:paraId="6D30181C">
      <w:pPr>
        <w:spacing w:before="42" w:line="221" w:lineRule="auto"/>
        <w:rPr>
          <w:rFonts w:ascii="黑体" w:hAnsi="黑体" w:eastAsia="黑体" w:cs="黑体"/>
          <w:sz w:val="24"/>
          <w:szCs w:val="24"/>
          <w:highlight w:val="none"/>
        </w:rPr>
      </w:pPr>
      <w:r>
        <w:rPr>
          <w:rFonts w:ascii="黑体" w:hAnsi="黑体" w:eastAsia="黑体" w:cs="黑体"/>
          <w:spacing w:val="14"/>
          <w:sz w:val="24"/>
          <w:szCs w:val="24"/>
          <w:highlight w:val="none"/>
        </w:rPr>
        <w:t>12.5暂停工作56天以上</w:t>
      </w:r>
    </w:p>
    <w:p w14:paraId="48AAD48E">
      <w:pPr>
        <w:spacing w:before="112" w:line="389" w:lineRule="auto"/>
        <w:ind w:right="80" w:firstLine="430"/>
        <w:rPr>
          <w:rFonts w:ascii="宋体" w:hAnsi="宋体" w:eastAsia="宋体" w:cs="宋体"/>
          <w:sz w:val="21"/>
          <w:szCs w:val="21"/>
          <w:highlight w:val="none"/>
        </w:rPr>
      </w:pPr>
      <w:r>
        <w:rPr>
          <w:rFonts w:ascii="宋体" w:hAnsi="宋体" w:eastAsia="宋体" w:cs="宋体"/>
          <w:spacing w:val="3"/>
          <w:sz w:val="21"/>
          <w:szCs w:val="21"/>
          <w:highlight w:val="none"/>
        </w:rPr>
        <w:t>12.5.1监理人发出暂停工作指示后56天内未向承包人发出复工通知的，除该项暂停由</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于承包人违约造成之外，承包人可向监理人提交书面通知，</w:t>
      </w:r>
      <w:r>
        <w:rPr>
          <w:rFonts w:ascii="宋体" w:hAnsi="宋体" w:eastAsia="宋体" w:cs="宋体"/>
          <w:spacing w:val="2"/>
          <w:sz w:val="21"/>
          <w:szCs w:val="21"/>
          <w:highlight w:val="none"/>
        </w:rPr>
        <w:t>要求监理人在收到书面通知后</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28天内准许已暂停工作的全部或部分继续工作。如监理人逾期不予批准，则承包</w:t>
      </w:r>
      <w:r>
        <w:rPr>
          <w:rFonts w:ascii="宋体" w:hAnsi="宋体" w:eastAsia="宋体" w:cs="宋体"/>
          <w:spacing w:val="2"/>
          <w:sz w:val="21"/>
          <w:szCs w:val="21"/>
          <w:highlight w:val="none"/>
        </w:rPr>
        <w:t>人可以通</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知监理人，将工程受影响的部分按第15条的约定作为可取消工作的变更处理。暂停工</w:t>
      </w:r>
      <w:r>
        <w:rPr>
          <w:rFonts w:ascii="宋体" w:hAnsi="宋体" w:eastAsia="宋体" w:cs="宋体"/>
          <w:spacing w:val="2"/>
          <w:sz w:val="21"/>
          <w:szCs w:val="21"/>
          <w:highlight w:val="none"/>
        </w:rPr>
        <w:t>作影</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响到整个工程的，视为发包人违约，应按第12.2.1项的约定执行，同</w:t>
      </w:r>
      <w:r>
        <w:rPr>
          <w:rFonts w:ascii="宋体" w:hAnsi="宋体" w:eastAsia="宋体" w:cs="宋体"/>
          <w:spacing w:val="2"/>
          <w:sz w:val="21"/>
          <w:szCs w:val="21"/>
          <w:highlight w:val="none"/>
        </w:rPr>
        <w:t>时承包人有权解除合</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同。</w:t>
      </w:r>
    </w:p>
    <w:p w14:paraId="78BF11C8">
      <w:pPr>
        <w:spacing w:before="215" w:line="345" w:lineRule="auto"/>
        <w:ind w:right="74" w:firstLine="430"/>
        <w:rPr>
          <w:rFonts w:ascii="宋体" w:hAnsi="宋体" w:eastAsia="宋体" w:cs="宋体"/>
          <w:sz w:val="22"/>
          <w:szCs w:val="22"/>
          <w:highlight w:val="none"/>
        </w:rPr>
      </w:pPr>
      <w:r>
        <w:rPr>
          <w:rFonts w:ascii="宋体" w:hAnsi="宋体" w:eastAsia="宋体" w:cs="宋体"/>
          <w:spacing w:val="-6"/>
          <w:sz w:val="22"/>
          <w:szCs w:val="22"/>
          <w:highlight w:val="none"/>
        </w:rPr>
        <w:t>12.5.2由于承包人原因引起暂停工作的，如承包人在收到监理人暂停工作指示后56天</w:t>
      </w:r>
      <w:r>
        <w:rPr>
          <w:rFonts w:ascii="宋体" w:hAnsi="宋体" w:eastAsia="宋体" w:cs="宋体"/>
          <w:spacing w:val="5"/>
          <w:sz w:val="22"/>
          <w:szCs w:val="22"/>
          <w:highlight w:val="none"/>
        </w:rPr>
        <w:t xml:space="preserve"> </w:t>
      </w:r>
      <w:r>
        <w:rPr>
          <w:rFonts w:ascii="宋体" w:hAnsi="宋体" w:eastAsia="宋体" w:cs="宋体"/>
          <w:spacing w:val="-9"/>
          <w:sz w:val="22"/>
          <w:szCs w:val="22"/>
          <w:highlight w:val="none"/>
        </w:rPr>
        <w:t>内不采取有效的复工措施，造成工期延误的，视为承包人违约，应按第12.1.2 项的约定执</w:t>
      </w:r>
      <w:r>
        <w:rPr>
          <w:rFonts w:ascii="宋体" w:hAnsi="宋体" w:eastAsia="宋体" w:cs="宋体"/>
          <w:spacing w:val="5"/>
          <w:sz w:val="22"/>
          <w:szCs w:val="22"/>
          <w:highlight w:val="none"/>
        </w:rPr>
        <w:t xml:space="preserve"> </w:t>
      </w:r>
      <w:r>
        <w:rPr>
          <w:rFonts w:ascii="宋体" w:hAnsi="宋体" w:eastAsia="宋体" w:cs="宋体"/>
          <w:spacing w:val="-12"/>
          <w:sz w:val="22"/>
          <w:szCs w:val="22"/>
          <w:highlight w:val="none"/>
        </w:rPr>
        <w:t>行。</w:t>
      </w:r>
    </w:p>
    <w:p w14:paraId="3BEF0C92">
      <w:pPr>
        <w:spacing w:before="187" w:line="222" w:lineRule="auto"/>
        <w:outlineLvl w:val="1"/>
        <w:rPr>
          <w:rFonts w:ascii="黑体" w:hAnsi="黑体" w:eastAsia="黑体" w:cs="黑体"/>
          <w:sz w:val="24"/>
          <w:szCs w:val="24"/>
          <w:highlight w:val="none"/>
        </w:rPr>
      </w:pPr>
      <w:bookmarkStart w:id="186" w:name="bookmark108"/>
      <w:bookmarkEnd w:id="186"/>
      <w:r>
        <w:rPr>
          <w:rFonts w:ascii="黑体" w:hAnsi="黑体" w:eastAsia="黑体" w:cs="黑体"/>
          <w:spacing w:val="4"/>
          <w:sz w:val="24"/>
          <w:szCs w:val="24"/>
          <w:highlight w:val="none"/>
        </w:rPr>
        <w:t>13.工程质量</w:t>
      </w:r>
    </w:p>
    <w:p w14:paraId="09BD7436">
      <w:pPr>
        <w:spacing w:before="191" w:line="222" w:lineRule="auto"/>
        <w:rPr>
          <w:rFonts w:ascii="黑体" w:hAnsi="黑体" w:eastAsia="黑体" w:cs="黑体"/>
          <w:sz w:val="24"/>
          <w:szCs w:val="24"/>
          <w:highlight w:val="none"/>
        </w:rPr>
      </w:pPr>
      <w:r>
        <w:rPr>
          <w:rFonts w:ascii="黑体" w:hAnsi="黑体" w:eastAsia="黑体" w:cs="黑体"/>
          <w:spacing w:val="8"/>
          <w:sz w:val="24"/>
          <w:szCs w:val="24"/>
          <w:highlight w:val="none"/>
        </w:rPr>
        <w:t>13.1工程质量要求</w:t>
      </w:r>
    </w:p>
    <w:p w14:paraId="23AA4465">
      <w:pPr>
        <w:spacing w:before="132"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13.1.1   </w:t>
      </w:r>
      <w:r>
        <w:rPr>
          <w:rFonts w:ascii="宋体" w:hAnsi="宋体" w:eastAsia="宋体" w:cs="宋体"/>
          <w:spacing w:val="-7"/>
          <w:sz w:val="22"/>
          <w:szCs w:val="22"/>
          <w:highlight w:val="none"/>
        </w:rPr>
        <w:t>工程质量验收按法律规定和合同约定的验收标准执行。</w:t>
      </w:r>
    </w:p>
    <w:p w14:paraId="31976362">
      <w:pPr>
        <w:spacing w:before="228" w:line="321" w:lineRule="auto"/>
        <w:ind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13.1.2    </w:t>
      </w:r>
      <w:r>
        <w:rPr>
          <w:rFonts w:ascii="宋体" w:hAnsi="宋体" w:eastAsia="宋体" w:cs="宋体"/>
          <w:sz w:val="21"/>
          <w:szCs w:val="21"/>
          <w:highlight w:val="none"/>
        </w:rPr>
        <w:t>因承包人原因造成工程质量不符合法律的规定和合同约定的，监理人有权要求</w:t>
      </w:r>
      <w:r>
        <w:rPr>
          <w:rFonts w:ascii="宋体" w:hAnsi="宋体" w:eastAsia="宋体" w:cs="宋体"/>
          <w:spacing w:val="1"/>
          <w:sz w:val="21"/>
          <w:szCs w:val="21"/>
          <w:highlight w:val="none"/>
        </w:rPr>
        <w:t xml:space="preserve">  </w:t>
      </w:r>
      <w:r>
        <w:rPr>
          <w:rFonts w:ascii="宋体" w:hAnsi="宋体" w:eastAsia="宋体" w:cs="宋体"/>
          <w:spacing w:val="5"/>
          <w:sz w:val="21"/>
          <w:szCs w:val="21"/>
          <w:highlight w:val="none"/>
        </w:rPr>
        <w:t>承包人返工直至符合合同要求为止，由此造成的费用增加和(或)工期延误由承包人承担。</w:t>
      </w:r>
    </w:p>
    <w:p w14:paraId="5E6AA4FF">
      <w:pPr>
        <w:spacing w:before="221" w:line="316" w:lineRule="auto"/>
        <w:ind w:right="95"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13.1.3    </w:t>
      </w:r>
      <w:r>
        <w:rPr>
          <w:rFonts w:ascii="宋体" w:hAnsi="宋体" w:eastAsia="宋体" w:cs="宋体"/>
          <w:sz w:val="21"/>
          <w:szCs w:val="21"/>
          <w:highlight w:val="none"/>
        </w:rPr>
        <w:t>因发包人原因造成工程质量达不到合同约定验收标准的，发包人应承担由于承</w:t>
      </w:r>
      <w:r>
        <w:rPr>
          <w:rFonts w:ascii="宋体" w:hAnsi="宋体" w:eastAsia="宋体" w:cs="宋体"/>
          <w:spacing w:val="3"/>
          <w:sz w:val="21"/>
          <w:szCs w:val="21"/>
          <w:highlight w:val="none"/>
        </w:rPr>
        <w:t xml:space="preserve"> </w:t>
      </w:r>
      <w:r>
        <w:rPr>
          <w:rFonts w:ascii="宋体" w:hAnsi="宋体" w:eastAsia="宋体" w:cs="宋体"/>
          <w:spacing w:val="6"/>
          <w:sz w:val="21"/>
          <w:szCs w:val="21"/>
          <w:highlight w:val="none"/>
        </w:rPr>
        <w:t>包人返工造成的费用增加和(或)工期延误，并支付承包人合理利</w:t>
      </w:r>
      <w:r>
        <w:rPr>
          <w:rFonts w:ascii="宋体" w:hAnsi="宋体" w:eastAsia="宋体" w:cs="宋体"/>
          <w:spacing w:val="5"/>
          <w:sz w:val="21"/>
          <w:szCs w:val="21"/>
          <w:highlight w:val="none"/>
        </w:rPr>
        <w:t>润。</w:t>
      </w:r>
    </w:p>
    <w:p w14:paraId="3B5F69B4">
      <w:pPr>
        <w:spacing w:before="302" w:line="222" w:lineRule="auto"/>
        <w:rPr>
          <w:rFonts w:ascii="黑体" w:hAnsi="黑体" w:eastAsia="黑体" w:cs="黑体"/>
          <w:sz w:val="24"/>
          <w:szCs w:val="24"/>
          <w:highlight w:val="none"/>
        </w:rPr>
      </w:pPr>
      <w:r>
        <w:rPr>
          <w:rFonts w:ascii="黑体" w:hAnsi="黑体" w:eastAsia="黑体" w:cs="黑体"/>
          <w:spacing w:val="6"/>
          <w:sz w:val="24"/>
          <w:szCs w:val="24"/>
          <w:highlight w:val="none"/>
        </w:rPr>
        <w:t>13.2承包人的质量检查</w:t>
      </w:r>
    </w:p>
    <w:p w14:paraId="56B53E34">
      <w:pPr>
        <w:spacing w:before="139" w:line="407" w:lineRule="auto"/>
        <w:ind w:right="76" w:firstLine="430"/>
        <w:rPr>
          <w:rFonts w:ascii="宋体" w:hAnsi="宋体" w:eastAsia="宋体" w:cs="宋体"/>
          <w:sz w:val="21"/>
          <w:szCs w:val="21"/>
          <w:highlight w:val="none"/>
        </w:rPr>
      </w:pPr>
      <w:r>
        <w:rPr>
          <w:rFonts w:ascii="宋体" w:hAnsi="宋体" w:eastAsia="宋体" w:cs="宋体"/>
          <w:spacing w:val="-2"/>
          <w:sz w:val="21"/>
          <w:szCs w:val="21"/>
          <w:highlight w:val="none"/>
        </w:rPr>
        <w:t>承包人应按合同约定对设计、材料、工程设备以及全部工程内容及其施</w:t>
      </w:r>
      <w:r>
        <w:rPr>
          <w:rFonts w:ascii="宋体" w:hAnsi="宋体" w:eastAsia="宋体" w:cs="宋体"/>
          <w:spacing w:val="-3"/>
          <w:sz w:val="21"/>
          <w:szCs w:val="21"/>
          <w:highlight w:val="none"/>
        </w:rPr>
        <w:t>工工艺进行全过</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程的质量检查和检验，并作详细记录，编制工程质量报表，报送监理人审查。</w:t>
      </w:r>
    </w:p>
    <w:p w14:paraId="6414B098">
      <w:pPr>
        <w:spacing w:before="86" w:line="222" w:lineRule="auto"/>
        <w:rPr>
          <w:rFonts w:ascii="黑体" w:hAnsi="黑体" w:eastAsia="黑体" w:cs="黑体"/>
          <w:sz w:val="24"/>
          <w:szCs w:val="24"/>
          <w:highlight w:val="none"/>
        </w:rPr>
      </w:pPr>
      <w:r>
        <w:rPr>
          <w:rFonts w:ascii="黑体" w:hAnsi="黑体" w:eastAsia="黑体" w:cs="黑体"/>
          <w:spacing w:val="6"/>
          <w:sz w:val="24"/>
          <w:szCs w:val="24"/>
          <w:highlight w:val="none"/>
        </w:rPr>
        <w:t>13.3监理人的质量检查</w:t>
      </w:r>
    </w:p>
    <w:p w14:paraId="698C3B08">
      <w:pPr>
        <w:spacing w:before="118" w:line="424" w:lineRule="auto"/>
        <w:ind w:right="75" w:firstLine="430"/>
        <w:jc w:val="both"/>
        <w:rPr>
          <w:rFonts w:ascii="宋体" w:hAnsi="宋体" w:eastAsia="宋体" w:cs="宋体"/>
          <w:sz w:val="21"/>
          <w:szCs w:val="21"/>
          <w:highlight w:val="none"/>
        </w:rPr>
      </w:pPr>
      <w:r>
        <w:rPr>
          <w:rFonts w:ascii="宋体" w:hAnsi="宋体" w:eastAsia="宋体" w:cs="宋体"/>
          <w:spacing w:val="-2"/>
          <w:sz w:val="21"/>
          <w:szCs w:val="21"/>
          <w:highlight w:val="none"/>
        </w:rPr>
        <w:t>监理人有权对全部工程内容及其施工工艺、材料和工程设备进行检查和</w:t>
      </w:r>
      <w:r>
        <w:rPr>
          <w:rFonts w:ascii="宋体" w:hAnsi="宋体" w:eastAsia="宋体" w:cs="宋体"/>
          <w:spacing w:val="-3"/>
          <w:sz w:val="21"/>
          <w:szCs w:val="21"/>
          <w:highlight w:val="none"/>
        </w:rPr>
        <w:t>检验。承包人应</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为监理人的检查和检验提供方便，包括监理人到施工场地，或制造、加工</w:t>
      </w:r>
      <w:r>
        <w:rPr>
          <w:rFonts w:ascii="宋体" w:hAnsi="宋体" w:eastAsia="宋体" w:cs="宋体"/>
          <w:spacing w:val="-3"/>
          <w:sz w:val="21"/>
          <w:szCs w:val="21"/>
          <w:highlight w:val="none"/>
        </w:rPr>
        <w:t>地点，或合同约定</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的其他地方进行察看和查阅施工原始记录。承包人还应按监理人指</w:t>
      </w:r>
      <w:r>
        <w:rPr>
          <w:rFonts w:ascii="宋体" w:hAnsi="宋体" w:eastAsia="宋体" w:cs="宋体"/>
          <w:spacing w:val="-3"/>
          <w:sz w:val="21"/>
          <w:szCs w:val="21"/>
          <w:highlight w:val="none"/>
        </w:rPr>
        <w:t>示，进行施工场地取样试</w:t>
      </w:r>
    </w:p>
    <w:p w14:paraId="6E3EC475">
      <w:pPr>
        <w:spacing w:line="424" w:lineRule="auto"/>
        <w:rPr>
          <w:rFonts w:ascii="宋体" w:hAnsi="宋体" w:eastAsia="宋体" w:cs="宋体"/>
          <w:sz w:val="21"/>
          <w:szCs w:val="21"/>
          <w:highlight w:val="none"/>
        </w:rPr>
        <w:sectPr>
          <w:footerReference r:id="rId195" w:type="default"/>
          <w:pgSz w:w="11910" w:h="16840"/>
          <w:pgMar w:top="400" w:right="1735" w:bottom="1238" w:left="1769" w:header="0" w:footer="1006" w:gutter="0"/>
          <w:cols w:space="720" w:num="1"/>
        </w:sectPr>
      </w:pPr>
    </w:p>
    <w:p w14:paraId="1C5BD8D8">
      <w:pPr>
        <w:pStyle w:val="2"/>
        <w:spacing w:line="276" w:lineRule="auto"/>
        <w:rPr>
          <w:highlight w:val="none"/>
        </w:rPr>
      </w:pPr>
    </w:p>
    <w:p w14:paraId="3EE1B7ED">
      <w:pPr>
        <w:pStyle w:val="2"/>
        <w:spacing w:line="276" w:lineRule="auto"/>
        <w:rPr>
          <w:highlight w:val="none"/>
        </w:rPr>
      </w:pPr>
    </w:p>
    <w:p w14:paraId="56A6CC5B">
      <w:pPr>
        <w:pStyle w:val="2"/>
        <w:spacing w:line="276" w:lineRule="auto"/>
        <w:rPr>
          <w:highlight w:val="none"/>
        </w:rPr>
      </w:pPr>
    </w:p>
    <w:p w14:paraId="45528482">
      <w:pPr>
        <w:pStyle w:val="2"/>
        <w:spacing w:line="277" w:lineRule="auto"/>
        <w:rPr>
          <w:highlight w:val="none"/>
        </w:rPr>
      </w:pPr>
    </w:p>
    <w:p w14:paraId="36893A70">
      <w:pPr>
        <w:spacing w:before="65" w:line="437" w:lineRule="auto"/>
        <w:ind w:right="33"/>
        <w:rPr>
          <w:rFonts w:ascii="宋体" w:hAnsi="宋体" w:eastAsia="宋体" w:cs="宋体"/>
          <w:sz w:val="20"/>
          <w:szCs w:val="20"/>
          <w:highlight w:val="none"/>
        </w:rPr>
      </w:pPr>
      <w:r>
        <w:rPr>
          <w:rFonts w:ascii="宋体" w:hAnsi="宋体" w:eastAsia="宋体" w:cs="宋体"/>
          <w:spacing w:val="8"/>
          <w:sz w:val="20"/>
          <w:szCs w:val="20"/>
          <w:highlight w:val="none"/>
        </w:rPr>
        <w:t>验、工程复核测量和设备性能检测，提供试验样品、提交试验报告</w:t>
      </w:r>
      <w:r>
        <w:rPr>
          <w:rFonts w:ascii="宋体" w:hAnsi="宋体" w:eastAsia="宋体" w:cs="宋体"/>
          <w:spacing w:val="7"/>
          <w:sz w:val="20"/>
          <w:szCs w:val="20"/>
          <w:highlight w:val="none"/>
        </w:rPr>
        <w:t>和测量成果以及监理人要</w:t>
      </w:r>
      <w:r>
        <w:rPr>
          <w:rFonts w:ascii="宋体" w:hAnsi="宋体" w:eastAsia="宋体" w:cs="宋体"/>
          <w:sz w:val="20"/>
          <w:szCs w:val="20"/>
          <w:highlight w:val="none"/>
        </w:rPr>
        <w:t xml:space="preserve"> </w:t>
      </w:r>
      <w:r>
        <w:rPr>
          <w:rFonts w:ascii="宋体" w:hAnsi="宋体" w:eastAsia="宋体" w:cs="宋体"/>
          <w:spacing w:val="10"/>
          <w:sz w:val="20"/>
          <w:szCs w:val="20"/>
          <w:highlight w:val="none"/>
        </w:rPr>
        <w:t>求进行的其他工作。监理人的检查和检验，不免除承包人</w:t>
      </w:r>
      <w:r>
        <w:rPr>
          <w:rFonts w:ascii="宋体" w:hAnsi="宋体" w:eastAsia="宋体" w:cs="宋体"/>
          <w:spacing w:val="9"/>
          <w:sz w:val="20"/>
          <w:szCs w:val="20"/>
          <w:highlight w:val="none"/>
        </w:rPr>
        <w:t>按合同约定应负的责任。</w:t>
      </w:r>
    </w:p>
    <w:p w14:paraId="2939BAAE">
      <w:pPr>
        <w:spacing w:before="64" w:line="222" w:lineRule="auto"/>
        <w:rPr>
          <w:rFonts w:ascii="黑体" w:hAnsi="黑体" w:eastAsia="黑体" w:cs="黑体"/>
          <w:sz w:val="24"/>
          <w:szCs w:val="24"/>
          <w:highlight w:val="none"/>
        </w:rPr>
      </w:pPr>
      <w:r>
        <w:rPr>
          <w:rFonts w:ascii="黑体" w:hAnsi="黑体" w:eastAsia="黑体" w:cs="黑体"/>
          <w:spacing w:val="5"/>
          <w:sz w:val="24"/>
          <w:szCs w:val="24"/>
          <w:highlight w:val="none"/>
        </w:rPr>
        <w:t>13.4工程隐蔽部位覆盖前的检查</w:t>
      </w:r>
    </w:p>
    <w:p w14:paraId="4B598F2C">
      <w:pPr>
        <w:spacing w:before="122"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13.4.1</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6"/>
          <w:sz w:val="22"/>
          <w:szCs w:val="22"/>
          <w:highlight w:val="none"/>
        </w:rPr>
        <w:t>通知监理人检查</w:t>
      </w:r>
    </w:p>
    <w:p w14:paraId="1A5A85D0">
      <w:pPr>
        <w:spacing w:before="228" w:line="417" w:lineRule="auto"/>
        <w:ind w:right="32" w:firstLine="420"/>
        <w:rPr>
          <w:rFonts w:ascii="宋体" w:hAnsi="宋体" w:eastAsia="宋体" w:cs="宋体"/>
          <w:sz w:val="21"/>
          <w:szCs w:val="21"/>
          <w:highlight w:val="none"/>
        </w:rPr>
      </w:pPr>
      <w:r>
        <w:rPr>
          <w:rFonts w:ascii="宋体" w:hAnsi="宋体" w:eastAsia="宋体" w:cs="宋体"/>
          <w:spacing w:val="-2"/>
          <w:sz w:val="21"/>
          <w:szCs w:val="21"/>
          <w:highlight w:val="none"/>
        </w:rPr>
        <w:t>经承包人自检确认的工程隐蔽部位具备覆盖条件后，承</w:t>
      </w:r>
      <w:r>
        <w:rPr>
          <w:rFonts w:ascii="宋体" w:hAnsi="宋体" w:eastAsia="宋体" w:cs="宋体"/>
          <w:spacing w:val="-3"/>
          <w:sz w:val="21"/>
          <w:szCs w:val="21"/>
          <w:highlight w:val="none"/>
        </w:rPr>
        <w:t>包人应通知监理人在约定的期限</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内检查。承包人的通知应附有自检记录和必要的检查资料。</w:t>
      </w:r>
      <w:r>
        <w:rPr>
          <w:rFonts w:ascii="宋体" w:hAnsi="宋体" w:eastAsia="宋体" w:cs="宋体"/>
          <w:spacing w:val="-3"/>
          <w:sz w:val="21"/>
          <w:szCs w:val="21"/>
          <w:highlight w:val="none"/>
        </w:rPr>
        <w:t>监理人应按时到场检查。经监理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人检查确认质量符合隐蔽要求，并在检查记录上签字后，承包人才</w:t>
      </w:r>
      <w:r>
        <w:rPr>
          <w:rFonts w:ascii="宋体" w:hAnsi="宋体" w:eastAsia="宋体" w:cs="宋体"/>
          <w:spacing w:val="-3"/>
          <w:sz w:val="21"/>
          <w:szCs w:val="21"/>
          <w:highlight w:val="none"/>
        </w:rPr>
        <w:t>能进行覆盖。监理人检查</w:t>
      </w:r>
      <w:r>
        <w:rPr>
          <w:rFonts w:ascii="宋体" w:hAnsi="宋体" w:eastAsia="宋体" w:cs="宋体"/>
          <w:sz w:val="21"/>
          <w:szCs w:val="21"/>
          <w:highlight w:val="none"/>
        </w:rPr>
        <w:t xml:space="preserve"> 确认质量不合格的，承包人应在监理人指示的时间内修整返工后，由监</w:t>
      </w:r>
      <w:r>
        <w:rPr>
          <w:rFonts w:ascii="宋体" w:hAnsi="宋体" w:eastAsia="宋体" w:cs="宋体"/>
          <w:spacing w:val="-1"/>
          <w:sz w:val="21"/>
          <w:szCs w:val="21"/>
          <w:highlight w:val="none"/>
        </w:rPr>
        <w:t>理人重新检查。</w:t>
      </w:r>
    </w:p>
    <w:p w14:paraId="165F387F">
      <w:pPr>
        <w:spacing w:before="1" w:line="219" w:lineRule="auto"/>
        <w:ind w:left="42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13.4.2</w:t>
      </w:r>
      <w:r>
        <w:rPr>
          <w:rFonts w:ascii="Times New Roman" w:hAnsi="Times New Roman" w:eastAsia="Times New Roman" w:cs="Times New Roman"/>
          <w:spacing w:val="9"/>
          <w:sz w:val="20"/>
          <w:szCs w:val="20"/>
          <w:highlight w:val="none"/>
        </w:rPr>
        <w:t xml:space="preserve">    </w:t>
      </w:r>
      <w:r>
        <w:rPr>
          <w:rFonts w:ascii="宋体" w:hAnsi="宋体" w:eastAsia="宋体" w:cs="宋体"/>
          <w:spacing w:val="5"/>
          <w:sz w:val="20"/>
          <w:szCs w:val="20"/>
          <w:highlight w:val="none"/>
        </w:rPr>
        <w:t>监理人未到场检查</w:t>
      </w:r>
    </w:p>
    <w:p w14:paraId="72B2C2B1">
      <w:pPr>
        <w:spacing w:before="224" w:line="423" w:lineRule="auto"/>
        <w:ind w:right="32" w:firstLine="420"/>
        <w:rPr>
          <w:rFonts w:ascii="宋体" w:hAnsi="宋体" w:eastAsia="宋体" w:cs="宋体"/>
          <w:sz w:val="21"/>
          <w:szCs w:val="21"/>
          <w:highlight w:val="none"/>
        </w:rPr>
      </w:pPr>
      <w:r>
        <w:rPr>
          <w:rFonts w:ascii="宋体" w:hAnsi="宋体" w:eastAsia="宋体" w:cs="宋体"/>
          <w:sz w:val="21"/>
          <w:szCs w:val="21"/>
          <w:highlight w:val="none"/>
        </w:rPr>
        <w:t>监理人未按第13.4.1 项约定的时间进行检查的，除监理人另有指示外，承包人可自行</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完成覆盖工作，并作相应记录报送监理人，监理人应签字确认。</w:t>
      </w:r>
      <w:r>
        <w:rPr>
          <w:rFonts w:ascii="宋体" w:hAnsi="宋体" w:eastAsia="宋体" w:cs="宋体"/>
          <w:spacing w:val="-3"/>
          <w:sz w:val="21"/>
          <w:szCs w:val="21"/>
          <w:highlight w:val="none"/>
        </w:rPr>
        <w:t>监理人事后对检查记录有疑</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问的，可按第13.4.3 项的约定重新检查。</w:t>
      </w:r>
    </w:p>
    <w:p w14:paraId="7BA53E39">
      <w:pPr>
        <w:spacing w:before="6"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13.4.3</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6"/>
          <w:sz w:val="22"/>
          <w:szCs w:val="22"/>
          <w:highlight w:val="none"/>
        </w:rPr>
        <w:t>监理人重新检查</w:t>
      </w:r>
    </w:p>
    <w:p w14:paraId="6464AA39">
      <w:pPr>
        <w:spacing w:before="230" w:line="416" w:lineRule="auto"/>
        <w:ind w:right="5" w:firstLine="420"/>
        <w:rPr>
          <w:rFonts w:ascii="宋体" w:hAnsi="宋体" w:eastAsia="宋体" w:cs="宋体"/>
          <w:sz w:val="21"/>
          <w:szCs w:val="21"/>
          <w:highlight w:val="none"/>
        </w:rPr>
      </w:pPr>
      <w:r>
        <w:rPr>
          <w:rFonts w:ascii="宋体" w:hAnsi="宋体" w:eastAsia="宋体" w:cs="宋体"/>
          <w:spacing w:val="3"/>
          <w:sz w:val="21"/>
          <w:szCs w:val="21"/>
          <w:highlight w:val="none"/>
        </w:rPr>
        <w:t>承包人按第13.4.1</w:t>
      </w:r>
      <w:r>
        <w:rPr>
          <w:rFonts w:ascii="宋体" w:hAnsi="宋体" w:eastAsia="宋体" w:cs="宋体"/>
          <w:spacing w:val="-27"/>
          <w:sz w:val="21"/>
          <w:szCs w:val="21"/>
          <w:highlight w:val="none"/>
        </w:rPr>
        <w:t xml:space="preserve"> </w:t>
      </w:r>
      <w:r>
        <w:rPr>
          <w:rFonts w:ascii="宋体" w:hAnsi="宋体" w:eastAsia="宋体" w:cs="宋体"/>
          <w:spacing w:val="3"/>
          <w:sz w:val="21"/>
          <w:szCs w:val="21"/>
          <w:highlight w:val="none"/>
        </w:rPr>
        <w:t>项或第13.4.2 项覆盖</w:t>
      </w:r>
      <w:r>
        <w:rPr>
          <w:rFonts w:ascii="宋体" w:hAnsi="宋体" w:eastAsia="宋体" w:cs="宋体"/>
          <w:spacing w:val="2"/>
          <w:sz w:val="21"/>
          <w:szCs w:val="21"/>
          <w:highlight w:val="none"/>
        </w:rPr>
        <w:t>工程隐蔽部位后，监理人对质量有疑问的，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可要求承包人对已覆盖的部位进行钻孔探测或揭开重新检验，承</w:t>
      </w:r>
      <w:r>
        <w:rPr>
          <w:rFonts w:ascii="宋体" w:hAnsi="宋体" w:eastAsia="宋体" w:cs="宋体"/>
          <w:spacing w:val="-3"/>
          <w:sz w:val="21"/>
          <w:szCs w:val="21"/>
          <w:highlight w:val="none"/>
        </w:rPr>
        <w:t>包人应遵照执行，并在检验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后重新覆盖恢复原状。经检验证明工程质量符合合同要求的，由发包人承担由此增加的费用</w:t>
      </w:r>
      <w:r>
        <w:rPr>
          <w:rFonts w:ascii="宋体" w:hAnsi="宋体" w:eastAsia="宋体" w:cs="宋体"/>
          <w:spacing w:val="4"/>
          <w:sz w:val="21"/>
          <w:szCs w:val="21"/>
          <w:highlight w:val="none"/>
        </w:rPr>
        <w:t xml:space="preserve"> 和(或)工期延误，并支付承包人合理利润；经检验证明工程</w:t>
      </w:r>
      <w:r>
        <w:rPr>
          <w:rFonts w:ascii="宋体" w:hAnsi="宋体" w:eastAsia="宋体" w:cs="宋体"/>
          <w:spacing w:val="3"/>
          <w:sz w:val="21"/>
          <w:szCs w:val="21"/>
          <w:highlight w:val="none"/>
        </w:rPr>
        <w:t>质量不符合合同要求的，由此</w:t>
      </w:r>
      <w:r>
        <w:rPr>
          <w:rFonts w:ascii="宋体" w:hAnsi="宋体" w:eastAsia="宋体" w:cs="宋体"/>
          <w:sz w:val="21"/>
          <w:szCs w:val="21"/>
          <w:highlight w:val="none"/>
        </w:rPr>
        <w:t xml:space="preserve"> </w:t>
      </w:r>
      <w:r>
        <w:rPr>
          <w:rFonts w:ascii="宋体" w:hAnsi="宋体" w:eastAsia="宋体" w:cs="宋体"/>
          <w:spacing w:val="9"/>
          <w:sz w:val="21"/>
          <w:szCs w:val="21"/>
          <w:highlight w:val="none"/>
        </w:rPr>
        <w:t>增加的费用和(或)工期延误由承包人承担。</w:t>
      </w:r>
    </w:p>
    <w:p w14:paraId="36E2B036">
      <w:pPr>
        <w:spacing w:before="13" w:line="219" w:lineRule="auto"/>
        <w:ind w:left="420"/>
        <w:rPr>
          <w:rFonts w:ascii="宋体" w:hAnsi="宋体" w:eastAsia="宋体" w:cs="宋体"/>
          <w:sz w:val="22"/>
          <w:szCs w:val="22"/>
          <w:highlight w:val="none"/>
        </w:rPr>
      </w:pPr>
      <w:r>
        <w:rPr>
          <w:rFonts w:ascii="宋体" w:hAnsi="宋体" w:eastAsia="宋体" w:cs="宋体"/>
          <w:sz w:val="22"/>
          <w:szCs w:val="22"/>
          <w:highlight w:val="none"/>
        </w:rPr>
        <w:t>13.4.4承包人私自覆盖</w:t>
      </w:r>
    </w:p>
    <w:p w14:paraId="4D8AA479">
      <w:pPr>
        <w:spacing w:before="198" w:line="422" w:lineRule="auto"/>
        <w:ind w:right="33" w:firstLine="420"/>
        <w:rPr>
          <w:rFonts w:ascii="宋体" w:hAnsi="宋体" w:eastAsia="宋体" w:cs="宋体"/>
          <w:sz w:val="22"/>
          <w:szCs w:val="22"/>
          <w:highlight w:val="none"/>
        </w:rPr>
      </w:pPr>
      <w:r>
        <w:rPr>
          <w:rFonts w:ascii="宋体" w:hAnsi="宋体" w:eastAsia="宋体" w:cs="宋体"/>
          <w:spacing w:val="-12"/>
          <w:sz w:val="22"/>
          <w:szCs w:val="22"/>
          <w:highlight w:val="none"/>
        </w:rPr>
        <w:t>承包人未通知监理人到场检查，私自将工程隐蔽部</w:t>
      </w:r>
      <w:r>
        <w:rPr>
          <w:rFonts w:ascii="宋体" w:hAnsi="宋体" w:eastAsia="宋体" w:cs="宋体"/>
          <w:spacing w:val="-13"/>
          <w:sz w:val="22"/>
          <w:szCs w:val="22"/>
          <w:highlight w:val="none"/>
        </w:rPr>
        <w:t>位覆盖的，监理人有权指示承包人钻</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孔探测或揭开检查，由此增加的费用和(或)工期延误由承包人承担。</w:t>
      </w:r>
    </w:p>
    <w:p w14:paraId="57076E3D">
      <w:pPr>
        <w:spacing w:before="55" w:line="222" w:lineRule="auto"/>
        <w:rPr>
          <w:rFonts w:ascii="黑体" w:hAnsi="黑体" w:eastAsia="黑体" w:cs="黑体"/>
          <w:sz w:val="24"/>
          <w:szCs w:val="24"/>
          <w:highlight w:val="none"/>
        </w:rPr>
      </w:pPr>
      <w:r>
        <w:rPr>
          <w:rFonts w:ascii="黑体" w:hAnsi="黑体" w:eastAsia="黑体" w:cs="黑体"/>
          <w:spacing w:val="-5"/>
          <w:sz w:val="24"/>
          <w:szCs w:val="24"/>
          <w:highlight w:val="none"/>
        </w:rPr>
        <w:t>13.5 清除不合格工程</w:t>
      </w:r>
    </w:p>
    <w:p w14:paraId="00940127">
      <w:pPr>
        <w:spacing w:before="110" w:line="352" w:lineRule="auto"/>
        <w:ind w:right="32" w:firstLine="42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13.5.1    </w:t>
      </w:r>
      <w:r>
        <w:rPr>
          <w:rFonts w:ascii="宋体" w:hAnsi="宋体" w:eastAsia="宋体" w:cs="宋体"/>
          <w:sz w:val="21"/>
          <w:szCs w:val="21"/>
          <w:highlight w:val="none"/>
        </w:rPr>
        <w:t>因承包人设计失误，使用不</w:t>
      </w:r>
      <w:r>
        <w:rPr>
          <w:rFonts w:ascii="宋体" w:hAnsi="宋体" w:eastAsia="宋体" w:cs="宋体"/>
          <w:spacing w:val="-1"/>
          <w:sz w:val="21"/>
          <w:szCs w:val="21"/>
          <w:highlight w:val="none"/>
        </w:rPr>
        <w:t>合格材料、工程设备，或采用不适当的施工工艺，</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或施工不当，造成工程不合格的，监理人可以随时发出指示，要求</w:t>
      </w:r>
      <w:r>
        <w:rPr>
          <w:rFonts w:ascii="宋体" w:hAnsi="宋体" w:eastAsia="宋体" w:cs="宋体"/>
          <w:spacing w:val="-3"/>
          <w:sz w:val="21"/>
          <w:szCs w:val="21"/>
          <w:highlight w:val="none"/>
        </w:rPr>
        <w:t>承包人立即采取措施进行</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补救，直至达到合同要求的质量标准，由此增加的费用和(或)工期延误由承包人承担。</w:t>
      </w:r>
    </w:p>
    <w:p w14:paraId="6307A285">
      <w:pPr>
        <w:spacing w:before="231" w:line="311" w:lineRule="auto"/>
        <w:ind w:right="33" w:firstLine="42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13.5.2</w:t>
      </w:r>
      <w:r>
        <w:rPr>
          <w:rFonts w:ascii="Times New Roman" w:hAnsi="Times New Roman" w:eastAsia="Times New Roman" w:cs="Times New Roman"/>
          <w:spacing w:val="17"/>
          <w:w w:val="101"/>
          <w:sz w:val="22"/>
          <w:szCs w:val="22"/>
          <w:highlight w:val="none"/>
        </w:rPr>
        <w:t xml:space="preserve">   </w:t>
      </w:r>
      <w:r>
        <w:rPr>
          <w:rFonts w:ascii="宋体" w:hAnsi="宋体" w:eastAsia="宋体" w:cs="宋体"/>
          <w:spacing w:val="-9"/>
          <w:sz w:val="22"/>
          <w:szCs w:val="22"/>
          <w:highlight w:val="none"/>
        </w:rPr>
        <w:t>由于发包人提供的材料或工程设备不合格造成的工程不合格，需要承包人采取</w:t>
      </w:r>
      <w:r>
        <w:rPr>
          <w:rFonts w:ascii="宋体" w:hAnsi="宋体" w:eastAsia="宋体" w:cs="宋体"/>
          <w:spacing w:val="1"/>
          <w:sz w:val="22"/>
          <w:szCs w:val="22"/>
          <w:highlight w:val="none"/>
        </w:rPr>
        <w:t xml:space="preserve"> </w:t>
      </w:r>
      <w:r>
        <w:rPr>
          <w:rFonts w:ascii="宋体" w:hAnsi="宋体" w:eastAsia="宋体" w:cs="宋体"/>
          <w:spacing w:val="-4"/>
          <w:sz w:val="22"/>
          <w:szCs w:val="22"/>
          <w:highlight w:val="none"/>
        </w:rPr>
        <w:t>措施补救的，发包人应承担由此增加的费用和(或)工期延误，</w:t>
      </w:r>
      <w:r>
        <w:rPr>
          <w:rFonts w:ascii="宋体" w:hAnsi="宋体" w:eastAsia="宋体" w:cs="宋体"/>
          <w:spacing w:val="-5"/>
          <w:sz w:val="22"/>
          <w:szCs w:val="22"/>
          <w:highlight w:val="none"/>
        </w:rPr>
        <w:t>并支付承包人合理利润。</w:t>
      </w:r>
    </w:p>
    <w:p w14:paraId="04D8C755">
      <w:pPr>
        <w:spacing w:line="311" w:lineRule="auto"/>
        <w:rPr>
          <w:rFonts w:ascii="宋体" w:hAnsi="宋体" w:eastAsia="宋体" w:cs="宋体"/>
          <w:sz w:val="22"/>
          <w:szCs w:val="22"/>
          <w:highlight w:val="none"/>
        </w:rPr>
        <w:sectPr>
          <w:footerReference r:id="rId196" w:type="default"/>
          <w:pgSz w:w="11910" w:h="16840"/>
          <w:pgMar w:top="400" w:right="1786" w:bottom="1217" w:left="1779" w:header="0" w:footer="1013" w:gutter="0"/>
          <w:cols w:space="720" w:num="1"/>
        </w:sectPr>
      </w:pPr>
    </w:p>
    <w:p w14:paraId="7BE803D3">
      <w:pPr>
        <w:pStyle w:val="2"/>
        <w:spacing w:line="248" w:lineRule="auto"/>
        <w:rPr>
          <w:highlight w:val="none"/>
        </w:rPr>
      </w:pPr>
    </w:p>
    <w:p w14:paraId="411D27C8">
      <w:pPr>
        <w:pStyle w:val="2"/>
        <w:spacing w:line="248" w:lineRule="auto"/>
        <w:rPr>
          <w:highlight w:val="none"/>
        </w:rPr>
      </w:pPr>
    </w:p>
    <w:p w14:paraId="37969CAC">
      <w:pPr>
        <w:pStyle w:val="2"/>
        <w:spacing w:line="248" w:lineRule="auto"/>
        <w:rPr>
          <w:highlight w:val="none"/>
        </w:rPr>
      </w:pPr>
    </w:p>
    <w:p w14:paraId="7C3AB80B">
      <w:pPr>
        <w:pStyle w:val="2"/>
        <w:spacing w:line="249" w:lineRule="auto"/>
        <w:rPr>
          <w:highlight w:val="none"/>
        </w:rPr>
      </w:pPr>
    </w:p>
    <w:p w14:paraId="3ECF9474">
      <w:pPr>
        <w:spacing w:before="78" w:line="221" w:lineRule="auto"/>
        <w:outlineLvl w:val="1"/>
        <w:rPr>
          <w:rFonts w:ascii="黑体" w:hAnsi="黑体" w:eastAsia="黑体" w:cs="黑体"/>
          <w:sz w:val="24"/>
          <w:szCs w:val="24"/>
          <w:highlight w:val="none"/>
        </w:rPr>
      </w:pPr>
      <w:bookmarkStart w:id="187" w:name="bookmark109"/>
      <w:bookmarkEnd w:id="187"/>
      <w:r>
        <w:rPr>
          <w:rFonts w:ascii="黑体" w:hAnsi="黑体" w:eastAsia="黑体" w:cs="黑体"/>
          <w:spacing w:val="1"/>
          <w:sz w:val="24"/>
          <w:szCs w:val="24"/>
          <w:highlight w:val="none"/>
        </w:rPr>
        <w:t>14.试验和检验</w:t>
      </w:r>
    </w:p>
    <w:p w14:paraId="7E62A00F">
      <w:pPr>
        <w:spacing w:before="162" w:line="221" w:lineRule="auto"/>
        <w:rPr>
          <w:rFonts w:ascii="黑体" w:hAnsi="黑体" w:eastAsia="黑体" w:cs="黑体"/>
          <w:sz w:val="24"/>
          <w:szCs w:val="24"/>
          <w:highlight w:val="none"/>
        </w:rPr>
      </w:pPr>
      <w:r>
        <w:rPr>
          <w:rFonts w:ascii="黑体" w:hAnsi="黑体" w:eastAsia="黑体" w:cs="黑体"/>
          <w:spacing w:val="4"/>
          <w:sz w:val="24"/>
          <w:szCs w:val="24"/>
          <w:highlight w:val="none"/>
        </w:rPr>
        <w:t>14.1材料、工程设备和工程的试验和检验</w:t>
      </w:r>
    </w:p>
    <w:p w14:paraId="0DA76147">
      <w:pPr>
        <w:spacing w:before="132"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14.1.1   </w:t>
      </w:r>
      <w:r>
        <w:rPr>
          <w:rFonts w:ascii="宋体" w:hAnsi="宋体" w:eastAsia="宋体" w:cs="宋体"/>
          <w:spacing w:val="-7"/>
          <w:sz w:val="22"/>
          <w:szCs w:val="22"/>
          <w:highlight w:val="none"/>
        </w:rPr>
        <w:t>本款适用于竣工试验之前的试验和检验。</w:t>
      </w:r>
    </w:p>
    <w:p w14:paraId="2F89BB53">
      <w:pPr>
        <w:spacing w:before="229" w:line="354" w:lineRule="auto"/>
        <w:ind w:right="60" w:firstLine="420"/>
        <w:rPr>
          <w:rFonts w:ascii="宋体" w:hAnsi="宋体" w:eastAsia="宋体" w:cs="宋体"/>
          <w:sz w:val="21"/>
          <w:szCs w:val="21"/>
          <w:highlight w:val="none"/>
        </w:rPr>
      </w:pPr>
      <w:r>
        <w:rPr>
          <w:rFonts w:ascii="Times New Roman" w:hAnsi="Times New Roman" w:eastAsia="Times New Roman" w:cs="Times New Roman"/>
          <w:sz w:val="21"/>
          <w:szCs w:val="21"/>
          <w:highlight w:val="none"/>
        </w:rPr>
        <w:t>14.1.2</w:t>
      </w:r>
      <w:r>
        <w:rPr>
          <w:rFonts w:ascii="Times New Roman" w:hAnsi="Times New Roman" w:eastAsia="Times New Roman" w:cs="Times New Roman"/>
          <w:spacing w:val="18"/>
          <w:w w:val="101"/>
          <w:sz w:val="21"/>
          <w:szCs w:val="21"/>
          <w:highlight w:val="none"/>
        </w:rPr>
        <w:t xml:space="preserve">   </w:t>
      </w:r>
      <w:r>
        <w:rPr>
          <w:rFonts w:ascii="宋体" w:hAnsi="宋体" w:eastAsia="宋体" w:cs="宋体"/>
          <w:sz w:val="21"/>
          <w:szCs w:val="21"/>
          <w:highlight w:val="none"/>
        </w:rPr>
        <w:t xml:space="preserve">承包人应按合同约定进行材料、工程设备和工程的试验和检验，并为监理人对 </w:t>
      </w:r>
      <w:r>
        <w:rPr>
          <w:rFonts w:ascii="宋体" w:hAnsi="宋体" w:eastAsia="宋体" w:cs="宋体"/>
          <w:spacing w:val="-3"/>
          <w:sz w:val="21"/>
          <w:szCs w:val="21"/>
          <w:highlight w:val="none"/>
        </w:rPr>
        <w:t>上述材料、工程设备和工程的质量检查提供必要的试验资料和原始记录。按合同约定应由监</w:t>
      </w:r>
      <w:r>
        <w:rPr>
          <w:rFonts w:ascii="宋体" w:hAnsi="宋体" w:eastAsia="宋体" w:cs="宋体"/>
          <w:spacing w:val="18"/>
          <w:sz w:val="21"/>
          <w:szCs w:val="21"/>
          <w:highlight w:val="none"/>
        </w:rPr>
        <w:t xml:space="preserve"> </w:t>
      </w:r>
      <w:r>
        <w:rPr>
          <w:rFonts w:ascii="宋体" w:hAnsi="宋体" w:eastAsia="宋体" w:cs="宋体"/>
          <w:sz w:val="21"/>
          <w:szCs w:val="21"/>
          <w:highlight w:val="none"/>
        </w:rPr>
        <w:t>理人与承包人共同进行试验和检验的，由承包人负责提供必要的试验资料</w:t>
      </w:r>
      <w:r>
        <w:rPr>
          <w:rFonts w:ascii="宋体" w:hAnsi="宋体" w:eastAsia="宋体" w:cs="宋体"/>
          <w:spacing w:val="-1"/>
          <w:sz w:val="21"/>
          <w:szCs w:val="21"/>
          <w:highlight w:val="none"/>
        </w:rPr>
        <w:t>和原始记录。</w:t>
      </w:r>
    </w:p>
    <w:p w14:paraId="0207B160">
      <w:pPr>
        <w:spacing w:before="223" w:line="340" w:lineRule="auto"/>
        <w:ind w:right="61" w:firstLine="42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14.1.3    </w:t>
      </w:r>
      <w:r>
        <w:rPr>
          <w:rFonts w:ascii="宋体" w:hAnsi="宋体" w:eastAsia="宋体" w:cs="宋体"/>
          <w:spacing w:val="9"/>
          <w:sz w:val="20"/>
          <w:szCs w:val="20"/>
          <w:highlight w:val="none"/>
        </w:rPr>
        <w:t>监理人未按合同约定派员参加试验</w:t>
      </w:r>
      <w:r>
        <w:rPr>
          <w:rFonts w:ascii="宋体" w:hAnsi="宋体" w:eastAsia="宋体" w:cs="宋体"/>
          <w:spacing w:val="8"/>
          <w:sz w:val="20"/>
          <w:szCs w:val="20"/>
          <w:highlight w:val="none"/>
        </w:rPr>
        <w:t>和检验的，除监理人另有指示外，承包人可</w:t>
      </w:r>
      <w:r>
        <w:rPr>
          <w:rFonts w:ascii="宋体" w:hAnsi="宋体" w:eastAsia="宋体" w:cs="宋体"/>
          <w:sz w:val="20"/>
          <w:szCs w:val="20"/>
          <w:highlight w:val="none"/>
        </w:rPr>
        <w:t xml:space="preserve"> </w:t>
      </w:r>
      <w:r>
        <w:rPr>
          <w:rFonts w:ascii="宋体" w:hAnsi="宋体" w:eastAsia="宋体" w:cs="宋体"/>
          <w:spacing w:val="9"/>
          <w:sz w:val="20"/>
          <w:szCs w:val="20"/>
          <w:highlight w:val="none"/>
        </w:rPr>
        <w:t>自行试验和检验，并应立即将试验和检验结果报送监理人，监理人应签字确认。</w:t>
      </w:r>
    </w:p>
    <w:p w14:paraId="7E1A8078">
      <w:pPr>
        <w:spacing w:before="234" w:line="398" w:lineRule="auto"/>
        <w:ind w:right="41" w:firstLine="42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14.1.4    </w:t>
      </w:r>
      <w:r>
        <w:rPr>
          <w:rFonts w:ascii="宋体" w:hAnsi="宋体" w:eastAsia="宋体" w:cs="宋体"/>
          <w:spacing w:val="9"/>
          <w:sz w:val="20"/>
          <w:szCs w:val="20"/>
          <w:highlight w:val="none"/>
        </w:rPr>
        <w:t>监理人对承包人的试验和检验结果有疑问</w:t>
      </w:r>
      <w:r>
        <w:rPr>
          <w:rFonts w:ascii="宋体" w:hAnsi="宋体" w:eastAsia="宋体" w:cs="宋体"/>
          <w:spacing w:val="8"/>
          <w:sz w:val="20"/>
          <w:szCs w:val="20"/>
          <w:highlight w:val="none"/>
        </w:rPr>
        <w:t>的，或为查清承包人试验和检验成果</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的可靠性要求承包人重新试验和检验的，可按合同约定由监理人与承包人共同进行。</w:t>
      </w:r>
      <w:r>
        <w:rPr>
          <w:rFonts w:ascii="宋体" w:hAnsi="宋体" w:eastAsia="宋体" w:cs="宋体"/>
          <w:spacing w:val="7"/>
          <w:sz w:val="20"/>
          <w:szCs w:val="20"/>
          <w:highlight w:val="none"/>
        </w:rPr>
        <w:t>重新试</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验和检验的结果证明该项材料、工程设备或工程的质量不符合合同要求的，</w:t>
      </w:r>
      <w:r>
        <w:rPr>
          <w:rFonts w:ascii="宋体" w:hAnsi="宋体" w:eastAsia="宋体" w:cs="宋体"/>
          <w:spacing w:val="7"/>
          <w:sz w:val="20"/>
          <w:szCs w:val="20"/>
          <w:highlight w:val="none"/>
        </w:rPr>
        <w:t>由此增加的费用</w:t>
      </w:r>
      <w:r>
        <w:rPr>
          <w:rFonts w:ascii="宋体" w:hAnsi="宋体" w:eastAsia="宋体" w:cs="宋体"/>
          <w:sz w:val="20"/>
          <w:szCs w:val="20"/>
          <w:highlight w:val="none"/>
        </w:rPr>
        <w:t xml:space="preserve"> </w:t>
      </w:r>
      <w:r>
        <w:rPr>
          <w:rFonts w:ascii="宋体" w:hAnsi="宋体" w:eastAsia="宋体" w:cs="宋体"/>
          <w:spacing w:val="12"/>
          <w:sz w:val="20"/>
          <w:szCs w:val="20"/>
          <w:highlight w:val="none"/>
        </w:rPr>
        <w:t>和(或)工期延误由承包人承担；重新试验和检验结果证明该项材料、工程设备和工程符合</w:t>
      </w:r>
      <w:r>
        <w:rPr>
          <w:rFonts w:ascii="宋体" w:hAnsi="宋体" w:eastAsia="宋体" w:cs="宋体"/>
          <w:spacing w:val="17"/>
          <w:sz w:val="20"/>
          <w:szCs w:val="20"/>
          <w:highlight w:val="none"/>
        </w:rPr>
        <w:t xml:space="preserve"> </w:t>
      </w:r>
      <w:r>
        <w:rPr>
          <w:rFonts w:ascii="宋体" w:hAnsi="宋体" w:eastAsia="宋体" w:cs="宋体"/>
          <w:spacing w:val="15"/>
          <w:sz w:val="20"/>
          <w:szCs w:val="20"/>
          <w:highlight w:val="none"/>
        </w:rPr>
        <w:t>合同要求，由发包人承担由此增加的费用和(或)工期延误，并支付承包人合理利</w:t>
      </w:r>
      <w:r>
        <w:rPr>
          <w:rFonts w:ascii="宋体" w:hAnsi="宋体" w:eastAsia="宋体" w:cs="宋体"/>
          <w:spacing w:val="14"/>
          <w:sz w:val="20"/>
          <w:szCs w:val="20"/>
          <w:highlight w:val="none"/>
        </w:rPr>
        <w:t>润。</w:t>
      </w:r>
    </w:p>
    <w:p w14:paraId="7664F611">
      <w:pPr>
        <w:spacing w:before="282" w:line="221" w:lineRule="auto"/>
        <w:rPr>
          <w:rFonts w:ascii="黑体" w:hAnsi="黑体" w:eastAsia="黑体" w:cs="黑体"/>
          <w:sz w:val="24"/>
          <w:szCs w:val="24"/>
          <w:highlight w:val="none"/>
        </w:rPr>
      </w:pPr>
      <w:r>
        <w:rPr>
          <w:rFonts w:ascii="黑体" w:hAnsi="黑体" w:eastAsia="黑体" w:cs="黑体"/>
          <w:spacing w:val="7"/>
          <w:sz w:val="24"/>
          <w:szCs w:val="24"/>
          <w:highlight w:val="none"/>
        </w:rPr>
        <w:t>14.2现场材料试验</w:t>
      </w:r>
    </w:p>
    <w:p w14:paraId="0461E3EE">
      <w:pPr>
        <w:spacing w:before="143" w:line="320" w:lineRule="auto"/>
        <w:ind w:right="61" w:firstLine="420"/>
        <w:rPr>
          <w:rFonts w:ascii="宋体" w:hAnsi="宋体" w:eastAsia="宋体" w:cs="宋体"/>
          <w:sz w:val="21"/>
          <w:szCs w:val="21"/>
          <w:highlight w:val="none"/>
        </w:rPr>
      </w:pPr>
      <w:r>
        <w:rPr>
          <w:rFonts w:ascii="宋体" w:hAnsi="宋体" w:eastAsia="宋体" w:cs="宋体"/>
          <w:spacing w:val="3"/>
          <w:sz w:val="21"/>
          <w:szCs w:val="21"/>
          <w:highlight w:val="none"/>
        </w:rPr>
        <w:t>14.2.1承包人根据合同约定或监理人指示进行的现场材</w:t>
      </w:r>
      <w:r>
        <w:rPr>
          <w:rFonts w:ascii="宋体" w:hAnsi="宋体" w:eastAsia="宋体" w:cs="宋体"/>
          <w:spacing w:val="2"/>
          <w:sz w:val="21"/>
          <w:szCs w:val="21"/>
          <w:highlight w:val="none"/>
        </w:rPr>
        <w:t>料试验，应由承包人提供试验</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场所、试验人员、试验设备器材以及其他必要的试验条件。</w:t>
      </w:r>
    </w:p>
    <w:p w14:paraId="489B41FA">
      <w:pPr>
        <w:spacing w:before="221" w:line="311" w:lineRule="auto"/>
        <w:ind w:firstLine="42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 xml:space="preserve">14.2.2   </w:t>
      </w:r>
      <w:r>
        <w:rPr>
          <w:rFonts w:ascii="宋体" w:hAnsi="宋体" w:eastAsia="宋体" w:cs="宋体"/>
          <w:spacing w:val="-11"/>
          <w:sz w:val="22"/>
          <w:szCs w:val="22"/>
          <w:highlight w:val="none"/>
        </w:rPr>
        <w:t>监理人在必要时可以使用承包人的试验场所、试验设备器材以及其他试验条件，</w:t>
      </w:r>
      <w:r>
        <w:rPr>
          <w:rFonts w:ascii="宋体" w:hAnsi="宋体" w:eastAsia="宋体" w:cs="宋体"/>
          <w:spacing w:val="7"/>
          <w:sz w:val="22"/>
          <w:szCs w:val="22"/>
          <w:highlight w:val="none"/>
        </w:rPr>
        <w:t xml:space="preserve"> </w:t>
      </w:r>
      <w:r>
        <w:rPr>
          <w:rFonts w:ascii="宋体" w:hAnsi="宋体" w:eastAsia="宋体" w:cs="宋体"/>
          <w:spacing w:val="-10"/>
          <w:sz w:val="22"/>
          <w:szCs w:val="22"/>
          <w:highlight w:val="none"/>
        </w:rPr>
        <w:t>进行以工程质量检查为目的的复核性材料试</w:t>
      </w:r>
      <w:r>
        <w:rPr>
          <w:rFonts w:ascii="宋体" w:hAnsi="宋体" w:eastAsia="宋体" w:cs="宋体"/>
          <w:spacing w:val="-11"/>
          <w:sz w:val="22"/>
          <w:szCs w:val="22"/>
          <w:highlight w:val="none"/>
        </w:rPr>
        <w:t>验，承包人应予以协助。</w:t>
      </w:r>
    </w:p>
    <w:p w14:paraId="108FFACF">
      <w:pPr>
        <w:spacing w:before="279" w:line="221" w:lineRule="auto"/>
        <w:rPr>
          <w:rFonts w:ascii="黑体" w:hAnsi="黑体" w:eastAsia="黑体" w:cs="黑体"/>
          <w:sz w:val="24"/>
          <w:szCs w:val="24"/>
          <w:highlight w:val="none"/>
        </w:rPr>
      </w:pPr>
      <w:r>
        <w:rPr>
          <w:rFonts w:ascii="黑体" w:hAnsi="黑体" w:eastAsia="黑体" w:cs="黑体"/>
          <w:spacing w:val="7"/>
          <w:sz w:val="24"/>
          <w:szCs w:val="24"/>
          <w:highlight w:val="none"/>
        </w:rPr>
        <w:t>14.3现场工艺试验</w:t>
      </w:r>
    </w:p>
    <w:p w14:paraId="54053B91">
      <w:pPr>
        <w:spacing w:before="133" w:line="398" w:lineRule="auto"/>
        <w:ind w:right="41" w:firstLine="420"/>
        <w:jc w:val="both"/>
        <w:rPr>
          <w:rFonts w:ascii="宋体" w:hAnsi="宋体" w:eastAsia="宋体" w:cs="宋体"/>
          <w:sz w:val="21"/>
          <w:szCs w:val="21"/>
          <w:highlight w:val="none"/>
        </w:rPr>
      </w:pPr>
      <w:r>
        <w:rPr>
          <w:rFonts w:ascii="宋体" w:hAnsi="宋体" w:eastAsia="宋体" w:cs="宋体"/>
          <w:spacing w:val="-2"/>
          <w:sz w:val="21"/>
          <w:szCs w:val="21"/>
          <w:highlight w:val="none"/>
        </w:rPr>
        <w:t>承包人应按合同约定或监理人指示进行现场工艺试验。对大型的现场工</w:t>
      </w:r>
      <w:r>
        <w:rPr>
          <w:rFonts w:ascii="宋体" w:hAnsi="宋体" w:eastAsia="宋体" w:cs="宋体"/>
          <w:spacing w:val="-3"/>
          <w:sz w:val="21"/>
          <w:szCs w:val="21"/>
          <w:highlight w:val="none"/>
        </w:rPr>
        <w:t>艺试验，监理人</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认为必要时，应由承包人根据监理人提出的工艺试验要求，编制工艺试验措施计划，报送监</w:t>
      </w:r>
      <w:r>
        <w:rPr>
          <w:rFonts w:ascii="宋体" w:hAnsi="宋体" w:eastAsia="宋体" w:cs="宋体"/>
          <w:spacing w:val="17"/>
          <w:sz w:val="21"/>
          <w:szCs w:val="21"/>
          <w:highlight w:val="none"/>
        </w:rPr>
        <w:t xml:space="preserve"> </w:t>
      </w:r>
      <w:r>
        <w:rPr>
          <w:rFonts w:ascii="宋体" w:hAnsi="宋体" w:eastAsia="宋体" w:cs="宋体"/>
          <w:spacing w:val="-7"/>
          <w:sz w:val="21"/>
          <w:szCs w:val="21"/>
          <w:highlight w:val="none"/>
        </w:rPr>
        <w:t>理人批准。</w:t>
      </w:r>
    </w:p>
    <w:p w14:paraId="4460ADE8">
      <w:pPr>
        <w:pStyle w:val="2"/>
        <w:spacing w:line="327" w:lineRule="exact"/>
        <w:outlineLvl w:val="1"/>
        <w:rPr>
          <w:rFonts w:ascii="黑体" w:hAnsi="黑体" w:eastAsia="黑体" w:cs="黑体"/>
          <w:sz w:val="24"/>
          <w:szCs w:val="24"/>
          <w:highlight w:val="none"/>
        </w:rPr>
      </w:pPr>
      <w:bookmarkStart w:id="188" w:name="bookmark110"/>
      <w:bookmarkEnd w:id="188"/>
      <w:r>
        <w:rPr>
          <w:spacing w:val="-7"/>
          <w:position w:val="1"/>
          <w:sz w:val="24"/>
          <w:szCs w:val="24"/>
          <w:highlight w:val="none"/>
        </w:rPr>
        <w:t>15.</w:t>
      </w:r>
      <w:r>
        <w:rPr>
          <w:spacing w:val="16"/>
          <w:position w:val="1"/>
          <w:sz w:val="24"/>
          <w:szCs w:val="24"/>
          <w:highlight w:val="none"/>
        </w:rPr>
        <w:t xml:space="preserve"> </w:t>
      </w:r>
      <w:r>
        <w:rPr>
          <w:rFonts w:ascii="黑体" w:hAnsi="黑体" w:eastAsia="黑体" w:cs="黑体"/>
          <w:spacing w:val="-7"/>
          <w:position w:val="1"/>
          <w:sz w:val="24"/>
          <w:szCs w:val="24"/>
          <w:highlight w:val="none"/>
        </w:rPr>
        <w:t>变更</w:t>
      </w:r>
    </w:p>
    <w:p w14:paraId="05319349">
      <w:pPr>
        <w:pStyle w:val="2"/>
        <w:spacing w:line="254" w:lineRule="auto"/>
        <w:rPr>
          <w:highlight w:val="none"/>
        </w:rPr>
      </w:pPr>
    </w:p>
    <w:p w14:paraId="748AA95A">
      <w:pPr>
        <w:spacing w:before="92" w:line="222" w:lineRule="auto"/>
        <w:rPr>
          <w:rFonts w:ascii="黑体" w:hAnsi="黑体" w:eastAsia="黑体" w:cs="黑体"/>
          <w:sz w:val="28"/>
          <w:szCs w:val="28"/>
          <w:highlight w:val="none"/>
        </w:rPr>
      </w:pPr>
      <w:r>
        <w:rPr>
          <w:rFonts w:ascii="黑体" w:hAnsi="黑体" w:eastAsia="黑体" w:cs="黑体"/>
          <w:spacing w:val="-10"/>
          <w:sz w:val="28"/>
          <w:szCs w:val="28"/>
          <w:highlight w:val="none"/>
        </w:rPr>
        <w:t>15.1</w:t>
      </w:r>
      <w:r>
        <w:rPr>
          <w:rFonts w:ascii="黑体" w:hAnsi="黑体" w:eastAsia="黑体" w:cs="黑体"/>
          <w:spacing w:val="-42"/>
          <w:sz w:val="28"/>
          <w:szCs w:val="28"/>
          <w:highlight w:val="none"/>
        </w:rPr>
        <w:t xml:space="preserve"> </w:t>
      </w:r>
      <w:r>
        <w:rPr>
          <w:rFonts w:ascii="黑体" w:hAnsi="黑体" w:eastAsia="黑体" w:cs="黑体"/>
          <w:spacing w:val="-10"/>
          <w:sz w:val="28"/>
          <w:szCs w:val="28"/>
          <w:highlight w:val="none"/>
        </w:rPr>
        <w:t>变更权</w:t>
      </w:r>
    </w:p>
    <w:p w14:paraId="7D1049C7">
      <w:pPr>
        <w:spacing w:before="240" w:line="415" w:lineRule="auto"/>
        <w:ind w:right="16"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在履行合同过程中，经发包人同意，监理人可按第15.3 款约定的变更程序向承包人作</w:t>
      </w:r>
      <w:r>
        <w:rPr>
          <w:rFonts w:ascii="宋体" w:hAnsi="宋体" w:eastAsia="宋体" w:cs="宋体"/>
          <w:spacing w:val="7"/>
          <w:sz w:val="21"/>
          <w:szCs w:val="21"/>
          <w:highlight w:val="none"/>
        </w:rPr>
        <w:t xml:space="preserve"> </w:t>
      </w:r>
      <w:r>
        <w:rPr>
          <w:rFonts w:ascii="宋体" w:hAnsi="宋体" w:eastAsia="宋体" w:cs="宋体"/>
          <w:spacing w:val="-2"/>
          <w:sz w:val="21"/>
          <w:szCs w:val="21"/>
          <w:highlight w:val="none"/>
        </w:rPr>
        <w:t>出有关发包人要求改变的变更指示，承包人应遵照执行</w:t>
      </w:r>
      <w:r>
        <w:rPr>
          <w:rFonts w:ascii="宋体" w:hAnsi="宋体" w:eastAsia="宋体" w:cs="宋体"/>
          <w:spacing w:val="-3"/>
          <w:sz w:val="21"/>
          <w:szCs w:val="21"/>
          <w:highlight w:val="none"/>
        </w:rPr>
        <w:t>。变更应在相应内容实施前提出，否</w:t>
      </w:r>
      <w:r>
        <w:rPr>
          <w:rFonts w:ascii="宋体" w:hAnsi="宋体" w:eastAsia="宋体" w:cs="宋体"/>
          <w:sz w:val="21"/>
          <w:szCs w:val="21"/>
          <w:highlight w:val="none"/>
        </w:rPr>
        <w:t xml:space="preserve"> 则发包人应承担承包人损失。没有监理人的变更指示，承包人</w:t>
      </w:r>
      <w:r>
        <w:rPr>
          <w:rFonts w:ascii="宋体" w:hAnsi="宋体" w:eastAsia="宋体" w:cs="宋体"/>
          <w:spacing w:val="-1"/>
          <w:sz w:val="21"/>
          <w:szCs w:val="21"/>
          <w:highlight w:val="none"/>
        </w:rPr>
        <w:t>不得擅自变更。</w:t>
      </w:r>
    </w:p>
    <w:p w14:paraId="1AEC9924">
      <w:pPr>
        <w:spacing w:before="85" w:line="222" w:lineRule="auto"/>
        <w:rPr>
          <w:rFonts w:ascii="黑体" w:hAnsi="黑体" w:eastAsia="黑体" w:cs="黑体"/>
          <w:sz w:val="24"/>
          <w:szCs w:val="24"/>
          <w:highlight w:val="none"/>
        </w:rPr>
      </w:pPr>
      <w:r>
        <w:rPr>
          <w:rFonts w:ascii="黑体" w:hAnsi="黑体" w:eastAsia="黑体" w:cs="黑体"/>
          <w:spacing w:val="5"/>
          <w:sz w:val="24"/>
          <w:szCs w:val="24"/>
          <w:highlight w:val="none"/>
        </w:rPr>
        <w:t>15.2承包人的合理化建议</w:t>
      </w:r>
    </w:p>
    <w:p w14:paraId="1B1BE216">
      <w:pPr>
        <w:spacing w:before="130" w:line="219" w:lineRule="auto"/>
        <w:ind w:left="420"/>
        <w:rPr>
          <w:rFonts w:ascii="宋体" w:hAnsi="宋体" w:eastAsia="宋体" w:cs="宋体"/>
          <w:sz w:val="21"/>
          <w:szCs w:val="21"/>
          <w:highlight w:val="none"/>
        </w:rPr>
      </w:pPr>
      <w:r>
        <w:rPr>
          <w:rFonts w:ascii="Times New Roman" w:hAnsi="Times New Roman" w:eastAsia="Times New Roman" w:cs="Times New Roman"/>
          <w:sz w:val="21"/>
          <w:szCs w:val="21"/>
          <w:highlight w:val="none"/>
        </w:rPr>
        <w:t>15.2.1</w:t>
      </w:r>
      <w:r>
        <w:rPr>
          <w:rFonts w:ascii="Times New Roman" w:hAnsi="Times New Roman" w:eastAsia="Times New Roman" w:cs="Times New Roman"/>
          <w:spacing w:val="18"/>
          <w:sz w:val="21"/>
          <w:szCs w:val="21"/>
          <w:highlight w:val="none"/>
        </w:rPr>
        <w:t xml:space="preserve">   </w:t>
      </w:r>
      <w:r>
        <w:rPr>
          <w:rFonts w:ascii="宋体" w:hAnsi="宋体" w:eastAsia="宋体" w:cs="宋体"/>
          <w:sz w:val="21"/>
          <w:szCs w:val="21"/>
          <w:highlight w:val="none"/>
        </w:rPr>
        <w:t>在履行合同过程中，承包人对发包人要求的合理化建议，均应以书面形式提交</w:t>
      </w:r>
    </w:p>
    <w:p w14:paraId="0D60E127">
      <w:pPr>
        <w:spacing w:line="219" w:lineRule="auto"/>
        <w:rPr>
          <w:rFonts w:ascii="宋体" w:hAnsi="宋体" w:eastAsia="宋体" w:cs="宋体"/>
          <w:sz w:val="21"/>
          <w:szCs w:val="21"/>
          <w:highlight w:val="none"/>
        </w:rPr>
        <w:sectPr>
          <w:footerReference r:id="rId197" w:type="default"/>
          <w:pgSz w:w="11910" w:h="16840"/>
          <w:pgMar w:top="400" w:right="1769" w:bottom="1238" w:left="1779" w:header="0" w:footer="1006" w:gutter="0"/>
          <w:cols w:space="720" w:num="1"/>
        </w:sectPr>
      </w:pPr>
    </w:p>
    <w:p w14:paraId="6427DF6A">
      <w:pPr>
        <w:pStyle w:val="2"/>
        <w:spacing w:line="275" w:lineRule="auto"/>
        <w:rPr>
          <w:highlight w:val="none"/>
        </w:rPr>
      </w:pPr>
    </w:p>
    <w:p w14:paraId="1C734183">
      <w:pPr>
        <w:pStyle w:val="2"/>
        <w:spacing w:line="275" w:lineRule="auto"/>
        <w:rPr>
          <w:highlight w:val="none"/>
        </w:rPr>
      </w:pPr>
    </w:p>
    <w:p w14:paraId="3F226290">
      <w:pPr>
        <w:pStyle w:val="2"/>
        <w:spacing w:line="276" w:lineRule="auto"/>
        <w:rPr>
          <w:highlight w:val="none"/>
        </w:rPr>
      </w:pPr>
    </w:p>
    <w:p w14:paraId="51E9CAC5">
      <w:pPr>
        <w:pStyle w:val="2"/>
        <w:spacing w:line="276" w:lineRule="auto"/>
        <w:rPr>
          <w:highlight w:val="none"/>
        </w:rPr>
      </w:pPr>
    </w:p>
    <w:p w14:paraId="1A046D2B">
      <w:pPr>
        <w:spacing w:before="68" w:line="415" w:lineRule="auto"/>
        <w:ind w:right="91"/>
        <w:jc w:val="both"/>
        <w:rPr>
          <w:rFonts w:ascii="宋体" w:hAnsi="宋体" w:eastAsia="宋体" w:cs="宋体"/>
          <w:sz w:val="21"/>
          <w:szCs w:val="21"/>
          <w:highlight w:val="none"/>
        </w:rPr>
      </w:pPr>
      <w:r>
        <w:rPr>
          <w:rFonts w:ascii="宋体" w:hAnsi="宋体" w:eastAsia="宋体" w:cs="宋体"/>
          <w:spacing w:val="-2"/>
          <w:sz w:val="21"/>
          <w:szCs w:val="21"/>
          <w:highlight w:val="none"/>
        </w:rPr>
        <w:t>监理人。合理化建议书的内容应包括建议工作的详细说明、进度计划和效益以及与其他工作</w:t>
      </w:r>
      <w:r>
        <w:rPr>
          <w:rFonts w:ascii="宋体" w:hAnsi="宋体" w:eastAsia="宋体" w:cs="宋体"/>
          <w:spacing w:val="2"/>
          <w:sz w:val="21"/>
          <w:szCs w:val="21"/>
          <w:highlight w:val="none"/>
        </w:rPr>
        <w:t xml:space="preserve"> </w:t>
      </w:r>
      <w:r>
        <w:rPr>
          <w:rFonts w:ascii="宋体" w:hAnsi="宋体" w:eastAsia="宋体" w:cs="宋体"/>
          <w:spacing w:val="-2"/>
          <w:sz w:val="21"/>
          <w:szCs w:val="21"/>
          <w:highlight w:val="none"/>
        </w:rPr>
        <w:t>的协调等，并附必要的设计文件。监理人应与发包人协商是否采纳建议。建议被采纳并</w:t>
      </w:r>
      <w:r>
        <w:rPr>
          <w:rFonts w:ascii="宋体" w:hAnsi="宋体" w:eastAsia="宋体" w:cs="宋体"/>
          <w:spacing w:val="-3"/>
          <w:sz w:val="21"/>
          <w:szCs w:val="21"/>
          <w:highlight w:val="none"/>
        </w:rPr>
        <w:t>构成</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变更的，应按第15.3款约定向承包人发</w:t>
      </w:r>
      <w:r>
        <w:rPr>
          <w:rFonts w:ascii="宋体" w:hAnsi="宋体" w:eastAsia="宋体" w:cs="宋体"/>
          <w:spacing w:val="3"/>
          <w:sz w:val="21"/>
          <w:szCs w:val="21"/>
          <w:highlight w:val="none"/>
        </w:rPr>
        <w:t>出变更指示。</w:t>
      </w:r>
    </w:p>
    <w:p w14:paraId="38C4C210">
      <w:pPr>
        <w:spacing w:before="3" w:line="398" w:lineRule="auto"/>
        <w:ind w:right="95" w:firstLine="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15.2.2   </w:t>
      </w:r>
      <w:r>
        <w:rPr>
          <w:rFonts w:ascii="宋体" w:hAnsi="宋体" w:eastAsia="宋体" w:cs="宋体"/>
          <w:spacing w:val="-7"/>
          <w:sz w:val="22"/>
          <w:szCs w:val="22"/>
          <w:highlight w:val="none"/>
        </w:rPr>
        <w:t>承包人提出的合理化建议降低了合同价格、缩短了工期或者提高</w:t>
      </w:r>
      <w:r>
        <w:rPr>
          <w:rFonts w:ascii="宋体" w:hAnsi="宋体" w:eastAsia="宋体" w:cs="宋体"/>
          <w:spacing w:val="-8"/>
          <w:sz w:val="22"/>
          <w:szCs w:val="22"/>
          <w:highlight w:val="none"/>
        </w:rPr>
        <w:t>了工程经济效</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益的，发包人可按国家有关规定在专用合同条款中约定给予奖励。</w:t>
      </w:r>
    </w:p>
    <w:p w14:paraId="10974905">
      <w:pPr>
        <w:spacing w:before="73" w:line="222" w:lineRule="auto"/>
        <w:rPr>
          <w:rFonts w:ascii="黑体" w:hAnsi="黑体" w:eastAsia="黑体" w:cs="黑体"/>
          <w:sz w:val="24"/>
          <w:szCs w:val="24"/>
          <w:highlight w:val="none"/>
        </w:rPr>
      </w:pPr>
      <w:r>
        <w:rPr>
          <w:rFonts w:ascii="黑体" w:hAnsi="黑体" w:eastAsia="黑体" w:cs="黑体"/>
          <w:spacing w:val="10"/>
          <w:sz w:val="24"/>
          <w:szCs w:val="24"/>
          <w:highlight w:val="none"/>
        </w:rPr>
        <w:t>15.3变更程序</w:t>
      </w:r>
    </w:p>
    <w:p w14:paraId="0A76344D">
      <w:pPr>
        <w:spacing w:before="121" w:line="220" w:lineRule="auto"/>
        <w:ind w:left="430"/>
        <w:rPr>
          <w:rFonts w:ascii="宋体" w:hAnsi="宋体" w:eastAsia="宋体" w:cs="宋体"/>
          <w:sz w:val="20"/>
          <w:szCs w:val="20"/>
          <w:highlight w:val="none"/>
        </w:rPr>
      </w:pPr>
      <w:r>
        <w:rPr>
          <w:rFonts w:ascii="宋体" w:hAnsi="宋体" w:eastAsia="宋体" w:cs="宋体"/>
          <w:spacing w:val="11"/>
          <w:sz w:val="20"/>
          <w:szCs w:val="20"/>
          <w:highlight w:val="none"/>
        </w:rPr>
        <w:t>15.3.</w:t>
      </w:r>
      <w:r>
        <w:rPr>
          <w:rFonts w:ascii="宋体" w:hAnsi="宋体" w:eastAsia="宋体" w:cs="宋体"/>
          <w:spacing w:val="-48"/>
          <w:sz w:val="20"/>
          <w:szCs w:val="20"/>
          <w:highlight w:val="none"/>
        </w:rPr>
        <w:t xml:space="preserve"> </w:t>
      </w:r>
      <w:r>
        <w:rPr>
          <w:rFonts w:ascii="宋体" w:hAnsi="宋体" w:eastAsia="宋体" w:cs="宋体"/>
          <w:spacing w:val="11"/>
          <w:sz w:val="20"/>
          <w:szCs w:val="20"/>
          <w:highlight w:val="none"/>
        </w:rPr>
        <w:t>1变更的提出</w:t>
      </w:r>
    </w:p>
    <w:p w14:paraId="122BB43E">
      <w:pPr>
        <w:spacing w:before="229" w:line="367" w:lineRule="auto"/>
        <w:ind w:right="94" w:firstLine="539"/>
        <w:rPr>
          <w:rFonts w:ascii="宋体" w:hAnsi="宋体" w:eastAsia="宋体" w:cs="宋体"/>
          <w:sz w:val="22"/>
          <w:szCs w:val="22"/>
          <w:highlight w:val="none"/>
        </w:rPr>
      </w:pPr>
      <w:r>
        <w:rPr>
          <w:rFonts w:ascii="宋体" w:hAnsi="宋体" w:eastAsia="宋体" w:cs="宋体"/>
          <w:spacing w:val="-7"/>
          <w:sz w:val="22"/>
          <w:szCs w:val="22"/>
          <w:highlight w:val="none"/>
        </w:rPr>
        <w:t>(1)在合同履行过程中，监理人可向承包人发出变更意向书。变更意向书应说明变更</w:t>
      </w:r>
      <w:r>
        <w:rPr>
          <w:rFonts w:ascii="宋体" w:hAnsi="宋体" w:eastAsia="宋体" w:cs="宋体"/>
          <w:spacing w:val="15"/>
          <w:sz w:val="22"/>
          <w:szCs w:val="22"/>
          <w:highlight w:val="none"/>
        </w:rPr>
        <w:t xml:space="preserve"> </w:t>
      </w:r>
      <w:r>
        <w:rPr>
          <w:rFonts w:ascii="宋体" w:hAnsi="宋体" w:eastAsia="宋体" w:cs="宋体"/>
          <w:spacing w:val="-12"/>
          <w:sz w:val="22"/>
          <w:szCs w:val="22"/>
          <w:highlight w:val="none"/>
        </w:rPr>
        <w:t>的具体内容和发包人对变更的时间要求，并附必要的相关资料。变更意向书应要求承包</w:t>
      </w:r>
      <w:r>
        <w:rPr>
          <w:rFonts w:ascii="宋体" w:hAnsi="宋体" w:eastAsia="宋体" w:cs="宋体"/>
          <w:spacing w:val="-13"/>
          <w:sz w:val="22"/>
          <w:szCs w:val="22"/>
          <w:highlight w:val="none"/>
        </w:rPr>
        <w:t>人提</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交包括拟实施变更工作的设计和计划、措施和竣工时间等内容的实施方案。发包人同意</w:t>
      </w:r>
      <w:r>
        <w:rPr>
          <w:rFonts w:ascii="宋体" w:hAnsi="宋体" w:eastAsia="宋体" w:cs="宋体"/>
          <w:spacing w:val="-13"/>
          <w:sz w:val="22"/>
          <w:szCs w:val="22"/>
          <w:highlight w:val="none"/>
        </w:rPr>
        <w:t>承包</w:t>
      </w:r>
      <w:r>
        <w:rPr>
          <w:rFonts w:ascii="宋体" w:hAnsi="宋体" w:eastAsia="宋体" w:cs="宋体"/>
          <w:sz w:val="22"/>
          <w:szCs w:val="22"/>
          <w:highlight w:val="none"/>
        </w:rPr>
        <w:t xml:space="preserve"> </w:t>
      </w:r>
      <w:r>
        <w:rPr>
          <w:rFonts w:ascii="宋体" w:hAnsi="宋体" w:eastAsia="宋体" w:cs="宋体"/>
          <w:spacing w:val="-2"/>
          <w:sz w:val="22"/>
          <w:szCs w:val="22"/>
          <w:highlight w:val="none"/>
        </w:rPr>
        <w:t>人根据变更意向书要求提交的变更实施方案的，由监理人按第15.3.3项约定发出变更指</w:t>
      </w:r>
      <w:r>
        <w:rPr>
          <w:rFonts w:ascii="宋体" w:hAnsi="宋体" w:eastAsia="宋体" w:cs="宋体"/>
          <w:spacing w:val="5"/>
          <w:sz w:val="22"/>
          <w:szCs w:val="22"/>
          <w:highlight w:val="none"/>
        </w:rPr>
        <w:t xml:space="preserve"> </w:t>
      </w:r>
      <w:r>
        <w:rPr>
          <w:rFonts w:ascii="宋体" w:hAnsi="宋体" w:eastAsia="宋体" w:cs="宋体"/>
          <w:spacing w:val="-11"/>
          <w:sz w:val="22"/>
          <w:szCs w:val="22"/>
          <w:highlight w:val="none"/>
        </w:rPr>
        <w:t>示。</w:t>
      </w:r>
    </w:p>
    <w:p w14:paraId="3F80C3EE">
      <w:pPr>
        <w:spacing w:before="224" w:line="376" w:lineRule="auto"/>
        <w:ind w:right="39" w:firstLine="539"/>
        <w:rPr>
          <w:rFonts w:ascii="宋体" w:hAnsi="宋体" w:eastAsia="宋体" w:cs="宋体"/>
          <w:sz w:val="21"/>
          <w:szCs w:val="21"/>
          <w:highlight w:val="none"/>
        </w:rPr>
      </w:pPr>
      <w:r>
        <w:rPr>
          <w:rFonts w:ascii="宋体" w:hAnsi="宋体" w:eastAsia="宋体" w:cs="宋体"/>
          <w:spacing w:val="3"/>
          <w:sz w:val="21"/>
          <w:szCs w:val="21"/>
          <w:highlight w:val="none"/>
        </w:rPr>
        <w:t>(2)承包人收到监理人按合同约定发出的文件，经检查认为其中存在对发包人要</w:t>
      </w:r>
      <w:r>
        <w:rPr>
          <w:rFonts w:ascii="宋体" w:hAnsi="宋体" w:eastAsia="宋体" w:cs="宋体"/>
          <w:spacing w:val="2"/>
          <w:sz w:val="21"/>
          <w:szCs w:val="21"/>
          <w:highlight w:val="none"/>
        </w:rPr>
        <w:t>求变</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更情形的，可向监理人提出书面变更建议。变更建议应阐明要求变更的依据，以及实施</w:t>
      </w:r>
      <w:r>
        <w:rPr>
          <w:rFonts w:ascii="宋体" w:hAnsi="宋体" w:eastAsia="宋体" w:cs="宋体"/>
          <w:spacing w:val="-3"/>
          <w:sz w:val="21"/>
          <w:szCs w:val="21"/>
          <w:highlight w:val="none"/>
        </w:rPr>
        <w:t>该变</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更工作对合同价款和工期的影响，并附必要的图纸和说明。监理人收到承包人书面建议后，</w:t>
      </w:r>
      <w:r>
        <w:rPr>
          <w:rFonts w:ascii="宋体" w:hAnsi="宋体" w:eastAsia="宋体" w:cs="宋体"/>
          <w:spacing w:val="14"/>
          <w:sz w:val="21"/>
          <w:szCs w:val="21"/>
          <w:highlight w:val="none"/>
        </w:rPr>
        <w:t xml:space="preserve"> </w:t>
      </w:r>
      <w:r>
        <w:rPr>
          <w:rFonts w:ascii="宋体" w:hAnsi="宋体" w:eastAsia="宋体" w:cs="宋体"/>
          <w:spacing w:val="2"/>
          <w:sz w:val="21"/>
          <w:szCs w:val="21"/>
          <w:highlight w:val="none"/>
        </w:rPr>
        <w:t>应与发包人共同研究，确认存在变更的，应在收到承包人书面建议后的14天内作出变更指</w:t>
      </w:r>
      <w:r>
        <w:rPr>
          <w:rFonts w:ascii="宋体" w:hAnsi="宋体" w:eastAsia="宋体" w:cs="宋体"/>
          <w:spacing w:val="6"/>
          <w:sz w:val="21"/>
          <w:szCs w:val="21"/>
          <w:highlight w:val="none"/>
        </w:rPr>
        <w:t xml:space="preserve">  </w:t>
      </w:r>
      <w:r>
        <w:rPr>
          <w:rFonts w:ascii="宋体" w:hAnsi="宋体" w:eastAsia="宋体" w:cs="宋体"/>
          <w:spacing w:val="-2"/>
          <w:sz w:val="21"/>
          <w:szCs w:val="21"/>
          <w:highlight w:val="none"/>
        </w:rPr>
        <w:t>示。经研究后不同意作为变更的，应由监理人书面答复承包人。</w:t>
      </w:r>
    </w:p>
    <w:p w14:paraId="70F3AEDB">
      <w:pPr>
        <w:spacing w:before="253" w:line="348" w:lineRule="auto"/>
        <w:ind w:firstLine="539"/>
        <w:rPr>
          <w:rFonts w:ascii="宋体" w:hAnsi="宋体" w:eastAsia="宋体" w:cs="宋体"/>
          <w:sz w:val="21"/>
          <w:szCs w:val="21"/>
          <w:highlight w:val="none"/>
        </w:rPr>
      </w:pPr>
      <w:r>
        <w:rPr>
          <w:rFonts w:ascii="宋体" w:hAnsi="宋体" w:eastAsia="宋体" w:cs="宋体"/>
          <w:sz w:val="21"/>
          <w:szCs w:val="21"/>
          <w:highlight w:val="none"/>
        </w:rPr>
        <w:t>(3)承包人收到监理人的变更意向书后认为难以实施此项变更的，应立即通知监理</w:t>
      </w:r>
      <w:r>
        <w:rPr>
          <w:rFonts w:ascii="宋体" w:hAnsi="宋体" w:eastAsia="宋体" w:cs="宋体"/>
          <w:spacing w:val="-1"/>
          <w:sz w:val="21"/>
          <w:szCs w:val="21"/>
          <w:highlight w:val="none"/>
        </w:rPr>
        <w:t>人，</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说明原因并附详细依据。监理人与承包人和发包人协商后确定撤销、改变或不改变原变更意</w:t>
      </w:r>
      <w:r>
        <w:rPr>
          <w:rFonts w:ascii="宋体" w:hAnsi="宋体" w:eastAsia="宋体" w:cs="宋体"/>
          <w:spacing w:val="1"/>
          <w:sz w:val="21"/>
          <w:szCs w:val="21"/>
          <w:highlight w:val="none"/>
        </w:rPr>
        <w:t xml:space="preserve">  </w:t>
      </w:r>
      <w:r>
        <w:rPr>
          <w:rFonts w:ascii="宋体" w:hAnsi="宋体" w:eastAsia="宋体" w:cs="宋体"/>
          <w:spacing w:val="-14"/>
          <w:sz w:val="21"/>
          <w:szCs w:val="21"/>
          <w:highlight w:val="none"/>
        </w:rPr>
        <w:t>向书。</w:t>
      </w:r>
    </w:p>
    <w:p w14:paraId="184D7883">
      <w:pPr>
        <w:spacing w:before="240" w:line="218" w:lineRule="auto"/>
        <w:ind w:left="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15.3.2</w:t>
      </w:r>
      <w:r>
        <w:rPr>
          <w:rFonts w:ascii="Times New Roman" w:hAnsi="Times New Roman" w:eastAsia="Times New Roman" w:cs="Times New Roman"/>
          <w:spacing w:val="11"/>
          <w:sz w:val="22"/>
          <w:szCs w:val="22"/>
          <w:highlight w:val="none"/>
        </w:rPr>
        <w:t xml:space="preserve">   </w:t>
      </w:r>
      <w:r>
        <w:rPr>
          <w:rFonts w:ascii="宋体" w:hAnsi="宋体" w:eastAsia="宋体" w:cs="宋体"/>
          <w:spacing w:val="-6"/>
          <w:sz w:val="22"/>
          <w:szCs w:val="22"/>
          <w:highlight w:val="none"/>
        </w:rPr>
        <w:t>变更估价</w:t>
      </w:r>
    </w:p>
    <w:p w14:paraId="08421463">
      <w:pPr>
        <w:spacing w:before="230" w:line="415" w:lineRule="auto"/>
        <w:ind w:right="89" w:firstLine="430"/>
        <w:rPr>
          <w:rFonts w:ascii="宋体" w:hAnsi="宋体" w:eastAsia="宋体" w:cs="宋体"/>
          <w:sz w:val="21"/>
          <w:szCs w:val="21"/>
          <w:highlight w:val="none"/>
        </w:rPr>
      </w:pPr>
      <w:r>
        <w:rPr>
          <w:rFonts w:ascii="宋体" w:hAnsi="宋体" w:eastAsia="宋体" w:cs="宋体"/>
          <w:spacing w:val="6"/>
          <w:sz w:val="21"/>
          <w:szCs w:val="21"/>
          <w:highlight w:val="none"/>
        </w:rPr>
        <w:t>监理人应按照第3.5款商定或确定变更价格。变更价格应包括合理的利润，并应考虑</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承包人根据第15.2款提出的合理化建议。</w:t>
      </w:r>
    </w:p>
    <w:p w14:paraId="5F826F12">
      <w:pPr>
        <w:spacing w:before="1" w:line="220" w:lineRule="auto"/>
        <w:ind w:left="430"/>
        <w:rPr>
          <w:rFonts w:ascii="宋体" w:hAnsi="宋体" w:eastAsia="宋体" w:cs="宋体"/>
          <w:sz w:val="22"/>
          <w:szCs w:val="22"/>
          <w:highlight w:val="none"/>
        </w:rPr>
      </w:pPr>
      <w:r>
        <w:rPr>
          <w:rFonts w:ascii="宋体" w:hAnsi="宋体" w:eastAsia="宋体" w:cs="宋体"/>
          <w:spacing w:val="1"/>
          <w:sz w:val="22"/>
          <w:szCs w:val="22"/>
          <w:highlight w:val="none"/>
        </w:rPr>
        <w:t>15.3.3变更指示</w:t>
      </w:r>
    </w:p>
    <w:p w14:paraId="54F7A1CD">
      <w:pPr>
        <w:spacing w:before="216" w:line="220" w:lineRule="auto"/>
        <w:ind w:left="539"/>
        <w:rPr>
          <w:rFonts w:ascii="宋体" w:hAnsi="宋体" w:eastAsia="宋体" w:cs="宋体"/>
          <w:sz w:val="22"/>
          <w:szCs w:val="22"/>
          <w:highlight w:val="none"/>
        </w:rPr>
      </w:pPr>
      <w:r>
        <w:rPr>
          <w:rFonts w:ascii="宋体" w:hAnsi="宋体" w:eastAsia="宋体" w:cs="宋体"/>
          <w:spacing w:val="-3"/>
          <w:sz w:val="22"/>
          <w:szCs w:val="22"/>
          <w:highlight w:val="none"/>
        </w:rPr>
        <w:t>(1)变更指示只能由监理人发出。</w:t>
      </w:r>
    </w:p>
    <w:p w14:paraId="6D6DB576">
      <w:pPr>
        <w:spacing w:before="226" w:line="320" w:lineRule="auto"/>
        <w:ind w:right="95" w:firstLine="539"/>
        <w:rPr>
          <w:rFonts w:ascii="宋体" w:hAnsi="宋体" w:eastAsia="宋体" w:cs="宋体"/>
          <w:sz w:val="21"/>
          <w:szCs w:val="21"/>
          <w:highlight w:val="none"/>
        </w:rPr>
      </w:pPr>
      <w:r>
        <w:rPr>
          <w:rFonts w:ascii="宋体" w:hAnsi="宋体" w:eastAsia="宋体" w:cs="宋体"/>
          <w:spacing w:val="3"/>
          <w:sz w:val="21"/>
          <w:szCs w:val="21"/>
          <w:highlight w:val="none"/>
        </w:rPr>
        <w:t>(2)变更指示应说明变更的目的、范围、变更内容以及变更的工程量及其进度和技术</w:t>
      </w:r>
      <w:r>
        <w:rPr>
          <w:rFonts w:ascii="宋体" w:hAnsi="宋体" w:eastAsia="宋体" w:cs="宋体"/>
          <w:sz w:val="21"/>
          <w:szCs w:val="21"/>
          <w:highlight w:val="none"/>
        </w:rPr>
        <w:t xml:space="preserve"> 要求，并附有关图纸和文件。承包人收到变更指示后，应按变更指示进</w:t>
      </w:r>
      <w:r>
        <w:rPr>
          <w:rFonts w:ascii="宋体" w:hAnsi="宋体" w:eastAsia="宋体" w:cs="宋体"/>
          <w:spacing w:val="-1"/>
          <w:sz w:val="21"/>
          <w:szCs w:val="21"/>
          <w:highlight w:val="none"/>
        </w:rPr>
        <w:t>行变更工作。</w:t>
      </w:r>
    </w:p>
    <w:p w14:paraId="3EE470DB">
      <w:pPr>
        <w:spacing w:before="282" w:line="222" w:lineRule="auto"/>
        <w:rPr>
          <w:rFonts w:ascii="黑体" w:hAnsi="黑体" w:eastAsia="黑体" w:cs="黑体"/>
          <w:sz w:val="24"/>
          <w:szCs w:val="24"/>
          <w:highlight w:val="none"/>
        </w:rPr>
      </w:pPr>
      <w:r>
        <w:rPr>
          <w:rFonts w:ascii="黑体" w:hAnsi="黑体" w:eastAsia="黑体" w:cs="黑体"/>
          <w:spacing w:val="-8"/>
          <w:sz w:val="24"/>
          <w:szCs w:val="24"/>
          <w:highlight w:val="none"/>
        </w:rPr>
        <w:t>15.4</w:t>
      </w:r>
      <w:r>
        <w:rPr>
          <w:rFonts w:ascii="黑体" w:hAnsi="黑体" w:eastAsia="黑体" w:cs="黑体"/>
          <w:spacing w:val="19"/>
          <w:sz w:val="24"/>
          <w:szCs w:val="24"/>
          <w:highlight w:val="none"/>
        </w:rPr>
        <w:t xml:space="preserve"> </w:t>
      </w:r>
      <w:r>
        <w:rPr>
          <w:rFonts w:ascii="黑体" w:hAnsi="黑体" w:eastAsia="黑体" w:cs="黑体"/>
          <w:spacing w:val="-8"/>
          <w:sz w:val="24"/>
          <w:szCs w:val="24"/>
          <w:highlight w:val="none"/>
        </w:rPr>
        <w:t>暂列金额</w:t>
      </w:r>
    </w:p>
    <w:p w14:paraId="3235ECDA">
      <w:pPr>
        <w:spacing w:before="152" w:line="219" w:lineRule="auto"/>
        <w:ind w:left="430"/>
        <w:rPr>
          <w:rFonts w:ascii="宋体" w:hAnsi="宋体" w:eastAsia="宋体" w:cs="宋体"/>
          <w:sz w:val="20"/>
          <w:szCs w:val="20"/>
          <w:highlight w:val="none"/>
        </w:rPr>
      </w:pPr>
      <w:r>
        <w:rPr>
          <w:rFonts w:ascii="宋体" w:hAnsi="宋体" w:eastAsia="宋体" w:cs="宋体"/>
          <w:spacing w:val="13"/>
          <w:sz w:val="20"/>
          <w:szCs w:val="20"/>
          <w:highlight w:val="none"/>
        </w:rPr>
        <w:t>经发包人同意，承包人可使用暂列金额，但</w:t>
      </w:r>
      <w:r>
        <w:rPr>
          <w:rFonts w:ascii="宋体" w:hAnsi="宋体" w:eastAsia="宋体" w:cs="宋体"/>
          <w:spacing w:val="12"/>
          <w:sz w:val="20"/>
          <w:szCs w:val="20"/>
          <w:highlight w:val="none"/>
        </w:rPr>
        <w:t>应按照第15.6款规定的程序进行，并对合</w:t>
      </w:r>
    </w:p>
    <w:p w14:paraId="51D01239">
      <w:pPr>
        <w:spacing w:line="219" w:lineRule="auto"/>
        <w:rPr>
          <w:rFonts w:ascii="宋体" w:hAnsi="宋体" w:eastAsia="宋体" w:cs="宋体"/>
          <w:sz w:val="20"/>
          <w:szCs w:val="20"/>
          <w:highlight w:val="none"/>
        </w:rPr>
        <w:sectPr>
          <w:footerReference r:id="rId198" w:type="default"/>
          <w:pgSz w:w="11910" w:h="16840"/>
          <w:pgMar w:top="400" w:right="1725" w:bottom="1238" w:left="1769" w:header="0" w:footer="1007" w:gutter="0"/>
          <w:cols w:space="720" w:num="1"/>
        </w:sectPr>
      </w:pPr>
    </w:p>
    <w:p w14:paraId="4A6C42A1">
      <w:pPr>
        <w:pStyle w:val="2"/>
        <w:spacing w:line="269" w:lineRule="auto"/>
        <w:rPr>
          <w:highlight w:val="none"/>
        </w:rPr>
      </w:pPr>
    </w:p>
    <w:p w14:paraId="00476B8B">
      <w:pPr>
        <w:pStyle w:val="2"/>
        <w:spacing w:line="270" w:lineRule="auto"/>
        <w:rPr>
          <w:highlight w:val="none"/>
        </w:rPr>
      </w:pPr>
    </w:p>
    <w:p w14:paraId="3D720B35">
      <w:pPr>
        <w:pStyle w:val="2"/>
        <w:spacing w:line="270" w:lineRule="auto"/>
        <w:rPr>
          <w:highlight w:val="none"/>
        </w:rPr>
      </w:pPr>
    </w:p>
    <w:p w14:paraId="138F558E">
      <w:pPr>
        <w:pStyle w:val="2"/>
        <w:spacing w:line="270" w:lineRule="auto"/>
        <w:rPr>
          <w:highlight w:val="none"/>
        </w:rPr>
      </w:pPr>
    </w:p>
    <w:p w14:paraId="59C5FB5F">
      <w:pPr>
        <w:spacing w:before="71" w:line="218" w:lineRule="auto"/>
        <w:rPr>
          <w:rFonts w:ascii="宋体" w:hAnsi="宋体" w:eastAsia="宋体" w:cs="宋体"/>
          <w:sz w:val="22"/>
          <w:szCs w:val="22"/>
          <w:highlight w:val="none"/>
        </w:rPr>
      </w:pPr>
      <w:bookmarkStart w:id="189" w:name="bookmark278"/>
      <w:bookmarkEnd w:id="189"/>
      <w:r>
        <w:rPr>
          <w:rFonts w:ascii="宋体" w:hAnsi="宋体" w:eastAsia="宋体" w:cs="宋体"/>
          <w:spacing w:val="-12"/>
          <w:sz w:val="22"/>
          <w:szCs w:val="22"/>
          <w:highlight w:val="none"/>
        </w:rPr>
        <w:t>同价格进行相应调整。</w:t>
      </w:r>
    </w:p>
    <w:p w14:paraId="6F78A1D7">
      <w:pPr>
        <w:pStyle w:val="2"/>
        <w:spacing w:before="235" w:line="212" w:lineRule="auto"/>
        <w:rPr>
          <w:sz w:val="26"/>
          <w:szCs w:val="26"/>
          <w:highlight w:val="none"/>
        </w:rPr>
      </w:pPr>
      <w:r>
        <w:rPr>
          <w:rFonts w:ascii="黑体" w:hAnsi="黑体" w:eastAsia="黑体" w:cs="黑体"/>
          <w:spacing w:val="-2"/>
          <w:sz w:val="26"/>
          <w:szCs w:val="26"/>
          <w:highlight w:val="none"/>
        </w:rPr>
        <w:t>15.5计日工</w:t>
      </w:r>
      <w:r>
        <w:rPr>
          <w:rFonts w:ascii="黑体" w:hAnsi="黑体" w:eastAsia="黑体" w:cs="黑体"/>
          <w:spacing w:val="-42"/>
          <w:sz w:val="26"/>
          <w:szCs w:val="26"/>
          <w:highlight w:val="none"/>
        </w:rPr>
        <w:t xml:space="preserve"> </w:t>
      </w:r>
      <w:r>
        <w:rPr>
          <w:rFonts w:ascii="黑体" w:hAnsi="黑体" w:eastAsia="黑体" w:cs="黑体"/>
          <w:spacing w:val="-2"/>
          <w:sz w:val="26"/>
          <w:szCs w:val="26"/>
          <w:highlight w:val="none"/>
        </w:rPr>
        <w:t>(</w:t>
      </w:r>
      <w:r>
        <w:rPr>
          <w:spacing w:val="-2"/>
          <w:sz w:val="26"/>
          <w:szCs w:val="26"/>
          <w:highlight w:val="none"/>
        </w:rPr>
        <w:t>A)</w:t>
      </w:r>
    </w:p>
    <w:p w14:paraId="44F5AD3C">
      <w:pPr>
        <w:spacing w:before="148" w:line="318" w:lineRule="auto"/>
        <w:ind w:firstLine="43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 xml:space="preserve">15.5.1   </w:t>
      </w:r>
      <w:r>
        <w:rPr>
          <w:rFonts w:ascii="宋体" w:hAnsi="宋体" w:eastAsia="宋体" w:cs="宋体"/>
          <w:spacing w:val="-10"/>
          <w:sz w:val="22"/>
          <w:szCs w:val="22"/>
          <w:highlight w:val="none"/>
        </w:rPr>
        <w:t>发包人认为有必要时，由监理人通知承包人以计日工方式实施变更的零星工作。</w:t>
      </w:r>
      <w:r>
        <w:rPr>
          <w:rFonts w:ascii="宋体" w:hAnsi="宋体" w:eastAsia="宋体" w:cs="宋体"/>
          <w:spacing w:val="3"/>
          <w:sz w:val="22"/>
          <w:szCs w:val="22"/>
          <w:highlight w:val="none"/>
        </w:rPr>
        <w:t xml:space="preserve"> </w:t>
      </w:r>
      <w:r>
        <w:rPr>
          <w:rFonts w:ascii="宋体" w:hAnsi="宋体" w:eastAsia="宋体" w:cs="宋体"/>
          <w:spacing w:val="-11"/>
          <w:sz w:val="22"/>
          <w:szCs w:val="22"/>
          <w:highlight w:val="none"/>
        </w:rPr>
        <w:t>其价款按列入合同中的计日工计价子目及其单价进行计算。</w:t>
      </w:r>
    </w:p>
    <w:p w14:paraId="59914FAB">
      <w:pPr>
        <w:spacing w:before="221" w:line="303" w:lineRule="auto"/>
        <w:ind w:right="96" w:firstLine="430"/>
        <w:rPr>
          <w:rFonts w:ascii="宋体" w:hAnsi="宋体" w:eastAsia="宋体" w:cs="宋体"/>
          <w:sz w:val="22"/>
          <w:szCs w:val="22"/>
          <w:highlight w:val="none"/>
        </w:rPr>
      </w:pPr>
      <w:r>
        <w:rPr>
          <w:rFonts w:ascii="宋体" w:hAnsi="宋体" w:eastAsia="宋体" w:cs="宋体"/>
          <w:spacing w:val="-6"/>
          <w:sz w:val="22"/>
          <w:szCs w:val="22"/>
          <w:highlight w:val="none"/>
        </w:rPr>
        <w:t>15.5.2采用计日工计价的任何一项变更工作</w:t>
      </w:r>
      <w:r>
        <w:rPr>
          <w:rFonts w:ascii="宋体" w:hAnsi="宋体" w:eastAsia="宋体" w:cs="宋体"/>
          <w:spacing w:val="-7"/>
          <w:sz w:val="22"/>
          <w:szCs w:val="22"/>
          <w:highlight w:val="none"/>
        </w:rPr>
        <w:t>，应从暂列金额中支付，承包人应在该项</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变更的实施过程中，每天提交以下报表和有关凭证报送监理人批准：</w:t>
      </w:r>
    </w:p>
    <w:p w14:paraId="561A8464">
      <w:pPr>
        <w:spacing w:before="238" w:line="219"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(1)工作名称、内容和数量；</w:t>
      </w:r>
    </w:p>
    <w:p w14:paraId="54B6C728">
      <w:pPr>
        <w:spacing w:before="223"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(2)投入该工作所有人员的姓名、专业/工种、级别和耗</w:t>
      </w:r>
      <w:r>
        <w:rPr>
          <w:rFonts w:ascii="宋体" w:hAnsi="宋体" w:eastAsia="宋体" w:cs="宋体"/>
          <w:spacing w:val="-8"/>
          <w:sz w:val="22"/>
          <w:szCs w:val="22"/>
          <w:highlight w:val="none"/>
        </w:rPr>
        <w:t>用工时；</w:t>
      </w:r>
    </w:p>
    <w:p w14:paraId="48E08351">
      <w:pPr>
        <w:spacing w:before="207" w:line="219" w:lineRule="auto"/>
        <w:ind w:left="529"/>
        <w:rPr>
          <w:rFonts w:ascii="宋体" w:hAnsi="宋体" w:eastAsia="宋体" w:cs="宋体"/>
          <w:sz w:val="22"/>
          <w:szCs w:val="22"/>
          <w:highlight w:val="none"/>
        </w:rPr>
      </w:pPr>
      <w:r>
        <w:rPr>
          <w:rFonts w:ascii="宋体" w:hAnsi="宋体" w:eastAsia="宋体" w:cs="宋体"/>
          <w:spacing w:val="-6"/>
          <w:sz w:val="22"/>
          <w:szCs w:val="22"/>
          <w:highlight w:val="none"/>
        </w:rPr>
        <w:t>(3)投入该工作的材料类别和数量；</w:t>
      </w:r>
    </w:p>
    <w:p w14:paraId="22C9E8F4">
      <w:pPr>
        <w:spacing w:before="220"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(4)投入该工作的施工设备型号、台数和耗用台时；</w:t>
      </w:r>
    </w:p>
    <w:p w14:paraId="59B13473">
      <w:pPr>
        <w:spacing w:before="229" w:line="219" w:lineRule="auto"/>
        <w:ind w:left="529"/>
        <w:rPr>
          <w:rFonts w:ascii="宋体" w:hAnsi="宋体" w:eastAsia="宋体" w:cs="宋体"/>
          <w:sz w:val="22"/>
          <w:szCs w:val="22"/>
          <w:highlight w:val="none"/>
        </w:rPr>
      </w:pPr>
      <w:r>
        <w:rPr>
          <w:rFonts w:ascii="宋体" w:hAnsi="宋体" w:eastAsia="宋体" w:cs="宋体"/>
          <w:spacing w:val="-4"/>
          <w:sz w:val="22"/>
          <w:szCs w:val="22"/>
          <w:highlight w:val="none"/>
        </w:rPr>
        <w:t>(5)监理人要求提交的其他资料和凭证。</w:t>
      </w:r>
    </w:p>
    <w:p w14:paraId="3D51E402">
      <w:pPr>
        <w:spacing w:before="208" w:line="442" w:lineRule="auto"/>
        <w:ind w:right="102" w:firstLine="430"/>
        <w:rPr>
          <w:rFonts w:ascii="宋体" w:hAnsi="宋体" w:eastAsia="宋体" w:cs="宋体"/>
          <w:sz w:val="21"/>
          <w:szCs w:val="21"/>
          <w:highlight w:val="none"/>
        </w:rPr>
      </w:pPr>
      <w:r>
        <w:rPr>
          <w:rFonts w:ascii="宋体" w:hAnsi="宋体" w:eastAsia="宋体" w:cs="宋体"/>
          <w:spacing w:val="8"/>
          <w:sz w:val="21"/>
          <w:szCs w:val="21"/>
          <w:highlight w:val="none"/>
        </w:rPr>
        <w:t>15.5.3计日工由承包人汇总后，按第17.</w:t>
      </w:r>
      <w:r>
        <w:rPr>
          <w:rFonts w:ascii="宋体" w:hAnsi="宋体" w:eastAsia="宋体" w:cs="宋体"/>
          <w:spacing w:val="7"/>
          <w:sz w:val="21"/>
          <w:szCs w:val="21"/>
          <w:highlight w:val="none"/>
        </w:rPr>
        <w:t>3.3项的约定列入进度付款申请单，由监理</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人复核并经发包人同意后列入进度付款。</w:t>
      </w:r>
    </w:p>
    <w:p w14:paraId="469218BE">
      <w:pPr>
        <w:pStyle w:val="2"/>
        <w:spacing w:line="212" w:lineRule="auto"/>
        <w:rPr>
          <w:sz w:val="24"/>
          <w:szCs w:val="24"/>
          <w:highlight w:val="none"/>
        </w:rPr>
      </w:pPr>
      <w:r>
        <w:rPr>
          <w:rFonts w:ascii="黑体" w:hAnsi="黑体" w:eastAsia="黑体" w:cs="黑体"/>
          <w:spacing w:val="-14"/>
          <w:sz w:val="24"/>
          <w:szCs w:val="24"/>
          <w:highlight w:val="none"/>
        </w:rPr>
        <w:t>15.5 计日工</w:t>
      </w:r>
      <w:r>
        <w:rPr>
          <w:rFonts w:ascii="黑体" w:hAnsi="黑体" w:eastAsia="黑体" w:cs="黑体"/>
          <w:spacing w:val="-24"/>
          <w:sz w:val="24"/>
          <w:szCs w:val="24"/>
          <w:highlight w:val="none"/>
        </w:rPr>
        <w:t xml:space="preserve"> </w:t>
      </w:r>
      <w:r>
        <w:rPr>
          <w:rFonts w:ascii="黑体" w:hAnsi="黑体" w:eastAsia="黑体" w:cs="黑体"/>
          <w:spacing w:val="-14"/>
          <w:sz w:val="24"/>
          <w:szCs w:val="24"/>
          <w:highlight w:val="none"/>
        </w:rPr>
        <w:t>(</w:t>
      </w:r>
      <w:r>
        <w:rPr>
          <w:rFonts w:ascii="黑体" w:hAnsi="黑体" w:eastAsia="黑体" w:cs="黑体"/>
          <w:spacing w:val="-55"/>
          <w:sz w:val="24"/>
          <w:szCs w:val="24"/>
          <w:highlight w:val="none"/>
        </w:rPr>
        <w:t xml:space="preserve"> </w:t>
      </w:r>
      <w:r>
        <w:rPr>
          <w:spacing w:val="-14"/>
          <w:sz w:val="24"/>
          <w:szCs w:val="24"/>
          <w:highlight w:val="none"/>
        </w:rPr>
        <w:t>B)</w:t>
      </w:r>
    </w:p>
    <w:p w14:paraId="6DED93DA">
      <w:pPr>
        <w:spacing w:before="168" w:line="218"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签约合同价包括计日工的，按合同约定进行支付。</w:t>
      </w:r>
    </w:p>
    <w:p w14:paraId="08B6641A">
      <w:pPr>
        <w:pStyle w:val="2"/>
        <w:spacing w:before="247" w:line="212" w:lineRule="auto"/>
        <w:rPr>
          <w:sz w:val="24"/>
          <w:szCs w:val="24"/>
          <w:highlight w:val="none"/>
        </w:rPr>
      </w:pPr>
      <w:r>
        <w:rPr>
          <w:rFonts w:ascii="黑体" w:hAnsi="黑体" w:eastAsia="黑体" w:cs="黑体"/>
          <w:spacing w:val="-13"/>
          <w:sz w:val="24"/>
          <w:szCs w:val="24"/>
          <w:highlight w:val="none"/>
        </w:rPr>
        <w:t>15.6 暂估价 (</w:t>
      </w:r>
      <w:r>
        <w:rPr>
          <w:rFonts w:ascii="黑体" w:hAnsi="黑体" w:eastAsia="黑体" w:cs="黑体"/>
          <w:spacing w:val="-56"/>
          <w:sz w:val="24"/>
          <w:szCs w:val="24"/>
          <w:highlight w:val="none"/>
        </w:rPr>
        <w:t xml:space="preserve"> </w:t>
      </w:r>
      <w:r>
        <w:rPr>
          <w:spacing w:val="-13"/>
          <w:sz w:val="24"/>
          <w:szCs w:val="24"/>
          <w:highlight w:val="none"/>
        </w:rPr>
        <w:t>A)</w:t>
      </w:r>
    </w:p>
    <w:p w14:paraId="2640F390">
      <w:pPr>
        <w:spacing w:before="179" w:line="364" w:lineRule="auto"/>
        <w:ind w:right="87"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15.6.1    </w:t>
      </w:r>
      <w:r>
        <w:rPr>
          <w:rFonts w:ascii="宋体" w:hAnsi="宋体" w:eastAsia="宋体" w:cs="宋体"/>
          <w:sz w:val="21"/>
          <w:szCs w:val="21"/>
          <w:highlight w:val="none"/>
        </w:rPr>
        <w:t>发包人在价格清单中给定暂估价的专业服务、材料、工程设备和专业工程属于</w:t>
      </w:r>
      <w:r>
        <w:rPr>
          <w:rFonts w:ascii="宋体" w:hAnsi="宋体" w:eastAsia="宋体" w:cs="宋体"/>
          <w:spacing w:val="6"/>
          <w:sz w:val="21"/>
          <w:szCs w:val="21"/>
          <w:highlight w:val="none"/>
        </w:rPr>
        <w:t xml:space="preserve"> </w:t>
      </w:r>
      <w:r>
        <w:rPr>
          <w:rFonts w:ascii="宋体" w:hAnsi="宋体" w:eastAsia="宋体" w:cs="宋体"/>
          <w:spacing w:val="-2"/>
          <w:sz w:val="21"/>
          <w:szCs w:val="21"/>
          <w:highlight w:val="none"/>
        </w:rPr>
        <w:t>依法必须招标的范围并达到规定的规模标准的，由发包人和承包人以招标</w:t>
      </w:r>
      <w:r>
        <w:rPr>
          <w:rFonts w:ascii="宋体" w:hAnsi="宋体" w:eastAsia="宋体" w:cs="宋体"/>
          <w:spacing w:val="-3"/>
          <w:sz w:val="21"/>
          <w:szCs w:val="21"/>
          <w:highlight w:val="none"/>
        </w:rPr>
        <w:t>的方式选择供应商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或分包人。发包人和承包人的权利义务关系在专用合同条款中约定。中标金额与价格清单中</w:t>
      </w:r>
      <w:r>
        <w:rPr>
          <w:rFonts w:ascii="宋体" w:hAnsi="宋体" w:eastAsia="宋体" w:cs="宋体"/>
          <w:spacing w:val="1"/>
          <w:sz w:val="21"/>
          <w:szCs w:val="21"/>
          <w:highlight w:val="none"/>
        </w:rPr>
        <w:t xml:space="preserve"> </w:t>
      </w:r>
      <w:r>
        <w:rPr>
          <w:rFonts w:ascii="宋体" w:hAnsi="宋体" w:eastAsia="宋体" w:cs="宋体"/>
          <w:spacing w:val="-1"/>
          <w:sz w:val="21"/>
          <w:szCs w:val="21"/>
          <w:highlight w:val="none"/>
        </w:rPr>
        <w:t>所列的暂估价的金额差以及相应的税金等其他费用列入合同价格。</w:t>
      </w:r>
    </w:p>
    <w:p w14:paraId="307A3F6A">
      <w:pPr>
        <w:spacing w:before="260" w:line="367" w:lineRule="auto"/>
        <w:ind w:right="99"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15.6.2</w:t>
      </w:r>
      <w:r>
        <w:rPr>
          <w:rFonts w:ascii="Times New Roman" w:hAnsi="Times New Roman" w:eastAsia="Times New Roman" w:cs="Times New Roman"/>
          <w:spacing w:val="19"/>
          <w:sz w:val="21"/>
          <w:szCs w:val="21"/>
          <w:highlight w:val="none"/>
        </w:rPr>
        <w:t xml:space="preserve">   </w:t>
      </w:r>
      <w:r>
        <w:rPr>
          <w:rFonts w:ascii="宋体" w:hAnsi="宋体" w:eastAsia="宋体" w:cs="宋体"/>
          <w:sz w:val="21"/>
          <w:szCs w:val="21"/>
          <w:highlight w:val="none"/>
        </w:rPr>
        <w:t xml:space="preserve">发包人在价格清单中给定暂估价的专业服务、材料和工程设备不属于依法必须 </w:t>
      </w:r>
      <w:r>
        <w:rPr>
          <w:rFonts w:ascii="宋体" w:hAnsi="宋体" w:eastAsia="宋体" w:cs="宋体"/>
          <w:spacing w:val="5"/>
          <w:sz w:val="21"/>
          <w:szCs w:val="21"/>
          <w:highlight w:val="none"/>
        </w:rPr>
        <w:t>招标的范围或未达到规定的规模标准的，应由承包人按第6.1款的约定提供。经监理人确</w:t>
      </w:r>
      <w:r>
        <w:rPr>
          <w:rFonts w:ascii="宋体" w:hAnsi="宋体" w:eastAsia="宋体" w:cs="宋体"/>
          <w:spacing w:val="10"/>
          <w:sz w:val="21"/>
          <w:szCs w:val="21"/>
          <w:highlight w:val="none"/>
        </w:rPr>
        <w:t xml:space="preserve"> </w:t>
      </w:r>
      <w:r>
        <w:rPr>
          <w:rFonts w:ascii="宋体" w:hAnsi="宋体" w:eastAsia="宋体" w:cs="宋体"/>
          <w:spacing w:val="-2"/>
          <w:sz w:val="21"/>
          <w:szCs w:val="21"/>
          <w:highlight w:val="none"/>
        </w:rPr>
        <w:t>认的专业服务、材料、工程设备的价格与价格清单中所列的暂</w:t>
      </w:r>
      <w:r>
        <w:rPr>
          <w:rFonts w:ascii="宋体" w:hAnsi="宋体" w:eastAsia="宋体" w:cs="宋体"/>
          <w:spacing w:val="-3"/>
          <w:sz w:val="21"/>
          <w:szCs w:val="21"/>
          <w:highlight w:val="none"/>
        </w:rPr>
        <w:t>估价的金额差以及相应的税金</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等其他费用列入合同价格。</w:t>
      </w:r>
    </w:p>
    <w:p w14:paraId="67868FB8">
      <w:pPr>
        <w:spacing w:before="232" w:line="371" w:lineRule="auto"/>
        <w:ind w:right="81"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15.6.3    </w:t>
      </w:r>
      <w:r>
        <w:rPr>
          <w:rFonts w:ascii="宋体" w:hAnsi="宋体" w:eastAsia="宋体" w:cs="宋体"/>
          <w:spacing w:val="1"/>
          <w:sz w:val="21"/>
          <w:szCs w:val="21"/>
          <w:highlight w:val="none"/>
        </w:rPr>
        <w:t>发包人在价格清单中给定暂</w:t>
      </w:r>
      <w:r>
        <w:rPr>
          <w:rFonts w:ascii="宋体" w:hAnsi="宋体" w:eastAsia="宋体" w:cs="宋体"/>
          <w:sz w:val="21"/>
          <w:szCs w:val="21"/>
          <w:highlight w:val="none"/>
        </w:rPr>
        <w:t xml:space="preserve">估价的专业工程不属于依法必须招标的范围或未达 </w:t>
      </w:r>
      <w:r>
        <w:rPr>
          <w:rFonts w:ascii="宋体" w:hAnsi="宋体" w:eastAsia="宋体" w:cs="宋体"/>
          <w:spacing w:val="3"/>
          <w:sz w:val="21"/>
          <w:szCs w:val="21"/>
          <w:highlight w:val="none"/>
        </w:rPr>
        <w:t>到规定的规模标准的，由监理人按照第15.3.2项进行估价，但专用合同条</w:t>
      </w:r>
      <w:r>
        <w:rPr>
          <w:rFonts w:ascii="宋体" w:hAnsi="宋体" w:eastAsia="宋体" w:cs="宋体"/>
          <w:spacing w:val="2"/>
          <w:sz w:val="21"/>
          <w:szCs w:val="21"/>
          <w:highlight w:val="none"/>
        </w:rPr>
        <w:t>款另有约定的除</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外。经估价的专业工程与价格清单中所列的暂估价的金额差以及</w:t>
      </w:r>
      <w:r>
        <w:rPr>
          <w:rFonts w:ascii="宋体" w:hAnsi="宋体" w:eastAsia="宋体" w:cs="宋体"/>
          <w:spacing w:val="-3"/>
          <w:sz w:val="21"/>
          <w:szCs w:val="21"/>
          <w:highlight w:val="none"/>
        </w:rPr>
        <w:t>相应的税金等其他费用列入</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合同价格。</w:t>
      </w:r>
    </w:p>
    <w:p w14:paraId="3DB5B608">
      <w:pPr>
        <w:spacing w:line="371" w:lineRule="auto"/>
        <w:rPr>
          <w:rFonts w:ascii="宋体" w:hAnsi="宋体" w:eastAsia="宋体" w:cs="宋体"/>
          <w:sz w:val="21"/>
          <w:szCs w:val="21"/>
          <w:highlight w:val="none"/>
        </w:rPr>
        <w:sectPr>
          <w:footerReference r:id="rId199" w:type="default"/>
          <w:pgSz w:w="11910" w:h="16840"/>
          <w:pgMar w:top="400" w:right="1720" w:bottom="1238" w:left="1779" w:header="0" w:footer="1006" w:gutter="0"/>
          <w:cols w:space="720" w:num="1"/>
        </w:sectPr>
      </w:pPr>
    </w:p>
    <w:p w14:paraId="17D7D8FC">
      <w:pPr>
        <w:pStyle w:val="2"/>
        <w:spacing w:line="319" w:lineRule="auto"/>
        <w:rPr>
          <w:highlight w:val="none"/>
        </w:rPr>
      </w:pPr>
    </w:p>
    <w:p w14:paraId="7BFB4668">
      <w:pPr>
        <w:pStyle w:val="2"/>
        <w:spacing w:line="320" w:lineRule="auto"/>
        <w:rPr>
          <w:highlight w:val="none"/>
        </w:rPr>
      </w:pPr>
    </w:p>
    <w:p w14:paraId="50D941C4">
      <w:pPr>
        <w:pStyle w:val="2"/>
        <w:spacing w:line="320" w:lineRule="auto"/>
        <w:rPr>
          <w:highlight w:val="none"/>
        </w:rPr>
      </w:pPr>
    </w:p>
    <w:p w14:paraId="185B701D">
      <w:pPr>
        <w:pStyle w:val="2"/>
        <w:spacing w:before="78" w:line="212" w:lineRule="auto"/>
        <w:ind w:left="3"/>
        <w:rPr>
          <w:sz w:val="24"/>
          <w:szCs w:val="24"/>
          <w:highlight w:val="none"/>
        </w:rPr>
      </w:pPr>
      <w:r>
        <w:rPr>
          <w:rFonts w:ascii="黑体" w:hAnsi="黑体" w:eastAsia="黑体" w:cs="黑体"/>
          <w:spacing w:val="-14"/>
          <w:sz w:val="24"/>
          <w:szCs w:val="24"/>
          <w:highlight w:val="none"/>
        </w:rPr>
        <w:t>15.6</w:t>
      </w:r>
      <w:r>
        <w:rPr>
          <w:rFonts w:ascii="黑体" w:hAnsi="黑体" w:eastAsia="黑体" w:cs="黑体"/>
          <w:spacing w:val="-24"/>
          <w:sz w:val="24"/>
          <w:szCs w:val="24"/>
          <w:highlight w:val="none"/>
        </w:rPr>
        <w:t xml:space="preserve"> </w:t>
      </w:r>
      <w:r>
        <w:rPr>
          <w:rFonts w:ascii="黑体" w:hAnsi="黑体" w:eastAsia="黑体" w:cs="黑体"/>
          <w:spacing w:val="-14"/>
          <w:sz w:val="24"/>
          <w:szCs w:val="24"/>
          <w:highlight w:val="none"/>
        </w:rPr>
        <w:t>暂估价 (</w:t>
      </w:r>
      <w:r>
        <w:rPr>
          <w:rFonts w:ascii="黑体" w:hAnsi="黑体" w:eastAsia="黑体" w:cs="黑体"/>
          <w:spacing w:val="-45"/>
          <w:sz w:val="24"/>
          <w:szCs w:val="24"/>
          <w:highlight w:val="none"/>
        </w:rPr>
        <w:t xml:space="preserve"> </w:t>
      </w:r>
      <w:r>
        <w:rPr>
          <w:spacing w:val="-14"/>
          <w:sz w:val="24"/>
          <w:szCs w:val="24"/>
          <w:highlight w:val="none"/>
        </w:rPr>
        <w:t>B)</w:t>
      </w:r>
    </w:p>
    <w:p w14:paraId="7CF1FB6C">
      <w:pPr>
        <w:spacing w:before="167" w:line="218" w:lineRule="auto"/>
        <w:ind w:left="403"/>
        <w:rPr>
          <w:rFonts w:ascii="宋体" w:hAnsi="宋体" w:eastAsia="宋体" w:cs="宋体"/>
          <w:sz w:val="20"/>
          <w:szCs w:val="20"/>
          <w:highlight w:val="none"/>
        </w:rPr>
      </w:pPr>
      <w:r>
        <w:rPr>
          <w:rFonts w:ascii="宋体" w:hAnsi="宋体" w:eastAsia="宋体" w:cs="宋体"/>
          <w:spacing w:val="8"/>
          <w:sz w:val="20"/>
          <w:szCs w:val="20"/>
          <w:highlight w:val="none"/>
        </w:rPr>
        <w:t>签约合同价包括暂估价的，按合同约定进行支付。</w:t>
      </w:r>
    </w:p>
    <w:p w14:paraId="0E8BD6F5">
      <w:pPr>
        <w:pStyle w:val="2"/>
        <w:spacing w:before="162" w:line="328" w:lineRule="exact"/>
        <w:ind w:left="3"/>
        <w:outlineLvl w:val="1"/>
        <w:rPr>
          <w:rFonts w:ascii="黑体" w:hAnsi="黑体" w:eastAsia="黑体" w:cs="黑体"/>
          <w:sz w:val="24"/>
          <w:szCs w:val="24"/>
          <w:highlight w:val="none"/>
        </w:rPr>
      </w:pPr>
      <w:bookmarkStart w:id="190" w:name="bookmark111"/>
      <w:bookmarkEnd w:id="190"/>
      <w:r>
        <w:rPr>
          <w:position w:val="1"/>
          <w:sz w:val="24"/>
          <w:szCs w:val="24"/>
          <w:highlight w:val="none"/>
        </w:rPr>
        <w:t xml:space="preserve">16. </w:t>
      </w:r>
      <w:r>
        <w:rPr>
          <w:rFonts w:ascii="黑体" w:hAnsi="黑体" w:eastAsia="黑体" w:cs="黑体"/>
          <w:position w:val="1"/>
          <w:sz w:val="24"/>
          <w:szCs w:val="24"/>
          <w:highlight w:val="none"/>
        </w:rPr>
        <w:t>价格调整</w:t>
      </w:r>
    </w:p>
    <w:p w14:paraId="31A09966">
      <w:pPr>
        <w:pStyle w:val="2"/>
        <w:spacing w:before="160" w:line="212" w:lineRule="auto"/>
        <w:ind w:left="3"/>
        <w:rPr>
          <w:sz w:val="24"/>
          <w:szCs w:val="24"/>
          <w:highlight w:val="none"/>
        </w:rPr>
      </w:pPr>
      <w:r>
        <w:rPr>
          <w:rFonts w:ascii="黑体" w:hAnsi="黑体" w:eastAsia="黑体" w:cs="黑体"/>
          <w:spacing w:val="2"/>
          <w:sz w:val="24"/>
          <w:szCs w:val="24"/>
          <w:highlight w:val="none"/>
        </w:rPr>
        <w:t>16.1物价波动引起的调整</w:t>
      </w:r>
      <w:r>
        <w:rPr>
          <w:rFonts w:ascii="黑体" w:hAnsi="黑体" w:eastAsia="黑体" w:cs="黑体"/>
          <w:spacing w:val="-8"/>
          <w:sz w:val="24"/>
          <w:szCs w:val="24"/>
          <w:highlight w:val="none"/>
        </w:rPr>
        <w:t xml:space="preserve"> </w:t>
      </w:r>
      <w:r>
        <w:rPr>
          <w:rFonts w:ascii="黑体" w:hAnsi="黑体" w:eastAsia="黑体" w:cs="黑体"/>
          <w:spacing w:val="2"/>
          <w:sz w:val="24"/>
          <w:szCs w:val="24"/>
          <w:highlight w:val="none"/>
        </w:rPr>
        <w:t>(</w:t>
      </w:r>
      <w:r>
        <w:rPr>
          <w:rFonts w:ascii="黑体" w:hAnsi="黑体" w:eastAsia="黑体" w:cs="黑体"/>
          <w:spacing w:val="-36"/>
          <w:sz w:val="24"/>
          <w:szCs w:val="24"/>
          <w:highlight w:val="none"/>
        </w:rPr>
        <w:t xml:space="preserve"> </w:t>
      </w:r>
      <w:r>
        <w:rPr>
          <w:spacing w:val="2"/>
          <w:sz w:val="24"/>
          <w:szCs w:val="24"/>
          <w:highlight w:val="none"/>
        </w:rPr>
        <w:t>A)</w:t>
      </w:r>
    </w:p>
    <w:p w14:paraId="014ECDAC">
      <w:pPr>
        <w:spacing w:before="157" w:line="218" w:lineRule="auto"/>
        <w:ind w:left="403"/>
        <w:rPr>
          <w:rFonts w:ascii="宋体" w:hAnsi="宋体" w:eastAsia="宋体" w:cs="宋体"/>
          <w:sz w:val="22"/>
          <w:szCs w:val="22"/>
          <w:highlight w:val="none"/>
        </w:rPr>
      </w:pPr>
      <w:r>
        <w:rPr>
          <w:rFonts w:ascii="宋体" w:hAnsi="宋体" w:eastAsia="宋体" w:cs="宋体"/>
          <w:spacing w:val="-10"/>
          <w:sz w:val="22"/>
          <w:szCs w:val="22"/>
          <w:highlight w:val="none"/>
        </w:rPr>
        <w:t>除专用合同条款另有约定外，因物价波动引起的价格调整按照本款约定处理。</w:t>
      </w:r>
    </w:p>
    <w:p w14:paraId="728E5217">
      <w:pPr>
        <w:spacing w:before="211" w:line="218" w:lineRule="auto"/>
        <w:ind w:left="403"/>
        <w:rPr>
          <w:rFonts w:ascii="宋体" w:hAnsi="宋体" w:eastAsia="宋体" w:cs="宋体"/>
          <w:sz w:val="22"/>
          <w:szCs w:val="22"/>
          <w:highlight w:val="none"/>
        </w:rPr>
      </w:pPr>
      <w:r>
        <w:rPr>
          <w:rFonts w:ascii="宋体" w:hAnsi="宋体" w:eastAsia="宋体" w:cs="宋体"/>
          <w:spacing w:val="-2"/>
          <w:sz w:val="22"/>
          <w:szCs w:val="22"/>
          <w:highlight w:val="none"/>
        </w:rPr>
        <w:t>16.1.1采用价格指数调整价格差额(适用于投标函附录约定了价格指数和权重的)</w:t>
      </w:r>
    </w:p>
    <w:p w14:paraId="5ED0F06B">
      <w:pPr>
        <w:spacing w:before="220" w:line="218" w:lineRule="auto"/>
        <w:ind w:left="403"/>
        <w:rPr>
          <w:rFonts w:ascii="宋体" w:hAnsi="宋体" w:eastAsia="宋体" w:cs="宋体"/>
          <w:sz w:val="22"/>
          <w:szCs w:val="22"/>
          <w:highlight w:val="none"/>
        </w:rPr>
      </w:pPr>
      <w:r>
        <w:rPr>
          <w:highlight w:val="none"/>
        </w:rPr>
        <w:fldChar w:fldCharType="begin"/>
      </w:r>
      <w:r>
        <w:rPr>
          <w:highlight w:val="none"/>
        </w:rPr>
        <w:instrText xml:space="preserve"> HYPERLINK "16.1.1.1" </w:instrText>
      </w:r>
      <w:r>
        <w:rPr>
          <w:highlight w:val="none"/>
        </w:rPr>
        <w:fldChar w:fldCharType="separate"/>
      </w:r>
      <w:r>
        <w:rPr>
          <w:rFonts w:ascii="Times New Roman" w:hAnsi="Times New Roman" w:eastAsia="Times New Roman" w:cs="Times New Roman"/>
          <w:spacing w:val="-4"/>
          <w:sz w:val="22"/>
          <w:szCs w:val="22"/>
          <w:highlight w:val="none"/>
        </w:rPr>
        <w:t>16.1.1.1</w:t>
      </w:r>
      <w:r>
        <w:rPr>
          <w:rFonts w:ascii="Times New Roman" w:hAnsi="Times New Roman" w:eastAsia="Times New Roman" w:cs="Times New Roman"/>
          <w:spacing w:val="-4"/>
          <w:sz w:val="22"/>
          <w:szCs w:val="22"/>
          <w:highlight w:val="none"/>
        </w:rPr>
        <w:fldChar w:fldCharType="end"/>
      </w:r>
      <w:r>
        <w:rPr>
          <w:rFonts w:ascii="Times New Roman" w:hAnsi="Times New Roman" w:eastAsia="Times New Roman" w:cs="Times New Roman"/>
          <w:spacing w:val="-4"/>
          <w:sz w:val="22"/>
          <w:szCs w:val="22"/>
          <w:highlight w:val="none"/>
        </w:rPr>
        <w:t xml:space="preserve">    </w:t>
      </w:r>
      <w:r>
        <w:rPr>
          <w:rFonts w:ascii="宋体" w:hAnsi="宋体" w:eastAsia="宋体" w:cs="宋体"/>
          <w:spacing w:val="-4"/>
          <w:sz w:val="22"/>
          <w:szCs w:val="22"/>
          <w:highlight w:val="none"/>
        </w:rPr>
        <w:t>价格调整公式</w:t>
      </w:r>
    </w:p>
    <w:p w14:paraId="44D0CBBB">
      <w:pPr>
        <w:spacing w:before="210" w:line="421" w:lineRule="auto"/>
        <w:ind w:left="3" w:right="23" w:firstLine="400"/>
        <w:rPr>
          <w:rFonts w:ascii="宋体" w:hAnsi="宋体" w:eastAsia="宋体" w:cs="宋体"/>
          <w:sz w:val="22"/>
          <w:szCs w:val="22"/>
          <w:highlight w:val="none"/>
        </w:rPr>
      </w:pPr>
      <w:r>
        <w:rPr>
          <w:rFonts w:ascii="宋体" w:hAnsi="宋体" w:eastAsia="宋体" w:cs="宋体"/>
          <w:spacing w:val="-12"/>
          <w:sz w:val="22"/>
          <w:szCs w:val="22"/>
          <w:highlight w:val="none"/>
        </w:rPr>
        <w:t>因人工、材料和设备等价格波动影响合同价格时，根据投标函附录中的价格指数和权重</w:t>
      </w:r>
      <w:r>
        <w:rPr>
          <w:rFonts w:ascii="宋体" w:hAnsi="宋体" w:eastAsia="宋体" w:cs="宋体"/>
          <w:spacing w:val="4"/>
          <w:sz w:val="22"/>
          <w:szCs w:val="22"/>
          <w:highlight w:val="none"/>
        </w:rPr>
        <w:t xml:space="preserve"> </w:t>
      </w:r>
      <w:r>
        <w:rPr>
          <w:rFonts w:ascii="宋体" w:hAnsi="宋体" w:eastAsia="宋体" w:cs="宋体"/>
          <w:spacing w:val="-12"/>
          <w:sz w:val="22"/>
          <w:szCs w:val="22"/>
          <w:highlight w:val="none"/>
        </w:rPr>
        <w:t>表约定的数据，按以下公式计算差额并调整合同价格。</w:t>
      </w:r>
    </w:p>
    <w:p w14:paraId="3E8BCDC2">
      <w:pPr>
        <w:spacing w:before="144" w:line="187" w:lineRule="auto"/>
        <w:ind w:left="2183"/>
        <w:rPr>
          <w:rFonts w:ascii="Times New Roman" w:hAnsi="Times New Roman" w:eastAsia="Times New Roman" w:cs="Times New Roman"/>
          <w:sz w:val="19"/>
          <w:szCs w:val="19"/>
          <w:highlight w:val="none"/>
        </w:rPr>
      </w:pPr>
      <w:r>
        <w:rPr>
          <w:rFonts w:ascii="Times New Roman" w:hAnsi="Times New Roman" w:eastAsia="Times New Roman" w:cs="Times New Roman"/>
          <w:spacing w:val="-1"/>
          <w:sz w:val="21"/>
          <w:szCs w:val="21"/>
          <w:highlight w:val="none"/>
        </w:rPr>
        <w:t xml:space="preserve">Ft1          </w:t>
      </w:r>
      <w:r>
        <w:rPr>
          <w:rFonts w:ascii="Times New Roman" w:hAnsi="Times New Roman" w:eastAsia="Times New Roman" w:cs="Times New Roman"/>
          <w:spacing w:val="-1"/>
          <w:sz w:val="19"/>
          <w:szCs w:val="19"/>
          <w:highlight w:val="none"/>
        </w:rPr>
        <w:t xml:space="preserve">Ft2          </w:t>
      </w:r>
      <w:r>
        <w:rPr>
          <w:rFonts w:ascii="Times New Roman" w:hAnsi="Times New Roman" w:eastAsia="Times New Roman" w:cs="Times New Roman"/>
          <w:spacing w:val="-1"/>
          <w:sz w:val="20"/>
          <w:szCs w:val="20"/>
          <w:highlight w:val="none"/>
        </w:rPr>
        <w:t xml:space="preserve">Ft3                   </w:t>
      </w:r>
      <w:r>
        <w:rPr>
          <w:rFonts w:ascii="Times New Roman" w:hAnsi="Times New Roman" w:eastAsia="Times New Roman" w:cs="Times New Roman"/>
          <w:spacing w:val="-1"/>
          <w:sz w:val="19"/>
          <w:szCs w:val="19"/>
          <w:highlight w:val="none"/>
        </w:rPr>
        <w:t>Ftn</w:t>
      </w:r>
    </w:p>
    <w:p w14:paraId="40073D7D">
      <w:pPr>
        <w:spacing w:before="220" w:line="212" w:lineRule="auto"/>
        <w:ind w:left="543"/>
        <w:rPr>
          <w:rFonts w:ascii="Times New Roman" w:hAnsi="Times New Roman" w:eastAsia="Times New Roman" w:cs="Times New Roman"/>
          <w:sz w:val="24"/>
          <w:szCs w:val="24"/>
          <w:highlight w:val="none"/>
        </w:rPr>
      </w:pPr>
      <w:r>
        <w:rPr>
          <w:rFonts w:ascii="宋体" w:hAnsi="宋体" w:eastAsia="宋体" w:cs="宋体"/>
          <w:spacing w:val="-1"/>
          <w:sz w:val="24"/>
          <w:szCs w:val="24"/>
          <w:highlight w:val="none"/>
        </w:rPr>
        <w:t>△</w:t>
      </w:r>
      <w:r>
        <w:rPr>
          <w:rFonts w:ascii="Times New Roman" w:hAnsi="Times New Roman" w:eastAsia="Times New Roman" w:cs="Times New Roman"/>
          <w:spacing w:val="-1"/>
          <w:sz w:val="24"/>
          <w:szCs w:val="24"/>
          <w:highlight w:val="none"/>
        </w:rPr>
        <w:t>P=P₀[A+{B₁×—+B₂×—+B₃×—+…+B×—}-1]</w:t>
      </w:r>
    </w:p>
    <w:p w14:paraId="3C0504AD">
      <w:pPr>
        <w:pStyle w:val="2"/>
        <w:spacing w:line="391" w:lineRule="auto"/>
        <w:rPr>
          <w:highlight w:val="none"/>
        </w:rPr>
      </w:pPr>
    </w:p>
    <w:p w14:paraId="7A11A51A">
      <w:pPr>
        <w:spacing w:before="52" w:line="188" w:lineRule="auto"/>
        <w:ind w:left="2193"/>
        <w:rPr>
          <w:rFonts w:ascii="Times New Roman" w:hAnsi="Times New Roman" w:eastAsia="Times New Roman" w:cs="Times New Roman"/>
          <w:sz w:val="18"/>
          <w:szCs w:val="18"/>
          <w:highlight w:val="none"/>
        </w:rPr>
      </w:pPr>
      <w:r>
        <w:rPr>
          <w:rFonts w:ascii="Times New Roman" w:hAnsi="Times New Roman" w:eastAsia="Times New Roman" w:cs="Times New Roman"/>
          <w:spacing w:val="-3"/>
          <w:sz w:val="18"/>
          <w:szCs w:val="18"/>
          <w:highlight w:val="none"/>
        </w:rPr>
        <w:t>Fo1</w:t>
      </w:r>
      <w:r>
        <w:rPr>
          <w:rFonts w:ascii="Times New Roman" w:hAnsi="Times New Roman" w:eastAsia="Times New Roman" w:cs="Times New Roman"/>
          <w:spacing w:val="3"/>
          <w:sz w:val="18"/>
          <w:szCs w:val="18"/>
          <w:highlight w:val="none"/>
        </w:rPr>
        <w:t xml:space="preserve">           </w:t>
      </w:r>
      <w:r>
        <w:rPr>
          <w:rFonts w:ascii="Times New Roman" w:hAnsi="Times New Roman" w:eastAsia="Times New Roman" w:cs="Times New Roman"/>
          <w:spacing w:val="-3"/>
          <w:sz w:val="18"/>
          <w:szCs w:val="18"/>
          <w:highlight w:val="none"/>
        </w:rPr>
        <w:t>Fo₂</w:t>
      </w:r>
      <w:r>
        <w:rPr>
          <w:rFonts w:ascii="Times New Roman" w:hAnsi="Times New Roman" w:eastAsia="Times New Roman" w:cs="Times New Roman"/>
          <w:sz w:val="18"/>
          <w:szCs w:val="18"/>
          <w:highlight w:val="none"/>
        </w:rPr>
        <w:t xml:space="preserve">           </w:t>
      </w:r>
      <w:r>
        <w:rPr>
          <w:rFonts w:ascii="Times New Roman" w:hAnsi="Times New Roman" w:eastAsia="Times New Roman" w:cs="Times New Roman"/>
          <w:spacing w:val="-3"/>
          <w:sz w:val="18"/>
          <w:szCs w:val="18"/>
          <w:highlight w:val="none"/>
        </w:rPr>
        <w:t>Fo3</w:t>
      </w:r>
      <w:r>
        <w:rPr>
          <w:rFonts w:ascii="Times New Roman" w:hAnsi="Times New Roman" w:eastAsia="Times New Roman" w:cs="Times New Roman"/>
          <w:spacing w:val="2"/>
          <w:sz w:val="18"/>
          <w:szCs w:val="18"/>
          <w:highlight w:val="none"/>
        </w:rPr>
        <w:t xml:space="preserve">                    </w:t>
      </w:r>
      <w:r>
        <w:rPr>
          <w:rFonts w:ascii="Times New Roman" w:hAnsi="Times New Roman" w:eastAsia="Times New Roman" w:cs="Times New Roman"/>
          <w:spacing w:val="-3"/>
          <w:sz w:val="18"/>
          <w:szCs w:val="18"/>
          <w:highlight w:val="none"/>
        </w:rPr>
        <w:t>Fo4</w:t>
      </w:r>
    </w:p>
    <w:p w14:paraId="313097DA">
      <w:pPr>
        <w:spacing w:before="281" w:line="218" w:lineRule="auto"/>
        <w:ind w:left="403"/>
        <w:rPr>
          <w:rFonts w:ascii="宋体" w:hAnsi="宋体" w:eastAsia="宋体" w:cs="宋体"/>
          <w:sz w:val="22"/>
          <w:szCs w:val="22"/>
          <w:highlight w:val="none"/>
        </w:rPr>
      </w:pPr>
      <w:r>
        <w:rPr>
          <w:rFonts w:ascii="宋体" w:hAnsi="宋体" w:eastAsia="宋体" w:cs="宋体"/>
          <w:spacing w:val="-11"/>
          <w:sz w:val="22"/>
          <w:szCs w:val="22"/>
          <w:highlight w:val="none"/>
        </w:rPr>
        <w:t>式中：△</w:t>
      </w:r>
      <w:r>
        <w:rPr>
          <w:rFonts w:ascii="Times New Roman" w:hAnsi="Times New Roman" w:eastAsia="Times New Roman" w:cs="Times New Roman"/>
          <w:spacing w:val="-11"/>
          <w:sz w:val="22"/>
          <w:szCs w:val="22"/>
          <w:highlight w:val="none"/>
        </w:rPr>
        <w:t>P---</w:t>
      </w:r>
      <w:r>
        <w:rPr>
          <w:rFonts w:ascii="Times New Roman" w:hAnsi="Times New Roman" w:eastAsia="Times New Roman" w:cs="Times New Roman"/>
          <w:spacing w:val="62"/>
          <w:sz w:val="22"/>
          <w:szCs w:val="22"/>
          <w:highlight w:val="none"/>
        </w:rPr>
        <w:t xml:space="preserve"> </w:t>
      </w:r>
      <w:r>
        <w:rPr>
          <w:rFonts w:ascii="宋体" w:hAnsi="宋体" w:eastAsia="宋体" w:cs="宋体"/>
          <w:spacing w:val="-11"/>
          <w:sz w:val="22"/>
          <w:szCs w:val="22"/>
          <w:highlight w:val="none"/>
        </w:rPr>
        <w:t>需调整的价格差额；</w:t>
      </w:r>
    </w:p>
    <w:p w14:paraId="29933DCE">
      <w:pPr>
        <w:spacing w:before="230" w:line="408" w:lineRule="auto"/>
        <w:ind w:left="3" w:right="17" w:firstLine="400"/>
        <w:rPr>
          <w:rFonts w:ascii="宋体" w:hAnsi="宋体" w:eastAsia="宋体" w:cs="宋体"/>
          <w:sz w:val="22"/>
          <w:szCs w:val="22"/>
          <w:highlight w:val="none"/>
        </w:rPr>
      </w:pPr>
      <w:r>
        <w:rPr>
          <w:rFonts w:ascii="Times New Roman" w:hAnsi="Times New Roman" w:eastAsia="Times New Roman" w:cs="Times New Roman"/>
          <w:spacing w:val="1"/>
          <w:sz w:val="22"/>
          <w:szCs w:val="22"/>
          <w:highlight w:val="none"/>
        </w:rPr>
        <w:t>P₀---</w:t>
      </w:r>
      <w:r>
        <w:rPr>
          <w:rFonts w:ascii="Times New Roman" w:hAnsi="Times New Roman" w:eastAsia="Times New Roman" w:cs="Times New Roman"/>
          <w:spacing w:val="50"/>
          <w:w w:val="101"/>
          <w:sz w:val="22"/>
          <w:szCs w:val="22"/>
          <w:highlight w:val="none"/>
        </w:rPr>
        <w:t xml:space="preserve"> </w:t>
      </w:r>
      <w:r>
        <w:rPr>
          <w:rFonts w:ascii="宋体" w:hAnsi="宋体" w:eastAsia="宋体" w:cs="宋体"/>
          <w:spacing w:val="1"/>
          <w:sz w:val="22"/>
          <w:szCs w:val="22"/>
          <w:highlight w:val="none"/>
        </w:rPr>
        <w:t>第17.3.4项、第17.5.2项和第17.6.</w:t>
      </w:r>
      <w:r>
        <w:rPr>
          <w:rFonts w:ascii="宋体" w:hAnsi="宋体" w:eastAsia="宋体" w:cs="宋体"/>
          <w:sz w:val="22"/>
          <w:szCs w:val="22"/>
          <w:highlight w:val="none"/>
        </w:rPr>
        <w:t xml:space="preserve">2 项约定的付款证书中承包人应得到的已 </w:t>
      </w:r>
      <w:r>
        <w:rPr>
          <w:rFonts w:ascii="宋体" w:hAnsi="宋体" w:eastAsia="宋体" w:cs="宋体"/>
          <w:spacing w:val="-12"/>
          <w:sz w:val="22"/>
          <w:szCs w:val="22"/>
          <w:highlight w:val="none"/>
        </w:rPr>
        <w:t>完成工作量的金额。此项金额应不包括价格调整、不计质量保证金的扣留和支付</w:t>
      </w:r>
      <w:r>
        <w:rPr>
          <w:rFonts w:ascii="宋体" w:hAnsi="宋体" w:eastAsia="宋体" w:cs="宋体"/>
          <w:spacing w:val="-13"/>
          <w:sz w:val="22"/>
          <w:szCs w:val="22"/>
          <w:highlight w:val="none"/>
        </w:rPr>
        <w:t>、预付款的</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支付和扣回。第15条约定的变更及其他金额已按当期价格计价的，也不计在</w:t>
      </w:r>
      <w:r>
        <w:rPr>
          <w:rFonts w:ascii="宋体" w:hAnsi="宋体" w:eastAsia="宋体" w:cs="宋体"/>
          <w:spacing w:val="-8"/>
          <w:sz w:val="22"/>
          <w:szCs w:val="22"/>
          <w:highlight w:val="none"/>
        </w:rPr>
        <w:t>内；</w:t>
      </w:r>
    </w:p>
    <w:p w14:paraId="44333D43">
      <w:pPr>
        <w:spacing w:before="13" w:line="219" w:lineRule="auto"/>
        <w:ind w:left="403"/>
        <w:rPr>
          <w:rFonts w:ascii="宋体" w:hAnsi="宋体" w:eastAsia="宋体" w:cs="宋体"/>
          <w:sz w:val="20"/>
          <w:szCs w:val="20"/>
          <w:highlight w:val="none"/>
        </w:rPr>
      </w:pPr>
      <w:r>
        <w:rPr>
          <w:rFonts w:ascii="Times New Roman" w:hAnsi="Times New Roman" w:eastAsia="Times New Roman" w:cs="Times New Roman"/>
          <w:spacing w:val="13"/>
          <w:sz w:val="20"/>
          <w:szCs w:val="20"/>
          <w:highlight w:val="none"/>
        </w:rPr>
        <w:t>A   ---</w:t>
      </w:r>
      <w:r>
        <w:rPr>
          <w:rFonts w:ascii="宋体" w:hAnsi="宋体" w:eastAsia="宋体" w:cs="宋体"/>
          <w:spacing w:val="13"/>
          <w:sz w:val="20"/>
          <w:szCs w:val="20"/>
          <w:highlight w:val="none"/>
        </w:rPr>
        <w:t>定值权重(即不调部分的权重);</w:t>
      </w:r>
    </w:p>
    <w:p w14:paraId="57FE2BEB">
      <w:pPr>
        <w:pStyle w:val="2"/>
        <w:spacing w:line="242" w:lineRule="auto"/>
        <w:rPr>
          <w:highlight w:val="none"/>
        </w:rPr>
      </w:pPr>
    </w:p>
    <w:p w14:paraId="094E866A">
      <w:pPr>
        <w:spacing w:before="66" w:line="505" w:lineRule="auto"/>
        <w:ind w:left="3" w:right="24" w:firstLine="400"/>
        <w:rPr>
          <w:rFonts w:ascii="宋体" w:hAnsi="宋体" w:eastAsia="宋体" w:cs="宋体"/>
          <w:sz w:val="20"/>
          <w:szCs w:val="20"/>
          <w:highlight w:val="none"/>
        </w:rPr>
      </w:pPr>
      <w:r>
        <w:rPr>
          <w:rFonts w:ascii="Times New Roman" w:hAnsi="Times New Roman" w:eastAsia="Times New Roman" w:cs="Times New Roman"/>
          <w:spacing w:val="10"/>
          <w:sz w:val="20"/>
          <w:szCs w:val="20"/>
          <w:highlight w:val="none"/>
        </w:rPr>
        <w:t xml:space="preserve">B1;B₂;B3;     </w:t>
      </w:r>
      <w:r>
        <w:rPr>
          <w:rFonts w:ascii="宋体" w:hAnsi="宋体" w:eastAsia="宋体" w:cs="宋体"/>
          <w:spacing w:val="10"/>
          <w:sz w:val="20"/>
          <w:szCs w:val="20"/>
          <w:highlight w:val="none"/>
        </w:rPr>
        <w:t>……</w:t>
      </w:r>
      <w:r>
        <w:rPr>
          <w:rFonts w:ascii="Times New Roman" w:hAnsi="Times New Roman" w:eastAsia="Times New Roman" w:cs="Times New Roman"/>
          <w:sz w:val="20"/>
          <w:szCs w:val="20"/>
          <w:highlight w:val="none"/>
        </w:rPr>
        <w:t>Bn</w:t>
      </w:r>
      <w:r>
        <w:rPr>
          <w:rFonts w:ascii="Times New Roman" w:hAnsi="Times New Roman" w:eastAsia="Times New Roman" w:cs="Times New Roman"/>
          <w:spacing w:val="10"/>
          <w:sz w:val="20"/>
          <w:szCs w:val="20"/>
          <w:highlight w:val="none"/>
        </w:rPr>
        <w:t>---</w:t>
      </w:r>
      <w:r>
        <w:rPr>
          <w:rFonts w:ascii="Times New Roman" w:hAnsi="Times New Roman" w:eastAsia="Times New Roman" w:cs="Times New Roman"/>
          <w:spacing w:val="13"/>
          <w:w w:val="101"/>
          <w:sz w:val="20"/>
          <w:szCs w:val="20"/>
          <w:highlight w:val="none"/>
        </w:rPr>
        <w:t xml:space="preserve">  </w:t>
      </w:r>
      <w:r>
        <w:rPr>
          <w:rFonts w:ascii="宋体" w:hAnsi="宋体" w:eastAsia="宋体" w:cs="宋体"/>
          <w:spacing w:val="10"/>
          <w:sz w:val="20"/>
          <w:szCs w:val="20"/>
          <w:highlight w:val="none"/>
        </w:rPr>
        <w:t>各可调因子的变值权重(即可调部分的权重)为各可调因子在投</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标函投标总报价中所占的比例；</w:t>
      </w:r>
    </w:p>
    <w:p w14:paraId="1BCE5EAF">
      <w:pPr>
        <w:spacing w:before="15" w:line="452" w:lineRule="auto"/>
        <w:ind w:left="3" w:right="15" w:firstLine="400"/>
        <w:rPr>
          <w:rFonts w:ascii="宋体" w:hAnsi="宋体" w:eastAsia="宋体" w:cs="宋体"/>
          <w:sz w:val="22"/>
          <w:szCs w:val="22"/>
          <w:highlight w:val="none"/>
        </w:rPr>
      </w:pPr>
      <w:r>
        <w:rPr>
          <w:rFonts w:ascii="Times New Roman" w:hAnsi="Times New Roman" w:eastAsia="Times New Roman" w:cs="Times New Roman"/>
          <w:spacing w:val="-2"/>
          <w:sz w:val="22"/>
          <w:szCs w:val="22"/>
          <w:highlight w:val="none"/>
        </w:rPr>
        <w:t xml:space="preserve">Ft1;F+2;Ft3;……Ftn-—-  </w:t>
      </w:r>
      <w:r>
        <w:rPr>
          <w:rFonts w:ascii="宋体" w:hAnsi="宋体" w:eastAsia="宋体" w:cs="宋体"/>
          <w:spacing w:val="-2"/>
          <w:sz w:val="22"/>
          <w:szCs w:val="22"/>
          <w:highlight w:val="none"/>
        </w:rPr>
        <w:t>各可调</w:t>
      </w:r>
      <w:r>
        <w:rPr>
          <w:rFonts w:ascii="宋体" w:hAnsi="宋体" w:eastAsia="宋体" w:cs="宋体"/>
          <w:spacing w:val="-3"/>
          <w:sz w:val="22"/>
          <w:szCs w:val="22"/>
          <w:highlight w:val="none"/>
        </w:rPr>
        <w:t>因子的当期价格指数，指第17.3.3 项、第17.5.2 项</w:t>
      </w:r>
      <w:r>
        <w:rPr>
          <w:rFonts w:ascii="宋体" w:hAnsi="宋体" w:eastAsia="宋体" w:cs="宋体"/>
          <w:sz w:val="22"/>
          <w:szCs w:val="22"/>
          <w:highlight w:val="none"/>
        </w:rPr>
        <w:t xml:space="preserve"> </w:t>
      </w:r>
      <w:r>
        <w:rPr>
          <w:rFonts w:ascii="宋体" w:hAnsi="宋体" w:eastAsia="宋体" w:cs="宋体"/>
          <w:spacing w:val="-5"/>
          <w:sz w:val="22"/>
          <w:szCs w:val="22"/>
          <w:highlight w:val="none"/>
        </w:rPr>
        <w:t>和第17.6.2 项约定的付款证书相关周期最后一天的前42天的各可调因子的价</w:t>
      </w:r>
      <w:r>
        <w:rPr>
          <w:rFonts w:ascii="宋体" w:hAnsi="宋体" w:eastAsia="宋体" w:cs="宋体"/>
          <w:spacing w:val="-6"/>
          <w:sz w:val="22"/>
          <w:szCs w:val="22"/>
          <w:highlight w:val="none"/>
        </w:rPr>
        <w:t>格指数；</w:t>
      </w:r>
    </w:p>
    <w:p w14:paraId="0E234526">
      <w:pPr>
        <w:spacing w:before="44" w:line="445" w:lineRule="auto"/>
        <w:ind w:left="3" w:right="24" w:firstLine="400"/>
        <w:rPr>
          <w:rFonts w:ascii="宋体" w:hAnsi="宋体" w:eastAsia="宋体" w:cs="宋体"/>
          <w:sz w:val="21"/>
          <w:szCs w:val="21"/>
          <w:highlight w:val="none"/>
        </w:rPr>
      </w:pPr>
      <w:r>
        <w:rPr>
          <w:rFonts w:ascii="Times New Roman" w:hAnsi="Times New Roman" w:eastAsia="Times New Roman" w:cs="Times New Roman"/>
          <w:sz w:val="21"/>
          <w:szCs w:val="21"/>
          <w:highlight w:val="none"/>
        </w:rPr>
        <w:t>Fo</w:t>
      </w:r>
      <w:r>
        <w:rPr>
          <w:rFonts w:ascii="Times New Roman" w:hAnsi="Times New Roman" w:eastAsia="Times New Roman" w:cs="Times New Roman"/>
          <w:spacing w:val="1"/>
          <w:sz w:val="21"/>
          <w:szCs w:val="21"/>
          <w:highlight w:val="none"/>
        </w:rPr>
        <w:t>1;</w:t>
      </w:r>
      <w:r>
        <w:rPr>
          <w:rFonts w:ascii="Times New Roman" w:hAnsi="Times New Roman" w:eastAsia="Times New Roman" w:cs="Times New Roman"/>
          <w:sz w:val="21"/>
          <w:szCs w:val="21"/>
          <w:highlight w:val="none"/>
        </w:rPr>
        <w:t>Fo</w:t>
      </w:r>
      <w:r>
        <w:rPr>
          <w:rFonts w:ascii="Times New Roman" w:hAnsi="Times New Roman" w:eastAsia="Times New Roman" w:cs="Times New Roman"/>
          <w:spacing w:val="1"/>
          <w:sz w:val="21"/>
          <w:szCs w:val="21"/>
          <w:highlight w:val="none"/>
        </w:rPr>
        <w:t>₂;</w:t>
      </w:r>
      <w:r>
        <w:rPr>
          <w:rFonts w:ascii="Times New Roman" w:hAnsi="Times New Roman" w:eastAsia="Times New Roman" w:cs="Times New Roman"/>
          <w:sz w:val="21"/>
          <w:szCs w:val="21"/>
          <w:highlight w:val="none"/>
        </w:rPr>
        <w:t>Fo</w:t>
      </w:r>
      <w:r>
        <w:rPr>
          <w:rFonts w:ascii="Times New Roman" w:hAnsi="Times New Roman" w:eastAsia="Times New Roman" w:cs="Times New Roman"/>
          <w:spacing w:val="1"/>
          <w:sz w:val="21"/>
          <w:szCs w:val="21"/>
          <w:highlight w:val="none"/>
        </w:rPr>
        <w:t>₃;……</w:t>
      </w:r>
      <w:r>
        <w:rPr>
          <w:rFonts w:ascii="Times New Roman" w:hAnsi="Times New Roman" w:eastAsia="Times New Roman" w:cs="Times New Roman"/>
          <w:sz w:val="21"/>
          <w:szCs w:val="21"/>
          <w:highlight w:val="none"/>
        </w:rPr>
        <w:t>Fon</w:t>
      </w:r>
      <w:r>
        <w:rPr>
          <w:rFonts w:ascii="Times New Roman" w:hAnsi="Times New Roman" w:eastAsia="Times New Roman" w:cs="Times New Roman"/>
          <w:spacing w:val="1"/>
          <w:sz w:val="21"/>
          <w:szCs w:val="21"/>
          <w:highlight w:val="none"/>
        </w:rPr>
        <w:t>——-</w:t>
      </w:r>
      <w:r>
        <w:rPr>
          <w:rFonts w:ascii="Times New Roman" w:hAnsi="Times New Roman" w:eastAsia="Times New Roman" w:cs="Times New Roman"/>
          <w:spacing w:val="50"/>
          <w:w w:val="101"/>
          <w:sz w:val="21"/>
          <w:szCs w:val="21"/>
          <w:highlight w:val="none"/>
        </w:rPr>
        <w:t xml:space="preserve"> </w:t>
      </w:r>
      <w:r>
        <w:rPr>
          <w:rFonts w:ascii="宋体" w:hAnsi="宋体" w:eastAsia="宋体" w:cs="宋体"/>
          <w:spacing w:val="1"/>
          <w:sz w:val="21"/>
          <w:szCs w:val="21"/>
          <w:highlight w:val="none"/>
        </w:rPr>
        <w:t>各可调因子的基本价格指数，指基准日期的各可调因子的价</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格指数。</w:t>
      </w:r>
    </w:p>
    <w:p w14:paraId="24DE33D1">
      <w:pPr>
        <w:spacing w:before="1" w:line="400" w:lineRule="auto"/>
        <w:ind w:left="3" w:right="24" w:firstLine="400"/>
        <w:jc w:val="both"/>
        <w:rPr>
          <w:rFonts w:ascii="宋体" w:hAnsi="宋体" w:eastAsia="宋体" w:cs="宋体"/>
          <w:sz w:val="22"/>
          <w:szCs w:val="22"/>
          <w:highlight w:val="none"/>
        </w:rPr>
      </w:pPr>
      <w:r>
        <w:rPr>
          <w:rFonts w:ascii="宋体" w:hAnsi="宋体" w:eastAsia="宋体" w:cs="宋体"/>
          <w:spacing w:val="-12"/>
          <w:sz w:val="22"/>
          <w:szCs w:val="22"/>
          <w:highlight w:val="none"/>
        </w:rPr>
        <w:t>以上价格调整公式中的各可调因子、定值和变值权重，以及基本价格指数及其来源在投</w:t>
      </w:r>
      <w:r>
        <w:rPr>
          <w:rFonts w:ascii="宋体" w:hAnsi="宋体" w:eastAsia="宋体" w:cs="宋体"/>
          <w:spacing w:val="3"/>
          <w:sz w:val="22"/>
          <w:szCs w:val="22"/>
          <w:highlight w:val="none"/>
        </w:rPr>
        <w:t xml:space="preserve"> </w:t>
      </w:r>
      <w:r>
        <w:rPr>
          <w:rFonts w:ascii="宋体" w:hAnsi="宋体" w:eastAsia="宋体" w:cs="宋体"/>
          <w:spacing w:val="-12"/>
          <w:sz w:val="22"/>
          <w:szCs w:val="22"/>
          <w:highlight w:val="none"/>
        </w:rPr>
        <w:t>标函附录价格指数和权重表中约定。价格指数应首先采用投</w:t>
      </w:r>
      <w:r>
        <w:rPr>
          <w:rFonts w:ascii="宋体" w:hAnsi="宋体" w:eastAsia="宋体" w:cs="宋体"/>
          <w:spacing w:val="-13"/>
          <w:sz w:val="22"/>
          <w:szCs w:val="22"/>
          <w:highlight w:val="none"/>
        </w:rPr>
        <w:t>标函附录中载明的有关部门提供</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的价格指数，缺乏上述价格指数时，可采用有</w:t>
      </w:r>
      <w:r>
        <w:rPr>
          <w:rFonts w:ascii="宋体" w:hAnsi="宋体" w:eastAsia="宋体" w:cs="宋体"/>
          <w:spacing w:val="-11"/>
          <w:sz w:val="22"/>
          <w:szCs w:val="22"/>
          <w:highlight w:val="none"/>
        </w:rPr>
        <w:t>关部门提供的价格代替。</w:t>
      </w:r>
    </w:p>
    <w:p w14:paraId="486E3CC5">
      <w:pPr>
        <w:spacing w:before="1" w:line="219" w:lineRule="auto"/>
        <w:ind w:left="403"/>
        <w:rPr>
          <w:rFonts w:ascii="宋体" w:hAnsi="宋体" w:eastAsia="宋体" w:cs="宋体"/>
          <w:sz w:val="22"/>
          <w:szCs w:val="22"/>
          <w:highlight w:val="none"/>
        </w:rPr>
      </w:pPr>
      <w:r>
        <w:rPr>
          <w:rFonts w:ascii="宋体" w:hAnsi="宋体" w:eastAsia="宋体" w:cs="宋体"/>
          <w:spacing w:val="-2"/>
          <w:sz w:val="22"/>
          <w:szCs w:val="22"/>
          <w:highlight w:val="none"/>
        </w:rPr>
        <w:t>16.1.1.2暂时确定调整差额</w:t>
      </w:r>
    </w:p>
    <w:p w14:paraId="2A3564E1">
      <w:pPr>
        <w:spacing w:before="226" w:line="218" w:lineRule="auto"/>
        <w:ind w:left="403"/>
        <w:rPr>
          <w:rFonts w:ascii="宋体" w:hAnsi="宋体" w:eastAsia="宋体" w:cs="宋体"/>
          <w:sz w:val="22"/>
          <w:szCs w:val="22"/>
          <w:highlight w:val="none"/>
        </w:rPr>
      </w:pPr>
      <w:r>
        <w:rPr>
          <w:rFonts w:ascii="宋体" w:hAnsi="宋体" w:eastAsia="宋体" w:cs="宋体"/>
          <w:spacing w:val="-13"/>
          <w:sz w:val="22"/>
          <w:szCs w:val="22"/>
          <w:highlight w:val="none"/>
        </w:rPr>
        <w:t>在计算调整差额时得不到当期价格指数的，可暂用上一次价格指数计算，并在以后的付</w:t>
      </w:r>
    </w:p>
    <w:p w14:paraId="32B5C0F7">
      <w:pPr>
        <w:spacing w:line="218" w:lineRule="auto"/>
        <w:rPr>
          <w:rFonts w:ascii="宋体" w:hAnsi="宋体" w:eastAsia="宋体" w:cs="宋体"/>
          <w:sz w:val="22"/>
          <w:szCs w:val="22"/>
          <w:highlight w:val="none"/>
        </w:rPr>
        <w:sectPr>
          <w:footerReference r:id="rId200" w:type="default"/>
          <w:pgSz w:w="11910" w:h="16840"/>
          <w:pgMar w:top="400" w:right="1786" w:bottom="1217" w:left="1786" w:header="0" w:footer="1013" w:gutter="0"/>
          <w:cols w:space="720" w:num="1"/>
        </w:sectPr>
      </w:pPr>
    </w:p>
    <w:p w14:paraId="532B5925">
      <w:pPr>
        <w:pStyle w:val="2"/>
        <w:spacing w:line="276" w:lineRule="auto"/>
        <w:rPr>
          <w:highlight w:val="none"/>
        </w:rPr>
      </w:pPr>
    </w:p>
    <w:p w14:paraId="4207F4BF">
      <w:pPr>
        <w:pStyle w:val="2"/>
        <w:spacing w:line="276" w:lineRule="auto"/>
        <w:rPr>
          <w:highlight w:val="none"/>
        </w:rPr>
      </w:pPr>
    </w:p>
    <w:p w14:paraId="3501092E">
      <w:pPr>
        <w:pStyle w:val="2"/>
        <w:spacing w:line="276" w:lineRule="auto"/>
        <w:rPr>
          <w:highlight w:val="none"/>
        </w:rPr>
      </w:pPr>
    </w:p>
    <w:p w14:paraId="1B5DE80F">
      <w:pPr>
        <w:pStyle w:val="2"/>
        <w:spacing w:line="276" w:lineRule="auto"/>
        <w:rPr>
          <w:highlight w:val="none"/>
        </w:rPr>
      </w:pPr>
    </w:p>
    <w:p w14:paraId="5C3477C7">
      <w:pPr>
        <w:spacing w:before="65" w:line="218" w:lineRule="auto"/>
        <w:rPr>
          <w:rFonts w:ascii="宋体" w:hAnsi="宋体" w:eastAsia="宋体" w:cs="宋体"/>
          <w:sz w:val="20"/>
          <w:szCs w:val="20"/>
          <w:highlight w:val="none"/>
        </w:rPr>
      </w:pPr>
      <w:r>
        <w:rPr>
          <w:rFonts w:ascii="宋体" w:hAnsi="宋体" w:eastAsia="宋体" w:cs="宋体"/>
          <w:spacing w:val="8"/>
          <w:sz w:val="20"/>
          <w:szCs w:val="20"/>
          <w:highlight w:val="none"/>
        </w:rPr>
        <w:t>款中再按实际价格指数进行调整。</w:t>
      </w:r>
    </w:p>
    <w:p w14:paraId="1D0CD9C3">
      <w:pPr>
        <w:spacing w:before="235" w:line="219" w:lineRule="auto"/>
        <w:ind w:left="420"/>
        <w:rPr>
          <w:rFonts w:ascii="宋体" w:hAnsi="宋体" w:eastAsia="宋体" w:cs="宋体"/>
          <w:sz w:val="20"/>
          <w:szCs w:val="20"/>
          <w:highlight w:val="none"/>
        </w:rPr>
      </w:pPr>
      <w:r>
        <w:rPr>
          <w:rFonts w:ascii="宋体" w:hAnsi="宋体" w:eastAsia="宋体" w:cs="宋体"/>
          <w:spacing w:val="8"/>
          <w:sz w:val="20"/>
          <w:szCs w:val="20"/>
          <w:highlight w:val="none"/>
        </w:rPr>
        <w:t>16.</w:t>
      </w:r>
      <w:r>
        <w:rPr>
          <w:rFonts w:ascii="宋体" w:hAnsi="宋体" w:eastAsia="宋体" w:cs="宋体"/>
          <w:spacing w:val="-56"/>
          <w:sz w:val="20"/>
          <w:szCs w:val="20"/>
          <w:highlight w:val="none"/>
        </w:rPr>
        <w:t xml:space="preserve"> </w:t>
      </w:r>
      <w:r>
        <w:rPr>
          <w:rFonts w:ascii="宋体" w:hAnsi="宋体" w:eastAsia="宋体" w:cs="宋体"/>
          <w:spacing w:val="8"/>
          <w:sz w:val="20"/>
          <w:szCs w:val="20"/>
          <w:highlight w:val="none"/>
        </w:rPr>
        <w:t>1.</w:t>
      </w:r>
      <w:r>
        <w:rPr>
          <w:rFonts w:ascii="宋体" w:hAnsi="宋体" w:eastAsia="宋体" w:cs="宋体"/>
          <w:spacing w:val="-59"/>
          <w:sz w:val="20"/>
          <w:szCs w:val="20"/>
          <w:highlight w:val="none"/>
        </w:rPr>
        <w:t xml:space="preserve"> </w:t>
      </w:r>
      <w:r>
        <w:rPr>
          <w:rFonts w:ascii="宋体" w:hAnsi="宋体" w:eastAsia="宋体" w:cs="宋体"/>
          <w:spacing w:val="8"/>
          <w:sz w:val="20"/>
          <w:szCs w:val="20"/>
          <w:highlight w:val="none"/>
        </w:rPr>
        <w:t>1.3权重的调整</w:t>
      </w:r>
    </w:p>
    <w:p w14:paraId="19BD60BB">
      <w:pPr>
        <w:spacing w:before="223" w:line="421" w:lineRule="auto"/>
        <w:ind w:right="2" w:firstLine="420"/>
        <w:rPr>
          <w:rFonts w:ascii="宋体" w:hAnsi="宋体" w:eastAsia="宋体" w:cs="宋体"/>
          <w:sz w:val="21"/>
          <w:szCs w:val="21"/>
          <w:highlight w:val="none"/>
        </w:rPr>
      </w:pPr>
      <w:r>
        <w:rPr>
          <w:rFonts w:ascii="宋体" w:hAnsi="宋体" w:eastAsia="宋体" w:cs="宋体"/>
          <w:spacing w:val="1"/>
          <w:sz w:val="21"/>
          <w:szCs w:val="21"/>
          <w:highlight w:val="none"/>
        </w:rPr>
        <w:t>按第15.1 款约定的变更导致原定合同中的权重不合理的，由监理人与承包人和发包人</w:t>
      </w:r>
      <w:r>
        <w:rPr>
          <w:rFonts w:ascii="宋体" w:hAnsi="宋体" w:eastAsia="宋体" w:cs="宋体"/>
          <w:spacing w:val="4"/>
          <w:sz w:val="21"/>
          <w:szCs w:val="21"/>
          <w:highlight w:val="none"/>
        </w:rPr>
        <w:t xml:space="preserve"> </w:t>
      </w:r>
      <w:r>
        <w:rPr>
          <w:rFonts w:ascii="宋体" w:hAnsi="宋体" w:eastAsia="宋体" w:cs="宋体"/>
          <w:spacing w:val="-5"/>
          <w:sz w:val="21"/>
          <w:szCs w:val="21"/>
          <w:highlight w:val="none"/>
        </w:rPr>
        <w:t>协商后进行调整。</w:t>
      </w:r>
    </w:p>
    <w:p w14:paraId="0761491A">
      <w:pPr>
        <w:spacing w:before="1" w:line="217" w:lineRule="auto"/>
        <w:ind w:left="420"/>
        <w:rPr>
          <w:rFonts w:ascii="宋体" w:hAnsi="宋体" w:eastAsia="宋体" w:cs="宋体"/>
          <w:sz w:val="22"/>
          <w:szCs w:val="22"/>
          <w:highlight w:val="none"/>
        </w:rPr>
      </w:pPr>
      <w:r>
        <w:rPr>
          <w:rFonts w:ascii="宋体" w:hAnsi="宋体" w:eastAsia="宋体" w:cs="宋体"/>
          <w:spacing w:val="-5"/>
          <w:sz w:val="22"/>
          <w:szCs w:val="22"/>
          <w:highlight w:val="none"/>
        </w:rPr>
        <w:t>16.1.1.4承包人引起的工期延误后的价格调整</w:t>
      </w:r>
    </w:p>
    <w:p w14:paraId="5EE7C72F">
      <w:pPr>
        <w:spacing w:before="211" w:line="399" w:lineRule="auto"/>
        <w:ind w:right="19" w:firstLine="420"/>
        <w:rPr>
          <w:rFonts w:ascii="宋体" w:hAnsi="宋体" w:eastAsia="宋体" w:cs="宋体"/>
          <w:sz w:val="22"/>
          <w:szCs w:val="22"/>
          <w:highlight w:val="none"/>
        </w:rPr>
      </w:pPr>
      <w:r>
        <w:rPr>
          <w:rFonts w:ascii="宋体" w:hAnsi="宋体" w:eastAsia="宋体" w:cs="宋体"/>
          <w:spacing w:val="-12"/>
          <w:sz w:val="22"/>
          <w:szCs w:val="22"/>
          <w:highlight w:val="none"/>
        </w:rPr>
        <w:t>由于承包人原因未在约定的工期内竣工的，则对原约定竣工日期后继续施工的</w:t>
      </w:r>
      <w:r>
        <w:rPr>
          <w:rFonts w:ascii="宋体" w:hAnsi="宋体" w:eastAsia="宋体" w:cs="宋体"/>
          <w:spacing w:val="-13"/>
          <w:sz w:val="22"/>
          <w:szCs w:val="22"/>
          <w:highlight w:val="none"/>
        </w:rPr>
        <w:t>工程，在</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使用第16.1.1.1目价格调整公式时，应采用原约定竣工日期与实际竣工日期的两个价格指</w:t>
      </w:r>
      <w:r>
        <w:rPr>
          <w:rFonts w:ascii="宋体" w:hAnsi="宋体" w:eastAsia="宋体" w:cs="宋体"/>
          <w:spacing w:val="1"/>
          <w:sz w:val="22"/>
          <w:szCs w:val="22"/>
          <w:highlight w:val="none"/>
        </w:rPr>
        <w:t xml:space="preserve"> </w:t>
      </w:r>
      <w:r>
        <w:rPr>
          <w:rFonts w:ascii="宋体" w:hAnsi="宋体" w:eastAsia="宋体" w:cs="宋体"/>
          <w:spacing w:val="-11"/>
          <w:sz w:val="22"/>
          <w:szCs w:val="22"/>
          <w:highlight w:val="none"/>
        </w:rPr>
        <w:t>数中较低的一个作为当期价格指数。</w:t>
      </w:r>
    </w:p>
    <w:p w14:paraId="13EA5339">
      <w:pPr>
        <w:spacing w:before="3" w:line="218" w:lineRule="auto"/>
        <w:ind w:left="420"/>
        <w:rPr>
          <w:rFonts w:ascii="宋体" w:hAnsi="宋体" w:eastAsia="宋体" w:cs="宋体"/>
          <w:sz w:val="22"/>
          <w:szCs w:val="22"/>
          <w:highlight w:val="none"/>
        </w:rPr>
      </w:pPr>
      <w:r>
        <w:rPr>
          <w:highlight w:val="none"/>
        </w:rPr>
        <w:fldChar w:fldCharType="begin"/>
      </w:r>
      <w:r>
        <w:rPr>
          <w:highlight w:val="none"/>
        </w:rPr>
        <w:instrText xml:space="preserve"> HYPERLINK "16.1.1.5" </w:instrText>
      </w:r>
      <w:r>
        <w:rPr>
          <w:highlight w:val="none"/>
        </w:rPr>
        <w:fldChar w:fldCharType="separate"/>
      </w:r>
      <w:r>
        <w:rPr>
          <w:rFonts w:ascii="Times New Roman" w:hAnsi="Times New Roman" w:eastAsia="Times New Roman" w:cs="Times New Roman"/>
          <w:spacing w:val="-6"/>
          <w:sz w:val="22"/>
          <w:szCs w:val="22"/>
          <w:highlight w:val="none"/>
        </w:rPr>
        <w:t>16.1.1.5</w:t>
      </w:r>
      <w:r>
        <w:rPr>
          <w:rFonts w:ascii="Times New Roman" w:hAnsi="Times New Roman" w:eastAsia="Times New Roman" w:cs="Times New Roman"/>
          <w:spacing w:val="-6"/>
          <w:sz w:val="22"/>
          <w:szCs w:val="22"/>
          <w:highlight w:val="none"/>
        </w:rPr>
        <w:fldChar w:fldCharType="end"/>
      </w:r>
      <w:r>
        <w:rPr>
          <w:rFonts w:ascii="Times New Roman" w:hAnsi="Times New Roman" w:eastAsia="Times New Roman" w:cs="Times New Roman"/>
          <w:spacing w:val="-6"/>
          <w:sz w:val="22"/>
          <w:szCs w:val="22"/>
          <w:highlight w:val="none"/>
        </w:rPr>
        <w:t xml:space="preserve">    </w:t>
      </w:r>
      <w:r>
        <w:rPr>
          <w:rFonts w:ascii="宋体" w:hAnsi="宋体" w:eastAsia="宋体" w:cs="宋体"/>
          <w:spacing w:val="-6"/>
          <w:sz w:val="22"/>
          <w:szCs w:val="22"/>
          <w:highlight w:val="none"/>
        </w:rPr>
        <w:t>发包人引起的工期延误后的价格调整</w:t>
      </w:r>
    </w:p>
    <w:p w14:paraId="687B8496">
      <w:pPr>
        <w:spacing w:before="230" w:line="422" w:lineRule="auto"/>
        <w:ind w:right="19" w:firstLine="420"/>
        <w:rPr>
          <w:rFonts w:ascii="宋体" w:hAnsi="宋体" w:eastAsia="宋体" w:cs="宋体"/>
          <w:sz w:val="21"/>
          <w:szCs w:val="21"/>
          <w:highlight w:val="none"/>
        </w:rPr>
      </w:pPr>
      <w:r>
        <w:rPr>
          <w:rFonts w:ascii="宋体" w:hAnsi="宋体" w:eastAsia="宋体" w:cs="宋体"/>
          <w:spacing w:val="-2"/>
          <w:sz w:val="21"/>
          <w:szCs w:val="21"/>
          <w:highlight w:val="none"/>
        </w:rPr>
        <w:t>由于发包人原因未在约定的工期内竣工的，则对原约定竣工日期后继续施工的</w:t>
      </w:r>
      <w:r>
        <w:rPr>
          <w:rFonts w:ascii="宋体" w:hAnsi="宋体" w:eastAsia="宋体" w:cs="宋体"/>
          <w:spacing w:val="-3"/>
          <w:sz w:val="21"/>
          <w:szCs w:val="21"/>
          <w:highlight w:val="none"/>
        </w:rPr>
        <w:t>工程，在</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 xml:space="preserve">使用第16.1.1.1目价格调整公式时，应采用原约定竣工日期与实际竣工日期的两个价格指 </w:t>
      </w:r>
      <w:r>
        <w:rPr>
          <w:rFonts w:ascii="宋体" w:hAnsi="宋体" w:eastAsia="宋体" w:cs="宋体"/>
          <w:spacing w:val="-3"/>
          <w:sz w:val="21"/>
          <w:szCs w:val="21"/>
          <w:highlight w:val="none"/>
        </w:rPr>
        <w:t>数中较高的一个作为当期价格指数。</w:t>
      </w:r>
    </w:p>
    <w:p w14:paraId="052010F7">
      <w:pPr>
        <w:spacing w:before="1" w:line="217"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16.1.1采用造价信息调整价格差额(适用于投标函附录没</w:t>
      </w:r>
      <w:r>
        <w:rPr>
          <w:rFonts w:ascii="宋体" w:hAnsi="宋体" w:eastAsia="宋体" w:cs="宋体"/>
          <w:spacing w:val="-3"/>
          <w:sz w:val="22"/>
          <w:szCs w:val="22"/>
          <w:highlight w:val="none"/>
        </w:rPr>
        <w:t>有约定价格指数和权重的)</w:t>
      </w:r>
    </w:p>
    <w:p w14:paraId="66E282DA">
      <w:pPr>
        <w:spacing w:before="230" w:line="416" w:lineRule="auto"/>
        <w:ind w:right="6" w:firstLine="420"/>
        <w:rPr>
          <w:rFonts w:ascii="宋体" w:hAnsi="宋体" w:eastAsia="宋体" w:cs="宋体"/>
          <w:sz w:val="21"/>
          <w:szCs w:val="21"/>
          <w:highlight w:val="none"/>
        </w:rPr>
      </w:pPr>
      <w:r>
        <w:rPr>
          <w:rFonts w:ascii="宋体" w:hAnsi="宋体" w:eastAsia="宋体" w:cs="宋体"/>
          <w:spacing w:val="-2"/>
          <w:sz w:val="21"/>
          <w:szCs w:val="21"/>
          <w:highlight w:val="none"/>
        </w:rPr>
        <w:t>合同工期内，因人工、材料、设备和机械台班价格波动影响合同价格时，人</w:t>
      </w:r>
      <w:r>
        <w:rPr>
          <w:rFonts w:ascii="宋体" w:hAnsi="宋体" w:eastAsia="宋体" w:cs="宋体"/>
          <w:spacing w:val="-3"/>
          <w:sz w:val="21"/>
          <w:szCs w:val="21"/>
          <w:highlight w:val="none"/>
        </w:rPr>
        <w:t>工、机械使</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用费按照国家或省、自治区、直辖市建设行政管理部门、行业建设管理部门或其授权的工程</w:t>
      </w:r>
      <w:r>
        <w:rPr>
          <w:rFonts w:ascii="宋体" w:hAnsi="宋体" w:eastAsia="宋体" w:cs="宋体"/>
          <w:spacing w:val="16"/>
          <w:sz w:val="21"/>
          <w:szCs w:val="21"/>
          <w:highlight w:val="none"/>
        </w:rPr>
        <w:t xml:space="preserve"> </w:t>
      </w:r>
      <w:r>
        <w:rPr>
          <w:rFonts w:ascii="宋体" w:hAnsi="宋体" w:eastAsia="宋体" w:cs="宋体"/>
          <w:spacing w:val="-2"/>
          <w:sz w:val="21"/>
          <w:szCs w:val="21"/>
          <w:highlight w:val="none"/>
        </w:rPr>
        <w:t>造价管理机构发布的人工成本信息、机械台班单价或机械使用费系数进行调整；需要进</w:t>
      </w:r>
      <w:r>
        <w:rPr>
          <w:rFonts w:ascii="宋体" w:hAnsi="宋体" w:eastAsia="宋体" w:cs="宋体"/>
          <w:spacing w:val="-3"/>
          <w:sz w:val="21"/>
          <w:szCs w:val="21"/>
          <w:highlight w:val="none"/>
        </w:rPr>
        <w:t>行价</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格调整的材料，其单价和采购数应由监理人复核，监理人确认需调整的材料单价及数量，作</w:t>
      </w:r>
      <w:r>
        <w:rPr>
          <w:rFonts w:ascii="宋体" w:hAnsi="宋体" w:eastAsia="宋体" w:cs="宋体"/>
          <w:spacing w:val="2"/>
          <w:sz w:val="21"/>
          <w:szCs w:val="21"/>
          <w:highlight w:val="none"/>
        </w:rPr>
        <w:t xml:space="preserve"> </w:t>
      </w:r>
      <w:r>
        <w:rPr>
          <w:rFonts w:ascii="宋体" w:hAnsi="宋体" w:eastAsia="宋体" w:cs="宋体"/>
          <w:spacing w:val="-3"/>
          <w:sz w:val="21"/>
          <w:szCs w:val="21"/>
          <w:highlight w:val="none"/>
        </w:rPr>
        <w:t>为调整合同价格差额的依据。</w:t>
      </w:r>
    </w:p>
    <w:p w14:paraId="72E91137">
      <w:pPr>
        <w:pStyle w:val="2"/>
        <w:spacing w:before="51" w:line="212" w:lineRule="auto"/>
        <w:rPr>
          <w:sz w:val="24"/>
          <w:szCs w:val="24"/>
          <w:highlight w:val="none"/>
        </w:rPr>
      </w:pPr>
      <w:r>
        <w:rPr>
          <w:rFonts w:ascii="黑体" w:hAnsi="黑体" w:eastAsia="黑体" w:cs="黑体"/>
          <w:spacing w:val="2"/>
          <w:sz w:val="24"/>
          <w:szCs w:val="24"/>
          <w:highlight w:val="none"/>
        </w:rPr>
        <w:t>16.1物价波动引起的调整 (</w:t>
      </w:r>
      <w:r>
        <w:rPr>
          <w:spacing w:val="2"/>
          <w:sz w:val="24"/>
          <w:szCs w:val="24"/>
          <w:highlight w:val="none"/>
        </w:rPr>
        <w:t>B)</w:t>
      </w:r>
    </w:p>
    <w:p w14:paraId="4B794DB6">
      <w:pPr>
        <w:spacing w:before="177" w:line="218" w:lineRule="auto"/>
        <w:ind w:left="420"/>
        <w:rPr>
          <w:rFonts w:ascii="宋体" w:hAnsi="宋体" w:eastAsia="宋体" w:cs="宋体"/>
          <w:sz w:val="20"/>
          <w:szCs w:val="20"/>
          <w:highlight w:val="none"/>
        </w:rPr>
      </w:pPr>
      <w:r>
        <w:rPr>
          <w:rFonts w:ascii="宋体" w:hAnsi="宋体" w:eastAsia="宋体" w:cs="宋体"/>
          <w:spacing w:val="10"/>
          <w:sz w:val="20"/>
          <w:szCs w:val="20"/>
          <w:highlight w:val="none"/>
        </w:rPr>
        <w:t>除法律规定或专用合同条款另有约定外，合同价格</w:t>
      </w:r>
      <w:r>
        <w:rPr>
          <w:rFonts w:ascii="宋体" w:hAnsi="宋体" w:eastAsia="宋体" w:cs="宋体"/>
          <w:spacing w:val="9"/>
          <w:sz w:val="20"/>
          <w:szCs w:val="20"/>
          <w:highlight w:val="none"/>
        </w:rPr>
        <w:t>不因物价波动进行调整。</w:t>
      </w:r>
    </w:p>
    <w:p w14:paraId="7BFBC637">
      <w:pPr>
        <w:spacing w:before="306" w:line="222" w:lineRule="auto"/>
        <w:rPr>
          <w:rFonts w:ascii="黑体" w:hAnsi="黑体" w:eastAsia="黑体" w:cs="黑体"/>
          <w:sz w:val="24"/>
          <w:szCs w:val="24"/>
          <w:highlight w:val="none"/>
        </w:rPr>
      </w:pPr>
      <w:r>
        <w:rPr>
          <w:rFonts w:ascii="黑体" w:hAnsi="黑体" w:eastAsia="黑体" w:cs="黑体"/>
          <w:spacing w:val="6"/>
          <w:sz w:val="24"/>
          <w:szCs w:val="24"/>
          <w:highlight w:val="none"/>
        </w:rPr>
        <w:t>16.2法律变化引起的调整</w:t>
      </w:r>
    </w:p>
    <w:p w14:paraId="2CD787A5">
      <w:pPr>
        <w:spacing w:before="132" w:line="410" w:lineRule="auto"/>
        <w:ind w:right="19" w:firstLine="420"/>
        <w:jc w:val="both"/>
        <w:rPr>
          <w:rFonts w:ascii="宋体" w:hAnsi="宋体" w:eastAsia="宋体" w:cs="宋体"/>
          <w:sz w:val="21"/>
          <w:szCs w:val="21"/>
          <w:highlight w:val="none"/>
        </w:rPr>
      </w:pPr>
      <w:r>
        <w:rPr>
          <w:rFonts w:ascii="宋体" w:hAnsi="宋体" w:eastAsia="宋体" w:cs="宋体"/>
          <w:spacing w:val="1"/>
          <w:sz w:val="21"/>
          <w:szCs w:val="21"/>
          <w:highlight w:val="none"/>
        </w:rPr>
        <w:t>在基准日后，因法律变化导致承包人在合同履行中所需费用发</w:t>
      </w:r>
      <w:r>
        <w:rPr>
          <w:rFonts w:ascii="宋体" w:hAnsi="宋体" w:eastAsia="宋体" w:cs="宋体"/>
          <w:sz w:val="21"/>
          <w:szCs w:val="21"/>
          <w:highlight w:val="none"/>
        </w:rPr>
        <w:t xml:space="preserve">生除第16.1 款约定以外 </w:t>
      </w:r>
      <w:r>
        <w:rPr>
          <w:rFonts w:ascii="宋体" w:hAnsi="宋体" w:eastAsia="宋体" w:cs="宋体"/>
          <w:spacing w:val="1"/>
          <w:sz w:val="21"/>
          <w:szCs w:val="21"/>
          <w:highlight w:val="none"/>
        </w:rPr>
        <w:t>的增减时，监理人应根据法律、国家或省、自治区、直辖市有</w:t>
      </w:r>
      <w:r>
        <w:rPr>
          <w:rFonts w:ascii="宋体" w:hAnsi="宋体" w:eastAsia="宋体" w:cs="宋体"/>
          <w:sz w:val="21"/>
          <w:szCs w:val="21"/>
          <w:highlight w:val="none"/>
        </w:rPr>
        <w:t xml:space="preserve">关部门的规定，按第3.5款商 </w:t>
      </w:r>
      <w:r>
        <w:rPr>
          <w:rFonts w:ascii="宋体" w:hAnsi="宋体" w:eastAsia="宋体" w:cs="宋体"/>
          <w:spacing w:val="-4"/>
          <w:sz w:val="21"/>
          <w:szCs w:val="21"/>
          <w:highlight w:val="none"/>
        </w:rPr>
        <w:t>定或确定需调整的合同价格。</w:t>
      </w:r>
    </w:p>
    <w:p w14:paraId="6446CB5B">
      <w:pPr>
        <w:pStyle w:val="2"/>
        <w:spacing w:before="1" w:line="221" w:lineRule="auto"/>
        <w:outlineLvl w:val="1"/>
        <w:rPr>
          <w:rFonts w:ascii="黑体" w:hAnsi="黑体" w:eastAsia="黑体" w:cs="黑体"/>
          <w:sz w:val="24"/>
          <w:szCs w:val="24"/>
          <w:highlight w:val="none"/>
        </w:rPr>
      </w:pPr>
      <w:bookmarkStart w:id="191" w:name="bookmark112"/>
      <w:bookmarkEnd w:id="191"/>
      <w:r>
        <w:rPr>
          <w:sz w:val="24"/>
          <w:szCs w:val="24"/>
          <w:highlight w:val="none"/>
        </w:rPr>
        <w:t xml:space="preserve">17. </w:t>
      </w:r>
      <w:r>
        <w:rPr>
          <w:rFonts w:ascii="黑体" w:hAnsi="黑体" w:eastAsia="黑体" w:cs="黑体"/>
          <w:sz w:val="24"/>
          <w:szCs w:val="24"/>
          <w:highlight w:val="none"/>
        </w:rPr>
        <w:t>合同价格与支付</w:t>
      </w:r>
    </w:p>
    <w:p w14:paraId="0443D458">
      <w:pPr>
        <w:spacing w:before="182" w:line="222" w:lineRule="auto"/>
        <w:rPr>
          <w:rFonts w:ascii="黑体" w:hAnsi="黑体" w:eastAsia="黑体" w:cs="黑体"/>
          <w:sz w:val="24"/>
          <w:szCs w:val="24"/>
          <w:highlight w:val="none"/>
        </w:rPr>
      </w:pPr>
      <w:r>
        <w:rPr>
          <w:rFonts w:ascii="黑体" w:hAnsi="黑体" w:eastAsia="黑体" w:cs="黑体"/>
          <w:spacing w:val="9"/>
          <w:sz w:val="24"/>
          <w:szCs w:val="24"/>
          <w:highlight w:val="none"/>
        </w:rPr>
        <w:t>17.1合同价格</w:t>
      </w:r>
    </w:p>
    <w:p w14:paraId="546063E2">
      <w:pPr>
        <w:spacing w:before="132" w:line="219" w:lineRule="auto"/>
        <w:ind w:left="420"/>
        <w:rPr>
          <w:rFonts w:ascii="宋体" w:hAnsi="宋体" w:eastAsia="宋体" w:cs="宋体"/>
          <w:sz w:val="22"/>
          <w:szCs w:val="22"/>
          <w:highlight w:val="none"/>
        </w:rPr>
      </w:pPr>
      <w:r>
        <w:rPr>
          <w:rFonts w:ascii="宋体" w:hAnsi="宋体" w:eastAsia="宋体" w:cs="宋体"/>
          <w:spacing w:val="-13"/>
          <w:sz w:val="22"/>
          <w:szCs w:val="22"/>
          <w:highlight w:val="none"/>
        </w:rPr>
        <w:t>除专用合同条款另有约定外，</w:t>
      </w:r>
    </w:p>
    <w:p w14:paraId="126433D1">
      <w:pPr>
        <w:spacing w:before="217" w:line="218"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(1)合同价格包括签约合同价以及按照合同</w:t>
      </w:r>
      <w:r>
        <w:rPr>
          <w:rFonts w:ascii="宋体" w:hAnsi="宋体" w:eastAsia="宋体" w:cs="宋体"/>
          <w:spacing w:val="-8"/>
          <w:sz w:val="22"/>
          <w:szCs w:val="22"/>
          <w:highlight w:val="none"/>
        </w:rPr>
        <w:t>约定进行的调整；</w:t>
      </w:r>
    </w:p>
    <w:p w14:paraId="0937BF9F">
      <w:pPr>
        <w:spacing w:before="229" w:line="218" w:lineRule="auto"/>
        <w:ind w:left="529"/>
        <w:rPr>
          <w:rFonts w:ascii="宋体" w:hAnsi="宋体" w:eastAsia="宋体" w:cs="宋体"/>
          <w:sz w:val="20"/>
          <w:szCs w:val="20"/>
          <w:highlight w:val="none"/>
        </w:rPr>
      </w:pPr>
      <w:r>
        <w:rPr>
          <w:rFonts w:ascii="宋体" w:hAnsi="宋体" w:eastAsia="宋体" w:cs="宋体"/>
          <w:spacing w:val="12"/>
          <w:sz w:val="20"/>
          <w:szCs w:val="20"/>
          <w:highlight w:val="none"/>
        </w:rPr>
        <w:t>(2)合同价格包括承包人依据法律规定或合同约定应支付</w:t>
      </w:r>
      <w:r>
        <w:rPr>
          <w:rFonts w:ascii="宋体" w:hAnsi="宋体" w:eastAsia="宋体" w:cs="宋体"/>
          <w:spacing w:val="11"/>
          <w:sz w:val="20"/>
          <w:szCs w:val="20"/>
          <w:highlight w:val="none"/>
        </w:rPr>
        <w:t>的规费和税金；</w:t>
      </w:r>
    </w:p>
    <w:p w14:paraId="11E605D2">
      <w:pPr>
        <w:spacing w:line="218" w:lineRule="auto"/>
        <w:rPr>
          <w:rFonts w:ascii="宋体" w:hAnsi="宋体" w:eastAsia="宋体" w:cs="宋体"/>
          <w:sz w:val="20"/>
          <w:szCs w:val="20"/>
          <w:highlight w:val="none"/>
        </w:rPr>
        <w:sectPr>
          <w:footerReference r:id="rId201" w:type="default"/>
          <w:pgSz w:w="11910" w:h="16840"/>
          <w:pgMar w:top="400" w:right="1786" w:bottom="1217" w:left="1779" w:header="0" w:footer="1013" w:gutter="0"/>
          <w:cols w:space="720" w:num="1"/>
        </w:sectPr>
      </w:pPr>
    </w:p>
    <w:p w14:paraId="35EF372A">
      <w:pPr>
        <w:pStyle w:val="2"/>
        <w:spacing w:line="275" w:lineRule="auto"/>
        <w:rPr>
          <w:highlight w:val="none"/>
        </w:rPr>
      </w:pPr>
    </w:p>
    <w:p w14:paraId="5C9F1586">
      <w:pPr>
        <w:pStyle w:val="2"/>
        <w:spacing w:line="275" w:lineRule="auto"/>
        <w:rPr>
          <w:highlight w:val="none"/>
        </w:rPr>
      </w:pPr>
    </w:p>
    <w:p w14:paraId="79D46C43">
      <w:pPr>
        <w:pStyle w:val="2"/>
        <w:spacing w:line="276" w:lineRule="auto"/>
        <w:rPr>
          <w:highlight w:val="none"/>
        </w:rPr>
      </w:pPr>
    </w:p>
    <w:p w14:paraId="69CE81EC">
      <w:pPr>
        <w:pStyle w:val="2"/>
        <w:spacing w:line="276" w:lineRule="auto"/>
        <w:rPr>
          <w:highlight w:val="none"/>
        </w:rPr>
      </w:pPr>
    </w:p>
    <w:p w14:paraId="5269AF56">
      <w:pPr>
        <w:spacing w:before="68" w:line="415" w:lineRule="auto"/>
        <w:ind w:right="98" w:firstLine="529"/>
        <w:jc w:val="both"/>
        <w:rPr>
          <w:rFonts w:ascii="宋体" w:hAnsi="宋体" w:eastAsia="宋体" w:cs="宋体"/>
          <w:sz w:val="21"/>
          <w:szCs w:val="21"/>
          <w:highlight w:val="none"/>
        </w:rPr>
      </w:pPr>
      <w:bookmarkStart w:id="192" w:name="bookmark279"/>
      <w:bookmarkEnd w:id="192"/>
      <w:r>
        <w:rPr>
          <w:rFonts w:ascii="宋体" w:hAnsi="宋体" w:eastAsia="宋体" w:cs="宋体"/>
          <w:spacing w:val="3"/>
          <w:sz w:val="21"/>
          <w:szCs w:val="21"/>
          <w:highlight w:val="none"/>
        </w:rPr>
        <w:t>(3)价格清单列出的任何数量仅为估算的工作量，不得将其视为要求承包人实施的工</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程的实际或准确的工作量。在价格清单中列出的任何工作量和价格数</w:t>
      </w:r>
      <w:r>
        <w:rPr>
          <w:rFonts w:ascii="宋体" w:hAnsi="宋体" w:eastAsia="宋体" w:cs="宋体"/>
          <w:spacing w:val="-3"/>
          <w:sz w:val="21"/>
          <w:szCs w:val="21"/>
          <w:highlight w:val="none"/>
        </w:rPr>
        <w:t>据应仅限用于变更和支</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付的参考资料，而不能用于其他目的。</w:t>
      </w:r>
    </w:p>
    <w:p w14:paraId="1DBA692A">
      <w:pPr>
        <w:spacing w:before="15" w:line="413" w:lineRule="auto"/>
        <w:ind w:right="96" w:firstLine="420"/>
        <w:rPr>
          <w:rFonts w:ascii="宋体" w:hAnsi="宋体" w:eastAsia="宋体" w:cs="宋体"/>
          <w:sz w:val="21"/>
          <w:szCs w:val="21"/>
          <w:highlight w:val="none"/>
        </w:rPr>
      </w:pPr>
      <w:r>
        <w:rPr>
          <w:rFonts w:ascii="宋体" w:hAnsi="宋体" w:eastAsia="宋体" w:cs="宋体"/>
          <w:spacing w:val="-2"/>
          <w:sz w:val="21"/>
          <w:szCs w:val="21"/>
          <w:highlight w:val="none"/>
        </w:rPr>
        <w:t>合同约定工程的某部分按照实际完成的工程量进行支付的，</w:t>
      </w:r>
      <w:r>
        <w:rPr>
          <w:rFonts w:ascii="宋体" w:hAnsi="宋体" w:eastAsia="宋体" w:cs="宋体"/>
          <w:spacing w:val="-3"/>
          <w:sz w:val="21"/>
          <w:szCs w:val="21"/>
          <w:highlight w:val="none"/>
        </w:rPr>
        <w:t>应按照专用合同条款的约定</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进行计量和估价，并据此调整合同价格。</w:t>
      </w:r>
    </w:p>
    <w:p w14:paraId="40ECD935">
      <w:pPr>
        <w:spacing w:before="78" w:line="222" w:lineRule="auto"/>
        <w:rPr>
          <w:rFonts w:ascii="黑体" w:hAnsi="黑体" w:eastAsia="黑体" w:cs="黑体"/>
          <w:sz w:val="22"/>
          <w:szCs w:val="22"/>
          <w:highlight w:val="none"/>
        </w:rPr>
      </w:pPr>
      <w:r>
        <w:rPr>
          <w:rFonts w:ascii="黑体" w:hAnsi="黑体" w:eastAsia="黑体" w:cs="黑体"/>
          <w:spacing w:val="-6"/>
          <w:sz w:val="22"/>
          <w:szCs w:val="22"/>
          <w:highlight w:val="none"/>
        </w:rPr>
        <w:t>17.2</w:t>
      </w:r>
      <w:r>
        <w:rPr>
          <w:rFonts w:ascii="黑体" w:hAnsi="黑体" w:eastAsia="黑体" w:cs="黑体"/>
          <w:spacing w:val="-29"/>
          <w:sz w:val="22"/>
          <w:szCs w:val="22"/>
          <w:highlight w:val="none"/>
        </w:rPr>
        <w:t xml:space="preserve"> </w:t>
      </w:r>
      <w:r>
        <w:rPr>
          <w:rFonts w:ascii="黑体" w:hAnsi="黑体" w:eastAsia="黑体" w:cs="黑体"/>
          <w:spacing w:val="-6"/>
          <w:sz w:val="22"/>
          <w:szCs w:val="22"/>
          <w:highlight w:val="none"/>
        </w:rPr>
        <w:t>预</w:t>
      </w:r>
      <w:r>
        <w:rPr>
          <w:rFonts w:ascii="黑体" w:hAnsi="黑体" w:eastAsia="黑体" w:cs="黑体"/>
          <w:spacing w:val="-31"/>
          <w:sz w:val="22"/>
          <w:szCs w:val="22"/>
          <w:highlight w:val="none"/>
        </w:rPr>
        <w:t xml:space="preserve"> </w:t>
      </w:r>
      <w:r>
        <w:rPr>
          <w:rFonts w:ascii="黑体" w:hAnsi="黑体" w:eastAsia="黑体" w:cs="黑体"/>
          <w:spacing w:val="-6"/>
          <w:sz w:val="22"/>
          <w:szCs w:val="22"/>
          <w:highlight w:val="none"/>
        </w:rPr>
        <w:t>付</w:t>
      </w:r>
      <w:r>
        <w:rPr>
          <w:rFonts w:ascii="黑体" w:hAnsi="黑体" w:eastAsia="黑体" w:cs="黑体"/>
          <w:spacing w:val="-33"/>
          <w:sz w:val="22"/>
          <w:szCs w:val="22"/>
          <w:highlight w:val="none"/>
        </w:rPr>
        <w:t xml:space="preserve"> </w:t>
      </w:r>
      <w:r>
        <w:rPr>
          <w:rFonts w:ascii="黑体" w:hAnsi="黑体" w:eastAsia="黑体" w:cs="黑体"/>
          <w:spacing w:val="-6"/>
          <w:sz w:val="22"/>
          <w:szCs w:val="22"/>
          <w:highlight w:val="none"/>
        </w:rPr>
        <w:t>款</w:t>
      </w:r>
    </w:p>
    <w:p w14:paraId="333C77F4">
      <w:pPr>
        <w:spacing w:before="127" w:line="219" w:lineRule="auto"/>
        <w:ind w:left="42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17.2.1</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4"/>
          <w:sz w:val="22"/>
          <w:szCs w:val="22"/>
          <w:highlight w:val="none"/>
        </w:rPr>
        <w:t>预付款</w:t>
      </w:r>
    </w:p>
    <w:p w14:paraId="4F177CDC">
      <w:pPr>
        <w:spacing w:before="208" w:line="405" w:lineRule="auto"/>
        <w:ind w:right="92" w:firstLine="420"/>
        <w:rPr>
          <w:rFonts w:ascii="宋体" w:hAnsi="宋体" w:eastAsia="宋体" w:cs="宋体"/>
          <w:sz w:val="22"/>
          <w:szCs w:val="22"/>
          <w:highlight w:val="none"/>
        </w:rPr>
      </w:pPr>
      <w:r>
        <w:rPr>
          <w:rFonts w:ascii="宋体" w:hAnsi="宋体" w:eastAsia="宋体" w:cs="宋体"/>
          <w:spacing w:val="-12"/>
          <w:sz w:val="22"/>
          <w:szCs w:val="22"/>
          <w:highlight w:val="none"/>
        </w:rPr>
        <w:t>预付款用于承包人为合同工程的设计和工程实施</w:t>
      </w:r>
      <w:r>
        <w:rPr>
          <w:rFonts w:ascii="宋体" w:hAnsi="宋体" w:eastAsia="宋体" w:cs="宋体"/>
          <w:spacing w:val="-13"/>
          <w:sz w:val="22"/>
          <w:szCs w:val="22"/>
          <w:highlight w:val="none"/>
        </w:rPr>
        <w:t>购置材料、工程设备、施工设备、修建</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临时设施以及组织施工队伍进场等。预付款的额度和支付在专用合同条款中约定。</w:t>
      </w:r>
      <w:r>
        <w:rPr>
          <w:rFonts w:ascii="宋体" w:hAnsi="宋体" w:eastAsia="宋体" w:cs="宋体"/>
          <w:spacing w:val="-13"/>
          <w:sz w:val="22"/>
          <w:szCs w:val="22"/>
          <w:highlight w:val="none"/>
        </w:rPr>
        <w:t>预付款必</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须专用于合同工作。</w:t>
      </w:r>
    </w:p>
    <w:p w14:paraId="5A646B78">
      <w:pPr>
        <w:spacing w:before="3" w:line="219" w:lineRule="auto"/>
        <w:ind w:left="42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17.2.2</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6"/>
          <w:sz w:val="22"/>
          <w:szCs w:val="22"/>
          <w:highlight w:val="none"/>
        </w:rPr>
        <w:t>预付款保函</w:t>
      </w:r>
    </w:p>
    <w:p w14:paraId="5122958A">
      <w:pPr>
        <w:spacing w:before="198" w:line="414" w:lineRule="auto"/>
        <w:ind w:right="39" w:firstLine="420"/>
        <w:rPr>
          <w:rFonts w:ascii="宋体" w:hAnsi="宋体" w:eastAsia="宋体" w:cs="宋体"/>
          <w:sz w:val="22"/>
          <w:szCs w:val="22"/>
          <w:highlight w:val="none"/>
        </w:rPr>
      </w:pPr>
      <w:r>
        <w:rPr>
          <w:rFonts w:ascii="宋体" w:hAnsi="宋体" w:eastAsia="宋体" w:cs="宋体"/>
          <w:spacing w:val="-11"/>
          <w:sz w:val="22"/>
          <w:szCs w:val="22"/>
          <w:highlight w:val="none"/>
        </w:rPr>
        <w:t>除专用合同条款另有约定外，承包人应在收到预付款的同时向发包人提交预付款保函，</w:t>
      </w:r>
      <w:r>
        <w:rPr>
          <w:rFonts w:ascii="宋体" w:hAnsi="宋体" w:eastAsia="宋体" w:cs="宋体"/>
          <w:spacing w:val="7"/>
          <w:sz w:val="22"/>
          <w:szCs w:val="22"/>
          <w:highlight w:val="none"/>
        </w:rPr>
        <w:t xml:space="preserve"> </w:t>
      </w:r>
      <w:r>
        <w:rPr>
          <w:rFonts w:ascii="宋体" w:hAnsi="宋体" w:eastAsia="宋体" w:cs="宋体"/>
          <w:spacing w:val="-12"/>
          <w:sz w:val="22"/>
          <w:szCs w:val="22"/>
          <w:highlight w:val="none"/>
        </w:rPr>
        <w:t>预付款保函的担保金额应与预付款金额相同。保函的担保金额可</w:t>
      </w:r>
      <w:r>
        <w:rPr>
          <w:rFonts w:ascii="宋体" w:hAnsi="宋体" w:eastAsia="宋体" w:cs="宋体"/>
          <w:spacing w:val="-13"/>
          <w:sz w:val="22"/>
          <w:szCs w:val="22"/>
          <w:highlight w:val="none"/>
        </w:rPr>
        <w:t>根据预付款扣回的金额相应</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递减。</w:t>
      </w:r>
    </w:p>
    <w:p w14:paraId="72FECE52">
      <w:pPr>
        <w:spacing w:line="219" w:lineRule="auto"/>
        <w:ind w:left="420"/>
        <w:rPr>
          <w:rFonts w:ascii="宋体" w:hAnsi="宋体" w:eastAsia="宋体" w:cs="宋体"/>
          <w:sz w:val="20"/>
          <w:szCs w:val="20"/>
          <w:highlight w:val="none"/>
        </w:rPr>
      </w:pPr>
      <w:r>
        <w:rPr>
          <w:rFonts w:ascii="Times New Roman" w:hAnsi="Times New Roman" w:eastAsia="Times New Roman" w:cs="Times New Roman"/>
          <w:spacing w:val="3"/>
          <w:sz w:val="20"/>
          <w:szCs w:val="20"/>
          <w:highlight w:val="none"/>
        </w:rPr>
        <w:t>17.2.3</w:t>
      </w:r>
      <w:r>
        <w:rPr>
          <w:rFonts w:ascii="Times New Roman" w:hAnsi="Times New Roman" w:eastAsia="Times New Roman" w:cs="Times New Roman"/>
          <w:spacing w:val="2"/>
          <w:sz w:val="20"/>
          <w:szCs w:val="20"/>
          <w:highlight w:val="none"/>
        </w:rPr>
        <w:t xml:space="preserve">     </w:t>
      </w:r>
      <w:r>
        <w:rPr>
          <w:rFonts w:ascii="宋体" w:hAnsi="宋体" w:eastAsia="宋体" w:cs="宋体"/>
          <w:spacing w:val="3"/>
          <w:sz w:val="20"/>
          <w:szCs w:val="20"/>
          <w:highlight w:val="none"/>
        </w:rPr>
        <w:t>预付款的扣回与还清</w:t>
      </w:r>
    </w:p>
    <w:p w14:paraId="44CC642F">
      <w:pPr>
        <w:spacing w:before="221" w:line="424" w:lineRule="auto"/>
        <w:ind w:right="45" w:firstLine="420"/>
        <w:rPr>
          <w:rFonts w:ascii="宋体" w:hAnsi="宋体" w:eastAsia="宋体" w:cs="宋体"/>
          <w:sz w:val="21"/>
          <w:szCs w:val="21"/>
          <w:highlight w:val="none"/>
        </w:rPr>
      </w:pPr>
      <w:r>
        <w:rPr>
          <w:rFonts w:ascii="宋体" w:hAnsi="宋体" w:eastAsia="宋体" w:cs="宋体"/>
          <w:spacing w:val="-1"/>
          <w:sz w:val="21"/>
          <w:szCs w:val="21"/>
          <w:highlight w:val="none"/>
        </w:rPr>
        <w:t>预付款在进度付款中扣回，扣回办法在专用合同条款中约定。在颁发工程接收证书前，</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由于不可抗力或其他原因解除合同时，预付款尚未扣清的，尚未</w:t>
      </w:r>
      <w:r>
        <w:rPr>
          <w:rFonts w:ascii="宋体" w:hAnsi="宋体" w:eastAsia="宋体" w:cs="宋体"/>
          <w:spacing w:val="-3"/>
          <w:sz w:val="21"/>
          <w:szCs w:val="21"/>
          <w:highlight w:val="none"/>
        </w:rPr>
        <w:t>扣清的预付款余额应作为承</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包人的到期应付款。</w:t>
      </w:r>
    </w:p>
    <w:p w14:paraId="257D1F71">
      <w:pPr>
        <w:spacing w:before="45" w:line="222" w:lineRule="auto"/>
        <w:rPr>
          <w:rFonts w:ascii="黑体" w:hAnsi="黑体" w:eastAsia="黑体" w:cs="黑体"/>
          <w:sz w:val="24"/>
          <w:szCs w:val="24"/>
          <w:highlight w:val="none"/>
        </w:rPr>
      </w:pPr>
      <w:r>
        <w:rPr>
          <w:rFonts w:ascii="黑体" w:hAnsi="黑体" w:eastAsia="黑体" w:cs="黑体"/>
          <w:spacing w:val="8"/>
          <w:sz w:val="24"/>
          <w:szCs w:val="24"/>
          <w:highlight w:val="none"/>
        </w:rPr>
        <w:t>17.3工程进度付款</w:t>
      </w:r>
    </w:p>
    <w:p w14:paraId="538B62F4">
      <w:pPr>
        <w:spacing w:before="141" w:line="219" w:lineRule="auto"/>
        <w:ind w:left="420"/>
        <w:rPr>
          <w:rFonts w:ascii="宋体" w:hAnsi="宋体" w:eastAsia="宋体" w:cs="宋体"/>
          <w:sz w:val="20"/>
          <w:szCs w:val="20"/>
          <w:highlight w:val="none"/>
        </w:rPr>
      </w:pPr>
      <w:r>
        <w:rPr>
          <w:rFonts w:ascii="Times New Roman" w:hAnsi="Times New Roman" w:eastAsia="Times New Roman" w:cs="Times New Roman"/>
          <w:spacing w:val="3"/>
          <w:sz w:val="20"/>
          <w:szCs w:val="20"/>
          <w:highlight w:val="none"/>
        </w:rPr>
        <w:t>17.3.1</w:t>
      </w:r>
      <w:r>
        <w:rPr>
          <w:rFonts w:ascii="Times New Roman" w:hAnsi="Times New Roman" w:eastAsia="Times New Roman" w:cs="Times New Roman"/>
          <w:spacing w:val="7"/>
          <w:sz w:val="20"/>
          <w:szCs w:val="20"/>
          <w:highlight w:val="none"/>
        </w:rPr>
        <w:t xml:space="preserve">    </w:t>
      </w:r>
      <w:r>
        <w:rPr>
          <w:rFonts w:ascii="宋体" w:hAnsi="宋体" w:eastAsia="宋体" w:cs="宋体"/>
          <w:spacing w:val="3"/>
          <w:sz w:val="20"/>
          <w:szCs w:val="20"/>
          <w:highlight w:val="none"/>
        </w:rPr>
        <w:t>付款时间</w:t>
      </w:r>
    </w:p>
    <w:p w14:paraId="62A33394">
      <w:pPr>
        <w:spacing w:before="234" w:line="219" w:lineRule="auto"/>
        <w:ind w:left="420"/>
        <w:rPr>
          <w:rFonts w:ascii="宋体" w:hAnsi="宋体" w:eastAsia="宋体" w:cs="宋体"/>
          <w:sz w:val="22"/>
          <w:szCs w:val="22"/>
          <w:highlight w:val="none"/>
        </w:rPr>
      </w:pPr>
      <w:r>
        <w:rPr>
          <w:rFonts w:ascii="宋体" w:hAnsi="宋体" w:eastAsia="宋体" w:cs="宋体"/>
          <w:spacing w:val="-11"/>
          <w:sz w:val="22"/>
          <w:szCs w:val="22"/>
          <w:highlight w:val="none"/>
        </w:rPr>
        <w:t>除专用合同条款另有约定外，工程进度付款按月支付。</w:t>
      </w:r>
    </w:p>
    <w:p w14:paraId="5AA0044B">
      <w:pPr>
        <w:spacing w:before="219" w:line="219" w:lineRule="auto"/>
        <w:ind w:left="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17.3.2</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7"/>
          <w:sz w:val="22"/>
          <w:szCs w:val="22"/>
          <w:highlight w:val="none"/>
        </w:rPr>
        <w:t>支付分解表</w:t>
      </w:r>
    </w:p>
    <w:p w14:paraId="24C24D69">
      <w:pPr>
        <w:spacing w:before="209" w:line="399" w:lineRule="auto"/>
        <w:ind w:right="80" w:firstLine="420"/>
        <w:rPr>
          <w:rFonts w:ascii="宋体" w:hAnsi="宋体" w:eastAsia="宋体" w:cs="宋体"/>
          <w:sz w:val="22"/>
          <w:szCs w:val="22"/>
          <w:highlight w:val="none"/>
        </w:rPr>
      </w:pPr>
      <w:r>
        <w:rPr>
          <w:rFonts w:ascii="宋体" w:hAnsi="宋体" w:eastAsia="宋体" w:cs="宋体"/>
          <w:spacing w:val="-12"/>
          <w:sz w:val="22"/>
          <w:szCs w:val="22"/>
          <w:highlight w:val="none"/>
        </w:rPr>
        <w:t>除专用合同条款另有约定外，承包人应根据价格清单的价格构成、费用性质、计划发生</w:t>
      </w:r>
      <w:r>
        <w:rPr>
          <w:rFonts w:ascii="宋体" w:hAnsi="宋体" w:eastAsia="宋体" w:cs="宋体"/>
          <w:spacing w:val="4"/>
          <w:sz w:val="22"/>
          <w:szCs w:val="22"/>
          <w:highlight w:val="none"/>
        </w:rPr>
        <w:t xml:space="preserve"> </w:t>
      </w:r>
      <w:r>
        <w:rPr>
          <w:rFonts w:ascii="宋体" w:hAnsi="宋体" w:eastAsia="宋体" w:cs="宋体"/>
          <w:spacing w:val="-6"/>
          <w:sz w:val="22"/>
          <w:szCs w:val="22"/>
          <w:highlight w:val="none"/>
        </w:rPr>
        <w:t>时间和相应工作量等因素，按照以下分类和分解原</w:t>
      </w:r>
      <w:r>
        <w:rPr>
          <w:rFonts w:ascii="宋体" w:hAnsi="宋体" w:eastAsia="宋体" w:cs="宋体"/>
          <w:spacing w:val="-7"/>
          <w:sz w:val="22"/>
          <w:szCs w:val="22"/>
          <w:highlight w:val="none"/>
        </w:rPr>
        <w:t>则，结合第4.12.1项约定的合同进度计</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划，汇总形成月度支付分解报告。</w:t>
      </w:r>
    </w:p>
    <w:p w14:paraId="6C89D649">
      <w:pPr>
        <w:spacing w:before="12" w:line="219" w:lineRule="auto"/>
        <w:jc w:val="right"/>
        <w:rPr>
          <w:rFonts w:ascii="宋体" w:hAnsi="宋体" w:eastAsia="宋体" w:cs="宋体"/>
          <w:sz w:val="22"/>
          <w:szCs w:val="22"/>
          <w:highlight w:val="none"/>
        </w:rPr>
      </w:pPr>
      <w:r>
        <w:rPr>
          <w:rFonts w:ascii="宋体" w:hAnsi="宋体" w:eastAsia="宋体" w:cs="宋体"/>
          <w:spacing w:val="-9"/>
          <w:sz w:val="22"/>
          <w:szCs w:val="22"/>
          <w:highlight w:val="none"/>
        </w:rPr>
        <w:t>(1)勘察设计费。按照提供勘察设计阶段</w:t>
      </w:r>
      <w:r>
        <w:rPr>
          <w:rFonts w:ascii="宋体" w:hAnsi="宋体" w:eastAsia="宋体" w:cs="宋体"/>
          <w:spacing w:val="-10"/>
          <w:sz w:val="22"/>
          <w:szCs w:val="22"/>
          <w:highlight w:val="none"/>
        </w:rPr>
        <w:t>性成果文件的时间、对应的工作量进行分解。</w:t>
      </w:r>
    </w:p>
    <w:p w14:paraId="505105E3">
      <w:pPr>
        <w:spacing w:before="228" w:line="317" w:lineRule="auto"/>
        <w:ind w:right="98" w:firstLine="529"/>
        <w:rPr>
          <w:rFonts w:ascii="宋体" w:hAnsi="宋体" w:eastAsia="宋体" w:cs="宋体"/>
          <w:sz w:val="21"/>
          <w:szCs w:val="21"/>
          <w:highlight w:val="none"/>
        </w:rPr>
      </w:pPr>
      <w:r>
        <w:rPr>
          <w:rFonts w:ascii="宋体" w:hAnsi="宋体" w:eastAsia="宋体" w:cs="宋体"/>
          <w:spacing w:val="3"/>
          <w:sz w:val="21"/>
          <w:szCs w:val="21"/>
          <w:highlight w:val="none"/>
        </w:rPr>
        <w:t>(2)材料和工程设备费。分别按订立采购合同、进场验收合格、安装就位、工程竣工</w:t>
      </w:r>
      <w:r>
        <w:rPr>
          <w:rFonts w:ascii="宋体" w:hAnsi="宋体" w:eastAsia="宋体" w:cs="宋体"/>
          <w:spacing w:val="1"/>
          <w:sz w:val="21"/>
          <w:szCs w:val="21"/>
          <w:highlight w:val="none"/>
        </w:rPr>
        <w:t xml:space="preserve"> </w:t>
      </w:r>
      <w:r>
        <w:rPr>
          <w:rFonts w:ascii="宋体" w:hAnsi="宋体" w:eastAsia="宋体" w:cs="宋体"/>
          <w:spacing w:val="-3"/>
          <w:sz w:val="21"/>
          <w:szCs w:val="21"/>
          <w:highlight w:val="none"/>
        </w:rPr>
        <w:t>等阶段和专用条款约定的比例进行分解。</w:t>
      </w:r>
    </w:p>
    <w:p w14:paraId="3D9147B4">
      <w:pPr>
        <w:spacing w:before="229" w:line="218" w:lineRule="auto"/>
        <w:ind w:left="529"/>
        <w:rPr>
          <w:rFonts w:ascii="宋体" w:hAnsi="宋体" w:eastAsia="宋体" w:cs="宋体"/>
          <w:sz w:val="22"/>
          <w:szCs w:val="22"/>
          <w:highlight w:val="none"/>
        </w:rPr>
      </w:pPr>
      <w:r>
        <w:rPr>
          <w:rFonts w:ascii="宋体" w:hAnsi="宋体" w:eastAsia="宋体" w:cs="宋体"/>
          <w:spacing w:val="-5"/>
          <w:sz w:val="22"/>
          <w:szCs w:val="22"/>
          <w:highlight w:val="none"/>
        </w:rPr>
        <w:t>(3)技术服务培训费。按照价格清单中的单价，结合第4.1</w:t>
      </w:r>
      <w:r>
        <w:rPr>
          <w:rFonts w:ascii="宋体" w:hAnsi="宋体" w:eastAsia="宋体" w:cs="宋体"/>
          <w:spacing w:val="-6"/>
          <w:sz w:val="22"/>
          <w:szCs w:val="22"/>
          <w:highlight w:val="none"/>
        </w:rPr>
        <w:t>2.1项约定的合同进度计划</w:t>
      </w:r>
    </w:p>
    <w:p w14:paraId="2D6F1400">
      <w:pPr>
        <w:spacing w:line="218" w:lineRule="auto"/>
        <w:rPr>
          <w:rFonts w:ascii="宋体" w:hAnsi="宋体" w:eastAsia="宋体" w:cs="宋体"/>
          <w:sz w:val="22"/>
          <w:szCs w:val="22"/>
          <w:highlight w:val="none"/>
        </w:rPr>
        <w:sectPr>
          <w:footerReference r:id="rId202" w:type="default"/>
          <w:pgSz w:w="11910" w:h="16840"/>
          <w:pgMar w:top="400" w:right="1720" w:bottom="1238" w:left="1779" w:header="0" w:footer="1006" w:gutter="0"/>
          <w:cols w:space="720" w:num="1"/>
        </w:sectPr>
      </w:pPr>
    </w:p>
    <w:p w14:paraId="218147EA">
      <w:pPr>
        <w:pStyle w:val="2"/>
        <w:spacing w:line="270" w:lineRule="auto"/>
        <w:rPr>
          <w:highlight w:val="none"/>
        </w:rPr>
      </w:pPr>
    </w:p>
    <w:p w14:paraId="2B1FD0D9">
      <w:pPr>
        <w:pStyle w:val="2"/>
        <w:spacing w:line="270" w:lineRule="auto"/>
        <w:rPr>
          <w:highlight w:val="none"/>
        </w:rPr>
      </w:pPr>
    </w:p>
    <w:p w14:paraId="6E2A4A8C">
      <w:pPr>
        <w:pStyle w:val="2"/>
        <w:spacing w:line="270" w:lineRule="auto"/>
        <w:rPr>
          <w:highlight w:val="none"/>
        </w:rPr>
      </w:pPr>
    </w:p>
    <w:p w14:paraId="268494E6">
      <w:pPr>
        <w:pStyle w:val="2"/>
        <w:spacing w:line="271" w:lineRule="auto"/>
        <w:rPr>
          <w:highlight w:val="none"/>
        </w:rPr>
      </w:pPr>
    </w:p>
    <w:p w14:paraId="58342ED4">
      <w:pPr>
        <w:spacing w:before="72" w:line="220" w:lineRule="auto"/>
        <w:rPr>
          <w:rFonts w:ascii="宋体" w:hAnsi="宋体" w:eastAsia="宋体" w:cs="宋体"/>
          <w:sz w:val="22"/>
          <w:szCs w:val="22"/>
          <w:highlight w:val="none"/>
        </w:rPr>
      </w:pPr>
      <w:bookmarkStart w:id="193" w:name="bookmark280"/>
      <w:bookmarkEnd w:id="193"/>
      <w:r>
        <w:rPr>
          <w:rFonts w:ascii="宋体" w:hAnsi="宋体" w:eastAsia="宋体" w:cs="宋体"/>
          <w:spacing w:val="-11"/>
          <w:sz w:val="22"/>
          <w:szCs w:val="22"/>
          <w:highlight w:val="none"/>
        </w:rPr>
        <w:t>对应的工作量进行分解。</w:t>
      </w:r>
    </w:p>
    <w:p w14:paraId="47D3953B">
      <w:pPr>
        <w:spacing w:before="215" w:line="422" w:lineRule="auto"/>
        <w:ind w:firstLine="530"/>
        <w:rPr>
          <w:rFonts w:ascii="宋体" w:hAnsi="宋体" w:eastAsia="宋体" w:cs="宋体"/>
          <w:sz w:val="21"/>
          <w:szCs w:val="21"/>
          <w:highlight w:val="none"/>
        </w:rPr>
      </w:pPr>
      <w:r>
        <w:rPr>
          <w:rFonts w:ascii="宋体" w:hAnsi="宋体" w:eastAsia="宋体" w:cs="宋体"/>
          <w:spacing w:val="3"/>
          <w:sz w:val="21"/>
          <w:szCs w:val="21"/>
          <w:highlight w:val="none"/>
        </w:rPr>
        <w:t>(4)其他工程价款。除第17.1款约定按已完成工程量计量支付的工程价款外，按照价</w:t>
      </w:r>
      <w:r>
        <w:rPr>
          <w:rFonts w:ascii="宋体" w:hAnsi="宋体" w:eastAsia="宋体" w:cs="宋体"/>
          <w:spacing w:val="13"/>
          <w:sz w:val="21"/>
          <w:szCs w:val="21"/>
          <w:highlight w:val="none"/>
        </w:rPr>
        <w:t xml:space="preserve"> </w:t>
      </w:r>
      <w:r>
        <w:rPr>
          <w:rFonts w:ascii="宋体" w:hAnsi="宋体" w:eastAsia="宋体" w:cs="宋体"/>
          <w:sz w:val="21"/>
          <w:szCs w:val="21"/>
          <w:highlight w:val="none"/>
        </w:rPr>
        <w:t>格清单中的价格，结合第4.12.1项约定的合同进度计划拟完成的工程量或者比例进行分解。</w:t>
      </w:r>
    </w:p>
    <w:p w14:paraId="5B54E1A5">
      <w:pPr>
        <w:spacing w:before="4" w:line="389" w:lineRule="auto"/>
        <w:ind w:right="73" w:firstLine="440"/>
        <w:rPr>
          <w:rFonts w:ascii="宋体" w:hAnsi="宋体" w:eastAsia="宋体" w:cs="宋体"/>
          <w:sz w:val="22"/>
          <w:szCs w:val="22"/>
          <w:highlight w:val="none"/>
        </w:rPr>
      </w:pPr>
      <w:r>
        <w:rPr>
          <w:rFonts w:ascii="宋体" w:hAnsi="宋体" w:eastAsia="宋体" w:cs="宋体"/>
          <w:spacing w:val="-9"/>
          <w:sz w:val="22"/>
          <w:szCs w:val="22"/>
          <w:highlight w:val="none"/>
        </w:rPr>
        <w:t>承包人应当在收到经监理人批复的合同进度计</w:t>
      </w:r>
      <w:r>
        <w:rPr>
          <w:rFonts w:ascii="宋体" w:hAnsi="宋体" w:eastAsia="宋体" w:cs="宋体"/>
          <w:spacing w:val="-10"/>
          <w:sz w:val="22"/>
          <w:szCs w:val="22"/>
          <w:highlight w:val="none"/>
        </w:rPr>
        <w:t>划后7天内，将支付分解报告以及形成支</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付分解报告的支持性资料报监理人审批，监理人</w:t>
      </w:r>
      <w:r>
        <w:rPr>
          <w:rFonts w:ascii="宋体" w:hAnsi="宋体" w:eastAsia="宋体" w:cs="宋体"/>
          <w:spacing w:val="-10"/>
          <w:sz w:val="22"/>
          <w:szCs w:val="22"/>
          <w:highlight w:val="none"/>
        </w:rPr>
        <w:t>应当在收到承包人报送的支付分解报告后7</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天内给予批复或提出修改意见，经监理人批准的支付分解报告为有合同约束力的支付分解</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表。合同进度计划进行了修订的，应相应修改支付分解表，并按本目规定报监理人批复。</w:t>
      </w:r>
    </w:p>
    <w:p w14:paraId="33A7F73B">
      <w:pPr>
        <w:spacing w:before="43" w:line="219" w:lineRule="auto"/>
        <w:ind w:left="440"/>
        <w:rPr>
          <w:rFonts w:ascii="宋体" w:hAnsi="宋体" w:eastAsia="宋体" w:cs="宋体"/>
          <w:sz w:val="22"/>
          <w:szCs w:val="22"/>
          <w:highlight w:val="none"/>
        </w:rPr>
      </w:pPr>
      <w:r>
        <w:rPr>
          <w:rFonts w:ascii="宋体" w:hAnsi="宋体" w:eastAsia="宋体" w:cs="宋体"/>
          <w:spacing w:val="-1"/>
          <w:sz w:val="22"/>
          <w:szCs w:val="22"/>
          <w:highlight w:val="none"/>
        </w:rPr>
        <w:t>17.3.3进度付款申请单</w:t>
      </w:r>
    </w:p>
    <w:p w14:paraId="4B681D16">
      <w:pPr>
        <w:spacing w:before="217" w:line="422" w:lineRule="auto"/>
        <w:ind w:right="75" w:firstLine="440"/>
        <w:rPr>
          <w:rFonts w:ascii="宋体" w:hAnsi="宋体" w:eastAsia="宋体" w:cs="宋体"/>
          <w:sz w:val="21"/>
          <w:szCs w:val="21"/>
          <w:highlight w:val="none"/>
        </w:rPr>
      </w:pPr>
      <w:r>
        <w:rPr>
          <w:rFonts w:ascii="宋体" w:hAnsi="宋体" w:eastAsia="宋体" w:cs="宋体"/>
          <w:spacing w:val="-2"/>
          <w:sz w:val="21"/>
          <w:szCs w:val="21"/>
          <w:highlight w:val="none"/>
        </w:rPr>
        <w:t>承包人应在每笔进度款支付前，按监理人批准的</w:t>
      </w:r>
      <w:r>
        <w:rPr>
          <w:rFonts w:ascii="宋体" w:hAnsi="宋体" w:eastAsia="宋体" w:cs="宋体"/>
          <w:spacing w:val="-3"/>
          <w:sz w:val="21"/>
          <w:szCs w:val="21"/>
          <w:highlight w:val="none"/>
        </w:rPr>
        <w:t>格式和专用合同条款约定的份数，向监</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理人提交进度付款申请单，并附相应的支持性证明文件。除合同</w:t>
      </w:r>
      <w:r>
        <w:rPr>
          <w:rFonts w:ascii="宋体" w:hAnsi="宋体" w:eastAsia="宋体" w:cs="宋体"/>
          <w:spacing w:val="-3"/>
          <w:sz w:val="21"/>
          <w:szCs w:val="21"/>
          <w:highlight w:val="none"/>
        </w:rPr>
        <w:t>另有约定外，进度付款申请</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单应包括下列内容：</w:t>
      </w:r>
    </w:p>
    <w:p w14:paraId="31243F59">
      <w:pPr>
        <w:spacing w:line="340" w:lineRule="auto"/>
        <w:ind w:right="96" w:firstLine="530"/>
        <w:rPr>
          <w:rFonts w:ascii="宋体" w:hAnsi="宋体" w:eastAsia="宋体" w:cs="宋体"/>
          <w:sz w:val="20"/>
          <w:szCs w:val="20"/>
          <w:highlight w:val="none"/>
        </w:rPr>
      </w:pPr>
      <w:r>
        <w:rPr>
          <w:rFonts w:ascii="宋体" w:hAnsi="宋体" w:eastAsia="宋体" w:cs="宋体"/>
          <w:spacing w:val="13"/>
          <w:sz w:val="20"/>
          <w:szCs w:val="20"/>
          <w:highlight w:val="none"/>
        </w:rPr>
        <w:t>(1)当期应支付金额总额，以及截至当期期</w:t>
      </w:r>
      <w:r>
        <w:rPr>
          <w:rFonts w:ascii="宋体" w:hAnsi="宋体" w:eastAsia="宋体" w:cs="宋体"/>
          <w:spacing w:val="12"/>
          <w:sz w:val="20"/>
          <w:szCs w:val="20"/>
          <w:highlight w:val="none"/>
        </w:rPr>
        <w:t>末累计应支付金额总额、已支付的进度付</w:t>
      </w:r>
      <w:r>
        <w:rPr>
          <w:rFonts w:ascii="宋体" w:hAnsi="宋体" w:eastAsia="宋体" w:cs="宋体"/>
          <w:sz w:val="20"/>
          <w:szCs w:val="20"/>
          <w:highlight w:val="none"/>
        </w:rPr>
        <w:t xml:space="preserve"> 款金额总额；</w:t>
      </w:r>
    </w:p>
    <w:p w14:paraId="29558135">
      <w:pPr>
        <w:spacing w:before="234" w:line="219" w:lineRule="auto"/>
        <w:ind w:left="530"/>
        <w:rPr>
          <w:rFonts w:ascii="宋体" w:hAnsi="宋体" w:eastAsia="宋体" w:cs="宋体"/>
          <w:sz w:val="21"/>
          <w:szCs w:val="21"/>
          <w:highlight w:val="none"/>
        </w:rPr>
      </w:pPr>
      <w:r>
        <w:rPr>
          <w:rFonts w:ascii="宋体" w:hAnsi="宋体" w:eastAsia="宋体" w:cs="宋体"/>
          <w:spacing w:val="2"/>
          <w:sz w:val="21"/>
          <w:szCs w:val="21"/>
          <w:highlight w:val="none"/>
        </w:rPr>
        <w:t>(2)当期根据支付分解表应支付金额，以及截至当期期末累计应支付金额；</w:t>
      </w:r>
    </w:p>
    <w:p w14:paraId="15342280">
      <w:pPr>
        <w:spacing w:before="251" w:line="307" w:lineRule="auto"/>
        <w:ind w:right="56" w:firstLine="530"/>
        <w:rPr>
          <w:rFonts w:ascii="宋体" w:hAnsi="宋体" w:eastAsia="宋体" w:cs="宋体"/>
          <w:sz w:val="21"/>
          <w:szCs w:val="21"/>
          <w:highlight w:val="none"/>
        </w:rPr>
      </w:pPr>
      <w:r>
        <w:rPr>
          <w:rFonts w:ascii="宋体" w:hAnsi="宋体" w:eastAsia="宋体" w:cs="宋体"/>
          <w:spacing w:val="4"/>
          <w:sz w:val="21"/>
          <w:szCs w:val="21"/>
          <w:highlight w:val="none"/>
        </w:rPr>
        <w:t>(3)当期根据第17.1款约定计量的已实施工程应支付金额，以及截</w:t>
      </w:r>
      <w:r>
        <w:rPr>
          <w:rFonts w:ascii="宋体" w:hAnsi="宋体" w:eastAsia="宋体" w:cs="宋体"/>
          <w:spacing w:val="3"/>
          <w:sz w:val="21"/>
          <w:szCs w:val="21"/>
          <w:highlight w:val="none"/>
        </w:rPr>
        <w:t>至当期期末累计应</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支付金额；</w:t>
      </w:r>
    </w:p>
    <w:p w14:paraId="6A7B4631">
      <w:pPr>
        <w:spacing w:before="231" w:line="219" w:lineRule="auto"/>
        <w:ind w:left="530"/>
        <w:rPr>
          <w:rFonts w:ascii="宋体" w:hAnsi="宋体" w:eastAsia="宋体" w:cs="宋体"/>
          <w:sz w:val="21"/>
          <w:szCs w:val="21"/>
          <w:highlight w:val="none"/>
        </w:rPr>
      </w:pPr>
      <w:r>
        <w:rPr>
          <w:rFonts w:ascii="宋体" w:hAnsi="宋体" w:eastAsia="宋体" w:cs="宋体"/>
          <w:spacing w:val="5"/>
          <w:sz w:val="21"/>
          <w:szCs w:val="21"/>
          <w:highlight w:val="none"/>
        </w:rPr>
        <w:t>(4)当期根据第15条应增加和扣减的变更金额，以及截至当期期末累计变更金</w:t>
      </w:r>
      <w:r>
        <w:rPr>
          <w:rFonts w:ascii="宋体" w:hAnsi="宋体" w:eastAsia="宋体" w:cs="宋体"/>
          <w:spacing w:val="4"/>
          <w:sz w:val="21"/>
          <w:szCs w:val="21"/>
          <w:highlight w:val="none"/>
        </w:rPr>
        <w:t>额；</w:t>
      </w:r>
    </w:p>
    <w:p w14:paraId="0EE7BF24">
      <w:pPr>
        <w:spacing w:before="231" w:line="219" w:lineRule="auto"/>
        <w:ind w:left="530"/>
        <w:rPr>
          <w:rFonts w:ascii="宋体" w:hAnsi="宋体" w:eastAsia="宋体" w:cs="宋体"/>
          <w:sz w:val="21"/>
          <w:szCs w:val="21"/>
          <w:highlight w:val="none"/>
        </w:rPr>
      </w:pPr>
      <w:r>
        <w:rPr>
          <w:rFonts w:ascii="宋体" w:hAnsi="宋体" w:eastAsia="宋体" w:cs="宋体"/>
          <w:spacing w:val="4"/>
          <w:sz w:val="21"/>
          <w:szCs w:val="21"/>
          <w:highlight w:val="none"/>
        </w:rPr>
        <w:t>(5)当期根据第23</w:t>
      </w:r>
      <w:r>
        <w:rPr>
          <w:rFonts w:ascii="宋体" w:hAnsi="宋体" w:eastAsia="宋体" w:cs="宋体"/>
          <w:spacing w:val="-18"/>
          <w:sz w:val="21"/>
          <w:szCs w:val="21"/>
          <w:highlight w:val="none"/>
        </w:rPr>
        <w:t xml:space="preserve"> </w:t>
      </w:r>
      <w:r>
        <w:rPr>
          <w:rFonts w:ascii="宋体" w:hAnsi="宋体" w:eastAsia="宋体" w:cs="宋体"/>
          <w:spacing w:val="4"/>
          <w:sz w:val="21"/>
          <w:szCs w:val="21"/>
          <w:highlight w:val="none"/>
        </w:rPr>
        <w:t>条应增加和扣减的索赔金额，以及截至当期期末累计索赔金额；</w:t>
      </w:r>
    </w:p>
    <w:p w14:paraId="269914CC">
      <w:pPr>
        <w:spacing w:before="239" w:line="327" w:lineRule="auto"/>
        <w:ind w:right="86" w:firstLine="530"/>
        <w:rPr>
          <w:rFonts w:ascii="宋体" w:hAnsi="宋体" w:eastAsia="宋体" w:cs="宋体"/>
          <w:sz w:val="20"/>
          <w:szCs w:val="20"/>
          <w:highlight w:val="none"/>
        </w:rPr>
      </w:pPr>
      <w:r>
        <w:rPr>
          <w:rFonts w:ascii="宋体" w:hAnsi="宋体" w:eastAsia="宋体" w:cs="宋体"/>
          <w:spacing w:val="13"/>
          <w:sz w:val="20"/>
          <w:szCs w:val="20"/>
          <w:highlight w:val="none"/>
        </w:rPr>
        <w:t>(6)当期根据第17</w:t>
      </w:r>
      <w:r>
        <w:rPr>
          <w:rFonts w:ascii="宋体" w:hAnsi="宋体" w:eastAsia="宋体" w:cs="宋体"/>
          <w:spacing w:val="-56"/>
          <w:sz w:val="20"/>
          <w:szCs w:val="20"/>
          <w:highlight w:val="none"/>
        </w:rPr>
        <w:t xml:space="preserve"> </w:t>
      </w:r>
      <w:r>
        <w:rPr>
          <w:rFonts w:ascii="宋体" w:hAnsi="宋体" w:eastAsia="宋体" w:cs="宋体"/>
          <w:spacing w:val="13"/>
          <w:sz w:val="20"/>
          <w:szCs w:val="20"/>
          <w:highlight w:val="none"/>
        </w:rPr>
        <w:t>.</w:t>
      </w:r>
      <w:r>
        <w:rPr>
          <w:rFonts w:ascii="宋体" w:hAnsi="宋体" w:eastAsia="宋体" w:cs="宋体"/>
          <w:spacing w:val="-60"/>
          <w:sz w:val="20"/>
          <w:szCs w:val="20"/>
          <w:highlight w:val="none"/>
        </w:rPr>
        <w:t xml:space="preserve"> </w:t>
      </w:r>
      <w:r>
        <w:rPr>
          <w:rFonts w:ascii="宋体" w:hAnsi="宋体" w:eastAsia="宋体" w:cs="宋体"/>
          <w:spacing w:val="13"/>
          <w:sz w:val="20"/>
          <w:szCs w:val="20"/>
          <w:highlight w:val="none"/>
        </w:rPr>
        <w:t>2 款约定应支付的预付款</w:t>
      </w:r>
      <w:r>
        <w:rPr>
          <w:rFonts w:ascii="宋体" w:hAnsi="宋体" w:eastAsia="宋体" w:cs="宋体"/>
          <w:spacing w:val="12"/>
          <w:sz w:val="20"/>
          <w:szCs w:val="20"/>
          <w:highlight w:val="none"/>
        </w:rPr>
        <w:t>和扣减的返还预付款金额，以及截至当</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期期末累计返还预付款金额；</w:t>
      </w:r>
    </w:p>
    <w:p w14:paraId="6152145C">
      <w:pPr>
        <w:spacing w:before="242" w:line="321" w:lineRule="auto"/>
        <w:ind w:right="87" w:firstLine="530"/>
        <w:rPr>
          <w:rFonts w:ascii="宋体" w:hAnsi="宋体" w:eastAsia="宋体" w:cs="宋体"/>
          <w:sz w:val="21"/>
          <w:szCs w:val="21"/>
          <w:highlight w:val="none"/>
        </w:rPr>
      </w:pPr>
      <w:r>
        <w:rPr>
          <w:rFonts w:ascii="宋体" w:hAnsi="宋体" w:eastAsia="宋体" w:cs="宋体"/>
          <w:spacing w:val="5"/>
          <w:sz w:val="21"/>
          <w:szCs w:val="21"/>
          <w:highlight w:val="none"/>
        </w:rPr>
        <w:t>(7)当期根据第17.4.</w:t>
      </w:r>
      <w:r>
        <w:rPr>
          <w:rFonts w:ascii="宋体" w:hAnsi="宋体" w:eastAsia="宋体" w:cs="宋体"/>
          <w:spacing w:val="-52"/>
          <w:sz w:val="21"/>
          <w:szCs w:val="21"/>
          <w:highlight w:val="none"/>
        </w:rPr>
        <w:t xml:space="preserve"> </w:t>
      </w:r>
      <w:r>
        <w:rPr>
          <w:rFonts w:ascii="宋体" w:hAnsi="宋体" w:eastAsia="宋体" w:cs="宋体"/>
          <w:spacing w:val="5"/>
          <w:sz w:val="21"/>
          <w:szCs w:val="21"/>
          <w:highlight w:val="none"/>
        </w:rPr>
        <w:t>1</w:t>
      </w:r>
      <w:r>
        <w:rPr>
          <w:rFonts w:ascii="宋体" w:hAnsi="宋体" w:eastAsia="宋体" w:cs="宋体"/>
          <w:spacing w:val="-27"/>
          <w:sz w:val="21"/>
          <w:szCs w:val="21"/>
          <w:highlight w:val="none"/>
        </w:rPr>
        <w:t xml:space="preserve"> </w:t>
      </w:r>
      <w:r>
        <w:rPr>
          <w:rFonts w:ascii="宋体" w:hAnsi="宋体" w:eastAsia="宋体" w:cs="宋体"/>
          <w:spacing w:val="5"/>
          <w:sz w:val="21"/>
          <w:szCs w:val="21"/>
          <w:highlight w:val="none"/>
        </w:rPr>
        <w:t>项约定应扣减的质量保证金金额，以及截至当期期末累计扣</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减的质量保证金金额；</w:t>
      </w:r>
    </w:p>
    <w:p w14:paraId="4C4600F0">
      <w:pPr>
        <w:spacing w:before="231" w:line="316" w:lineRule="auto"/>
        <w:ind w:right="95" w:firstLine="530"/>
        <w:rPr>
          <w:rFonts w:ascii="宋体" w:hAnsi="宋体" w:eastAsia="宋体" w:cs="宋体"/>
          <w:sz w:val="21"/>
          <w:szCs w:val="21"/>
          <w:highlight w:val="none"/>
        </w:rPr>
      </w:pPr>
      <w:r>
        <w:rPr>
          <w:rFonts w:ascii="宋体" w:hAnsi="宋体" w:eastAsia="宋体" w:cs="宋体"/>
          <w:spacing w:val="3"/>
          <w:sz w:val="21"/>
          <w:szCs w:val="21"/>
          <w:highlight w:val="none"/>
        </w:rPr>
        <w:t>(8)当期根据合同应增加和扣减的其他金额，以及截至当期期末累计增加和扣减</w:t>
      </w:r>
      <w:r>
        <w:rPr>
          <w:rFonts w:ascii="宋体" w:hAnsi="宋体" w:eastAsia="宋体" w:cs="宋体"/>
          <w:spacing w:val="2"/>
          <w:sz w:val="21"/>
          <w:szCs w:val="21"/>
          <w:highlight w:val="none"/>
        </w:rPr>
        <w:t>的金</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额。</w:t>
      </w:r>
    </w:p>
    <w:p w14:paraId="392B1257">
      <w:pPr>
        <w:spacing w:before="220" w:line="219" w:lineRule="auto"/>
        <w:ind w:left="440"/>
        <w:rPr>
          <w:rFonts w:ascii="宋体" w:hAnsi="宋体" w:eastAsia="宋体" w:cs="宋体"/>
          <w:sz w:val="22"/>
          <w:szCs w:val="22"/>
          <w:highlight w:val="none"/>
        </w:rPr>
      </w:pPr>
      <w:r>
        <w:rPr>
          <w:rFonts w:ascii="宋体" w:hAnsi="宋体" w:eastAsia="宋体" w:cs="宋体"/>
          <w:spacing w:val="-2"/>
          <w:sz w:val="22"/>
          <w:szCs w:val="22"/>
          <w:highlight w:val="none"/>
        </w:rPr>
        <w:t>17.3.4进度付款证书和支付时间</w:t>
      </w:r>
    </w:p>
    <w:p w14:paraId="5D388E0D">
      <w:pPr>
        <w:spacing w:before="230" w:line="423" w:lineRule="auto"/>
        <w:ind w:right="29" w:firstLine="530"/>
        <w:jc w:val="both"/>
        <w:rPr>
          <w:rFonts w:ascii="宋体" w:hAnsi="宋体" w:eastAsia="宋体" w:cs="宋体"/>
          <w:sz w:val="21"/>
          <w:szCs w:val="21"/>
          <w:highlight w:val="none"/>
        </w:rPr>
      </w:pPr>
      <w:r>
        <w:rPr>
          <w:rFonts w:ascii="宋体" w:hAnsi="宋体" w:eastAsia="宋体" w:cs="宋体"/>
          <w:spacing w:val="3"/>
          <w:sz w:val="21"/>
          <w:szCs w:val="21"/>
          <w:highlight w:val="none"/>
        </w:rPr>
        <w:t>(1)监理人在收到承包人进度付款申请单以及相应的支持性证明文件后的14天</w:t>
      </w:r>
      <w:r>
        <w:rPr>
          <w:rFonts w:ascii="宋体" w:hAnsi="宋体" w:eastAsia="宋体" w:cs="宋体"/>
          <w:spacing w:val="2"/>
          <w:sz w:val="21"/>
          <w:szCs w:val="21"/>
          <w:highlight w:val="none"/>
        </w:rPr>
        <w:t>内完成</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审核，提出发包人到期应支付给承包人的金额以及相应的支持性材料，经发包人审批同意后，</w:t>
      </w:r>
      <w:r>
        <w:rPr>
          <w:rFonts w:ascii="宋体" w:hAnsi="宋体" w:eastAsia="宋体" w:cs="宋体"/>
          <w:spacing w:val="10"/>
          <w:sz w:val="21"/>
          <w:szCs w:val="21"/>
          <w:highlight w:val="none"/>
        </w:rPr>
        <w:t xml:space="preserve"> </w:t>
      </w:r>
      <w:r>
        <w:rPr>
          <w:rFonts w:ascii="宋体" w:hAnsi="宋体" w:eastAsia="宋体" w:cs="宋体"/>
          <w:spacing w:val="-1"/>
          <w:sz w:val="21"/>
          <w:szCs w:val="21"/>
          <w:highlight w:val="none"/>
        </w:rPr>
        <w:t>由监理人向承包人出具经发包人签认的进度付款证书。监理人未能在前述时间完成审核的，</w:t>
      </w:r>
      <w:r>
        <w:rPr>
          <w:rFonts w:ascii="宋体" w:hAnsi="宋体" w:eastAsia="宋体" w:cs="宋体"/>
          <w:spacing w:val="13"/>
          <w:sz w:val="21"/>
          <w:szCs w:val="21"/>
          <w:highlight w:val="none"/>
        </w:rPr>
        <w:t xml:space="preserve"> </w:t>
      </w:r>
      <w:r>
        <w:rPr>
          <w:rFonts w:ascii="宋体" w:hAnsi="宋体" w:eastAsia="宋体" w:cs="宋体"/>
          <w:spacing w:val="-2"/>
          <w:sz w:val="21"/>
          <w:szCs w:val="21"/>
          <w:highlight w:val="none"/>
        </w:rPr>
        <w:t>视为监理人同意承包人进度付款申请。监理人有权核减承包人未能按照合</w:t>
      </w:r>
      <w:r>
        <w:rPr>
          <w:rFonts w:ascii="宋体" w:hAnsi="宋体" w:eastAsia="宋体" w:cs="宋体"/>
          <w:spacing w:val="-3"/>
          <w:sz w:val="21"/>
          <w:szCs w:val="21"/>
          <w:highlight w:val="none"/>
        </w:rPr>
        <w:t>同要求履行任何工</w:t>
      </w:r>
    </w:p>
    <w:p w14:paraId="4DC49597">
      <w:pPr>
        <w:spacing w:line="423" w:lineRule="auto"/>
        <w:rPr>
          <w:rFonts w:ascii="宋体" w:hAnsi="宋体" w:eastAsia="宋体" w:cs="宋体"/>
          <w:sz w:val="21"/>
          <w:szCs w:val="21"/>
          <w:highlight w:val="none"/>
        </w:rPr>
        <w:sectPr>
          <w:footerReference r:id="rId203" w:type="default"/>
          <w:pgSz w:w="11910" w:h="16840"/>
          <w:pgMar w:top="400" w:right="1735" w:bottom="1238" w:left="1769" w:header="0" w:footer="1006" w:gutter="0"/>
          <w:cols w:space="720" w:num="1"/>
        </w:sectPr>
      </w:pPr>
    </w:p>
    <w:p w14:paraId="081563D9">
      <w:pPr>
        <w:pStyle w:val="2"/>
        <w:spacing w:line="270" w:lineRule="auto"/>
        <w:rPr>
          <w:highlight w:val="none"/>
        </w:rPr>
      </w:pPr>
    </w:p>
    <w:p w14:paraId="78E936EB">
      <w:pPr>
        <w:pStyle w:val="2"/>
        <w:spacing w:line="270" w:lineRule="auto"/>
        <w:rPr>
          <w:highlight w:val="none"/>
        </w:rPr>
      </w:pPr>
    </w:p>
    <w:p w14:paraId="481B3A58">
      <w:pPr>
        <w:pStyle w:val="2"/>
        <w:spacing w:line="270" w:lineRule="auto"/>
        <w:rPr>
          <w:highlight w:val="none"/>
        </w:rPr>
      </w:pPr>
    </w:p>
    <w:p w14:paraId="46D1EE72">
      <w:pPr>
        <w:pStyle w:val="2"/>
        <w:spacing w:line="271" w:lineRule="auto"/>
        <w:rPr>
          <w:highlight w:val="none"/>
        </w:rPr>
      </w:pPr>
    </w:p>
    <w:p w14:paraId="02914DF5">
      <w:pPr>
        <w:spacing w:before="71" w:line="219" w:lineRule="auto"/>
        <w:rPr>
          <w:rFonts w:ascii="宋体" w:hAnsi="宋体" w:eastAsia="宋体" w:cs="宋体"/>
          <w:sz w:val="22"/>
          <w:szCs w:val="22"/>
          <w:highlight w:val="none"/>
        </w:rPr>
      </w:pPr>
      <w:r>
        <w:rPr>
          <w:rFonts w:ascii="宋体" w:hAnsi="宋体" w:eastAsia="宋体" w:cs="宋体"/>
          <w:spacing w:val="-12"/>
          <w:sz w:val="22"/>
          <w:szCs w:val="22"/>
          <w:highlight w:val="none"/>
        </w:rPr>
        <w:t>作或义务的相应金额。</w:t>
      </w:r>
    </w:p>
    <w:p w14:paraId="23F4F982">
      <w:pPr>
        <w:spacing w:before="219" w:line="354" w:lineRule="auto"/>
        <w:ind w:right="5" w:firstLine="520"/>
        <w:rPr>
          <w:rFonts w:ascii="宋体" w:hAnsi="宋体" w:eastAsia="宋体" w:cs="宋体"/>
          <w:sz w:val="21"/>
          <w:szCs w:val="21"/>
          <w:highlight w:val="none"/>
        </w:rPr>
      </w:pPr>
      <w:r>
        <w:rPr>
          <w:rFonts w:ascii="宋体" w:hAnsi="宋体" w:eastAsia="宋体" w:cs="宋体"/>
          <w:spacing w:val="8"/>
          <w:sz w:val="21"/>
          <w:szCs w:val="21"/>
          <w:highlight w:val="none"/>
        </w:rPr>
        <w:t>(2)发包人最迟应在监理人收到进度付款申请单后的28天内，将进度应付款支付给</w:t>
      </w:r>
      <w:r>
        <w:rPr>
          <w:rFonts w:ascii="宋体" w:hAnsi="宋体" w:eastAsia="宋体" w:cs="宋体"/>
          <w:spacing w:val="9"/>
          <w:sz w:val="21"/>
          <w:szCs w:val="21"/>
          <w:highlight w:val="none"/>
        </w:rPr>
        <w:t xml:space="preserve">  </w:t>
      </w:r>
      <w:r>
        <w:rPr>
          <w:rFonts w:ascii="宋体" w:hAnsi="宋体" w:eastAsia="宋体" w:cs="宋体"/>
          <w:sz w:val="21"/>
          <w:szCs w:val="21"/>
          <w:highlight w:val="none"/>
        </w:rPr>
        <w:t>承包人。发包人未能在前述时间内完成审批或不予答复的，视为发包人同意</w:t>
      </w:r>
      <w:r>
        <w:rPr>
          <w:rFonts w:ascii="宋体" w:hAnsi="宋体" w:eastAsia="宋体" w:cs="宋体"/>
          <w:spacing w:val="-1"/>
          <w:sz w:val="21"/>
          <w:szCs w:val="21"/>
          <w:highlight w:val="none"/>
        </w:rPr>
        <w:t>进度付款申请。</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发包人不按期支付的，按专用合同条款的约定支付逾期付款违约金。</w:t>
      </w:r>
    </w:p>
    <w:p w14:paraId="34AE7FB9">
      <w:pPr>
        <w:spacing w:before="219" w:line="321" w:lineRule="auto"/>
        <w:ind w:right="93" w:firstLine="520"/>
        <w:rPr>
          <w:rFonts w:ascii="宋体" w:hAnsi="宋体" w:eastAsia="宋体" w:cs="宋体"/>
          <w:sz w:val="21"/>
          <w:szCs w:val="21"/>
          <w:highlight w:val="none"/>
        </w:rPr>
      </w:pPr>
      <w:r>
        <w:rPr>
          <w:rFonts w:ascii="宋体" w:hAnsi="宋体" w:eastAsia="宋体" w:cs="宋体"/>
          <w:spacing w:val="3"/>
          <w:sz w:val="21"/>
          <w:szCs w:val="21"/>
          <w:highlight w:val="none"/>
        </w:rPr>
        <w:t>(3)监理人出具进度付款证书，不应视为监理人已同意、批准或接受了承包人完成的</w:t>
      </w:r>
      <w:r>
        <w:rPr>
          <w:rFonts w:ascii="宋体" w:hAnsi="宋体" w:eastAsia="宋体" w:cs="宋体"/>
          <w:spacing w:val="6"/>
          <w:sz w:val="21"/>
          <w:szCs w:val="21"/>
          <w:highlight w:val="none"/>
        </w:rPr>
        <w:t xml:space="preserve"> </w:t>
      </w:r>
      <w:r>
        <w:rPr>
          <w:rFonts w:ascii="宋体" w:hAnsi="宋体" w:eastAsia="宋体" w:cs="宋体"/>
          <w:spacing w:val="-6"/>
          <w:sz w:val="21"/>
          <w:szCs w:val="21"/>
          <w:highlight w:val="none"/>
        </w:rPr>
        <w:t>该部分工作。</w:t>
      </w:r>
    </w:p>
    <w:p w14:paraId="455351C4">
      <w:pPr>
        <w:spacing w:before="209" w:line="330" w:lineRule="auto"/>
        <w:ind w:right="101" w:firstLine="520"/>
        <w:rPr>
          <w:rFonts w:ascii="宋体" w:hAnsi="宋体" w:eastAsia="宋体" w:cs="宋体"/>
          <w:sz w:val="21"/>
          <w:szCs w:val="21"/>
          <w:highlight w:val="none"/>
        </w:rPr>
      </w:pPr>
      <w:r>
        <w:rPr>
          <w:rFonts w:ascii="宋体" w:hAnsi="宋体" w:eastAsia="宋体" w:cs="宋体"/>
          <w:spacing w:val="3"/>
          <w:sz w:val="21"/>
          <w:szCs w:val="21"/>
          <w:highlight w:val="none"/>
        </w:rPr>
        <w:t>(4)进度付款涉及政府投资资金的，按照国库集中支付等国家相关规定和专用合</w:t>
      </w:r>
      <w:r>
        <w:rPr>
          <w:rFonts w:ascii="宋体" w:hAnsi="宋体" w:eastAsia="宋体" w:cs="宋体"/>
          <w:spacing w:val="2"/>
          <w:sz w:val="21"/>
          <w:szCs w:val="21"/>
          <w:highlight w:val="none"/>
        </w:rPr>
        <w:t>同条</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款的约定执行。</w:t>
      </w:r>
    </w:p>
    <w:p w14:paraId="3CAB5A9B">
      <w:pPr>
        <w:spacing w:before="230" w:line="219" w:lineRule="auto"/>
        <w:ind w:left="43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17.3.5</w:t>
      </w:r>
      <w:r>
        <w:rPr>
          <w:rFonts w:ascii="Times New Roman" w:hAnsi="Times New Roman" w:eastAsia="Times New Roman" w:cs="Times New Roman"/>
          <w:spacing w:val="11"/>
          <w:sz w:val="20"/>
          <w:szCs w:val="20"/>
          <w:highlight w:val="none"/>
        </w:rPr>
        <w:t xml:space="preserve">    </w:t>
      </w:r>
      <w:r>
        <w:rPr>
          <w:rFonts w:ascii="宋体" w:hAnsi="宋体" w:eastAsia="宋体" w:cs="宋体"/>
          <w:spacing w:val="5"/>
          <w:sz w:val="20"/>
          <w:szCs w:val="20"/>
          <w:highlight w:val="none"/>
        </w:rPr>
        <w:t>工程进度付款的修正</w:t>
      </w:r>
    </w:p>
    <w:p w14:paraId="1237D64A">
      <w:pPr>
        <w:spacing w:before="231" w:line="424" w:lineRule="auto"/>
        <w:ind w:right="79" w:firstLine="430"/>
        <w:rPr>
          <w:rFonts w:ascii="宋体" w:hAnsi="宋体" w:eastAsia="宋体" w:cs="宋体"/>
          <w:sz w:val="21"/>
          <w:szCs w:val="21"/>
          <w:highlight w:val="none"/>
        </w:rPr>
      </w:pPr>
      <w:r>
        <w:rPr>
          <w:rFonts w:ascii="宋体" w:hAnsi="宋体" w:eastAsia="宋体" w:cs="宋体"/>
          <w:spacing w:val="-2"/>
          <w:sz w:val="21"/>
          <w:szCs w:val="21"/>
          <w:highlight w:val="none"/>
        </w:rPr>
        <w:t>在对以往历次已签发的进度付款证书进行汇总和复核</w:t>
      </w:r>
      <w:r>
        <w:rPr>
          <w:rFonts w:ascii="宋体" w:hAnsi="宋体" w:eastAsia="宋体" w:cs="宋体"/>
          <w:spacing w:val="-3"/>
          <w:sz w:val="21"/>
          <w:szCs w:val="21"/>
          <w:highlight w:val="none"/>
        </w:rPr>
        <w:t>中发现错、漏或重复的，监理人有</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权予以修正，承包人也有权提出修正申请。经监理人、承包人复核同意的修正，应在本次进</w:t>
      </w:r>
      <w:r>
        <w:rPr>
          <w:rFonts w:ascii="宋体" w:hAnsi="宋体" w:eastAsia="宋体" w:cs="宋体"/>
          <w:spacing w:val="17"/>
          <w:sz w:val="21"/>
          <w:szCs w:val="21"/>
          <w:highlight w:val="none"/>
        </w:rPr>
        <w:t xml:space="preserve"> </w:t>
      </w:r>
      <w:r>
        <w:rPr>
          <w:rFonts w:ascii="宋体" w:hAnsi="宋体" w:eastAsia="宋体" w:cs="宋体"/>
          <w:spacing w:val="-4"/>
          <w:sz w:val="21"/>
          <w:szCs w:val="21"/>
          <w:highlight w:val="none"/>
        </w:rPr>
        <w:t>度付款中支付或扣除。</w:t>
      </w:r>
    </w:p>
    <w:p w14:paraId="4DFCCEE9">
      <w:pPr>
        <w:pStyle w:val="2"/>
        <w:spacing w:before="57" w:line="222" w:lineRule="auto"/>
        <w:rPr>
          <w:rFonts w:ascii="黑体" w:hAnsi="黑体" w:eastAsia="黑体" w:cs="黑体"/>
          <w:sz w:val="24"/>
          <w:szCs w:val="24"/>
          <w:highlight w:val="none"/>
        </w:rPr>
      </w:pPr>
      <w:r>
        <w:rPr>
          <w:spacing w:val="-4"/>
          <w:sz w:val="24"/>
          <w:szCs w:val="24"/>
          <w:highlight w:val="none"/>
        </w:rPr>
        <w:t>17.4</w:t>
      </w:r>
      <w:r>
        <w:rPr>
          <w:spacing w:val="62"/>
          <w:w w:val="101"/>
          <w:sz w:val="24"/>
          <w:szCs w:val="24"/>
          <w:highlight w:val="none"/>
        </w:rPr>
        <w:t xml:space="preserve"> </w:t>
      </w:r>
      <w:r>
        <w:rPr>
          <w:rFonts w:ascii="黑体" w:hAnsi="黑体" w:eastAsia="黑体" w:cs="黑体"/>
          <w:spacing w:val="-4"/>
          <w:sz w:val="24"/>
          <w:szCs w:val="24"/>
          <w:highlight w:val="none"/>
        </w:rPr>
        <w:t>质量保证金</w:t>
      </w:r>
    </w:p>
    <w:p w14:paraId="6FC89016">
      <w:pPr>
        <w:spacing w:before="130" w:line="338" w:lineRule="auto"/>
        <w:ind w:firstLine="430"/>
        <w:rPr>
          <w:rFonts w:ascii="宋体" w:hAnsi="宋体" w:eastAsia="宋体" w:cs="宋体"/>
          <w:sz w:val="22"/>
          <w:szCs w:val="22"/>
          <w:highlight w:val="none"/>
        </w:rPr>
      </w:pPr>
      <w:r>
        <w:rPr>
          <w:rFonts w:ascii="Times New Roman" w:hAnsi="Times New Roman" w:eastAsia="Times New Roman" w:cs="Times New Roman"/>
          <w:spacing w:val="-12"/>
          <w:sz w:val="22"/>
          <w:szCs w:val="22"/>
          <w:highlight w:val="none"/>
        </w:rPr>
        <w:t>17.4.1</w:t>
      </w:r>
      <w:r>
        <w:rPr>
          <w:rFonts w:ascii="Times New Roman" w:hAnsi="Times New Roman" w:eastAsia="Times New Roman" w:cs="Times New Roman"/>
          <w:spacing w:val="15"/>
          <w:sz w:val="22"/>
          <w:szCs w:val="22"/>
          <w:highlight w:val="none"/>
        </w:rPr>
        <w:t xml:space="preserve">   </w:t>
      </w:r>
      <w:r>
        <w:rPr>
          <w:rFonts w:ascii="宋体" w:hAnsi="宋体" w:eastAsia="宋体" w:cs="宋体"/>
          <w:spacing w:val="-12"/>
          <w:sz w:val="22"/>
          <w:szCs w:val="22"/>
          <w:highlight w:val="none"/>
        </w:rPr>
        <w:t>监理人应从发包人的每笔进度付款中，按专用合同条款的约定扣留质量保证金，</w:t>
      </w:r>
      <w:r>
        <w:rPr>
          <w:rFonts w:ascii="宋体" w:hAnsi="宋体" w:eastAsia="宋体" w:cs="宋体"/>
          <w:spacing w:val="1"/>
          <w:sz w:val="22"/>
          <w:szCs w:val="22"/>
          <w:highlight w:val="none"/>
        </w:rPr>
        <w:t xml:space="preserve"> </w:t>
      </w:r>
      <w:r>
        <w:rPr>
          <w:rFonts w:ascii="宋体" w:hAnsi="宋体" w:eastAsia="宋体" w:cs="宋体"/>
          <w:spacing w:val="-13"/>
          <w:sz w:val="22"/>
          <w:szCs w:val="22"/>
          <w:highlight w:val="none"/>
        </w:rPr>
        <w:t>直至扣留的质量保证金总额达到专用合同条款约定的金额或比例为止。质量保证金的计算额</w:t>
      </w:r>
      <w:r>
        <w:rPr>
          <w:rFonts w:ascii="宋体" w:hAnsi="宋体" w:eastAsia="宋体" w:cs="宋体"/>
          <w:spacing w:val="8"/>
          <w:sz w:val="22"/>
          <w:szCs w:val="22"/>
          <w:highlight w:val="none"/>
        </w:rPr>
        <w:t xml:space="preserve">  </w:t>
      </w:r>
      <w:r>
        <w:rPr>
          <w:rFonts w:ascii="宋体" w:hAnsi="宋体" w:eastAsia="宋体" w:cs="宋体"/>
          <w:spacing w:val="-11"/>
          <w:sz w:val="22"/>
          <w:szCs w:val="22"/>
          <w:highlight w:val="none"/>
        </w:rPr>
        <w:t>度不包括预付款的支付、扣回以及价格调整的金额。</w:t>
      </w:r>
    </w:p>
    <w:p w14:paraId="4DA3A2E7">
      <w:pPr>
        <w:spacing w:before="233" w:line="354" w:lineRule="auto"/>
        <w:ind w:right="74" w:firstLine="430"/>
        <w:rPr>
          <w:rFonts w:ascii="宋体" w:hAnsi="宋体" w:eastAsia="宋体" w:cs="宋体"/>
          <w:sz w:val="21"/>
          <w:szCs w:val="21"/>
          <w:highlight w:val="none"/>
        </w:rPr>
      </w:pPr>
      <w:r>
        <w:rPr>
          <w:rFonts w:ascii="Times New Roman" w:hAnsi="Times New Roman" w:eastAsia="Times New Roman" w:cs="Times New Roman"/>
          <w:spacing w:val="4"/>
          <w:sz w:val="21"/>
          <w:szCs w:val="21"/>
          <w:highlight w:val="none"/>
        </w:rPr>
        <w:t xml:space="preserve">17.4.2   </w:t>
      </w:r>
      <w:r>
        <w:rPr>
          <w:rFonts w:ascii="宋体" w:hAnsi="宋体" w:eastAsia="宋体" w:cs="宋体"/>
          <w:spacing w:val="4"/>
          <w:sz w:val="21"/>
          <w:szCs w:val="21"/>
          <w:highlight w:val="none"/>
        </w:rPr>
        <w:t>在第1.1.4.5目约定的缺陷责任期满时，承包人</w:t>
      </w:r>
      <w:r>
        <w:rPr>
          <w:rFonts w:ascii="宋体" w:hAnsi="宋体" w:eastAsia="宋体" w:cs="宋体"/>
          <w:spacing w:val="3"/>
          <w:sz w:val="21"/>
          <w:szCs w:val="21"/>
          <w:highlight w:val="none"/>
        </w:rPr>
        <w:t>向发包人申请到期应返还承包</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人剩余的质量保证金，发包人应在14天内会同承包人按照合同约定的内容核实承包人是否</w:t>
      </w:r>
      <w:r>
        <w:rPr>
          <w:rFonts w:ascii="宋体" w:hAnsi="宋体" w:eastAsia="宋体" w:cs="宋体"/>
          <w:spacing w:val="14"/>
          <w:sz w:val="21"/>
          <w:szCs w:val="21"/>
          <w:highlight w:val="none"/>
        </w:rPr>
        <w:t xml:space="preserve"> </w:t>
      </w:r>
      <w:r>
        <w:rPr>
          <w:rFonts w:ascii="宋体" w:hAnsi="宋体" w:eastAsia="宋体" w:cs="宋体"/>
          <w:sz w:val="21"/>
          <w:szCs w:val="21"/>
          <w:highlight w:val="none"/>
        </w:rPr>
        <w:t>完成缺陷责任。如无异议，发包人应当在核实后将剩余质量保证金</w:t>
      </w:r>
      <w:r>
        <w:rPr>
          <w:rFonts w:ascii="宋体" w:hAnsi="宋体" w:eastAsia="宋体" w:cs="宋体"/>
          <w:spacing w:val="-1"/>
          <w:sz w:val="21"/>
          <w:szCs w:val="21"/>
          <w:highlight w:val="none"/>
        </w:rPr>
        <w:t>返还承包人。</w:t>
      </w:r>
    </w:p>
    <w:p w14:paraId="530F1141">
      <w:pPr>
        <w:spacing w:before="222" w:line="354" w:lineRule="auto"/>
        <w:ind w:right="80" w:firstLine="43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17.4.3    </w:t>
      </w:r>
      <w:r>
        <w:rPr>
          <w:rFonts w:ascii="宋体" w:hAnsi="宋体" w:eastAsia="宋体" w:cs="宋体"/>
          <w:sz w:val="21"/>
          <w:szCs w:val="21"/>
          <w:highlight w:val="none"/>
        </w:rPr>
        <w:t>在第1.1.4.5 目约定的缺陷责任期满时，承包人没有完成缺陷责任的，发包人</w:t>
      </w:r>
      <w:r>
        <w:rPr>
          <w:rFonts w:ascii="宋体" w:hAnsi="宋体" w:eastAsia="宋体" w:cs="宋体"/>
          <w:spacing w:val="13"/>
          <w:sz w:val="21"/>
          <w:szCs w:val="21"/>
          <w:highlight w:val="none"/>
        </w:rPr>
        <w:t xml:space="preserve"> </w:t>
      </w:r>
      <w:r>
        <w:rPr>
          <w:rFonts w:ascii="宋体" w:hAnsi="宋体" w:eastAsia="宋体" w:cs="宋体"/>
          <w:sz w:val="21"/>
          <w:szCs w:val="21"/>
          <w:highlight w:val="none"/>
        </w:rPr>
        <w:t>有权扣留与未履行责任剩余工作所需金额相应的质量保证金余额，并有权根据第19.3 款约</w:t>
      </w:r>
      <w:r>
        <w:rPr>
          <w:rFonts w:ascii="宋体" w:hAnsi="宋体" w:eastAsia="宋体" w:cs="宋体"/>
          <w:spacing w:val="4"/>
          <w:sz w:val="21"/>
          <w:szCs w:val="21"/>
          <w:highlight w:val="none"/>
        </w:rPr>
        <w:t xml:space="preserve"> </w:t>
      </w:r>
      <w:r>
        <w:rPr>
          <w:rFonts w:ascii="宋体" w:hAnsi="宋体" w:eastAsia="宋体" w:cs="宋体"/>
          <w:spacing w:val="-2"/>
          <w:sz w:val="21"/>
          <w:szCs w:val="21"/>
          <w:highlight w:val="none"/>
        </w:rPr>
        <w:t>定要求延长缺陷责任期，直至完成剩余工作为止。</w:t>
      </w:r>
    </w:p>
    <w:p w14:paraId="453EE826">
      <w:pPr>
        <w:spacing w:before="289" w:line="221" w:lineRule="auto"/>
        <w:rPr>
          <w:rFonts w:ascii="黑体" w:hAnsi="黑体" w:eastAsia="黑体" w:cs="黑体"/>
          <w:sz w:val="24"/>
          <w:szCs w:val="24"/>
          <w:highlight w:val="none"/>
        </w:rPr>
      </w:pPr>
      <w:r>
        <w:rPr>
          <w:rFonts w:ascii="黑体" w:hAnsi="黑体" w:eastAsia="黑体" w:cs="黑体"/>
          <w:spacing w:val="11"/>
          <w:sz w:val="24"/>
          <w:szCs w:val="24"/>
          <w:highlight w:val="none"/>
        </w:rPr>
        <w:t>17.5竣工结算</w:t>
      </w:r>
    </w:p>
    <w:p w14:paraId="07B0DC37">
      <w:pPr>
        <w:spacing w:before="124" w:line="219" w:lineRule="auto"/>
        <w:ind w:left="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17.5.1</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6"/>
          <w:sz w:val="22"/>
          <w:szCs w:val="22"/>
          <w:highlight w:val="none"/>
        </w:rPr>
        <w:t>竣工付款申请单</w:t>
      </w:r>
    </w:p>
    <w:p w14:paraId="1FEA0B85">
      <w:pPr>
        <w:spacing w:before="220" w:line="371" w:lineRule="auto"/>
        <w:ind w:right="5" w:firstLine="520"/>
        <w:rPr>
          <w:rFonts w:ascii="宋体" w:hAnsi="宋体" w:eastAsia="宋体" w:cs="宋体"/>
          <w:sz w:val="21"/>
          <w:szCs w:val="21"/>
          <w:highlight w:val="none"/>
        </w:rPr>
      </w:pPr>
      <w:r>
        <w:rPr>
          <w:rFonts w:ascii="宋体" w:hAnsi="宋体" w:eastAsia="宋体" w:cs="宋体"/>
          <w:spacing w:val="3"/>
          <w:sz w:val="21"/>
          <w:szCs w:val="21"/>
          <w:highlight w:val="none"/>
        </w:rPr>
        <w:t>(1)工程接收证书颁发后，承包人应按专用合同条款约定的份数和期限向监理人</w:t>
      </w:r>
      <w:r>
        <w:rPr>
          <w:rFonts w:ascii="宋体" w:hAnsi="宋体" w:eastAsia="宋体" w:cs="宋体"/>
          <w:spacing w:val="2"/>
          <w:sz w:val="21"/>
          <w:szCs w:val="21"/>
          <w:highlight w:val="none"/>
        </w:rPr>
        <w:t>提交</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竣工付款申请单，并提供相关证明材料。除专用合同条款另有约定外，竣工付款申请单应包</w:t>
      </w:r>
      <w:r>
        <w:rPr>
          <w:rFonts w:ascii="宋体" w:hAnsi="宋体" w:eastAsia="宋体" w:cs="宋体"/>
          <w:spacing w:val="9"/>
          <w:sz w:val="21"/>
          <w:szCs w:val="21"/>
          <w:highlight w:val="none"/>
        </w:rPr>
        <w:t xml:space="preserve">  </w:t>
      </w:r>
      <w:r>
        <w:rPr>
          <w:rFonts w:ascii="宋体" w:hAnsi="宋体" w:eastAsia="宋体" w:cs="宋体"/>
          <w:sz w:val="21"/>
          <w:szCs w:val="21"/>
          <w:highlight w:val="none"/>
        </w:rPr>
        <w:t>括下列内容：竣工结算合同总价、发包人已支付承包人的工程价款、应扣留</w:t>
      </w:r>
      <w:r>
        <w:rPr>
          <w:rFonts w:ascii="宋体" w:hAnsi="宋体" w:eastAsia="宋体" w:cs="宋体"/>
          <w:spacing w:val="-1"/>
          <w:sz w:val="21"/>
          <w:szCs w:val="21"/>
          <w:highlight w:val="none"/>
        </w:rPr>
        <w:t>的质量保证金、</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应支付的竣工付款金额。</w:t>
      </w:r>
    </w:p>
    <w:p w14:paraId="1E74F51F">
      <w:pPr>
        <w:spacing w:before="230" w:line="219" w:lineRule="auto"/>
        <w:ind w:left="520"/>
        <w:rPr>
          <w:rFonts w:ascii="宋体" w:hAnsi="宋体" w:eastAsia="宋体" w:cs="宋体"/>
          <w:sz w:val="22"/>
          <w:szCs w:val="22"/>
          <w:highlight w:val="none"/>
        </w:rPr>
      </w:pPr>
      <w:r>
        <w:rPr>
          <w:rFonts w:ascii="宋体" w:hAnsi="宋体" w:eastAsia="宋体" w:cs="宋体"/>
          <w:spacing w:val="-7"/>
          <w:sz w:val="22"/>
          <w:szCs w:val="22"/>
          <w:highlight w:val="none"/>
        </w:rPr>
        <w:t>(2)监理人对竣工付款申请单有异议的，有权要求承包人进行修正和提供补充资料。</w:t>
      </w:r>
    </w:p>
    <w:p w14:paraId="040EBDDD">
      <w:pPr>
        <w:spacing w:line="219" w:lineRule="auto"/>
        <w:rPr>
          <w:rFonts w:ascii="宋体" w:hAnsi="宋体" w:eastAsia="宋体" w:cs="宋体"/>
          <w:sz w:val="22"/>
          <w:szCs w:val="22"/>
          <w:highlight w:val="none"/>
        </w:rPr>
        <w:sectPr>
          <w:footerReference r:id="rId204" w:type="default"/>
          <w:pgSz w:w="11910" w:h="16840"/>
          <w:pgMar w:top="400" w:right="1729" w:bottom="1238" w:left="1779" w:header="0" w:footer="1006" w:gutter="0"/>
          <w:cols w:space="720" w:num="1"/>
        </w:sectPr>
      </w:pPr>
    </w:p>
    <w:p w14:paraId="0C379C1E">
      <w:pPr>
        <w:pStyle w:val="2"/>
        <w:spacing w:line="270" w:lineRule="auto"/>
        <w:rPr>
          <w:highlight w:val="none"/>
        </w:rPr>
      </w:pPr>
    </w:p>
    <w:p w14:paraId="081103E1">
      <w:pPr>
        <w:pStyle w:val="2"/>
        <w:spacing w:line="270" w:lineRule="auto"/>
        <w:rPr>
          <w:highlight w:val="none"/>
        </w:rPr>
      </w:pPr>
    </w:p>
    <w:p w14:paraId="2EDA76AC">
      <w:pPr>
        <w:pStyle w:val="2"/>
        <w:spacing w:line="270" w:lineRule="auto"/>
        <w:rPr>
          <w:highlight w:val="none"/>
        </w:rPr>
      </w:pPr>
    </w:p>
    <w:p w14:paraId="37D673EE">
      <w:pPr>
        <w:pStyle w:val="2"/>
        <w:spacing w:line="271" w:lineRule="auto"/>
        <w:rPr>
          <w:highlight w:val="none"/>
        </w:rPr>
      </w:pPr>
    </w:p>
    <w:p w14:paraId="7B782C2F">
      <w:pPr>
        <w:spacing w:before="71" w:line="219" w:lineRule="auto"/>
        <w:rPr>
          <w:rFonts w:ascii="宋体" w:hAnsi="宋体" w:eastAsia="宋体" w:cs="宋体"/>
          <w:sz w:val="22"/>
          <w:szCs w:val="22"/>
          <w:highlight w:val="none"/>
        </w:rPr>
      </w:pPr>
      <w:bookmarkStart w:id="194" w:name="bookmark281"/>
      <w:bookmarkEnd w:id="194"/>
      <w:r>
        <w:rPr>
          <w:rFonts w:ascii="宋体" w:hAnsi="宋体" w:eastAsia="宋体" w:cs="宋体"/>
          <w:spacing w:val="-10"/>
          <w:sz w:val="22"/>
          <w:szCs w:val="22"/>
          <w:highlight w:val="none"/>
        </w:rPr>
        <w:t>经监理人和承包人协商后，由承包人向监理人提交修正后的竣工付款申请单。</w:t>
      </w:r>
    </w:p>
    <w:p w14:paraId="412BD52E">
      <w:pPr>
        <w:spacing w:before="207" w:line="219" w:lineRule="auto"/>
        <w:ind w:left="42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 xml:space="preserve">17.5.2   </w:t>
      </w:r>
      <w:r>
        <w:rPr>
          <w:rFonts w:ascii="宋体" w:hAnsi="宋体" w:eastAsia="宋体" w:cs="宋体"/>
          <w:spacing w:val="-4"/>
          <w:sz w:val="22"/>
          <w:szCs w:val="22"/>
          <w:highlight w:val="none"/>
        </w:rPr>
        <w:t>竣工付款证书及支付时间</w:t>
      </w:r>
    </w:p>
    <w:p w14:paraId="2CDD92FF">
      <w:pPr>
        <w:spacing w:before="230" w:line="383" w:lineRule="auto"/>
        <w:ind w:firstLine="520"/>
        <w:rPr>
          <w:rFonts w:ascii="宋体" w:hAnsi="宋体" w:eastAsia="宋体" w:cs="宋体"/>
          <w:sz w:val="21"/>
          <w:szCs w:val="21"/>
          <w:highlight w:val="none"/>
        </w:rPr>
      </w:pPr>
      <w:r>
        <w:rPr>
          <w:rFonts w:ascii="宋体" w:hAnsi="宋体" w:eastAsia="宋体" w:cs="宋体"/>
          <w:spacing w:val="3"/>
          <w:sz w:val="21"/>
          <w:szCs w:val="21"/>
          <w:highlight w:val="none"/>
        </w:rPr>
        <w:t>(1)监理人在收到承包人提交的竣工付款申请单后的14天内完成核查，提出发包人到</w:t>
      </w:r>
      <w:r>
        <w:rPr>
          <w:rFonts w:ascii="宋体" w:hAnsi="宋体" w:eastAsia="宋体" w:cs="宋体"/>
          <w:spacing w:val="11"/>
          <w:sz w:val="21"/>
          <w:szCs w:val="21"/>
          <w:highlight w:val="none"/>
        </w:rPr>
        <w:t xml:space="preserve"> </w:t>
      </w:r>
      <w:r>
        <w:rPr>
          <w:rFonts w:ascii="宋体" w:hAnsi="宋体" w:eastAsia="宋体" w:cs="宋体"/>
          <w:sz w:val="21"/>
          <w:szCs w:val="21"/>
          <w:highlight w:val="none"/>
        </w:rPr>
        <w:t>期应支付给承包人的价款送发包人审核并抄送承包人。</w:t>
      </w:r>
      <w:r>
        <w:rPr>
          <w:rFonts w:ascii="宋体" w:hAnsi="宋体" w:eastAsia="宋体" w:cs="宋体"/>
          <w:spacing w:val="-1"/>
          <w:sz w:val="21"/>
          <w:szCs w:val="21"/>
          <w:highlight w:val="none"/>
        </w:rPr>
        <w:t>发包人应在收到后14天内审核完毕，</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由监理人向承包人出具经发包人签认的竣工付款证书。监理人未</w:t>
      </w:r>
      <w:r>
        <w:rPr>
          <w:rFonts w:ascii="宋体" w:hAnsi="宋体" w:eastAsia="宋体" w:cs="宋体"/>
          <w:spacing w:val="-3"/>
          <w:sz w:val="21"/>
          <w:szCs w:val="21"/>
          <w:highlight w:val="none"/>
        </w:rPr>
        <w:t>在约定时间内核查，又未提</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出具体意见的，视为承包人提交的竣工付款申请单已经监理人核查同意</w:t>
      </w:r>
      <w:r>
        <w:rPr>
          <w:rFonts w:ascii="宋体" w:hAnsi="宋体" w:eastAsia="宋体" w:cs="宋体"/>
          <w:spacing w:val="-3"/>
          <w:sz w:val="21"/>
          <w:szCs w:val="21"/>
          <w:highlight w:val="none"/>
        </w:rPr>
        <w:t>；发包人未在约定时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间内审核又未提出具体意见的，监理人提出发包人到期应支付给</w:t>
      </w:r>
      <w:r>
        <w:rPr>
          <w:rFonts w:ascii="宋体" w:hAnsi="宋体" w:eastAsia="宋体" w:cs="宋体"/>
          <w:spacing w:val="-3"/>
          <w:sz w:val="21"/>
          <w:szCs w:val="21"/>
          <w:highlight w:val="none"/>
        </w:rPr>
        <w:t>承包人的价款视为已经发包</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人同意。</w:t>
      </w:r>
    </w:p>
    <w:p w14:paraId="15A0F809">
      <w:pPr>
        <w:spacing w:before="244" w:line="321" w:lineRule="auto"/>
        <w:ind w:right="110" w:firstLine="520"/>
        <w:rPr>
          <w:rFonts w:ascii="宋体" w:hAnsi="宋体" w:eastAsia="宋体" w:cs="宋体"/>
          <w:sz w:val="21"/>
          <w:szCs w:val="21"/>
          <w:highlight w:val="none"/>
        </w:rPr>
      </w:pPr>
      <w:r>
        <w:rPr>
          <w:rFonts w:ascii="宋体" w:hAnsi="宋体" w:eastAsia="宋体" w:cs="宋体"/>
          <w:spacing w:val="5"/>
          <w:sz w:val="21"/>
          <w:szCs w:val="21"/>
          <w:highlight w:val="none"/>
        </w:rPr>
        <w:t>(2)发包人应在监理人出具竣工付款证书后的14 天内，将应支付款支付给承包</w:t>
      </w:r>
      <w:r>
        <w:rPr>
          <w:rFonts w:ascii="宋体" w:hAnsi="宋体" w:eastAsia="宋体" w:cs="宋体"/>
          <w:spacing w:val="4"/>
          <w:sz w:val="21"/>
          <w:szCs w:val="21"/>
          <w:highlight w:val="none"/>
        </w:rPr>
        <w:t>人。</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发包人不按期支付的，按第17.3.4(2)目的约定，将逾期付款违约金支付给承包人。</w:t>
      </w:r>
    </w:p>
    <w:p w14:paraId="78936DB4">
      <w:pPr>
        <w:spacing w:before="239" w:line="316" w:lineRule="auto"/>
        <w:ind w:right="62" w:firstLine="520"/>
        <w:rPr>
          <w:rFonts w:ascii="宋体" w:hAnsi="宋体" w:eastAsia="宋体" w:cs="宋体"/>
          <w:sz w:val="21"/>
          <w:szCs w:val="21"/>
          <w:highlight w:val="none"/>
        </w:rPr>
      </w:pPr>
      <w:r>
        <w:rPr>
          <w:rFonts w:ascii="宋体" w:hAnsi="宋体" w:eastAsia="宋体" w:cs="宋体"/>
          <w:spacing w:val="4"/>
          <w:sz w:val="21"/>
          <w:szCs w:val="21"/>
          <w:highlight w:val="none"/>
        </w:rPr>
        <w:t>(3)承包人对发包人签认的竣工付款证书有异议</w:t>
      </w:r>
      <w:r>
        <w:rPr>
          <w:rFonts w:ascii="宋体" w:hAnsi="宋体" w:eastAsia="宋体" w:cs="宋体"/>
          <w:spacing w:val="3"/>
          <w:sz w:val="21"/>
          <w:szCs w:val="21"/>
          <w:highlight w:val="none"/>
        </w:rPr>
        <w:t>的，发包人可出具竣工付款申请单中</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承包人已同意部分的临时付款证书。存在争议的部分，</w:t>
      </w:r>
      <w:r>
        <w:rPr>
          <w:rFonts w:ascii="宋体" w:hAnsi="宋体" w:eastAsia="宋体" w:cs="宋体"/>
          <w:spacing w:val="2"/>
          <w:sz w:val="21"/>
          <w:szCs w:val="21"/>
          <w:highlight w:val="none"/>
        </w:rPr>
        <w:t>按第24条的约定执行。</w:t>
      </w:r>
    </w:p>
    <w:p w14:paraId="594F7879">
      <w:pPr>
        <w:spacing w:before="231" w:line="219" w:lineRule="auto"/>
        <w:ind w:left="520"/>
        <w:rPr>
          <w:rFonts w:ascii="宋体" w:hAnsi="宋体" w:eastAsia="宋体" w:cs="宋体"/>
          <w:sz w:val="22"/>
          <w:szCs w:val="22"/>
          <w:highlight w:val="none"/>
        </w:rPr>
      </w:pPr>
      <w:r>
        <w:rPr>
          <w:rFonts w:ascii="宋体" w:hAnsi="宋体" w:eastAsia="宋体" w:cs="宋体"/>
          <w:spacing w:val="2"/>
          <w:sz w:val="22"/>
          <w:szCs w:val="22"/>
          <w:highlight w:val="none"/>
        </w:rPr>
        <w:t>(4)竣工付款涉及政府投资资金的，按第17.3.4(4)目的约定执</w:t>
      </w:r>
      <w:r>
        <w:rPr>
          <w:rFonts w:ascii="宋体" w:hAnsi="宋体" w:eastAsia="宋体" w:cs="宋体"/>
          <w:spacing w:val="1"/>
          <w:sz w:val="22"/>
          <w:szCs w:val="22"/>
          <w:highlight w:val="none"/>
        </w:rPr>
        <w:t>行。</w:t>
      </w:r>
    </w:p>
    <w:p w14:paraId="4EADC946">
      <w:pPr>
        <w:spacing w:before="292" w:line="223" w:lineRule="auto"/>
        <w:rPr>
          <w:rFonts w:ascii="黑体" w:hAnsi="黑体" w:eastAsia="黑体" w:cs="黑体"/>
          <w:sz w:val="24"/>
          <w:szCs w:val="24"/>
          <w:highlight w:val="none"/>
        </w:rPr>
      </w:pPr>
      <w:r>
        <w:rPr>
          <w:rFonts w:ascii="黑体" w:hAnsi="黑体" w:eastAsia="黑体" w:cs="黑体"/>
          <w:spacing w:val="-6"/>
          <w:sz w:val="24"/>
          <w:szCs w:val="24"/>
          <w:highlight w:val="none"/>
        </w:rPr>
        <w:t>17.6 最终结清</w:t>
      </w:r>
    </w:p>
    <w:p w14:paraId="33DA3ABA">
      <w:pPr>
        <w:spacing w:before="138" w:line="219" w:lineRule="auto"/>
        <w:ind w:left="42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17.6.1</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5"/>
          <w:sz w:val="20"/>
          <w:szCs w:val="20"/>
          <w:highlight w:val="none"/>
        </w:rPr>
        <w:t>最终结清申请单</w:t>
      </w:r>
    </w:p>
    <w:p w14:paraId="779EFAB2">
      <w:pPr>
        <w:spacing w:before="212" w:line="311" w:lineRule="auto"/>
        <w:ind w:right="77" w:firstLine="520"/>
        <w:rPr>
          <w:rFonts w:ascii="宋体" w:hAnsi="宋体" w:eastAsia="宋体" w:cs="宋体"/>
          <w:sz w:val="22"/>
          <w:szCs w:val="22"/>
          <w:highlight w:val="none"/>
        </w:rPr>
      </w:pPr>
      <w:r>
        <w:rPr>
          <w:rFonts w:ascii="宋体" w:hAnsi="宋体" w:eastAsia="宋体" w:cs="宋体"/>
          <w:spacing w:val="-6"/>
          <w:sz w:val="22"/>
          <w:szCs w:val="22"/>
          <w:highlight w:val="none"/>
        </w:rPr>
        <w:t>(1)缺陷责任期终止证书签发后，承包人可按专</w:t>
      </w:r>
      <w:r>
        <w:rPr>
          <w:rFonts w:ascii="宋体" w:hAnsi="宋体" w:eastAsia="宋体" w:cs="宋体"/>
          <w:spacing w:val="-7"/>
          <w:sz w:val="22"/>
          <w:szCs w:val="22"/>
          <w:highlight w:val="none"/>
        </w:rPr>
        <w:t>用合同条款约定的份数和期限向监理</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人提交最终结清申请单，并提供相关证明材料。</w:t>
      </w:r>
    </w:p>
    <w:p w14:paraId="67924F81">
      <w:pPr>
        <w:spacing w:before="229" w:line="321" w:lineRule="auto"/>
        <w:ind w:right="69" w:firstLine="520"/>
        <w:rPr>
          <w:rFonts w:ascii="宋体" w:hAnsi="宋体" w:eastAsia="宋体" w:cs="宋体"/>
          <w:sz w:val="21"/>
          <w:szCs w:val="21"/>
          <w:highlight w:val="none"/>
        </w:rPr>
      </w:pPr>
      <w:r>
        <w:rPr>
          <w:rFonts w:ascii="宋体" w:hAnsi="宋体" w:eastAsia="宋体" w:cs="宋体"/>
          <w:spacing w:val="3"/>
          <w:sz w:val="21"/>
          <w:szCs w:val="21"/>
          <w:highlight w:val="none"/>
        </w:rPr>
        <w:t>(2)发包人对最终结清申请单内容有异议的，有权要求承包人进行修正和提供补充资</w:t>
      </w:r>
      <w:r>
        <w:rPr>
          <w:rFonts w:ascii="宋体" w:hAnsi="宋体" w:eastAsia="宋体" w:cs="宋体"/>
          <w:spacing w:val="15"/>
          <w:sz w:val="21"/>
          <w:szCs w:val="21"/>
          <w:highlight w:val="none"/>
        </w:rPr>
        <w:t xml:space="preserve"> </w:t>
      </w:r>
      <w:r>
        <w:rPr>
          <w:rFonts w:ascii="宋体" w:hAnsi="宋体" w:eastAsia="宋体" w:cs="宋体"/>
          <w:spacing w:val="-2"/>
          <w:sz w:val="21"/>
          <w:szCs w:val="21"/>
          <w:highlight w:val="none"/>
        </w:rPr>
        <w:t>料，由承包人向监理人提交修正后的最终结清申请单。</w:t>
      </w:r>
    </w:p>
    <w:p w14:paraId="069786B0">
      <w:pPr>
        <w:spacing w:before="210" w:line="219"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17.6.2最终结清证书和支付时间</w:t>
      </w:r>
    </w:p>
    <w:p w14:paraId="7C27CC5F">
      <w:pPr>
        <w:spacing w:before="237" w:line="376" w:lineRule="auto"/>
        <w:ind w:firstLine="520"/>
        <w:rPr>
          <w:rFonts w:ascii="宋体" w:hAnsi="宋体" w:eastAsia="宋体" w:cs="宋体"/>
          <w:sz w:val="21"/>
          <w:szCs w:val="21"/>
          <w:highlight w:val="none"/>
        </w:rPr>
      </w:pPr>
      <w:r>
        <w:rPr>
          <w:rFonts w:ascii="宋体" w:hAnsi="宋体" w:eastAsia="宋体" w:cs="宋体"/>
          <w:spacing w:val="4"/>
          <w:sz w:val="21"/>
          <w:szCs w:val="21"/>
          <w:highlight w:val="none"/>
        </w:rPr>
        <w:t>(1)监理人收到承包人提交的最终结清申请单后的14天</w:t>
      </w:r>
      <w:r>
        <w:rPr>
          <w:rFonts w:ascii="宋体" w:hAnsi="宋体" w:eastAsia="宋体" w:cs="宋体"/>
          <w:spacing w:val="3"/>
          <w:sz w:val="21"/>
          <w:szCs w:val="21"/>
          <w:highlight w:val="none"/>
        </w:rPr>
        <w:t>内，提出发包人应支付给承包</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人的价款送发包人审核并抄送承包人。发包人应在收到后14天内审核完毕，由监理人</w:t>
      </w:r>
      <w:r>
        <w:rPr>
          <w:rFonts w:ascii="宋体" w:hAnsi="宋体" w:eastAsia="宋体" w:cs="宋体"/>
          <w:spacing w:val="2"/>
          <w:sz w:val="21"/>
          <w:szCs w:val="21"/>
          <w:highlight w:val="none"/>
        </w:rPr>
        <w:t>向承</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包人出具经发包人签认的最终结清证书。监理</w:t>
      </w:r>
      <w:r>
        <w:rPr>
          <w:rFonts w:ascii="宋体" w:hAnsi="宋体" w:eastAsia="宋体" w:cs="宋体"/>
          <w:spacing w:val="-6"/>
          <w:sz w:val="21"/>
          <w:szCs w:val="21"/>
          <w:highlight w:val="none"/>
        </w:rPr>
        <w:t>人未在约定时间内核查，又未提出具体意见的，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视为承包人提交的最终结清申请已经监理人核查同意；</w:t>
      </w:r>
      <w:r>
        <w:rPr>
          <w:rFonts w:ascii="宋体" w:hAnsi="宋体" w:eastAsia="宋体" w:cs="宋体"/>
          <w:spacing w:val="-3"/>
          <w:sz w:val="21"/>
          <w:szCs w:val="21"/>
          <w:highlight w:val="none"/>
        </w:rPr>
        <w:t>发包人未在约定时间内审核又未提出</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具体意见的，监理人提出应支付给承包人的</w:t>
      </w:r>
      <w:r>
        <w:rPr>
          <w:rFonts w:ascii="宋体" w:hAnsi="宋体" w:eastAsia="宋体" w:cs="宋体"/>
          <w:spacing w:val="-2"/>
          <w:sz w:val="21"/>
          <w:szCs w:val="21"/>
          <w:highlight w:val="none"/>
        </w:rPr>
        <w:t>价款视为已经发包人同意。</w:t>
      </w:r>
    </w:p>
    <w:p w14:paraId="3DFA7BD7">
      <w:pPr>
        <w:spacing w:before="252" w:line="317" w:lineRule="auto"/>
        <w:ind w:left="420" w:right="40" w:firstLine="100"/>
        <w:rPr>
          <w:rFonts w:ascii="宋体" w:hAnsi="宋体" w:eastAsia="宋体" w:cs="宋体"/>
          <w:sz w:val="21"/>
          <w:szCs w:val="21"/>
          <w:highlight w:val="none"/>
        </w:rPr>
      </w:pPr>
      <w:r>
        <w:rPr>
          <w:rFonts w:ascii="宋体" w:hAnsi="宋体" w:eastAsia="宋体" w:cs="宋体"/>
          <w:spacing w:val="4"/>
          <w:sz w:val="21"/>
          <w:szCs w:val="21"/>
          <w:highlight w:val="none"/>
        </w:rPr>
        <w:t>(2)发包人应在监理人出具最终结清证书后的14 天内</w:t>
      </w:r>
      <w:r>
        <w:rPr>
          <w:rFonts w:ascii="宋体" w:hAnsi="宋体" w:eastAsia="宋体" w:cs="宋体"/>
          <w:spacing w:val="3"/>
          <w:sz w:val="21"/>
          <w:szCs w:val="21"/>
          <w:highlight w:val="none"/>
        </w:rPr>
        <w:t>，将应支付款支付给承包人。</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发包人不按期支付的，按第17.3.4(2)目的约定，将逾期付款违约金支付给承包人。</w:t>
      </w:r>
    </w:p>
    <w:p w14:paraId="03AC400D">
      <w:pPr>
        <w:spacing w:before="230" w:line="219" w:lineRule="auto"/>
        <w:ind w:left="520"/>
        <w:rPr>
          <w:rFonts w:ascii="宋体" w:hAnsi="宋体" w:eastAsia="宋体" w:cs="宋体"/>
          <w:sz w:val="21"/>
          <w:szCs w:val="21"/>
          <w:highlight w:val="none"/>
        </w:rPr>
      </w:pPr>
      <w:r>
        <w:rPr>
          <w:rFonts w:ascii="宋体" w:hAnsi="宋体" w:eastAsia="宋体" w:cs="宋体"/>
          <w:spacing w:val="6"/>
          <w:sz w:val="21"/>
          <w:szCs w:val="21"/>
          <w:highlight w:val="none"/>
        </w:rPr>
        <w:t>(3)承包人对发包人签认的最终结清证书有异议的，按第24条的约定执行。</w:t>
      </w:r>
    </w:p>
    <w:p w14:paraId="1480390F">
      <w:pPr>
        <w:spacing w:before="231" w:line="219" w:lineRule="auto"/>
        <w:ind w:left="520"/>
        <w:rPr>
          <w:rFonts w:ascii="宋体" w:hAnsi="宋体" w:eastAsia="宋体" w:cs="宋体"/>
          <w:sz w:val="22"/>
          <w:szCs w:val="22"/>
          <w:highlight w:val="none"/>
        </w:rPr>
      </w:pPr>
      <w:r>
        <w:rPr>
          <w:rFonts w:ascii="宋体" w:hAnsi="宋体" w:eastAsia="宋体" w:cs="宋体"/>
          <w:spacing w:val="1"/>
          <w:sz w:val="22"/>
          <w:szCs w:val="22"/>
          <w:highlight w:val="none"/>
        </w:rPr>
        <w:t>(4)最终结清付款涉及政府投资资金的，按第17.3.4(4)目的约定执行。</w:t>
      </w:r>
    </w:p>
    <w:p w14:paraId="0DF748DA">
      <w:pPr>
        <w:spacing w:line="219" w:lineRule="auto"/>
        <w:rPr>
          <w:rFonts w:ascii="宋体" w:hAnsi="宋体" w:eastAsia="宋体" w:cs="宋体"/>
          <w:sz w:val="22"/>
          <w:szCs w:val="22"/>
          <w:highlight w:val="none"/>
        </w:rPr>
        <w:sectPr>
          <w:footerReference r:id="rId205" w:type="default"/>
          <w:pgSz w:w="11910" w:h="16840"/>
          <w:pgMar w:top="400" w:right="1744" w:bottom="1238" w:left="1779" w:header="0" w:footer="1006" w:gutter="0"/>
          <w:cols w:space="720" w:num="1"/>
        </w:sectPr>
      </w:pPr>
    </w:p>
    <w:p w14:paraId="2B1BC1B7">
      <w:pPr>
        <w:pStyle w:val="2"/>
        <w:spacing w:line="316" w:lineRule="auto"/>
        <w:rPr>
          <w:highlight w:val="none"/>
        </w:rPr>
      </w:pPr>
    </w:p>
    <w:p w14:paraId="637D10A5">
      <w:pPr>
        <w:pStyle w:val="2"/>
        <w:spacing w:line="317" w:lineRule="auto"/>
        <w:rPr>
          <w:highlight w:val="none"/>
        </w:rPr>
      </w:pPr>
    </w:p>
    <w:p w14:paraId="498A67FB">
      <w:pPr>
        <w:pStyle w:val="2"/>
        <w:spacing w:line="317" w:lineRule="auto"/>
        <w:rPr>
          <w:highlight w:val="none"/>
        </w:rPr>
      </w:pPr>
    </w:p>
    <w:p w14:paraId="5DC451D1">
      <w:pPr>
        <w:pStyle w:val="2"/>
        <w:spacing w:before="78" w:line="327" w:lineRule="exact"/>
        <w:outlineLvl w:val="1"/>
        <w:rPr>
          <w:rFonts w:ascii="黑体" w:hAnsi="黑体" w:eastAsia="黑体" w:cs="黑体"/>
          <w:sz w:val="24"/>
          <w:szCs w:val="24"/>
          <w:highlight w:val="none"/>
        </w:rPr>
      </w:pPr>
      <w:bookmarkStart w:id="195" w:name="bookmark282"/>
      <w:bookmarkEnd w:id="195"/>
      <w:bookmarkStart w:id="196" w:name="bookmark113"/>
      <w:bookmarkEnd w:id="196"/>
      <w:r>
        <w:rPr>
          <w:position w:val="1"/>
          <w:sz w:val="24"/>
          <w:szCs w:val="24"/>
          <w:highlight w:val="none"/>
        </w:rPr>
        <w:t xml:space="preserve">18. </w:t>
      </w:r>
      <w:r>
        <w:rPr>
          <w:rFonts w:ascii="黑体" w:hAnsi="黑体" w:eastAsia="黑体" w:cs="黑体"/>
          <w:position w:val="1"/>
          <w:sz w:val="24"/>
          <w:szCs w:val="24"/>
          <w:highlight w:val="none"/>
        </w:rPr>
        <w:t>竣工试验和竣工验收</w:t>
      </w:r>
    </w:p>
    <w:p w14:paraId="525683A1">
      <w:pPr>
        <w:spacing w:before="185" w:line="221" w:lineRule="auto"/>
        <w:rPr>
          <w:rFonts w:ascii="黑体" w:hAnsi="黑体" w:eastAsia="黑体" w:cs="黑体"/>
          <w:sz w:val="24"/>
          <w:szCs w:val="24"/>
          <w:highlight w:val="none"/>
        </w:rPr>
      </w:pPr>
      <w:r>
        <w:rPr>
          <w:rFonts w:ascii="黑体" w:hAnsi="黑体" w:eastAsia="黑体" w:cs="黑体"/>
          <w:spacing w:val="-7"/>
          <w:sz w:val="24"/>
          <w:szCs w:val="24"/>
          <w:highlight w:val="none"/>
        </w:rPr>
        <w:t>18.1 竣工试验</w:t>
      </w:r>
    </w:p>
    <w:p w14:paraId="7FEA1F37">
      <w:pPr>
        <w:spacing w:before="133" w:line="219" w:lineRule="auto"/>
        <w:ind w:left="440"/>
        <w:rPr>
          <w:rFonts w:ascii="宋体" w:hAnsi="宋体" w:eastAsia="宋体" w:cs="宋体"/>
          <w:sz w:val="20"/>
          <w:szCs w:val="20"/>
          <w:highlight w:val="none"/>
        </w:rPr>
      </w:pPr>
      <w:r>
        <w:rPr>
          <w:rFonts w:ascii="宋体" w:hAnsi="宋体" w:eastAsia="宋体" w:cs="宋体"/>
          <w:spacing w:val="13"/>
          <w:sz w:val="20"/>
          <w:szCs w:val="20"/>
          <w:highlight w:val="none"/>
        </w:rPr>
        <w:t>18.</w:t>
      </w:r>
      <w:r>
        <w:rPr>
          <w:rFonts w:ascii="宋体" w:hAnsi="宋体" w:eastAsia="宋体" w:cs="宋体"/>
          <w:spacing w:val="-47"/>
          <w:sz w:val="20"/>
          <w:szCs w:val="20"/>
          <w:highlight w:val="none"/>
        </w:rPr>
        <w:t xml:space="preserve"> </w:t>
      </w:r>
      <w:r>
        <w:rPr>
          <w:rFonts w:ascii="宋体" w:hAnsi="宋体" w:eastAsia="宋体" w:cs="宋体"/>
          <w:spacing w:val="13"/>
          <w:sz w:val="20"/>
          <w:szCs w:val="20"/>
          <w:highlight w:val="none"/>
        </w:rPr>
        <w:t>1.</w:t>
      </w:r>
      <w:r>
        <w:rPr>
          <w:rFonts w:ascii="宋体" w:hAnsi="宋体" w:eastAsia="宋体" w:cs="宋体"/>
          <w:spacing w:val="-59"/>
          <w:sz w:val="20"/>
          <w:szCs w:val="20"/>
          <w:highlight w:val="none"/>
        </w:rPr>
        <w:t xml:space="preserve"> </w:t>
      </w:r>
      <w:r>
        <w:rPr>
          <w:rFonts w:ascii="宋体" w:hAnsi="宋体" w:eastAsia="宋体" w:cs="宋体"/>
          <w:spacing w:val="13"/>
          <w:sz w:val="20"/>
          <w:szCs w:val="20"/>
          <w:highlight w:val="none"/>
        </w:rPr>
        <w:t>1承包人按照第5.5款和第5.6款提交文件后，进行竣工试验。</w:t>
      </w:r>
    </w:p>
    <w:p w14:paraId="42A3B48A">
      <w:pPr>
        <w:spacing w:before="242" w:line="369" w:lineRule="auto"/>
        <w:ind w:right="44" w:firstLine="440"/>
        <w:rPr>
          <w:rFonts w:ascii="宋体" w:hAnsi="宋体" w:eastAsia="宋体" w:cs="宋体"/>
          <w:sz w:val="20"/>
          <w:szCs w:val="20"/>
          <w:highlight w:val="none"/>
        </w:rPr>
      </w:pPr>
      <w:r>
        <w:rPr>
          <w:rFonts w:ascii="宋体" w:hAnsi="宋体" w:eastAsia="宋体" w:cs="宋体"/>
          <w:spacing w:val="12"/>
          <w:sz w:val="20"/>
          <w:szCs w:val="20"/>
          <w:highlight w:val="none"/>
        </w:rPr>
        <w:t>18.1.2承包人应提前21天将可以开始进行竣工试验的日期通知监理人，监理人应在该</w:t>
      </w:r>
      <w:r>
        <w:rPr>
          <w:rFonts w:ascii="宋体" w:hAnsi="宋体" w:eastAsia="宋体" w:cs="宋体"/>
          <w:spacing w:val="17"/>
          <w:sz w:val="20"/>
          <w:szCs w:val="20"/>
          <w:highlight w:val="none"/>
        </w:rPr>
        <w:t xml:space="preserve"> </w:t>
      </w:r>
      <w:r>
        <w:rPr>
          <w:rFonts w:ascii="宋体" w:hAnsi="宋体" w:eastAsia="宋体" w:cs="宋体"/>
          <w:spacing w:val="13"/>
          <w:sz w:val="20"/>
          <w:szCs w:val="20"/>
          <w:highlight w:val="none"/>
        </w:rPr>
        <w:t>日期后14天内，确定竣工试验具体时间。除专用</w:t>
      </w:r>
      <w:r>
        <w:rPr>
          <w:rFonts w:ascii="宋体" w:hAnsi="宋体" w:eastAsia="宋体" w:cs="宋体"/>
          <w:spacing w:val="12"/>
          <w:sz w:val="20"/>
          <w:szCs w:val="20"/>
          <w:highlight w:val="none"/>
        </w:rPr>
        <w:t>合同条款中另有约定外，竣工试验应按下</w:t>
      </w:r>
      <w:r>
        <w:rPr>
          <w:rFonts w:ascii="宋体" w:hAnsi="宋体" w:eastAsia="宋体" w:cs="宋体"/>
          <w:sz w:val="20"/>
          <w:szCs w:val="20"/>
          <w:highlight w:val="none"/>
        </w:rPr>
        <w:t xml:space="preserve"> </w:t>
      </w:r>
      <w:r>
        <w:rPr>
          <w:rFonts w:ascii="宋体" w:hAnsi="宋体" w:eastAsia="宋体" w:cs="宋体"/>
          <w:spacing w:val="1"/>
          <w:sz w:val="20"/>
          <w:szCs w:val="20"/>
          <w:highlight w:val="none"/>
        </w:rPr>
        <w:t>述顺序进行：</w:t>
      </w:r>
    </w:p>
    <w:p w14:paraId="5DA948C9">
      <w:pPr>
        <w:spacing w:before="212" w:line="329" w:lineRule="auto"/>
        <w:ind w:right="95" w:firstLine="529"/>
        <w:rPr>
          <w:rFonts w:ascii="宋体" w:hAnsi="宋体" w:eastAsia="宋体" w:cs="宋体"/>
          <w:sz w:val="21"/>
          <w:szCs w:val="21"/>
          <w:highlight w:val="none"/>
        </w:rPr>
      </w:pPr>
      <w:r>
        <w:rPr>
          <w:rFonts w:ascii="宋体" w:hAnsi="宋体" w:eastAsia="宋体" w:cs="宋体"/>
          <w:spacing w:val="3"/>
          <w:sz w:val="21"/>
          <w:szCs w:val="21"/>
          <w:highlight w:val="none"/>
        </w:rPr>
        <w:t>(1)第一阶段，承包人进行适当的检查和功能性试验，保证</w:t>
      </w:r>
      <w:r>
        <w:rPr>
          <w:rFonts w:ascii="宋体" w:hAnsi="宋体" w:eastAsia="宋体" w:cs="宋体"/>
          <w:spacing w:val="2"/>
          <w:sz w:val="21"/>
          <w:szCs w:val="21"/>
          <w:highlight w:val="none"/>
        </w:rPr>
        <w:t>每一项工程设备都满足合</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同要求，并能安全地进入下一阶段试验；</w:t>
      </w:r>
    </w:p>
    <w:p w14:paraId="242BFE64">
      <w:pPr>
        <w:spacing w:before="231" w:line="316" w:lineRule="auto"/>
        <w:ind w:right="79" w:firstLine="529"/>
        <w:rPr>
          <w:rFonts w:ascii="宋体" w:hAnsi="宋体" w:eastAsia="宋体" w:cs="宋体"/>
          <w:sz w:val="21"/>
          <w:szCs w:val="21"/>
          <w:highlight w:val="none"/>
        </w:rPr>
      </w:pPr>
      <w:r>
        <w:rPr>
          <w:rFonts w:ascii="宋体" w:hAnsi="宋体" w:eastAsia="宋体" w:cs="宋体"/>
          <w:spacing w:val="3"/>
          <w:sz w:val="21"/>
          <w:szCs w:val="21"/>
          <w:highlight w:val="none"/>
        </w:rPr>
        <w:t>(2)第二阶段，承包人进行试验，保证工程或区段工程满足合同要求，在所有可利用</w:t>
      </w:r>
      <w:r>
        <w:rPr>
          <w:rFonts w:ascii="宋体" w:hAnsi="宋体" w:eastAsia="宋体" w:cs="宋体"/>
          <w:spacing w:val="5"/>
          <w:sz w:val="21"/>
          <w:szCs w:val="21"/>
          <w:highlight w:val="none"/>
        </w:rPr>
        <w:t xml:space="preserve"> </w:t>
      </w:r>
      <w:r>
        <w:rPr>
          <w:rFonts w:ascii="宋体" w:hAnsi="宋体" w:eastAsia="宋体" w:cs="宋体"/>
          <w:spacing w:val="-7"/>
          <w:sz w:val="21"/>
          <w:szCs w:val="21"/>
          <w:highlight w:val="none"/>
        </w:rPr>
        <w:t>的操作条件下安全运行；</w:t>
      </w:r>
    </w:p>
    <w:p w14:paraId="64DE1795">
      <w:pPr>
        <w:spacing w:before="230" w:line="321" w:lineRule="auto"/>
        <w:ind w:firstLine="529"/>
        <w:rPr>
          <w:rFonts w:ascii="宋体" w:hAnsi="宋体" w:eastAsia="宋体" w:cs="宋体"/>
          <w:sz w:val="21"/>
          <w:szCs w:val="21"/>
          <w:highlight w:val="none"/>
        </w:rPr>
      </w:pPr>
      <w:r>
        <w:rPr>
          <w:rFonts w:ascii="宋体" w:hAnsi="宋体" w:eastAsia="宋体" w:cs="宋体"/>
          <w:sz w:val="21"/>
          <w:szCs w:val="21"/>
          <w:highlight w:val="none"/>
        </w:rPr>
        <w:t>(3)第三阶段，当工程能安全运行时，承包人应通知监理人，</w:t>
      </w:r>
      <w:r>
        <w:rPr>
          <w:rFonts w:ascii="宋体" w:hAnsi="宋体" w:eastAsia="宋体" w:cs="宋体"/>
          <w:spacing w:val="-1"/>
          <w:sz w:val="21"/>
          <w:szCs w:val="21"/>
          <w:highlight w:val="none"/>
        </w:rPr>
        <w:t>可以进行其他竣工试验，</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包括各种性能测试，以证明工程符合发包人要求中列明的</w:t>
      </w:r>
      <w:r>
        <w:rPr>
          <w:rFonts w:ascii="宋体" w:hAnsi="宋体" w:eastAsia="宋体" w:cs="宋体"/>
          <w:spacing w:val="-2"/>
          <w:sz w:val="21"/>
          <w:szCs w:val="21"/>
          <w:highlight w:val="none"/>
        </w:rPr>
        <w:t>性能保证指标。</w:t>
      </w:r>
    </w:p>
    <w:p w14:paraId="7366C4C0">
      <w:pPr>
        <w:spacing w:before="230" w:line="321" w:lineRule="auto"/>
        <w:ind w:right="97" w:firstLine="440"/>
        <w:rPr>
          <w:rFonts w:ascii="宋体" w:hAnsi="宋体" w:eastAsia="宋体" w:cs="宋体"/>
          <w:sz w:val="21"/>
          <w:szCs w:val="21"/>
          <w:highlight w:val="none"/>
        </w:rPr>
      </w:pPr>
      <w:r>
        <w:rPr>
          <w:rFonts w:ascii="宋体" w:hAnsi="宋体" w:eastAsia="宋体" w:cs="宋体"/>
          <w:spacing w:val="2"/>
          <w:sz w:val="21"/>
          <w:szCs w:val="21"/>
          <w:highlight w:val="none"/>
        </w:rPr>
        <w:t>18.1.3承包人应按合同约定进行工程及工程设备试运行。试运行所需人员、设备、材</w:t>
      </w:r>
      <w:r>
        <w:rPr>
          <w:rFonts w:ascii="宋体" w:hAnsi="宋体" w:eastAsia="宋体" w:cs="宋体"/>
          <w:spacing w:val="6"/>
          <w:sz w:val="21"/>
          <w:szCs w:val="21"/>
          <w:highlight w:val="none"/>
        </w:rPr>
        <w:t xml:space="preserve"> </w:t>
      </w:r>
      <w:r>
        <w:rPr>
          <w:rFonts w:ascii="宋体" w:hAnsi="宋体" w:eastAsia="宋体" w:cs="宋体"/>
          <w:sz w:val="21"/>
          <w:szCs w:val="21"/>
          <w:highlight w:val="none"/>
        </w:rPr>
        <w:t>料、燃料、电力、消耗品、工具等必要的条件以及试运行费用等由专用</w:t>
      </w:r>
      <w:r>
        <w:rPr>
          <w:rFonts w:ascii="宋体" w:hAnsi="宋体" w:eastAsia="宋体" w:cs="宋体"/>
          <w:spacing w:val="-1"/>
          <w:sz w:val="21"/>
          <w:szCs w:val="21"/>
          <w:highlight w:val="none"/>
        </w:rPr>
        <w:t>合同条款规定。</w:t>
      </w:r>
    </w:p>
    <w:p w14:paraId="6070335C">
      <w:pPr>
        <w:spacing w:before="230" w:line="321" w:lineRule="auto"/>
        <w:ind w:right="86" w:firstLine="440"/>
        <w:rPr>
          <w:rFonts w:ascii="宋体" w:hAnsi="宋体" w:eastAsia="宋体" w:cs="宋体"/>
          <w:sz w:val="21"/>
          <w:szCs w:val="21"/>
          <w:highlight w:val="none"/>
        </w:rPr>
      </w:pPr>
      <w:r>
        <w:rPr>
          <w:rFonts w:ascii="宋体" w:hAnsi="宋体" w:eastAsia="宋体" w:cs="宋体"/>
          <w:spacing w:val="2"/>
          <w:sz w:val="21"/>
          <w:szCs w:val="21"/>
          <w:highlight w:val="none"/>
        </w:rPr>
        <w:t>18.1.4某项竣工试验未能通过的，承包人应按照监理人的指示限期改正，并承担合同</w:t>
      </w:r>
      <w:r>
        <w:rPr>
          <w:rFonts w:ascii="宋体" w:hAnsi="宋体" w:eastAsia="宋体" w:cs="宋体"/>
          <w:spacing w:val="17"/>
          <w:sz w:val="21"/>
          <w:szCs w:val="21"/>
          <w:highlight w:val="none"/>
        </w:rPr>
        <w:t xml:space="preserve"> </w:t>
      </w:r>
      <w:r>
        <w:rPr>
          <w:rFonts w:ascii="宋体" w:hAnsi="宋体" w:eastAsia="宋体" w:cs="宋体"/>
          <w:spacing w:val="-5"/>
          <w:sz w:val="21"/>
          <w:szCs w:val="21"/>
          <w:highlight w:val="none"/>
        </w:rPr>
        <w:t>约定的相应责任。</w:t>
      </w:r>
    </w:p>
    <w:p w14:paraId="22BB4EDD">
      <w:pPr>
        <w:spacing w:before="289" w:line="221" w:lineRule="auto"/>
        <w:rPr>
          <w:rFonts w:ascii="黑体" w:hAnsi="黑体" w:eastAsia="黑体" w:cs="黑体"/>
          <w:sz w:val="24"/>
          <w:szCs w:val="24"/>
          <w:highlight w:val="none"/>
        </w:rPr>
      </w:pPr>
      <w:r>
        <w:rPr>
          <w:rFonts w:ascii="黑体" w:hAnsi="黑体" w:eastAsia="黑体" w:cs="黑体"/>
          <w:spacing w:val="6"/>
          <w:sz w:val="24"/>
          <w:szCs w:val="24"/>
          <w:highlight w:val="none"/>
        </w:rPr>
        <w:t>18.2竣工验收申请报告</w:t>
      </w:r>
    </w:p>
    <w:p w14:paraId="178A9AA3">
      <w:pPr>
        <w:spacing w:before="122" w:line="218" w:lineRule="auto"/>
        <w:ind w:left="440"/>
        <w:rPr>
          <w:rFonts w:ascii="宋体" w:hAnsi="宋体" w:eastAsia="宋体" w:cs="宋体"/>
          <w:sz w:val="22"/>
          <w:szCs w:val="22"/>
          <w:highlight w:val="none"/>
        </w:rPr>
      </w:pPr>
      <w:r>
        <w:rPr>
          <w:rFonts w:ascii="宋体" w:hAnsi="宋体" w:eastAsia="宋体" w:cs="宋体"/>
          <w:spacing w:val="-11"/>
          <w:sz w:val="22"/>
          <w:szCs w:val="22"/>
          <w:highlight w:val="none"/>
        </w:rPr>
        <w:t>当工程具备以下条件时，承包人即可向监理人报送竣工验收申请报告：</w:t>
      </w:r>
    </w:p>
    <w:p w14:paraId="37F307D4">
      <w:pPr>
        <w:spacing w:before="213" w:line="355" w:lineRule="auto"/>
        <w:ind w:right="96" w:firstLine="529"/>
        <w:rPr>
          <w:rFonts w:ascii="宋体" w:hAnsi="宋体" w:eastAsia="宋体" w:cs="宋体"/>
          <w:sz w:val="21"/>
          <w:szCs w:val="21"/>
          <w:highlight w:val="none"/>
        </w:rPr>
      </w:pPr>
      <w:r>
        <w:rPr>
          <w:rFonts w:ascii="宋体" w:hAnsi="宋体" w:eastAsia="宋体" w:cs="宋体"/>
          <w:spacing w:val="8"/>
          <w:sz w:val="21"/>
          <w:szCs w:val="21"/>
          <w:highlight w:val="none"/>
        </w:rPr>
        <w:t xml:space="preserve">(1)除监理人同意列入缺陷责任期内完成的尾工(甩项)工程和缺陷修补工作外，合 </w:t>
      </w:r>
      <w:r>
        <w:rPr>
          <w:rFonts w:ascii="宋体" w:hAnsi="宋体" w:eastAsia="宋体" w:cs="宋体"/>
          <w:spacing w:val="-3"/>
          <w:sz w:val="21"/>
          <w:szCs w:val="21"/>
          <w:highlight w:val="none"/>
        </w:rPr>
        <w:t>同范围内的全部区段工程以及有关工作，包括合同要求的试验和竣工试验均已完成，并符合</w:t>
      </w:r>
      <w:r>
        <w:rPr>
          <w:rFonts w:ascii="宋体" w:hAnsi="宋体" w:eastAsia="宋体" w:cs="宋体"/>
          <w:spacing w:val="17"/>
          <w:sz w:val="21"/>
          <w:szCs w:val="21"/>
          <w:highlight w:val="none"/>
        </w:rPr>
        <w:t xml:space="preserve"> </w:t>
      </w:r>
      <w:r>
        <w:rPr>
          <w:rFonts w:ascii="宋体" w:hAnsi="宋体" w:eastAsia="宋体" w:cs="宋体"/>
          <w:spacing w:val="-10"/>
          <w:sz w:val="21"/>
          <w:szCs w:val="21"/>
          <w:highlight w:val="none"/>
        </w:rPr>
        <w:t>合同要求；</w:t>
      </w:r>
    </w:p>
    <w:p w14:paraId="7245D4C5">
      <w:pPr>
        <w:spacing w:before="228"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(2)已按合同约定的内容和份数备齐了符合</w:t>
      </w:r>
      <w:r>
        <w:rPr>
          <w:rFonts w:ascii="宋体" w:hAnsi="宋体" w:eastAsia="宋体" w:cs="宋体"/>
          <w:spacing w:val="-8"/>
          <w:sz w:val="22"/>
          <w:szCs w:val="22"/>
          <w:highlight w:val="none"/>
        </w:rPr>
        <w:t>要求的竣工文件；</w:t>
      </w:r>
    </w:p>
    <w:p w14:paraId="1A450521">
      <w:pPr>
        <w:spacing w:before="228" w:line="317" w:lineRule="auto"/>
        <w:ind w:right="93" w:firstLine="529"/>
        <w:rPr>
          <w:rFonts w:ascii="宋体" w:hAnsi="宋体" w:eastAsia="宋体" w:cs="宋体"/>
          <w:sz w:val="21"/>
          <w:szCs w:val="21"/>
          <w:highlight w:val="none"/>
        </w:rPr>
      </w:pPr>
      <w:r>
        <w:rPr>
          <w:rFonts w:ascii="宋体" w:hAnsi="宋体" w:eastAsia="宋体" w:cs="宋体"/>
          <w:spacing w:val="8"/>
          <w:sz w:val="21"/>
          <w:szCs w:val="21"/>
          <w:highlight w:val="none"/>
        </w:rPr>
        <w:t>(3)已按监理人的要求编制了在缺陷责任期内完成的尾工(甩项)工程和缺陷修补工</w:t>
      </w:r>
      <w:r>
        <w:rPr>
          <w:rFonts w:ascii="宋体" w:hAnsi="宋体" w:eastAsia="宋体" w:cs="宋体"/>
          <w:spacing w:val="11"/>
          <w:sz w:val="21"/>
          <w:szCs w:val="21"/>
          <w:highlight w:val="none"/>
        </w:rPr>
        <w:t xml:space="preserve"> </w:t>
      </w:r>
      <w:r>
        <w:rPr>
          <w:rFonts w:ascii="宋体" w:hAnsi="宋体" w:eastAsia="宋体" w:cs="宋体"/>
          <w:spacing w:val="-5"/>
          <w:sz w:val="21"/>
          <w:szCs w:val="21"/>
          <w:highlight w:val="none"/>
        </w:rPr>
        <w:t>作清单以及相应施工计划；</w:t>
      </w:r>
    </w:p>
    <w:p w14:paraId="1441D276">
      <w:pPr>
        <w:spacing w:before="230" w:line="219" w:lineRule="auto"/>
        <w:ind w:left="529"/>
        <w:rPr>
          <w:rFonts w:ascii="宋体" w:hAnsi="宋体" w:eastAsia="宋体" w:cs="宋体"/>
          <w:sz w:val="22"/>
          <w:szCs w:val="22"/>
          <w:highlight w:val="none"/>
        </w:rPr>
      </w:pPr>
      <w:r>
        <w:rPr>
          <w:rFonts w:ascii="宋体" w:hAnsi="宋体" w:eastAsia="宋体" w:cs="宋体"/>
          <w:spacing w:val="-7"/>
          <w:sz w:val="22"/>
          <w:szCs w:val="22"/>
          <w:highlight w:val="none"/>
        </w:rPr>
        <w:t>(4)监理人要求在竣工验收前应完成的其他工作；</w:t>
      </w:r>
    </w:p>
    <w:p w14:paraId="1C07E607">
      <w:pPr>
        <w:spacing w:before="209" w:line="219" w:lineRule="auto"/>
        <w:ind w:left="529"/>
        <w:rPr>
          <w:rFonts w:ascii="宋体" w:hAnsi="宋体" w:eastAsia="宋体" w:cs="宋体"/>
          <w:sz w:val="22"/>
          <w:szCs w:val="22"/>
          <w:highlight w:val="none"/>
        </w:rPr>
      </w:pPr>
      <w:r>
        <w:rPr>
          <w:rFonts w:ascii="宋体" w:hAnsi="宋体" w:eastAsia="宋体" w:cs="宋体"/>
          <w:spacing w:val="-4"/>
          <w:sz w:val="22"/>
          <w:szCs w:val="22"/>
          <w:highlight w:val="none"/>
        </w:rPr>
        <w:t>(5)监理人要求提交的竣工验收资料清单。</w:t>
      </w:r>
    </w:p>
    <w:p w14:paraId="5C2499CC">
      <w:pPr>
        <w:spacing w:before="298" w:line="221" w:lineRule="auto"/>
        <w:rPr>
          <w:rFonts w:ascii="黑体" w:hAnsi="黑体" w:eastAsia="黑体" w:cs="黑体"/>
          <w:sz w:val="24"/>
          <w:szCs w:val="24"/>
          <w:highlight w:val="none"/>
        </w:rPr>
      </w:pPr>
      <w:r>
        <w:rPr>
          <w:rFonts w:ascii="黑体" w:hAnsi="黑体" w:eastAsia="黑体" w:cs="黑体"/>
          <w:spacing w:val="9"/>
          <w:sz w:val="24"/>
          <w:szCs w:val="24"/>
          <w:highlight w:val="none"/>
        </w:rPr>
        <w:t>18.3竣工验收</w:t>
      </w:r>
    </w:p>
    <w:p w14:paraId="2A462C1B">
      <w:pPr>
        <w:spacing w:before="123" w:line="389" w:lineRule="auto"/>
        <w:ind w:right="65" w:firstLine="440"/>
        <w:rPr>
          <w:rFonts w:ascii="宋体" w:hAnsi="宋体" w:eastAsia="宋体" w:cs="宋体"/>
          <w:sz w:val="22"/>
          <w:szCs w:val="22"/>
          <w:highlight w:val="none"/>
        </w:rPr>
      </w:pPr>
      <w:r>
        <w:rPr>
          <w:rFonts w:ascii="宋体" w:hAnsi="宋体" w:eastAsia="宋体" w:cs="宋体"/>
          <w:spacing w:val="-9"/>
          <w:sz w:val="22"/>
          <w:szCs w:val="22"/>
          <w:highlight w:val="none"/>
        </w:rPr>
        <w:t>监理人收到承包人按第18.2 款约定提交的竣工验收申请报告后，应审查申请报告</w:t>
      </w:r>
      <w:r>
        <w:rPr>
          <w:rFonts w:ascii="宋体" w:hAnsi="宋体" w:eastAsia="宋体" w:cs="宋体"/>
          <w:spacing w:val="-10"/>
          <w:sz w:val="22"/>
          <w:szCs w:val="22"/>
          <w:highlight w:val="none"/>
        </w:rPr>
        <w:t>的各</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项内容，并按以下不同情况进行处理。</w:t>
      </w:r>
    </w:p>
    <w:p w14:paraId="3BFEDFB7">
      <w:pPr>
        <w:spacing w:line="389" w:lineRule="auto"/>
        <w:rPr>
          <w:rFonts w:ascii="宋体" w:hAnsi="宋体" w:eastAsia="宋体" w:cs="宋体"/>
          <w:sz w:val="22"/>
          <w:szCs w:val="22"/>
          <w:highlight w:val="none"/>
        </w:rPr>
        <w:sectPr>
          <w:footerReference r:id="rId206" w:type="default"/>
          <w:pgSz w:w="11910" w:h="16840"/>
          <w:pgMar w:top="400" w:right="1734" w:bottom="1228" w:left="1779" w:header="0" w:footer="1009" w:gutter="0"/>
          <w:cols w:space="720" w:num="1"/>
        </w:sectPr>
      </w:pPr>
    </w:p>
    <w:p w14:paraId="696F98ED">
      <w:pPr>
        <w:pStyle w:val="2"/>
        <w:spacing w:line="269" w:lineRule="auto"/>
        <w:rPr>
          <w:highlight w:val="none"/>
        </w:rPr>
      </w:pPr>
    </w:p>
    <w:p w14:paraId="25D353B5">
      <w:pPr>
        <w:pStyle w:val="2"/>
        <w:spacing w:line="269" w:lineRule="auto"/>
        <w:rPr>
          <w:highlight w:val="none"/>
        </w:rPr>
      </w:pPr>
    </w:p>
    <w:p w14:paraId="3BDABAE2">
      <w:pPr>
        <w:pStyle w:val="2"/>
        <w:spacing w:line="269" w:lineRule="auto"/>
        <w:rPr>
          <w:highlight w:val="none"/>
        </w:rPr>
      </w:pPr>
    </w:p>
    <w:p w14:paraId="3A0E9812">
      <w:pPr>
        <w:pStyle w:val="2"/>
        <w:spacing w:line="269" w:lineRule="auto"/>
        <w:rPr>
          <w:highlight w:val="none"/>
        </w:rPr>
      </w:pPr>
    </w:p>
    <w:p w14:paraId="71419AD6">
      <w:pPr>
        <w:spacing w:before="71" w:line="378" w:lineRule="auto"/>
        <w:ind w:right="93" w:firstLine="440"/>
        <w:rPr>
          <w:rFonts w:ascii="宋体" w:hAnsi="宋体" w:eastAsia="宋体" w:cs="宋体"/>
          <w:sz w:val="21"/>
          <w:szCs w:val="21"/>
          <w:highlight w:val="none"/>
        </w:rPr>
      </w:pPr>
      <w:r>
        <w:rPr>
          <w:rFonts w:ascii="Times New Roman" w:hAnsi="Times New Roman" w:eastAsia="Times New Roman" w:cs="Times New Roman"/>
          <w:spacing w:val="-7"/>
          <w:sz w:val="22"/>
          <w:szCs w:val="22"/>
          <w:highlight w:val="none"/>
        </w:rPr>
        <w:t xml:space="preserve">18.3.1   </w:t>
      </w:r>
      <w:r>
        <w:rPr>
          <w:rFonts w:ascii="宋体" w:hAnsi="宋体" w:eastAsia="宋体" w:cs="宋体"/>
          <w:spacing w:val="-7"/>
          <w:sz w:val="22"/>
          <w:szCs w:val="22"/>
          <w:highlight w:val="none"/>
        </w:rPr>
        <w:t>监理人审查后认为尚不具备竣工验</w:t>
      </w:r>
      <w:r>
        <w:rPr>
          <w:rFonts w:ascii="宋体" w:hAnsi="宋体" w:eastAsia="宋体" w:cs="宋体"/>
          <w:spacing w:val="-8"/>
          <w:sz w:val="22"/>
          <w:szCs w:val="22"/>
          <w:highlight w:val="none"/>
        </w:rPr>
        <w:t>收条件的，应在收到竣工验收申请报告后的</w:t>
      </w:r>
      <w:r>
        <w:rPr>
          <w:rFonts w:ascii="宋体" w:hAnsi="宋体" w:eastAsia="宋体" w:cs="宋体"/>
          <w:sz w:val="22"/>
          <w:szCs w:val="22"/>
          <w:highlight w:val="none"/>
        </w:rPr>
        <w:t xml:space="preserve"> </w:t>
      </w:r>
      <w:r>
        <w:rPr>
          <w:rFonts w:ascii="宋体" w:hAnsi="宋体" w:eastAsia="宋体" w:cs="宋体"/>
          <w:spacing w:val="3"/>
          <w:sz w:val="21"/>
          <w:szCs w:val="21"/>
          <w:highlight w:val="none"/>
        </w:rPr>
        <w:t>28天内通知承包人，指出在颁发接收证书前承包人还需进行的工作内容。承包人</w:t>
      </w:r>
      <w:r>
        <w:rPr>
          <w:rFonts w:ascii="宋体" w:hAnsi="宋体" w:eastAsia="宋体" w:cs="宋体"/>
          <w:spacing w:val="2"/>
          <w:sz w:val="21"/>
          <w:szCs w:val="21"/>
          <w:highlight w:val="none"/>
        </w:rPr>
        <w:t>完成监理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人通知的全部工作内容后，应再次提交竣工验收申请报告，直</w:t>
      </w:r>
      <w:r>
        <w:rPr>
          <w:rFonts w:ascii="宋体" w:hAnsi="宋体" w:eastAsia="宋体" w:cs="宋体"/>
          <w:spacing w:val="-3"/>
          <w:sz w:val="21"/>
          <w:szCs w:val="21"/>
          <w:highlight w:val="none"/>
        </w:rPr>
        <w:t>至监理人同意为止。监理人收</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到竣工验收申请报告后28天内不予答复的，视为同意承包人的竣工验收申请，并应在收到 该竣工验收申请报告后28天内提请发包人进行竣工验收。</w:t>
      </w:r>
    </w:p>
    <w:p w14:paraId="3C656B01">
      <w:pPr>
        <w:spacing w:before="211" w:line="308" w:lineRule="auto"/>
        <w:ind w:right="95" w:firstLine="44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18.3.2   </w:t>
      </w:r>
      <w:r>
        <w:rPr>
          <w:rFonts w:ascii="宋体" w:hAnsi="宋体" w:eastAsia="宋体" w:cs="宋体"/>
          <w:spacing w:val="-7"/>
          <w:sz w:val="22"/>
          <w:szCs w:val="22"/>
          <w:highlight w:val="none"/>
        </w:rPr>
        <w:t>监理人同意承包人提交的竣工</w:t>
      </w:r>
      <w:r>
        <w:rPr>
          <w:rFonts w:ascii="宋体" w:hAnsi="宋体" w:eastAsia="宋体" w:cs="宋体"/>
          <w:spacing w:val="-8"/>
          <w:sz w:val="22"/>
          <w:szCs w:val="22"/>
          <w:highlight w:val="none"/>
        </w:rPr>
        <w:t>验收申请报告的，应在收到该竣工验收申请报告</w:t>
      </w:r>
      <w:r>
        <w:rPr>
          <w:rFonts w:ascii="宋体" w:hAnsi="宋体" w:eastAsia="宋体" w:cs="宋体"/>
          <w:sz w:val="22"/>
          <w:szCs w:val="22"/>
          <w:highlight w:val="none"/>
        </w:rPr>
        <w:t xml:space="preserve"> </w:t>
      </w:r>
      <w:r>
        <w:rPr>
          <w:rFonts w:ascii="宋体" w:hAnsi="宋体" w:eastAsia="宋体" w:cs="宋体"/>
          <w:spacing w:val="-3"/>
          <w:sz w:val="22"/>
          <w:szCs w:val="22"/>
          <w:highlight w:val="none"/>
        </w:rPr>
        <w:t>后的28天内提请发包人进行工程验收。</w:t>
      </w:r>
    </w:p>
    <w:p w14:paraId="4C97B2BA">
      <w:pPr>
        <w:spacing w:before="238" w:line="371" w:lineRule="auto"/>
        <w:ind w:right="79" w:firstLine="440"/>
        <w:rPr>
          <w:rFonts w:ascii="宋体" w:hAnsi="宋体" w:eastAsia="宋体" w:cs="宋体"/>
          <w:sz w:val="21"/>
          <w:szCs w:val="21"/>
          <w:highlight w:val="none"/>
        </w:rPr>
      </w:pPr>
      <w:r>
        <w:rPr>
          <w:rFonts w:ascii="Times New Roman" w:hAnsi="Times New Roman" w:eastAsia="Times New Roman" w:cs="Times New Roman"/>
          <w:sz w:val="21"/>
          <w:szCs w:val="21"/>
          <w:highlight w:val="none"/>
        </w:rPr>
        <w:t>18.3.3</w:t>
      </w:r>
      <w:r>
        <w:rPr>
          <w:rFonts w:ascii="Times New Roman" w:hAnsi="Times New Roman" w:eastAsia="Times New Roman" w:cs="Times New Roman"/>
          <w:spacing w:val="22"/>
          <w:sz w:val="21"/>
          <w:szCs w:val="21"/>
          <w:highlight w:val="none"/>
        </w:rPr>
        <w:t xml:space="preserve">   </w:t>
      </w:r>
      <w:r>
        <w:rPr>
          <w:rFonts w:ascii="宋体" w:hAnsi="宋体" w:eastAsia="宋体" w:cs="宋体"/>
          <w:sz w:val="21"/>
          <w:szCs w:val="21"/>
          <w:highlight w:val="none"/>
        </w:rPr>
        <w:t>发包人经过验收后同意接受工程的，应在监理人收到竣工验收申请报告后的56</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天内，由监理人向承包人出具经发包人签认的工程接收证书。发</w:t>
      </w:r>
      <w:r>
        <w:rPr>
          <w:rFonts w:ascii="宋体" w:hAnsi="宋体" w:eastAsia="宋体" w:cs="宋体"/>
          <w:spacing w:val="-3"/>
          <w:sz w:val="21"/>
          <w:szCs w:val="21"/>
          <w:highlight w:val="none"/>
        </w:rPr>
        <w:t>包人验收后同意接收工程但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提出整修和完善要求的，限期修好，并缓发工程接收证书。整</w:t>
      </w:r>
      <w:r>
        <w:rPr>
          <w:rFonts w:ascii="宋体" w:hAnsi="宋体" w:eastAsia="宋体" w:cs="宋体"/>
          <w:spacing w:val="-3"/>
          <w:sz w:val="21"/>
          <w:szCs w:val="21"/>
          <w:highlight w:val="none"/>
        </w:rPr>
        <w:t>修和完善工作完成后，监理人</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复查达到要求的，经发包人同意后，再向承包人出具工程接收证书。</w:t>
      </w:r>
    </w:p>
    <w:p w14:paraId="726891BE">
      <w:pPr>
        <w:spacing w:before="200" w:line="369" w:lineRule="auto"/>
        <w:ind w:firstLine="440"/>
        <w:rPr>
          <w:rFonts w:ascii="宋体" w:hAnsi="宋体" w:eastAsia="宋体" w:cs="宋体"/>
          <w:sz w:val="20"/>
          <w:szCs w:val="20"/>
          <w:highlight w:val="none"/>
        </w:rPr>
      </w:pPr>
      <w:r>
        <w:rPr>
          <w:rFonts w:ascii="宋体" w:hAnsi="宋体" w:eastAsia="宋体" w:cs="宋体"/>
          <w:spacing w:val="-4"/>
          <w:sz w:val="22"/>
          <w:szCs w:val="22"/>
          <w:highlight w:val="none"/>
        </w:rPr>
        <w:t>18.3.4发包人验收后不同意接收工程的，监理人应按照发包</w:t>
      </w:r>
      <w:r>
        <w:rPr>
          <w:rFonts w:ascii="宋体" w:hAnsi="宋体" w:eastAsia="宋体" w:cs="宋体"/>
          <w:spacing w:val="-5"/>
          <w:sz w:val="22"/>
          <w:szCs w:val="22"/>
          <w:highlight w:val="none"/>
        </w:rPr>
        <w:t>人的验收意见发出指示，</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要求承包人对不合格工程认真返工重作或进行补救处理，并承担由此</w:t>
      </w:r>
      <w:r>
        <w:rPr>
          <w:rFonts w:ascii="宋体" w:hAnsi="宋体" w:eastAsia="宋体" w:cs="宋体"/>
          <w:spacing w:val="-13"/>
          <w:sz w:val="22"/>
          <w:szCs w:val="22"/>
          <w:highlight w:val="none"/>
        </w:rPr>
        <w:t>产生的费用。承包人在</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完成不合格工程的返工重作或补救工作后，应重新提交竣工验</w:t>
      </w:r>
      <w:r>
        <w:rPr>
          <w:rFonts w:ascii="宋体" w:hAnsi="宋体" w:eastAsia="宋体" w:cs="宋体"/>
          <w:spacing w:val="-12"/>
          <w:sz w:val="22"/>
          <w:szCs w:val="22"/>
          <w:highlight w:val="none"/>
        </w:rPr>
        <w:t>收申请报告，按第18.3.1 项、</w:t>
      </w:r>
      <w:r>
        <w:rPr>
          <w:rFonts w:ascii="宋体" w:hAnsi="宋体" w:eastAsia="宋体" w:cs="宋体"/>
          <w:sz w:val="22"/>
          <w:szCs w:val="22"/>
          <w:highlight w:val="none"/>
        </w:rPr>
        <w:t xml:space="preserve"> </w:t>
      </w:r>
      <w:r>
        <w:rPr>
          <w:rFonts w:ascii="宋体" w:hAnsi="宋体" w:eastAsia="宋体" w:cs="宋体"/>
          <w:spacing w:val="15"/>
          <w:sz w:val="20"/>
          <w:szCs w:val="20"/>
          <w:highlight w:val="none"/>
        </w:rPr>
        <w:t>第18.3.2 项和第18.3.3项的约定进行。</w:t>
      </w:r>
    </w:p>
    <w:p w14:paraId="1B62510A">
      <w:pPr>
        <w:spacing w:before="222" w:line="315" w:lineRule="auto"/>
        <w:ind w:right="81" w:firstLine="440"/>
        <w:rPr>
          <w:rFonts w:ascii="宋体" w:hAnsi="宋体" w:eastAsia="宋体" w:cs="宋体"/>
          <w:sz w:val="21"/>
          <w:szCs w:val="21"/>
          <w:highlight w:val="none"/>
        </w:rPr>
      </w:pPr>
      <w:r>
        <w:rPr>
          <w:rFonts w:ascii="Times New Roman" w:hAnsi="Times New Roman" w:eastAsia="Times New Roman" w:cs="Times New Roman"/>
          <w:sz w:val="21"/>
          <w:szCs w:val="21"/>
          <w:highlight w:val="none"/>
        </w:rPr>
        <w:t>18.3.5</w:t>
      </w:r>
      <w:r>
        <w:rPr>
          <w:rFonts w:ascii="Times New Roman" w:hAnsi="Times New Roman" w:eastAsia="Times New Roman" w:cs="Times New Roman"/>
          <w:spacing w:val="21"/>
          <w:w w:val="101"/>
          <w:sz w:val="21"/>
          <w:szCs w:val="21"/>
          <w:highlight w:val="none"/>
        </w:rPr>
        <w:t xml:space="preserve">   </w:t>
      </w:r>
      <w:r>
        <w:rPr>
          <w:rFonts w:ascii="宋体" w:hAnsi="宋体" w:eastAsia="宋体" w:cs="宋体"/>
          <w:sz w:val="21"/>
          <w:szCs w:val="21"/>
          <w:highlight w:val="none"/>
        </w:rPr>
        <w:t xml:space="preserve">除专用合同条款另有约定外，经验收合格工程的实际竣工日期，以提交竣工验 </w:t>
      </w:r>
      <w:r>
        <w:rPr>
          <w:rFonts w:ascii="宋体" w:hAnsi="宋体" w:eastAsia="宋体" w:cs="宋体"/>
          <w:spacing w:val="-2"/>
          <w:sz w:val="21"/>
          <w:szCs w:val="21"/>
          <w:highlight w:val="none"/>
        </w:rPr>
        <w:t>收申请报告的日期为准，并在工程接收证书中写明。</w:t>
      </w:r>
    </w:p>
    <w:p w14:paraId="715CF00D">
      <w:pPr>
        <w:spacing w:before="242" w:line="347" w:lineRule="auto"/>
        <w:ind w:right="4" w:firstLine="440"/>
        <w:rPr>
          <w:rFonts w:ascii="宋体" w:hAnsi="宋体" w:eastAsia="宋体" w:cs="宋体"/>
          <w:sz w:val="22"/>
          <w:szCs w:val="22"/>
          <w:highlight w:val="none"/>
        </w:rPr>
      </w:pPr>
      <w:r>
        <w:rPr>
          <w:rFonts w:ascii="Times New Roman" w:hAnsi="Times New Roman" w:eastAsia="Times New Roman" w:cs="Times New Roman"/>
          <w:spacing w:val="2"/>
          <w:sz w:val="21"/>
          <w:szCs w:val="21"/>
          <w:highlight w:val="none"/>
        </w:rPr>
        <w:t xml:space="preserve">18.3.6    </w:t>
      </w:r>
      <w:r>
        <w:rPr>
          <w:rFonts w:ascii="宋体" w:hAnsi="宋体" w:eastAsia="宋体" w:cs="宋体"/>
          <w:spacing w:val="2"/>
          <w:sz w:val="21"/>
          <w:szCs w:val="21"/>
          <w:highlight w:val="none"/>
        </w:rPr>
        <w:t>发包人在收到承包人竣工验收申请报告56天后未进行验收的，视为验收合格，</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实际竣工日期以提交竣工验收申请报告的日期为准，但发包人由于不可抗力不能</w:t>
      </w:r>
      <w:r>
        <w:rPr>
          <w:rFonts w:ascii="宋体" w:hAnsi="宋体" w:eastAsia="宋体" w:cs="宋体"/>
          <w:spacing w:val="-3"/>
          <w:sz w:val="21"/>
          <w:szCs w:val="21"/>
          <w:highlight w:val="none"/>
        </w:rPr>
        <w:t>进行验收的</w:t>
      </w:r>
      <w:r>
        <w:rPr>
          <w:rFonts w:ascii="宋体" w:hAnsi="宋体" w:eastAsia="宋体" w:cs="宋体"/>
          <w:sz w:val="21"/>
          <w:szCs w:val="21"/>
          <w:highlight w:val="none"/>
        </w:rPr>
        <w:t xml:space="preserve">  </w:t>
      </w:r>
      <w:r>
        <w:rPr>
          <w:rFonts w:ascii="宋体" w:hAnsi="宋体" w:eastAsia="宋体" w:cs="宋体"/>
          <w:spacing w:val="-12"/>
          <w:sz w:val="22"/>
          <w:szCs w:val="22"/>
          <w:highlight w:val="none"/>
        </w:rPr>
        <w:t>除外。</w:t>
      </w:r>
    </w:p>
    <w:p w14:paraId="4D5EF6AF">
      <w:pPr>
        <w:spacing w:before="288" w:line="222" w:lineRule="auto"/>
        <w:rPr>
          <w:rFonts w:ascii="黑体" w:hAnsi="黑体" w:eastAsia="黑体" w:cs="黑体"/>
          <w:sz w:val="24"/>
          <w:szCs w:val="24"/>
          <w:highlight w:val="none"/>
        </w:rPr>
      </w:pPr>
      <w:r>
        <w:rPr>
          <w:rFonts w:ascii="黑体" w:hAnsi="黑体" w:eastAsia="黑体" w:cs="黑体"/>
          <w:spacing w:val="-6"/>
          <w:sz w:val="24"/>
          <w:szCs w:val="24"/>
          <w:highlight w:val="none"/>
        </w:rPr>
        <w:t>18.4</w:t>
      </w:r>
      <w:r>
        <w:rPr>
          <w:rFonts w:ascii="黑体" w:hAnsi="黑体" w:eastAsia="黑体" w:cs="黑体"/>
          <w:spacing w:val="15"/>
          <w:sz w:val="24"/>
          <w:szCs w:val="24"/>
          <w:highlight w:val="none"/>
        </w:rPr>
        <w:t xml:space="preserve"> </w:t>
      </w:r>
      <w:r>
        <w:rPr>
          <w:rFonts w:ascii="黑体" w:hAnsi="黑体" w:eastAsia="黑体" w:cs="黑体"/>
          <w:spacing w:val="-6"/>
          <w:sz w:val="24"/>
          <w:szCs w:val="24"/>
          <w:highlight w:val="none"/>
        </w:rPr>
        <w:t>国家验收</w:t>
      </w:r>
    </w:p>
    <w:p w14:paraId="6C1FF1B5">
      <w:pPr>
        <w:spacing w:before="132" w:line="400" w:lineRule="auto"/>
        <w:ind w:right="61" w:firstLine="440"/>
        <w:jc w:val="both"/>
        <w:rPr>
          <w:rFonts w:ascii="宋体" w:hAnsi="宋体" w:eastAsia="宋体" w:cs="宋体"/>
          <w:sz w:val="22"/>
          <w:szCs w:val="22"/>
          <w:highlight w:val="none"/>
        </w:rPr>
      </w:pPr>
      <w:r>
        <w:rPr>
          <w:rFonts w:ascii="宋体" w:hAnsi="宋体" w:eastAsia="宋体" w:cs="宋体"/>
          <w:spacing w:val="-12"/>
          <w:sz w:val="22"/>
          <w:szCs w:val="22"/>
          <w:highlight w:val="none"/>
        </w:rPr>
        <w:t>需要进行国家验收的，竣工验收是国家验收的一部分。竣工验收所采用的各项验收和评</w:t>
      </w:r>
      <w:r>
        <w:rPr>
          <w:rFonts w:ascii="宋体" w:hAnsi="宋体" w:eastAsia="宋体" w:cs="宋体"/>
          <w:spacing w:val="3"/>
          <w:sz w:val="22"/>
          <w:szCs w:val="22"/>
          <w:highlight w:val="none"/>
        </w:rPr>
        <w:t xml:space="preserve"> </w:t>
      </w:r>
      <w:r>
        <w:rPr>
          <w:rFonts w:ascii="宋体" w:hAnsi="宋体" w:eastAsia="宋体" w:cs="宋体"/>
          <w:spacing w:val="-12"/>
          <w:sz w:val="22"/>
          <w:szCs w:val="22"/>
          <w:highlight w:val="none"/>
        </w:rPr>
        <w:t>定标准应符合国家验收标准。发包人和承包人为竣工验收提供的各项竣工验收资料应符合国</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家验收的要求。</w:t>
      </w:r>
    </w:p>
    <w:p w14:paraId="26E41FA3">
      <w:pPr>
        <w:spacing w:before="90" w:line="222" w:lineRule="auto"/>
        <w:rPr>
          <w:rFonts w:ascii="黑体" w:hAnsi="黑体" w:eastAsia="黑体" w:cs="黑体"/>
          <w:sz w:val="24"/>
          <w:szCs w:val="24"/>
          <w:highlight w:val="none"/>
        </w:rPr>
      </w:pPr>
      <w:r>
        <w:rPr>
          <w:rFonts w:ascii="黑体" w:hAnsi="黑体" w:eastAsia="黑体" w:cs="黑体"/>
          <w:spacing w:val="-3"/>
          <w:sz w:val="24"/>
          <w:szCs w:val="24"/>
          <w:highlight w:val="none"/>
        </w:rPr>
        <w:t>18.5 区段工程验收</w:t>
      </w:r>
    </w:p>
    <w:p w14:paraId="2A90B056">
      <w:pPr>
        <w:spacing w:before="110" w:line="423" w:lineRule="auto"/>
        <w:ind w:right="97" w:firstLine="440"/>
        <w:jc w:val="both"/>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18.5.1    </w:t>
      </w:r>
      <w:r>
        <w:rPr>
          <w:rFonts w:ascii="宋体" w:hAnsi="宋体" w:eastAsia="宋体" w:cs="宋体"/>
          <w:sz w:val="21"/>
          <w:szCs w:val="21"/>
          <w:highlight w:val="none"/>
        </w:rPr>
        <w:t>发包人根据合同进度计划安排，在全部工程竣工前需要使用已经竣</w:t>
      </w:r>
      <w:r>
        <w:rPr>
          <w:rFonts w:ascii="宋体" w:hAnsi="宋体" w:eastAsia="宋体" w:cs="宋体"/>
          <w:spacing w:val="-1"/>
          <w:sz w:val="21"/>
          <w:szCs w:val="21"/>
          <w:highlight w:val="none"/>
        </w:rPr>
        <w:t>工的区段工</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程时，或承包人提出经发包人同意时，可进行区段工程验收。验收的程序可参照第</w:t>
      </w:r>
      <w:r>
        <w:rPr>
          <w:rFonts w:ascii="宋体" w:hAnsi="宋体" w:eastAsia="宋体" w:cs="宋体"/>
          <w:spacing w:val="2"/>
          <w:sz w:val="21"/>
          <w:szCs w:val="21"/>
          <w:highlight w:val="none"/>
        </w:rPr>
        <w:t>18.2款</w:t>
      </w:r>
      <w:r>
        <w:rPr>
          <w:rFonts w:ascii="宋体" w:hAnsi="宋体" w:eastAsia="宋体" w:cs="宋体"/>
          <w:sz w:val="21"/>
          <w:szCs w:val="21"/>
          <w:highlight w:val="none"/>
        </w:rPr>
        <w:t xml:space="preserve"> 与第18.3 款的约定进行。验收合格后，由监理人向承包人出具经发包人签认的区段工程验</w:t>
      </w:r>
      <w:r>
        <w:rPr>
          <w:rFonts w:ascii="宋体" w:hAnsi="宋体" w:eastAsia="宋体" w:cs="宋体"/>
          <w:spacing w:val="13"/>
          <w:sz w:val="21"/>
          <w:szCs w:val="21"/>
          <w:highlight w:val="none"/>
        </w:rPr>
        <w:t xml:space="preserve"> </w:t>
      </w:r>
      <w:r>
        <w:rPr>
          <w:rFonts w:ascii="宋体" w:hAnsi="宋体" w:eastAsia="宋体" w:cs="宋体"/>
          <w:spacing w:val="-2"/>
          <w:sz w:val="21"/>
          <w:szCs w:val="21"/>
          <w:highlight w:val="none"/>
        </w:rPr>
        <w:t>收证书。已签发区段工程接收证书的区段工程由发包人负责照管。区段</w:t>
      </w:r>
      <w:r>
        <w:rPr>
          <w:rFonts w:ascii="宋体" w:hAnsi="宋体" w:eastAsia="宋体" w:cs="宋体"/>
          <w:spacing w:val="-3"/>
          <w:sz w:val="21"/>
          <w:szCs w:val="21"/>
          <w:highlight w:val="none"/>
        </w:rPr>
        <w:t>工程的验收成果和结</w:t>
      </w:r>
    </w:p>
    <w:p w14:paraId="72A891F4">
      <w:pPr>
        <w:spacing w:line="423" w:lineRule="auto"/>
        <w:rPr>
          <w:rFonts w:ascii="宋体" w:hAnsi="宋体" w:eastAsia="宋体" w:cs="宋体"/>
          <w:sz w:val="21"/>
          <w:szCs w:val="21"/>
          <w:highlight w:val="none"/>
        </w:rPr>
        <w:sectPr>
          <w:footerReference r:id="rId207" w:type="default"/>
          <w:pgSz w:w="11910" w:h="16840"/>
          <w:pgMar w:top="400" w:right="1729" w:bottom="1228" w:left="1769" w:header="0" w:footer="1009" w:gutter="0"/>
          <w:cols w:space="720" w:num="1"/>
        </w:sectPr>
      </w:pPr>
    </w:p>
    <w:p w14:paraId="23B5BB26">
      <w:pPr>
        <w:pStyle w:val="2"/>
        <w:spacing w:line="269" w:lineRule="auto"/>
        <w:rPr>
          <w:highlight w:val="none"/>
        </w:rPr>
      </w:pPr>
    </w:p>
    <w:p w14:paraId="5A949184">
      <w:pPr>
        <w:pStyle w:val="2"/>
        <w:spacing w:line="270" w:lineRule="auto"/>
        <w:rPr>
          <w:highlight w:val="none"/>
        </w:rPr>
      </w:pPr>
    </w:p>
    <w:p w14:paraId="67BD69A6">
      <w:pPr>
        <w:pStyle w:val="2"/>
        <w:spacing w:line="270" w:lineRule="auto"/>
        <w:rPr>
          <w:highlight w:val="none"/>
        </w:rPr>
      </w:pPr>
    </w:p>
    <w:p w14:paraId="07D7A166">
      <w:pPr>
        <w:pStyle w:val="2"/>
        <w:spacing w:line="270" w:lineRule="auto"/>
        <w:rPr>
          <w:highlight w:val="none"/>
        </w:rPr>
      </w:pPr>
    </w:p>
    <w:p w14:paraId="7BF8C9F6">
      <w:pPr>
        <w:spacing w:before="71" w:line="218" w:lineRule="auto"/>
        <w:rPr>
          <w:rFonts w:ascii="宋体" w:hAnsi="宋体" w:eastAsia="宋体" w:cs="宋体"/>
          <w:sz w:val="22"/>
          <w:szCs w:val="22"/>
          <w:highlight w:val="none"/>
        </w:rPr>
      </w:pPr>
      <w:r>
        <w:rPr>
          <w:rFonts w:ascii="宋体" w:hAnsi="宋体" w:eastAsia="宋体" w:cs="宋体"/>
          <w:spacing w:val="-11"/>
          <w:sz w:val="22"/>
          <w:szCs w:val="22"/>
          <w:highlight w:val="none"/>
        </w:rPr>
        <w:t>论作为全部工程竣工验收申请报告的附件。</w:t>
      </w:r>
    </w:p>
    <w:p w14:paraId="2A483931">
      <w:pPr>
        <w:spacing w:before="221" w:line="424" w:lineRule="auto"/>
        <w:ind w:right="66" w:firstLine="44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18.5.2    </w:t>
      </w:r>
      <w:r>
        <w:rPr>
          <w:rFonts w:ascii="宋体" w:hAnsi="宋体" w:eastAsia="宋体" w:cs="宋体"/>
          <w:sz w:val="21"/>
          <w:szCs w:val="21"/>
          <w:highlight w:val="none"/>
        </w:rPr>
        <w:t>发包人在全部工程竣工前，使用已接收的区段工程导致承包人费用增加的，发</w:t>
      </w:r>
      <w:r>
        <w:rPr>
          <w:rFonts w:ascii="宋体" w:hAnsi="宋体" w:eastAsia="宋体" w:cs="宋体"/>
          <w:spacing w:val="12"/>
          <w:sz w:val="21"/>
          <w:szCs w:val="21"/>
          <w:highlight w:val="none"/>
        </w:rPr>
        <w:t xml:space="preserve"> </w:t>
      </w:r>
      <w:r>
        <w:rPr>
          <w:rFonts w:ascii="宋体" w:hAnsi="宋体" w:eastAsia="宋体" w:cs="宋体"/>
          <w:spacing w:val="6"/>
          <w:sz w:val="21"/>
          <w:szCs w:val="21"/>
          <w:highlight w:val="none"/>
        </w:rPr>
        <w:t>包人应承担由此增加的费用和(或)工期延误，并支付承包人合理利润。</w:t>
      </w:r>
    </w:p>
    <w:p w14:paraId="6641B497">
      <w:pPr>
        <w:spacing w:before="55" w:line="222" w:lineRule="auto"/>
        <w:rPr>
          <w:rFonts w:ascii="黑体" w:hAnsi="黑体" w:eastAsia="黑体" w:cs="黑体"/>
          <w:sz w:val="24"/>
          <w:szCs w:val="24"/>
          <w:highlight w:val="none"/>
        </w:rPr>
      </w:pPr>
      <w:r>
        <w:rPr>
          <w:rFonts w:ascii="黑体" w:hAnsi="黑体" w:eastAsia="黑体" w:cs="黑体"/>
          <w:spacing w:val="10"/>
          <w:sz w:val="24"/>
          <w:szCs w:val="24"/>
          <w:highlight w:val="none"/>
        </w:rPr>
        <w:t>18.6施工期运行</w:t>
      </w:r>
    </w:p>
    <w:p w14:paraId="69075199">
      <w:pPr>
        <w:spacing w:before="142" w:line="345" w:lineRule="auto"/>
        <w:ind w:right="64" w:firstLine="44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18.6.1</w:t>
      </w:r>
      <w:r>
        <w:rPr>
          <w:rFonts w:ascii="Times New Roman" w:hAnsi="Times New Roman" w:eastAsia="Times New Roman" w:cs="Times New Roman"/>
          <w:spacing w:val="14"/>
          <w:sz w:val="21"/>
          <w:szCs w:val="21"/>
          <w:highlight w:val="none"/>
        </w:rPr>
        <w:t xml:space="preserve">   </w:t>
      </w:r>
      <w:r>
        <w:rPr>
          <w:rFonts w:ascii="宋体" w:hAnsi="宋体" w:eastAsia="宋体" w:cs="宋体"/>
          <w:spacing w:val="1"/>
          <w:sz w:val="21"/>
          <w:szCs w:val="21"/>
          <w:highlight w:val="none"/>
        </w:rPr>
        <w:t>施工期运行是指合同工程尚未全部竣工，</w:t>
      </w:r>
      <w:r>
        <w:rPr>
          <w:rFonts w:ascii="宋体" w:hAnsi="宋体" w:eastAsia="宋体" w:cs="宋体"/>
          <w:sz w:val="21"/>
          <w:szCs w:val="21"/>
          <w:highlight w:val="none"/>
        </w:rPr>
        <w:t>其中某项或某几项区段工程或工程设 备安装已竣工，根据专用合同条款约定，需要投入施工期运行的，经发包人按第18.5</w:t>
      </w:r>
      <w:r>
        <w:rPr>
          <w:rFonts w:ascii="宋体" w:hAnsi="宋体" w:eastAsia="宋体" w:cs="宋体"/>
          <w:spacing w:val="-6"/>
          <w:sz w:val="21"/>
          <w:szCs w:val="21"/>
          <w:highlight w:val="none"/>
        </w:rPr>
        <w:t xml:space="preserve"> </w:t>
      </w:r>
      <w:r>
        <w:rPr>
          <w:rFonts w:ascii="宋体" w:hAnsi="宋体" w:eastAsia="宋体" w:cs="宋体"/>
          <w:sz w:val="21"/>
          <w:szCs w:val="21"/>
          <w:highlight w:val="none"/>
        </w:rPr>
        <w:t xml:space="preserve">款的 </w:t>
      </w:r>
      <w:r>
        <w:rPr>
          <w:rFonts w:ascii="宋体" w:hAnsi="宋体" w:eastAsia="宋体" w:cs="宋体"/>
          <w:spacing w:val="-2"/>
          <w:sz w:val="21"/>
          <w:szCs w:val="21"/>
          <w:highlight w:val="none"/>
        </w:rPr>
        <w:t>约定验收合格，证明能确保安全后，才能在施工期投入运行。</w:t>
      </w:r>
    </w:p>
    <w:p w14:paraId="4EAA35A2">
      <w:pPr>
        <w:spacing w:before="242" w:line="316" w:lineRule="auto"/>
        <w:ind w:right="61" w:firstLine="440"/>
        <w:rPr>
          <w:rFonts w:ascii="宋体" w:hAnsi="宋体" w:eastAsia="宋体" w:cs="宋体"/>
          <w:sz w:val="21"/>
          <w:szCs w:val="21"/>
          <w:highlight w:val="none"/>
        </w:rPr>
      </w:pPr>
      <w:r>
        <w:rPr>
          <w:rFonts w:ascii="Times New Roman" w:hAnsi="Times New Roman" w:eastAsia="Times New Roman" w:cs="Times New Roman"/>
          <w:spacing w:val="6"/>
          <w:sz w:val="21"/>
          <w:szCs w:val="21"/>
          <w:highlight w:val="none"/>
        </w:rPr>
        <w:t xml:space="preserve">18.6.2   </w:t>
      </w:r>
      <w:r>
        <w:rPr>
          <w:rFonts w:ascii="宋体" w:hAnsi="宋体" w:eastAsia="宋体" w:cs="宋体"/>
          <w:spacing w:val="6"/>
          <w:sz w:val="21"/>
          <w:szCs w:val="21"/>
          <w:highlight w:val="none"/>
        </w:rPr>
        <w:t>在施工期运行中发现工程或工程设备损坏或存在缺陷的，由承包人按第19.2</w:t>
      </w:r>
      <w:r>
        <w:rPr>
          <w:rFonts w:ascii="宋体" w:hAnsi="宋体" w:eastAsia="宋体" w:cs="宋体"/>
          <w:spacing w:val="15"/>
          <w:sz w:val="21"/>
          <w:szCs w:val="21"/>
          <w:highlight w:val="none"/>
        </w:rPr>
        <w:t xml:space="preserve"> </w:t>
      </w:r>
      <w:r>
        <w:rPr>
          <w:rFonts w:ascii="宋体" w:hAnsi="宋体" w:eastAsia="宋体" w:cs="宋体"/>
          <w:spacing w:val="-5"/>
          <w:sz w:val="21"/>
          <w:szCs w:val="21"/>
          <w:highlight w:val="none"/>
        </w:rPr>
        <w:t>款约定进行修复。</w:t>
      </w:r>
    </w:p>
    <w:p w14:paraId="3C8945B0">
      <w:pPr>
        <w:spacing w:before="309" w:line="221" w:lineRule="auto"/>
        <w:rPr>
          <w:rFonts w:ascii="黑体" w:hAnsi="黑体" w:eastAsia="黑体" w:cs="黑体"/>
          <w:sz w:val="24"/>
          <w:szCs w:val="24"/>
          <w:highlight w:val="none"/>
        </w:rPr>
      </w:pPr>
      <w:r>
        <w:rPr>
          <w:rFonts w:ascii="黑体" w:hAnsi="黑体" w:eastAsia="黑体" w:cs="黑体"/>
          <w:spacing w:val="-9"/>
          <w:sz w:val="24"/>
          <w:szCs w:val="24"/>
          <w:highlight w:val="none"/>
        </w:rPr>
        <w:t>18.7 竣工清场</w:t>
      </w:r>
    </w:p>
    <w:p w14:paraId="4B52227B">
      <w:pPr>
        <w:spacing w:before="123" w:line="416" w:lineRule="auto"/>
        <w:ind w:right="66" w:firstLine="44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18.7.1</w:t>
      </w:r>
      <w:r>
        <w:rPr>
          <w:rFonts w:ascii="Times New Roman" w:hAnsi="Times New Roman" w:eastAsia="Times New Roman" w:cs="Times New Roman"/>
          <w:spacing w:val="14"/>
          <w:sz w:val="21"/>
          <w:szCs w:val="21"/>
          <w:highlight w:val="none"/>
        </w:rPr>
        <w:t xml:space="preserve">   </w:t>
      </w:r>
      <w:r>
        <w:rPr>
          <w:rFonts w:ascii="宋体" w:hAnsi="宋体" w:eastAsia="宋体" w:cs="宋体"/>
          <w:spacing w:val="1"/>
          <w:sz w:val="21"/>
          <w:szCs w:val="21"/>
          <w:highlight w:val="none"/>
        </w:rPr>
        <w:t>除合同另有约定外，工程接收证书颁</w:t>
      </w:r>
      <w:r>
        <w:rPr>
          <w:rFonts w:ascii="宋体" w:hAnsi="宋体" w:eastAsia="宋体" w:cs="宋体"/>
          <w:sz w:val="21"/>
          <w:szCs w:val="21"/>
          <w:highlight w:val="none"/>
        </w:rPr>
        <w:t xml:space="preserve">发后，承包人应按以下要求对施工场地进 </w:t>
      </w:r>
      <w:r>
        <w:rPr>
          <w:rFonts w:ascii="宋体" w:hAnsi="宋体" w:eastAsia="宋体" w:cs="宋体"/>
          <w:spacing w:val="-2"/>
          <w:sz w:val="21"/>
          <w:szCs w:val="21"/>
          <w:highlight w:val="none"/>
        </w:rPr>
        <w:t>行清理，直至监理人检验合格为止。竣工清场费用由承包人承担。</w:t>
      </w:r>
    </w:p>
    <w:p w14:paraId="79CFE8F2">
      <w:pPr>
        <w:spacing w:before="5" w:line="219" w:lineRule="auto"/>
        <w:ind w:left="539"/>
        <w:rPr>
          <w:rFonts w:ascii="宋体" w:hAnsi="宋体" w:eastAsia="宋体" w:cs="宋体"/>
          <w:sz w:val="22"/>
          <w:szCs w:val="22"/>
          <w:highlight w:val="none"/>
        </w:rPr>
      </w:pPr>
      <w:r>
        <w:rPr>
          <w:rFonts w:ascii="宋体" w:hAnsi="宋体" w:eastAsia="宋体" w:cs="宋体"/>
          <w:spacing w:val="-6"/>
          <w:sz w:val="22"/>
          <w:szCs w:val="22"/>
          <w:highlight w:val="none"/>
        </w:rPr>
        <w:t>(1)施工场地内残留的垃圾已全部清除出场；</w:t>
      </w:r>
    </w:p>
    <w:p w14:paraId="151766C9">
      <w:pPr>
        <w:spacing w:before="219" w:line="219"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(2)临时工程已拆除，场地已按合同要求进行清理、平整</w:t>
      </w:r>
      <w:r>
        <w:rPr>
          <w:rFonts w:ascii="宋体" w:hAnsi="宋体" w:eastAsia="宋体" w:cs="宋体"/>
          <w:spacing w:val="-8"/>
          <w:sz w:val="22"/>
          <w:szCs w:val="22"/>
          <w:highlight w:val="none"/>
        </w:rPr>
        <w:t>或复原；</w:t>
      </w:r>
    </w:p>
    <w:p w14:paraId="202B3D59">
      <w:pPr>
        <w:spacing w:before="257" w:line="318" w:lineRule="auto"/>
        <w:ind w:right="61" w:firstLine="539"/>
        <w:rPr>
          <w:rFonts w:ascii="宋体" w:hAnsi="宋体" w:eastAsia="宋体" w:cs="宋体"/>
          <w:sz w:val="20"/>
          <w:szCs w:val="20"/>
          <w:highlight w:val="none"/>
        </w:rPr>
      </w:pPr>
      <w:r>
        <w:rPr>
          <w:rFonts w:ascii="宋体" w:hAnsi="宋体" w:eastAsia="宋体" w:cs="宋体"/>
          <w:spacing w:val="9"/>
          <w:sz w:val="20"/>
          <w:szCs w:val="20"/>
          <w:highlight w:val="none"/>
        </w:rPr>
        <w:t>(3)</w:t>
      </w:r>
      <w:r>
        <w:rPr>
          <w:rFonts w:ascii="宋体" w:hAnsi="宋体" w:eastAsia="宋体" w:cs="宋体"/>
          <w:spacing w:val="50"/>
          <w:sz w:val="20"/>
          <w:szCs w:val="20"/>
          <w:highlight w:val="none"/>
        </w:rPr>
        <w:t xml:space="preserve"> </w:t>
      </w:r>
      <w:r>
        <w:rPr>
          <w:rFonts w:ascii="宋体" w:hAnsi="宋体" w:eastAsia="宋体" w:cs="宋体"/>
          <w:spacing w:val="9"/>
          <w:sz w:val="20"/>
          <w:szCs w:val="20"/>
          <w:highlight w:val="none"/>
        </w:rPr>
        <w:t>按合同约定应撤离的承包人设备和剩余的材料，包括废弃的施工设备和材料，已</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按计划撤离施工场地；</w:t>
      </w:r>
    </w:p>
    <w:p w14:paraId="7530855F">
      <w:pPr>
        <w:spacing w:before="222" w:line="219" w:lineRule="auto"/>
        <w:ind w:left="539"/>
        <w:rPr>
          <w:rFonts w:ascii="宋体" w:hAnsi="宋体" w:eastAsia="宋体" w:cs="宋体"/>
          <w:sz w:val="22"/>
          <w:szCs w:val="22"/>
          <w:highlight w:val="none"/>
        </w:rPr>
      </w:pPr>
      <w:r>
        <w:rPr>
          <w:rFonts w:ascii="宋体" w:hAnsi="宋体" w:eastAsia="宋体" w:cs="宋体"/>
          <w:spacing w:val="-7"/>
          <w:sz w:val="22"/>
          <w:szCs w:val="22"/>
          <w:highlight w:val="none"/>
        </w:rPr>
        <w:t>(4)工程建筑物周边及其附近道路、河道的</w:t>
      </w:r>
      <w:r>
        <w:rPr>
          <w:rFonts w:ascii="宋体" w:hAnsi="宋体" w:eastAsia="宋体" w:cs="宋体"/>
          <w:spacing w:val="-8"/>
          <w:sz w:val="22"/>
          <w:szCs w:val="22"/>
          <w:highlight w:val="none"/>
        </w:rPr>
        <w:t>施工堆积物，已按监理人指示全部清理；</w:t>
      </w:r>
    </w:p>
    <w:p w14:paraId="2ECA87D4">
      <w:pPr>
        <w:spacing w:before="239" w:line="219" w:lineRule="auto"/>
        <w:ind w:left="539"/>
        <w:rPr>
          <w:rFonts w:ascii="宋体" w:hAnsi="宋体" w:eastAsia="宋体" w:cs="宋体"/>
          <w:sz w:val="20"/>
          <w:szCs w:val="20"/>
          <w:highlight w:val="none"/>
        </w:rPr>
      </w:pPr>
      <w:r>
        <w:rPr>
          <w:rFonts w:ascii="宋体" w:hAnsi="宋体" w:eastAsia="宋体" w:cs="宋体"/>
          <w:spacing w:val="12"/>
          <w:sz w:val="20"/>
          <w:szCs w:val="20"/>
          <w:highlight w:val="none"/>
        </w:rPr>
        <w:t>(5)监理人指示的其他场地清理工作已全部完成。</w:t>
      </w:r>
    </w:p>
    <w:p w14:paraId="417BE87C">
      <w:pPr>
        <w:spacing w:before="234" w:line="414" w:lineRule="auto"/>
        <w:ind w:right="65" w:firstLine="44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18.7.2</w:t>
      </w:r>
      <w:r>
        <w:rPr>
          <w:rFonts w:ascii="Times New Roman" w:hAnsi="Times New Roman" w:eastAsia="Times New Roman" w:cs="Times New Roman"/>
          <w:spacing w:val="14"/>
          <w:sz w:val="21"/>
          <w:szCs w:val="21"/>
          <w:highlight w:val="none"/>
        </w:rPr>
        <w:t xml:space="preserve">   </w:t>
      </w:r>
      <w:r>
        <w:rPr>
          <w:rFonts w:ascii="宋体" w:hAnsi="宋体" w:eastAsia="宋体" w:cs="宋体"/>
          <w:spacing w:val="1"/>
          <w:sz w:val="21"/>
          <w:szCs w:val="21"/>
          <w:highlight w:val="none"/>
        </w:rPr>
        <w:t>承包人未按监理人的要求恢复临时占地</w:t>
      </w:r>
      <w:r>
        <w:rPr>
          <w:rFonts w:ascii="宋体" w:hAnsi="宋体" w:eastAsia="宋体" w:cs="宋体"/>
          <w:sz w:val="21"/>
          <w:szCs w:val="21"/>
          <w:highlight w:val="none"/>
        </w:rPr>
        <w:t>，或者场地清理未达到合同约定的，发 包人有权委托其他人恢复或清理，所发生的金额从拟支付给承包人的</w:t>
      </w:r>
      <w:r>
        <w:rPr>
          <w:rFonts w:ascii="宋体" w:hAnsi="宋体" w:eastAsia="宋体" w:cs="宋体"/>
          <w:spacing w:val="-1"/>
          <w:sz w:val="21"/>
          <w:szCs w:val="21"/>
          <w:highlight w:val="none"/>
        </w:rPr>
        <w:t>款项中扣除。</w:t>
      </w:r>
    </w:p>
    <w:p w14:paraId="28DE57C9">
      <w:pPr>
        <w:spacing w:before="79" w:line="222" w:lineRule="auto"/>
        <w:rPr>
          <w:rFonts w:ascii="黑体" w:hAnsi="黑体" w:eastAsia="黑体" w:cs="黑体"/>
          <w:sz w:val="24"/>
          <w:szCs w:val="24"/>
          <w:highlight w:val="none"/>
        </w:rPr>
      </w:pPr>
      <w:r>
        <w:rPr>
          <w:rFonts w:ascii="黑体" w:hAnsi="黑体" w:eastAsia="黑体" w:cs="黑体"/>
          <w:spacing w:val="8"/>
          <w:sz w:val="24"/>
          <w:szCs w:val="24"/>
          <w:highlight w:val="none"/>
        </w:rPr>
        <w:t>18.8施工队伍的撤离</w:t>
      </w:r>
    </w:p>
    <w:p w14:paraId="08A6097D">
      <w:pPr>
        <w:spacing w:before="130" w:line="419" w:lineRule="auto"/>
        <w:ind w:firstLine="440"/>
        <w:jc w:val="both"/>
        <w:rPr>
          <w:rFonts w:ascii="宋体" w:hAnsi="宋体" w:eastAsia="宋体" w:cs="宋体"/>
          <w:sz w:val="21"/>
          <w:szCs w:val="21"/>
          <w:highlight w:val="none"/>
        </w:rPr>
      </w:pPr>
      <w:r>
        <w:rPr>
          <w:rFonts w:ascii="宋体" w:hAnsi="宋体" w:eastAsia="宋体" w:cs="宋体"/>
          <w:spacing w:val="4"/>
          <w:sz w:val="21"/>
          <w:szCs w:val="21"/>
          <w:highlight w:val="none"/>
        </w:rPr>
        <w:t>工程接收证书颁发后的56天内，除了经监理</w:t>
      </w:r>
      <w:r>
        <w:rPr>
          <w:rFonts w:ascii="宋体" w:hAnsi="宋体" w:eastAsia="宋体" w:cs="宋体"/>
          <w:spacing w:val="3"/>
          <w:sz w:val="21"/>
          <w:szCs w:val="21"/>
          <w:highlight w:val="none"/>
        </w:rPr>
        <w:t>人同意需在缺陷责任期内继续工作和使用</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的人员、施工设备和临时工程外，其余的人员、施工设备和临时工程均应撤离施工场地或拆</w:t>
      </w:r>
      <w:r>
        <w:rPr>
          <w:rFonts w:ascii="宋体" w:hAnsi="宋体" w:eastAsia="宋体" w:cs="宋体"/>
          <w:spacing w:val="8"/>
          <w:sz w:val="21"/>
          <w:szCs w:val="21"/>
          <w:highlight w:val="none"/>
        </w:rPr>
        <w:t xml:space="preserve"> </w:t>
      </w:r>
      <w:r>
        <w:rPr>
          <w:rFonts w:ascii="宋体" w:hAnsi="宋体" w:eastAsia="宋体" w:cs="宋体"/>
          <w:sz w:val="21"/>
          <w:szCs w:val="21"/>
          <w:highlight w:val="none"/>
        </w:rPr>
        <w:t>除。除合同另有约定外，缺陷责任期满时，承包人的人员和施工设备应全部</w:t>
      </w:r>
      <w:r>
        <w:rPr>
          <w:rFonts w:ascii="宋体" w:hAnsi="宋体" w:eastAsia="宋体" w:cs="宋体"/>
          <w:spacing w:val="-1"/>
          <w:sz w:val="21"/>
          <w:szCs w:val="21"/>
          <w:highlight w:val="none"/>
        </w:rPr>
        <w:t>撤离施工场地。</w:t>
      </w:r>
    </w:p>
    <w:p w14:paraId="46BCB106">
      <w:pPr>
        <w:pStyle w:val="2"/>
        <w:spacing w:before="35" w:line="212" w:lineRule="auto"/>
        <w:rPr>
          <w:sz w:val="24"/>
          <w:szCs w:val="24"/>
          <w:highlight w:val="none"/>
        </w:rPr>
      </w:pPr>
      <w:r>
        <w:rPr>
          <w:rFonts w:ascii="黑体" w:hAnsi="黑体" w:eastAsia="黑体" w:cs="黑体"/>
          <w:spacing w:val="2"/>
          <w:sz w:val="24"/>
          <w:szCs w:val="24"/>
          <w:highlight w:val="none"/>
        </w:rPr>
        <w:t>18.9竣工后试验</w:t>
      </w:r>
      <w:r>
        <w:rPr>
          <w:rFonts w:ascii="黑体" w:hAnsi="黑体" w:eastAsia="黑体" w:cs="黑体"/>
          <w:spacing w:val="-20"/>
          <w:sz w:val="24"/>
          <w:szCs w:val="24"/>
          <w:highlight w:val="none"/>
        </w:rPr>
        <w:t xml:space="preserve"> </w:t>
      </w:r>
      <w:r>
        <w:rPr>
          <w:rFonts w:ascii="黑体" w:hAnsi="黑体" w:eastAsia="黑体" w:cs="黑体"/>
          <w:spacing w:val="2"/>
          <w:sz w:val="24"/>
          <w:szCs w:val="24"/>
          <w:highlight w:val="none"/>
        </w:rPr>
        <w:t>(</w:t>
      </w:r>
      <w:r>
        <w:rPr>
          <w:rFonts w:ascii="黑体" w:hAnsi="黑体" w:eastAsia="黑体" w:cs="黑体"/>
          <w:spacing w:val="-66"/>
          <w:sz w:val="24"/>
          <w:szCs w:val="24"/>
          <w:highlight w:val="none"/>
        </w:rPr>
        <w:t xml:space="preserve"> </w:t>
      </w:r>
      <w:r>
        <w:rPr>
          <w:spacing w:val="2"/>
          <w:sz w:val="24"/>
          <w:szCs w:val="24"/>
          <w:highlight w:val="none"/>
        </w:rPr>
        <w:t>A)</w:t>
      </w:r>
    </w:p>
    <w:p w14:paraId="54C137DC">
      <w:pPr>
        <w:spacing w:before="160" w:line="219" w:lineRule="auto"/>
        <w:ind w:left="440"/>
        <w:rPr>
          <w:rFonts w:ascii="宋体" w:hAnsi="宋体" w:eastAsia="宋体" w:cs="宋体"/>
          <w:sz w:val="22"/>
          <w:szCs w:val="22"/>
          <w:highlight w:val="none"/>
        </w:rPr>
      </w:pPr>
      <w:r>
        <w:rPr>
          <w:rFonts w:ascii="宋体" w:hAnsi="宋体" w:eastAsia="宋体" w:cs="宋体"/>
          <w:spacing w:val="-12"/>
          <w:sz w:val="22"/>
          <w:szCs w:val="22"/>
          <w:highlight w:val="none"/>
        </w:rPr>
        <w:t>除专用合同条款另有约定外，发包人应：</w:t>
      </w:r>
    </w:p>
    <w:p w14:paraId="4332D548">
      <w:pPr>
        <w:spacing w:before="218" w:line="308" w:lineRule="auto"/>
        <w:ind w:right="54" w:firstLine="539"/>
        <w:rPr>
          <w:rFonts w:ascii="宋体" w:hAnsi="宋体" w:eastAsia="宋体" w:cs="宋体"/>
          <w:sz w:val="22"/>
          <w:szCs w:val="22"/>
          <w:highlight w:val="none"/>
        </w:rPr>
      </w:pPr>
      <w:r>
        <w:rPr>
          <w:rFonts w:ascii="宋体" w:hAnsi="宋体" w:eastAsia="宋体" w:cs="宋体"/>
          <w:spacing w:val="-6"/>
          <w:sz w:val="22"/>
          <w:szCs w:val="22"/>
          <w:highlight w:val="none"/>
        </w:rPr>
        <w:t>(1)为竣工后试验提供必要的电力、设备、燃料、仪器、劳力、材料，以及具</w:t>
      </w:r>
      <w:r>
        <w:rPr>
          <w:rFonts w:ascii="宋体" w:hAnsi="宋体" w:eastAsia="宋体" w:cs="宋体"/>
          <w:spacing w:val="-7"/>
          <w:sz w:val="22"/>
          <w:szCs w:val="22"/>
          <w:highlight w:val="none"/>
        </w:rPr>
        <w:t>有适当</w:t>
      </w:r>
      <w:r>
        <w:rPr>
          <w:rFonts w:ascii="宋体" w:hAnsi="宋体" w:eastAsia="宋体" w:cs="宋体"/>
          <w:sz w:val="22"/>
          <w:szCs w:val="22"/>
          <w:highlight w:val="none"/>
        </w:rPr>
        <w:t xml:space="preserve"> </w:t>
      </w:r>
      <w:r>
        <w:rPr>
          <w:rFonts w:ascii="宋体" w:hAnsi="宋体" w:eastAsia="宋体" w:cs="宋体"/>
          <w:spacing w:val="-14"/>
          <w:sz w:val="22"/>
          <w:szCs w:val="22"/>
          <w:highlight w:val="none"/>
        </w:rPr>
        <w:t>资质和经验的工作人员；</w:t>
      </w:r>
    </w:p>
    <w:p w14:paraId="2A1327F4">
      <w:pPr>
        <w:spacing w:before="245" w:line="219" w:lineRule="auto"/>
        <w:ind w:left="539"/>
        <w:rPr>
          <w:rFonts w:ascii="宋体" w:hAnsi="宋体" w:eastAsia="宋体" w:cs="宋体"/>
          <w:sz w:val="20"/>
          <w:szCs w:val="20"/>
          <w:highlight w:val="none"/>
        </w:rPr>
      </w:pPr>
      <w:r>
        <w:rPr>
          <w:rFonts w:ascii="宋体" w:hAnsi="宋体" w:eastAsia="宋体" w:cs="宋体"/>
          <w:spacing w:val="15"/>
          <w:sz w:val="20"/>
          <w:szCs w:val="20"/>
          <w:highlight w:val="none"/>
        </w:rPr>
        <w:t>(2)根据承包商按照第5.6款提供的手册，以及</w:t>
      </w:r>
      <w:r>
        <w:rPr>
          <w:rFonts w:ascii="宋体" w:hAnsi="宋体" w:eastAsia="宋体" w:cs="宋体"/>
          <w:spacing w:val="14"/>
          <w:sz w:val="20"/>
          <w:szCs w:val="20"/>
          <w:highlight w:val="none"/>
        </w:rPr>
        <w:t>承包人给予的指导进行竣工后试验。</w:t>
      </w:r>
    </w:p>
    <w:p w14:paraId="00491FB9">
      <w:pPr>
        <w:spacing w:line="219" w:lineRule="auto"/>
        <w:rPr>
          <w:rFonts w:ascii="宋体" w:hAnsi="宋体" w:eastAsia="宋体" w:cs="宋体"/>
          <w:sz w:val="20"/>
          <w:szCs w:val="20"/>
          <w:highlight w:val="none"/>
        </w:rPr>
        <w:sectPr>
          <w:footerReference r:id="rId208" w:type="default"/>
          <w:pgSz w:w="11910" w:h="16840"/>
          <w:pgMar w:top="400" w:right="1745" w:bottom="1238" w:left="1769" w:header="0" w:footer="1007" w:gutter="0"/>
          <w:cols w:space="720" w:num="1"/>
        </w:sectPr>
      </w:pPr>
    </w:p>
    <w:p w14:paraId="4F603A78">
      <w:pPr>
        <w:pStyle w:val="2"/>
        <w:spacing w:line="273" w:lineRule="auto"/>
        <w:rPr>
          <w:highlight w:val="none"/>
        </w:rPr>
      </w:pPr>
    </w:p>
    <w:p w14:paraId="08275ECF">
      <w:pPr>
        <w:pStyle w:val="2"/>
        <w:spacing w:line="273" w:lineRule="auto"/>
        <w:rPr>
          <w:highlight w:val="none"/>
        </w:rPr>
      </w:pPr>
    </w:p>
    <w:p w14:paraId="4F479802">
      <w:pPr>
        <w:pStyle w:val="2"/>
        <w:spacing w:line="274" w:lineRule="auto"/>
        <w:rPr>
          <w:highlight w:val="none"/>
        </w:rPr>
      </w:pPr>
    </w:p>
    <w:p w14:paraId="5CCD287F">
      <w:pPr>
        <w:pStyle w:val="2"/>
        <w:spacing w:line="274" w:lineRule="auto"/>
        <w:rPr>
          <w:highlight w:val="none"/>
        </w:rPr>
      </w:pPr>
    </w:p>
    <w:p w14:paraId="2BFC2413">
      <w:pPr>
        <w:spacing w:before="68" w:line="415" w:lineRule="auto"/>
        <w:ind w:right="68" w:firstLine="430"/>
        <w:rPr>
          <w:rFonts w:ascii="宋体" w:hAnsi="宋体" w:eastAsia="宋体" w:cs="宋体"/>
          <w:sz w:val="21"/>
          <w:szCs w:val="21"/>
          <w:highlight w:val="none"/>
        </w:rPr>
      </w:pPr>
      <w:bookmarkStart w:id="197" w:name="bookmark283"/>
      <w:bookmarkEnd w:id="197"/>
      <w:r>
        <w:rPr>
          <w:rFonts w:ascii="宋体" w:hAnsi="宋体" w:eastAsia="宋体" w:cs="宋体"/>
          <w:spacing w:val="3"/>
          <w:sz w:val="21"/>
          <w:szCs w:val="21"/>
          <w:highlight w:val="none"/>
        </w:rPr>
        <w:t>发包人应提前21天将竣工后试验的日期通知承包人。如果承包人未能在该日期出席竣</w:t>
      </w:r>
      <w:r>
        <w:rPr>
          <w:rFonts w:ascii="宋体" w:hAnsi="宋体" w:eastAsia="宋体" w:cs="宋体"/>
          <w:spacing w:val="6"/>
          <w:sz w:val="21"/>
          <w:szCs w:val="21"/>
          <w:highlight w:val="none"/>
        </w:rPr>
        <w:t xml:space="preserve"> </w:t>
      </w:r>
      <w:r>
        <w:rPr>
          <w:rFonts w:ascii="宋体" w:hAnsi="宋体" w:eastAsia="宋体" w:cs="宋体"/>
          <w:spacing w:val="-2"/>
          <w:sz w:val="21"/>
          <w:szCs w:val="21"/>
          <w:highlight w:val="none"/>
        </w:rPr>
        <w:t>工后试验，发包人可自行进行，承包人应对检验数据予以认可。</w:t>
      </w:r>
    </w:p>
    <w:p w14:paraId="0001EB4D">
      <w:pPr>
        <w:spacing w:before="3" w:line="464" w:lineRule="auto"/>
        <w:ind w:firstLine="430"/>
        <w:rPr>
          <w:rFonts w:ascii="宋体" w:hAnsi="宋体" w:eastAsia="宋体" w:cs="宋体"/>
          <w:sz w:val="20"/>
          <w:szCs w:val="20"/>
          <w:highlight w:val="none"/>
        </w:rPr>
      </w:pPr>
      <w:r>
        <w:rPr>
          <w:rFonts w:ascii="宋体" w:hAnsi="宋体" w:eastAsia="宋体" w:cs="宋体"/>
          <w:spacing w:val="8"/>
          <w:sz w:val="20"/>
          <w:szCs w:val="20"/>
          <w:highlight w:val="none"/>
        </w:rPr>
        <w:t>因承包人原因造成某项竣工后试验未能通过的，承</w:t>
      </w:r>
      <w:r>
        <w:rPr>
          <w:rFonts w:ascii="宋体" w:hAnsi="宋体" w:eastAsia="宋体" w:cs="宋体"/>
          <w:spacing w:val="7"/>
          <w:sz w:val="20"/>
          <w:szCs w:val="20"/>
          <w:highlight w:val="none"/>
        </w:rPr>
        <w:t>包人应按照合同的约定进行赔偿，或</w:t>
      </w:r>
      <w:r>
        <w:rPr>
          <w:rFonts w:ascii="宋体" w:hAnsi="宋体" w:eastAsia="宋体" w:cs="宋体"/>
          <w:sz w:val="20"/>
          <w:szCs w:val="20"/>
          <w:highlight w:val="none"/>
        </w:rPr>
        <w:t xml:space="preserve"> </w:t>
      </w:r>
      <w:r>
        <w:rPr>
          <w:rFonts w:ascii="宋体" w:hAnsi="宋体" w:eastAsia="宋体" w:cs="宋体"/>
          <w:spacing w:val="10"/>
          <w:sz w:val="20"/>
          <w:szCs w:val="20"/>
          <w:highlight w:val="none"/>
        </w:rPr>
        <w:t>者承包人提出修复建议，按照发包人指示的合理期限内改正，并</w:t>
      </w:r>
      <w:r>
        <w:rPr>
          <w:rFonts w:ascii="宋体" w:hAnsi="宋体" w:eastAsia="宋体" w:cs="宋体"/>
          <w:spacing w:val="9"/>
          <w:sz w:val="20"/>
          <w:szCs w:val="20"/>
          <w:highlight w:val="none"/>
        </w:rPr>
        <w:t>承担合同约定的相应责任。</w:t>
      </w:r>
    </w:p>
    <w:p w14:paraId="79996C8C">
      <w:pPr>
        <w:pStyle w:val="2"/>
        <w:spacing w:before="1" w:line="212" w:lineRule="auto"/>
        <w:rPr>
          <w:sz w:val="24"/>
          <w:szCs w:val="24"/>
          <w:highlight w:val="none"/>
        </w:rPr>
      </w:pPr>
      <w:r>
        <w:rPr>
          <w:rFonts w:ascii="黑体" w:hAnsi="黑体" w:eastAsia="黑体" w:cs="黑体"/>
          <w:spacing w:val="1"/>
          <w:sz w:val="24"/>
          <w:szCs w:val="24"/>
          <w:highlight w:val="none"/>
        </w:rPr>
        <w:t>18.9竣工后试验</w:t>
      </w:r>
      <w:r>
        <w:rPr>
          <w:rFonts w:ascii="黑体" w:hAnsi="黑体" w:eastAsia="黑体" w:cs="黑体"/>
          <w:spacing w:val="-10"/>
          <w:sz w:val="24"/>
          <w:szCs w:val="24"/>
          <w:highlight w:val="none"/>
        </w:rPr>
        <w:t xml:space="preserve"> </w:t>
      </w:r>
      <w:r>
        <w:rPr>
          <w:rFonts w:ascii="黑体" w:hAnsi="黑体" w:eastAsia="黑体" w:cs="黑体"/>
          <w:spacing w:val="1"/>
          <w:sz w:val="24"/>
          <w:szCs w:val="24"/>
          <w:highlight w:val="none"/>
        </w:rPr>
        <w:t>(</w:t>
      </w:r>
      <w:r>
        <w:rPr>
          <w:rFonts w:ascii="黑体" w:hAnsi="黑体" w:eastAsia="黑体" w:cs="黑体"/>
          <w:spacing w:val="-65"/>
          <w:sz w:val="24"/>
          <w:szCs w:val="24"/>
          <w:highlight w:val="none"/>
        </w:rPr>
        <w:t xml:space="preserve"> </w:t>
      </w:r>
      <w:r>
        <w:rPr>
          <w:spacing w:val="1"/>
          <w:sz w:val="24"/>
          <w:szCs w:val="24"/>
          <w:highlight w:val="none"/>
        </w:rPr>
        <w:t>B)</w:t>
      </w:r>
    </w:p>
    <w:p w14:paraId="3182381F">
      <w:pPr>
        <w:spacing w:before="139" w:line="219" w:lineRule="auto"/>
        <w:ind w:left="430"/>
        <w:rPr>
          <w:rFonts w:ascii="宋体" w:hAnsi="宋体" w:eastAsia="宋体" w:cs="宋体"/>
          <w:sz w:val="22"/>
          <w:szCs w:val="22"/>
          <w:highlight w:val="none"/>
        </w:rPr>
      </w:pPr>
      <w:r>
        <w:rPr>
          <w:rFonts w:ascii="宋体" w:hAnsi="宋体" w:eastAsia="宋体" w:cs="宋体"/>
          <w:spacing w:val="-12"/>
          <w:sz w:val="22"/>
          <w:szCs w:val="22"/>
          <w:highlight w:val="none"/>
        </w:rPr>
        <w:t>除专用合同条款另有约定外：</w:t>
      </w:r>
    </w:p>
    <w:p w14:paraId="4784103A">
      <w:pPr>
        <w:spacing w:before="217" w:line="219" w:lineRule="auto"/>
        <w:ind w:left="539"/>
        <w:rPr>
          <w:rFonts w:ascii="宋体" w:hAnsi="宋体" w:eastAsia="宋体" w:cs="宋体"/>
          <w:sz w:val="21"/>
          <w:szCs w:val="21"/>
          <w:highlight w:val="none"/>
        </w:rPr>
      </w:pPr>
      <w:r>
        <w:rPr>
          <w:rFonts w:ascii="宋体" w:hAnsi="宋体" w:eastAsia="宋体" w:cs="宋体"/>
          <w:spacing w:val="2"/>
          <w:sz w:val="21"/>
          <w:szCs w:val="21"/>
          <w:highlight w:val="none"/>
        </w:rPr>
        <w:t>(1)发包人为竣工后试验提供必要的电力、材料、燃料、发包人人员</w:t>
      </w:r>
      <w:r>
        <w:rPr>
          <w:rFonts w:ascii="宋体" w:hAnsi="宋体" w:eastAsia="宋体" w:cs="宋体"/>
          <w:spacing w:val="1"/>
          <w:sz w:val="21"/>
          <w:szCs w:val="21"/>
          <w:highlight w:val="none"/>
        </w:rPr>
        <w:t>和工程设备；</w:t>
      </w:r>
    </w:p>
    <w:p w14:paraId="48CCEB92">
      <w:pPr>
        <w:spacing w:before="242" w:line="317" w:lineRule="auto"/>
        <w:ind w:right="67" w:firstLine="539"/>
        <w:rPr>
          <w:rFonts w:ascii="宋体" w:hAnsi="宋体" w:eastAsia="宋体" w:cs="宋体"/>
          <w:sz w:val="21"/>
          <w:szCs w:val="21"/>
          <w:highlight w:val="none"/>
        </w:rPr>
      </w:pPr>
      <w:r>
        <w:rPr>
          <w:rFonts w:ascii="宋体" w:hAnsi="宋体" w:eastAsia="宋体" w:cs="宋体"/>
          <w:spacing w:val="3"/>
          <w:sz w:val="21"/>
          <w:szCs w:val="21"/>
          <w:highlight w:val="none"/>
        </w:rPr>
        <w:t>(2)承包人应提供竣工后试验所需要的所有其他设备、仪器，以及有资格和经验的工</w:t>
      </w:r>
      <w:r>
        <w:rPr>
          <w:rFonts w:ascii="宋体" w:hAnsi="宋体" w:eastAsia="宋体" w:cs="宋体"/>
          <w:spacing w:val="1"/>
          <w:sz w:val="21"/>
          <w:szCs w:val="21"/>
          <w:highlight w:val="none"/>
        </w:rPr>
        <w:t xml:space="preserve"> </w:t>
      </w:r>
      <w:r>
        <w:rPr>
          <w:rFonts w:ascii="宋体" w:hAnsi="宋体" w:eastAsia="宋体" w:cs="宋体"/>
          <w:spacing w:val="-11"/>
          <w:sz w:val="21"/>
          <w:szCs w:val="21"/>
          <w:highlight w:val="none"/>
        </w:rPr>
        <w:t>作人员；</w:t>
      </w:r>
    </w:p>
    <w:p w14:paraId="207EE0F0">
      <w:pPr>
        <w:spacing w:before="227" w:line="369" w:lineRule="auto"/>
        <w:ind w:right="44" w:firstLine="539"/>
        <w:rPr>
          <w:rFonts w:ascii="宋体" w:hAnsi="宋体" w:eastAsia="宋体" w:cs="宋体"/>
          <w:sz w:val="20"/>
          <w:szCs w:val="20"/>
          <w:highlight w:val="none"/>
        </w:rPr>
      </w:pPr>
      <w:r>
        <w:rPr>
          <w:rFonts w:ascii="宋体" w:hAnsi="宋体" w:eastAsia="宋体" w:cs="宋体"/>
          <w:spacing w:val="13"/>
          <w:sz w:val="20"/>
          <w:szCs w:val="20"/>
          <w:highlight w:val="none"/>
        </w:rPr>
        <w:t>(3)承包人应在发包人在场的情况下，进行竣工后试验。发包人应提前21天</w:t>
      </w:r>
      <w:r>
        <w:rPr>
          <w:rFonts w:ascii="宋体" w:hAnsi="宋体" w:eastAsia="宋体" w:cs="宋体"/>
          <w:spacing w:val="12"/>
          <w:sz w:val="20"/>
          <w:szCs w:val="20"/>
          <w:highlight w:val="none"/>
        </w:rPr>
        <w:t>将竣工后</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试验的日期通知承包人。因承包人原因造成某项竣工后试验未能通过的，承包人应按照合同</w:t>
      </w:r>
      <w:r>
        <w:rPr>
          <w:rFonts w:ascii="宋体" w:hAnsi="宋体" w:eastAsia="宋体" w:cs="宋体"/>
          <w:spacing w:val="7"/>
          <w:sz w:val="20"/>
          <w:szCs w:val="20"/>
          <w:highlight w:val="none"/>
        </w:rPr>
        <w:t xml:space="preserve"> </w:t>
      </w:r>
      <w:r>
        <w:rPr>
          <w:rFonts w:ascii="宋体" w:hAnsi="宋体" w:eastAsia="宋体" w:cs="宋体"/>
          <w:spacing w:val="8"/>
          <w:sz w:val="20"/>
          <w:szCs w:val="20"/>
          <w:highlight w:val="none"/>
        </w:rPr>
        <w:t>的约定进行赔偿，或者承包人提出修复建议，按照发包人指示的合理期限内改正，并</w:t>
      </w:r>
      <w:r>
        <w:rPr>
          <w:rFonts w:ascii="宋体" w:hAnsi="宋体" w:eastAsia="宋体" w:cs="宋体"/>
          <w:spacing w:val="7"/>
          <w:sz w:val="20"/>
          <w:szCs w:val="20"/>
          <w:highlight w:val="none"/>
        </w:rPr>
        <w:t>承担合</w:t>
      </w:r>
    </w:p>
    <w:p w14:paraId="53AF916A">
      <w:pPr>
        <w:spacing w:before="242" w:line="219" w:lineRule="auto"/>
        <w:rPr>
          <w:rFonts w:ascii="宋体" w:hAnsi="宋体" w:eastAsia="宋体" w:cs="宋体"/>
          <w:sz w:val="20"/>
          <w:szCs w:val="20"/>
          <w:highlight w:val="none"/>
        </w:rPr>
      </w:pPr>
      <w:r>
        <w:rPr>
          <w:rFonts w:ascii="宋体" w:hAnsi="宋体" w:eastAsia="宋体" w:cs="宋体"/>
          <w:spacing w:val="4"/>
          <w:sz w:val="20"/>
          <w:szCs w:val="20"/>
          <w:highlight w:val="none"/>
        </w:rPr>
        <w:t>同约定的相应责任。</w:t>
      </w:r>
    </w:p>
    <w:p w14:paraId="3206A8E9">
      <w:pPr>
        <w:pStyle w:val="2"/>
        <w:spacing w:before="190" w:line="327" w:lineRule="exact"/>
        <w:outlineLvl w:val="1"/>
        <w:rPr>
          <w:rFonts w:ascii="黑体" w:hAnsi="黑体" w:eastAsia="黑体" w:cs="黑体"/>
          <w:sz w:val="24"/>
          <w:szCs w:val="24"/>
          <w:highlight w:val="none"/>
        </w:rPr>
      </w:pPr>
      <w:bookmarkStart w:id="198" w:name="bookmark114"/>
      <w:bookmarkEnd w:id="198"/>
      <w:r>
        <w:rPr>
          <w:spacing w:val="-1"/>
          <w:position w:val="1"/>
          <w:sz w:val="24"/>
          <w:szCs w:val="24"/>
          <w:highlight w:val="none"/>
        </w:rPr>
        <w:t xml:space="preserve">19. </w:t>
      </w:r>
      <w:r>
        <w:rPr>
          <w:rFonts w:ascii="黑体" w:hAnsi="黑体" w:eastAsia="黑体" w:cs="黑体"/>
          <w:spacing w:val="-1"/>
          <w:position w:val="1"/>
          <w:sz w:val="24"/>
          <w:szCs w:val="24"/>
          <w:highlight w:val="none"/>
        </w:rPr>
        <w:t>缺陷责任与保修责任</w:t>
      </w:r>
    </w:p>
    <w:p w14:paraId="565D0BB5">
      <w:pPr>
        <w:spacing w:before="176" w:line="221" w:lineRule="auto"/>
        <w:rPr>
          <w:rFonts w:ascii="黑体" w:hAnsi="黑体" w:eastAsia="黑体" w:cs="黑体"/>
          <w:sz w:val="24"/>
          <w:szCs w:val="24"/>
          <w:highlight w:val="none"/>
        </w:rPr>
      </w:pPr>
      <w:r>
        <w:rPr>
          <w:rFonts w:ascii="黑体" w:hAnsi="黑体" w:eastAsia="黑体" w:cs="黑体"/>
          <w:spacing w:val="-2"/>
          <w:sz w:val="24"/>
          <w:szCs w:val="24"/>
          <w:highlight w:val="none"/>
        </w:rPr>
        <w:t>19.1 缺陷责任期的起算时间</w:t>
      </w:r>
    </w:p>
    <w:p w14:paraId="5FFDBE8D">
      <w:pPr>
        <w:spacing w:before="133" w:line="424" w:lineRule="auto"/>
        <w:ind w:right="61" w:firstLine="430"/>
        <w:rPr>
          <w:rFonts w:ascii="宋体" w:hAnsi="宋体" w:eastAsia="宋体" w:cs="宋体"/>
          <w:sz w:val="21"/>
          <w:szCs w:val="21"/>
          <w:highlight w:val="none"/>
        </w:rPr>
      </w:pPr>
      <w:r>
        <w:rPr>
          <w:rFonts w:ascii="宋体" w:hAnsi="宋体" w:eastAsia="宋体" w:cs="宋体"/>
          <w:spacing w:val="-2"/>
          <w:sz w:val="21"/>
          <w:szCs w:val="21"/>
          <w:highlight w:val="none"/>
        </w:rPr>
        <w:t>缺陷责任期自实际竣工日期起计算。在全部工程竣工验收前，已经发</w:t>
      </w:r>
      <w:r>
        <w:rPr>
          <w:rFonts w:ascii="宋体" w:hAnsi="宋体" w:eastAsia="宋体" w:cs="宋体"/>
          <w:spacing w:val="-3"/>
          <w:sz w:val="21"/>
          <w:szCs w:val="21"/>
          <w:highlight w:val="none"/>
        </w:rPr>
        <w:t>包人提前验收的区</w:t>
      </w:r>
      <w:r>
        <w:rPr>
          <w:rFonts w:ascii="宋体" w:hAnsi="宋体" w:eastAsia="宋体" w:cs="宋体"/>
          <w:sz w:val="21"/>
          <w:szCs w:val="21"/>
          <w:highlight w:val="none"/>
        </w:rPr>
        <w:t xml:space="preserve"> 段工程或进入施工期运行的工程，其缺陷责任期的起算日期相应提前到相应</w:t>
      </w:r>
      <w:r>
        <w:rPr>
          <w:rFonts w:ascii="宋体" w:hAnsi="宋体" w:eastAsia="宋体" w:cs="宋体"/>
          <w:spacing w:val="-1"/>
          <w:sz w:val="21"/>
          <w:szCs w:val="21"/>
          <w:highlight w:val="none"/>
        </w:rPr>
        <w:t>工程竣工日。</w:t>
      </w:r>
    </w:p>
    <w:p w14:paraId="6B3E1BE3">
      <w:pPr>
        <w:spacing w:before="45" w:line="221" w:lineRule="auto"/>
        <w:rPr>
          <w:rFonts w:ascii="黑体" w:hAnsi="黑体" w:eastAsia="黑体" w:cs="黑体"/>
          <w:sz w:val="24"/>
          <w:szCs w:val="24"/>
          <w:highlight w:val="none"/>
        </w:rPr>
      </w:pPr>
      <w:r>
        <w:rPr>
          <w:rFonts w:ascii="黑体" w:hAnsi="黑体" w:eastAsia="黑体" w:cs="黑体"/>
          <w:spacing w:val="-5"/>
          <w:sz w:val="24"/>
          <w:szCs w:val="24"/>
          <w:highlight w:val="none"/>
        </w:rPr>
        <w:t>19.2 缺陷责任</w:t>
      </w:r>
    </w:p>
    <w:p w14:paraId="77A39728">
      <w:pPr>
        <w:spacing w:before="134" w:line="219" w:lineRule="auto"/>
        <w:ind w:left="430"/>
        <w:rPr>
          <w:rFonts w:ascii="宋体" w:hAnsi="宋体" w:eastAsia="宋体" w:cs="宋体"/>
          <w:sz w:val="22"/>
          <w:szCs w:val="22"/>
          <w:highlight w:val="none"/>
        </w:rPr>
      </w:pPr>
      <w:r>
        <w:rPr>
          <w:rFonts w:ascii="宋体" w:hAnsi="宋体" w:eastAsia="宋体" w:cs="宋体"/>
          <w:spacing w:val="-6"/>
          <w:sz w:val="22"/>
          <w:szCs w:val="22"/>
          <w:highlight w:val="none"/>
        </w:rPr>
        <w:t>19.2.1承包人应在缺陷责任期内对已交付使用的工程承</w:t>
      </w:r>
      <w:r>
        <w:rPr>
          <w:rFonts w:ascii="宋体" w:hAnsi="宋体" w:eastAsia="宋体" w:cs="宋体"/>
          <w:spacing w:val="-7"/>
          <w:sz w:val="22"/>
          <w:szCs w:val="22"/>
          <w:highlight w:val="none"/>
        </w:rPr>
        <w:t>担缺陷责任。</w:t>
      </w:r>
    </w:p>
    <w:p w14:paraId="0EB0EE5E">
      <w:pPr>
        <w:spacing w:before="227" w:line="349" w:lineRule="auto"/>
        <w:ind w:right="54"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19.2.2    </w:t>
      </w:r>
      <w:r>
        <w:rPr>
          <w:rFonts w:ascii="宋体" w:hAnsi="宋体" w:eastAsia="宋体" w:cs="宋体"/>
          <w:spacing w:val="1"/>
          <w:sz w:val="21"/>
          <w:szCs w:val="21"/>
          <w:highlight w:val="none"/>
        </w:rPr>
        <w:t>缺陷责任期内，发包人对已接收使用的工程</w:t>
      </w:r>
      <w:r>
        <w:rPr>
          <w:rFonts w:ascii="宋体" w:hAnsi="宋体" w:eastAsia="宋体" w:cs="宋体"/>
          <w:sz w:val="21"/>
          <w:szCs w:val="21"/>
          <w:highlight w:val="none"/>
        </w:rPr>
        <w:t xml:space="preserve">负责日常维护工作。发包人在使用 </w:t>
      </w:r>
      <w:r>
        <w:rPr>
          <w:rFonts w:ascii="宋体" w:hAnsi="宋体" w:eastAsia="宋体" w:cs="宋体"/>
          <w:spacing w:val="-2"/>
          <w:sz w:val="21"/>
          <w:szCs w:val="21"/>
          <w:highlight w:val="none"/>
        </w:rPr>
        <w:t>过程中，发现已接收的工程存在新的缺陷或已修复的缺陷部位或部件又遭损坏的，承包</w:t>
      </w:r>
      <w:r>
        <w:rPr>
          <w:rFonts w:ascii="宋体" w:hAnsi="宋体" w:eastAsia="宋体" w:cs="宋体"/>
          <w:spacing w:val="-3"/>
          <w:sz w:val="21"/>
          <w:szCs w:val="21"/>
          <w:highlight w:val="none"/>
        </w:rPr>
        <w:t>人应</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负责修复，直至检验合格为止。</w:t>
      </w:r>
    </w:p>
    <w:p w14:paraId="6DC9E0A9">
      <w:pPr>
        <w:spacing w:before="249" w:line="346" w:lineRule="auto"/>
        <w:ind w:right="69" w:firstLine="430"/>
        <w:rPr>
          <w:rFonts w:ascii="宋体" w:hAnsi="宋体" w:eastAsia="宋体" w:cs="宋体"/>
          <w:sz w:val="21"/>
          <w:szCs w:val="21"/>
          <w:highlight w:val="none"/>
        </w:rPr>
      </w:pPr>
      <w:r>
        <w:rPr>
          <w:rFonts w:ascii="Times New Roman" w:hAnsi="Times New Roman" w:eastAsia="Times New Roman" w:cs="Times New Roman"/>
          <w:spacing w:val="6"/>
          <w:sz w:val="21"/>
          <w:szCs w:val="21"/>
          <w:highlight w:val="none"/>
        </w:rPr>
        <w:t>19.2.3</w:t>
      </w:r>
      <w:r>
        <w:rPr>
          <w:rFonts w:ascii="Times New Roman" w:hAnsi="Times New Roman" w:eastAsia="Times New Roman" w:cs="Times New Roman"/>
          <w:spacing w:val="17"/>
          <w:w w:val="101"/>
          <w:sz w:val="21"/>
          <w:szCs w:val="21"/>
          <w:highlight w:val="none"/>
        </w:rPr>
        <w:t xml:space="preserve">   </w:t>
      </w:r>
      <w:r>
        <w:rPr>
          <w:rFonts w:ascii="宋体" w:hAnsi="宋体" w:eastAsia="宋体" w:cs="宋体"/>
          <w:spacing w:val="6"/>
          <w:sz w:val="21"/>
          <w:szCs w:val="21"/>
          <w:highlight w:val="none"/>
        </w:rPr>
        <w:t>监理人和承包人应共同查清缺陷和(</w:t>
      </w:r>
      <w:r>
        <w:rPr>
          <w:rFonts w:ascii="宋体" w:hAnsi="宋体" w:eastAsia="宋体" w:cs="宋体"/>
          <w:spacing w:val="5"/>
          <w:sz w:val="21"/>
          <w:szCs w:val="21"/>
          <w:highlight w:val="none"/>
        </w:rPr>
        <w:t>或)损坏的原因。经查明属承包人原因造</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成的，应由承包人承担修复和查验的费用。经查验属发包人原因造成的，发包人应承担</w:t>
      </w:r>
      <w:r>
        <w:rPr>
          <w:rFonts w:ascii="宋体" w:hAnsi="宋体" w:eastAsia="宋体" w:cs="宋体"/>
          <w:spacing w:val="-3"/>
          <w:sz w:val="21"/>
          <w:szCs w:val="21"/>
          <w:highlight w:val="none"/>
        </w:rPr>
        <w:t>修复</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和查验的费用，并支付承包人合理利润。</w:t>
      </w:r>
    </w:p>
    <w:p w14:paraId="45295B45">
      <w:pPr>
        <w:spacing w:before="241" w:line="311" w:lineRule="auto"/>
        <w:ind w:right="99" w:firstLine="4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 xml:space="preserve">19.2.4   </w:t>
      </w:r>
      <w:r>
        <w:rPr>
          <w:rFonts w:ascii="宋体" w:hAnsi="宋体" w:eastAsia="宋体" w:cs="宋体"/>
          <w:spacing w:val="-8"/>
          <w:sz w:val="22"/>
          <w:szCs w:val="22"/>
          <w:highlight w:val="none"/>
        </w:rPr>
        <w:t>承包人不能在合理时间内修复缺陷的，发包人可自行修复或委托其他人修复，</w:t>
      </w:r>
      <w:r>
        <w:rPr>
          <w:rFonts w:ascii="宋体" w:hAnsi="宋体" w:eastAsia="宋体" w:cs="宋体"/>
          <w:spacing w:val="7"/>
          <w:sz w:val="22"/>
          <w:szCs w:val="22"/>
          <w:highlight w:val="none"/>
        </w:rPr>
        <w:t xml:space="preserve"> </w:t>
      </w:r>
      <w:r>
        <w:rPr>
          <w:rFonts w:ascii="宋体" w:hAnsi="宋体" w:eastAsia="宋体" w:cs="宋体"/>
          <w:spacing w:val="-4"/>
          <w:sz w:val="22"/>
          <w:szCs w:val="22"/>
          <w:highlight w:val="none"/>
        </w:rPr>
        <w:t>所需费用和利润的承担，按第19.2.3项约定执行。</w:t>
      </w:r>
    </w:p>
    <w:p w14:paraId="11966968">
      <w:pPr>
        <w:spacing w:before="288" w:line="221" w:lineRule="auto"/>
        <w:rPr>
          <w:rFonts w:ascii="黑体" w:hAnsi="黑体" w:eastAsia="黑体" w:cs="黑体"/>
          <w:sz w:val="24"/>
          <w:szCs w:val="24"/>
          <w:highlight w:val="none"/>
        </w:rPr>
      </w:pPr>
      <w:r>
        <w:rPr>
          <w:rFonts w:ascii="黑体" w:hAnsi="黑体" w:eastAsia="黑体" w:cs="黑体"/>
          <w:spacing w:val="7"/>
          <w:sz w:val="24"/>
          <w:szCs w:val="24"/>
          <w:highlight w:val="none"/>
        </w:rPr>
        <w:t>19.3缺陷责任期的延长</w:t>
      </w:r>
    </w:p>
    <w:p w14:paraId="33EE1FD0">
      <w:pPr>
        <w:spacing w:before="133" w:line="219" w:lineRule="auto"/>
        <w:ind w:left="430"/>
        <w:rPr>
          <w:rFonts w:ascii="宋体" w:hAnsi="宋体" w:eastAsia="宋体" w:cs="宋体"/>
          <w:sz w:val="21"/>
          <w:szCs w:val="21"/>
          <w:highlight w:val="none"/>
        </w:rPr>
      </w:pPr>
      <w:r>
        <w:rPr>
          <w:rFonts w:ascii="宋体" w:hAnsi="宋体" w:eastAsia="宋体" w:cs="宋体"/>
          <w:spacing w:val="3"/>
          <w:sz w:val="21"/>
          <w:szCs w:val="21"/>
          <w:highlight w:val="none"/>
        </w:rPr>
        <w:t>由于承包人原因造成某项缺陷或损坏使某项工程或工程设备不能按原定目标使用而需</w:t>
      </w:r>
    </w:p>
    <w:p w14:paraId="3801EE8B">
      <w:pPr>
        <w:spacing w:line="219" w:lineRule="auto"/>
        <w:rPr>
          <w:rFonts w:ascii="宋体" w:hAnsi="宋体" w:eastAsia="宋体" w:cs="宋体"/>
          <w:sz w:val="21"/>
          <w:szCs w:val="21"/>
          <w:highlight w:val="none"/>
        </w:rPr>
        <w:sectPr>
          <w:footerReference r:id="rId209" w:type="default"/>
          <w:pgSz w:w="11910" w:h="16840"/>
          <w:pgMar w:top="400" w:right="1750" w:bottom="1238" w:left="1769" w:header="0" w:footer="1006" w:gutter="0"/>
          <w:cols w:space="720" w:num="1"/>
        </w:sectPr>
      </w:pPr>
    </w:p>
    <w:p w14:paraId="3FFF692D">
      <w:pPr>
        <w:pStyle w:val="2"/>
        <w:spacing w:line="276" w:lineRule="auto"/>
        <w:rPr>
          <w:highlight w:val="none"/>
        </w:rPr>
      </w:pPr>
    </w:p>
    <w:p w14:paraId="2638493E">
      <w:pPr>
        <w:pStyle w:val="2"/>
        <w:spacing w:line="276" w:lineRule="auto"/>
        <w:rPr>
          <w:highlight w:val="none"/>
        </w:rPr>
      </w:pPr>
    </w:p>
    <w:p w14:paraId="6580539C">
      <w:pPr>
        <w:pStyle w:val="2"/>
        <w:spacing w:line="277" w:lineRule="auto"/>
        <w:rPr>
          <w:highlight w:val="none"/>
        </w:rPr>
      </w:pPr>
    </w:p>
    <w:p w14:paraId="44ECA01A">
      <w:pPr>
        <w:pStyle w:val="2"/>
        <w:spacing w:line="277" w:lineRule="auto"/>
        <w:rPr>
          <w:highlight w:val="none"/>
        </w:rPr>
      </w:pPr>
    </w:p>
    <w:p w14:paraId="1B361A5E">
      <w:pPr>
        <w:spacing w:before="65" w:line="436" w:lineRule="auto"/>
        <w:ind w:right="119"/>
        <w:rPr>
          <w:rFonts w:ascii="宋体" w:hAnsi="宋体" w:eastAsia="宋体" w:cs="宋体"/>
          <w:sz w:val="20"/>
          <w:szCs w:val="20"/>
          <w:highlight w:val="none"/>
        </w:rPr>
      </w:pPr>
      <w:bookmarkStart w:id="199" w:name="bookmark284"/>
      <w:bookmarkEnd w:id="199"/>
      <w:r>
        <w:rPr>
          <w:rFonts w:ascii="宋体" w:hAnsi="宋体" w:eastAsia="宋体" w:cs="宋体"/>
          <w:spacing w:val="8"/>
          <w:sz w:val="20"/>
          <w:szCs w:val="20"/>
          <w:highlight w:val="none"/>
        </w:rPr>
        <w:t>要再次检查、检验和修复的，发包人有权要求承包人相应延长缺陷</w:t>
      </w:r>
      <w:r>
        <w:rPr>
          <w:rFonts w:ascii="宋体" w:hAnsi="宋体" w:eastAsia="宋体" w:cs="宋体"/>
          <w:spacing w:val="7"/>
          <w:sz w:val="20"/>
          <w:szCs w:val="20"/>
          <w:highlight w:val="none"/>
        </w:rPr>
        <w:t>责任期，但缺陷责任期最</w:t>
      </w:r>
      <w:r>
        <w:rPr>
          <w:rFonts w:ascii="宋体" w:hAnsi="宋体" w:eastAsia="宋体" w:cs="宋体"/>
          <w:sz w:val="20"/>
          <w:szCs w:val="20"/>
          <w:highlight w:val="none"/>
        </w:rPr>
        <w:t xml:space="preserve"> </w:t>
      </w:r>
      <w:r>
        <w:rPr>
          <w:rFonts w:ascii="宋体" w:hAnsi="宋体" w:eastAsia="宋体" w:cs="宋体"/>
          <w:spacing w:val="21"/>
          <w:sz w:val="20"/>
          <w:szCs w:val="20"/>
          <w:highlight w:val="none"/>
        </w:rPr>
        <w:t>长不超过2年。</w:t>
      </w:r>
    </w:p>
    <w:p w14:paraId="0036B40C">
      <w:pPr>
        <w:spacing w:before="65" w:line="221" w:lineRule="auto"/>
        <w:rPr>
          <w:rFonts w:ascii="黑体" w:hAnsi="黑体" w:eastAsia="黑体" w:cs="黑体"/>
          <w:sz w:val="24"/>
          <w:szCs w:val="24"/>
          <w:highlight w:val="none"/>
        </w:rPr>
      </w:pPr>
      <w:r>
        <w:rPr>
          <w:rFonts w:ascii="黑体" w:hAnsi="黑体" w:eastAsia="黑体" w:cs="黑体"/>
          <w:spacing w:val="7"/>
          <w:sz w:val="24"/>
          <w:szCs w:val="24"/>
          <w:highlight w:val="none"/>
        </w:rPr>
        <w:t>19.4进一步试验和试运行</w:t>
      </w:r>
    </w:p>
    <w:p w14:paraId="48AC66E4">
      <w:pPr>
        <w:spacing w:before="123" w:line="405" w:lineRule="auto"/>
        <w:ind w:right="101" w:firstLine="440"/>
        <w:rPr>
          <w:rFonts w:ascii="宋体" w:hAnsi="宋体" w:eastAsia="宋体" w:cs="宋体"/>
          <w:sz w:val="22"/>
          <w:szCs w:val="22"/>
          <w:highlight w:val="none"/>
        </w:rPr>
      </w:pPr>
      <w:r>
        <w:rPr>
          <w:rFonts w:ascii="宋体" w:hAnsi="宋体" w:eastAsia="宋体" w:cs="宋体"/>
          <w:spacing w:val="-12"/>
          <w:sz w:val="22"/>
          <w:szCs w:val="22"/>
          <w:highlight w:val="none"/>
        </w:rPr>
        <w:t>任何一项缺陷或损坏修复后，经检查证明其影响</w:t>
      </w:r>
      <w:r>
        <w:rPr>
          <w:rFonts w:ascii="宋体" w:hAnsi="宋体" w:eastAsia="宋体" w:cs="宋体"/>
          <w:spacing w:val="-13"/>
          <w:sz w:val="22"/>
          <w:szCs w:val="22"/>
          <w:highlight w:val="none"/>
        </w:rPr>
        <w:t>了工程或工程设备的使用性能，承包人</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应重新进行合同约定的试验和试运行，试验和试运行的全部费用应由责任方承担。</w:t>
      </w:r>
    </w:p>
    <w:p w14:paraId="4C7D4258">
      <w:pPr>
        <w:spacing w:before="46" w:line="222" w:lineRule="auto"/>
        <w:rPr>
          <w:rFonts w:ascii="黑体" w:hAnsi="黑体" w:eastAsia="黑体" w:cs="黑体"/>
          <w:sz w:val="24"/>
          <w:szCs w:val="24"/>
          <w:highlight w:val="none"/>
        </w:rPr>
      </w:pPr>
      <w:r>
        <w:rPr>
          <w:rFonts w:ascii="黑体" w:hAnsi="黑体" w:eastAsia="黑体" w:cs="黑体"/>
          <w:spacing w:val="7"/>
          <w:sz w:val="24"/>
          <w:szCs w:val="24"/>
          <w:highlight w:val="none"/>
        </w:rPr>
        <w:t>19.5承包人的进入权</w:t>
      </w:r>
    </w:p>
    <w:p w14:paraId="6A2CDAD2">
      <w:pPr>
        <w:spacing w:before="109" w:line="443" w:lineRule="auto"/>
        <w:ind w:right="97" w:firstLine="440"/>
        <w:rPr>
          <w:rFonts w:ascii="宋体" w:hAnsi="宋体" w:eastAsia="宋体" w:cs="宋体"/>
          <w:sz w:val="21"/>
          <w:szCs w:val="21"/>
          <w:highlight w:val="none"/>
        </w:rPr>
      </w:pPr>
      <w:r>
        <w:rPr>
          <w:rFonts w:ascii="宋体" w:hAnsi="宋体" w:eastAsia="宋体" w:cs="宋体"/>
          <w:spacing w:val="-2"/>
          <w:sz w:val="21"/>
          <w:szCs w:val="21"/>
          <w:highlight w:val="none"/>
        </w:rPr>
        <w:t>缺陷责任期内承包人为缺陷修复工作需要，有权进入工程</w:t>
      </w:r>
      <w:r>
        <w:rPr>
          <w:rFonts w:ascii="宋体" w:hAnsi="宋体" w:eastAsia="宋体" w:cs="宋体"/>
          <w:spacing w:val="-3"/>
          <w:sz w:val="21"/>
          <w:szCs w:val="21"/>
          <w:highlight w:val="none"/>
        </w:rPr>
        <w:t>现场，但应遵守发包人的保安</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和保密规定。</w:t>
      </w:r>
    </w:p>
    <w:p w14:paraId="25A5AD18">
      <w:pPr>
        <w:spacing w:before="42" w:line="221" w:lineRule="auto"/>
        <w:rPr>
          <w:rFonts w:ascii="黑体" w:hAnsi="黑体" w:eastAsia="黑体" w:cs="黑体"/>
          <w:sz w:val="24"/>
          <w:szCs w:val="24"/>
          <w:highlight w:val="none"/>
        </w:rPr>
      </w:pPr>
      <w:r>
        <w:rPr>
          <w:rFonts w:ascii="黑体" w:hAnsi="黑体" w:eastAsia="黑体" w:cs="黑体"/>
          <w:spacing w:val="6"/>
          <w:sz w:val="24"/>
          <w:szCs w:val="24"/>
          <w:highlight w:val="none"/>
        </w:rPr>
        <w:t>19.6缺陷责任期终止证书</w:t>
      </w:r>
    </w:p>
    <w:p w14:paraId="0FDF7E77">
      <w:pPr>
        <w:spacing w:before="93" w:line="421" w:lineRule="auto"/>
        <w:ind w:right="84" w:firstLine="440"/>
        <w:rPr>
          <w:rFonts w:ascii="宋体" w:hAnsi="宋体" w:eastAsia="宋体" w:cs="宋体"/>
          <w:sz w:val="22"/>
          <w:szCs w:val="22"/>
          <w:highlight w:val="none"/>
        </w:rPr>
      </w:pPr>
      <w:r>
        <w:rPr>
          <w:rFonts w:ascii="宋体" w:hAnsi="宋体" w:eastAsia="宋体" w:cs="宋体"/>
          <w:spacing w:val="-3"/>
          <w:sz w:val="22"/>
          <w:szCs w:val="22"/>
          <w:highlight w:val="none"/>
        </w:rPr>
        <w:t>在第1.1.4.5目约定的缺陷责任期，包括根据第19.3款延长的期限终止后14天内，由</w:t>
      </w:r>
      <w:r>
        <w:rPr>
          <w:rFonts w:ascii="宋体" w:hAnsi="宋体" w:eastAsia="宋体" w:cs="宋体"/>
          <w:spacing w:val="3"/>
          <w:sz w:val="22"/>
          <w:szCs w:val="22"/>
          <w:highlight w:val="none"/>
        </w:rPr>
        <w:t xml:space="preserve"> </w:t>
      </w:r>
      <w:r>
        <w:rPr>
          <w:rFonts w:ascii="宋体" w:hAnsi="宋体" w:eastAsia="宋体" w:cs="宋体"/>
          <w:spacing w:val="-10"/>
          <w:sz w:val="22"/>
          <w:szCs w:val="22"/>
          <w:highlight w:val="none"/>
        </w:rPr>
        <w:t>监理人向承包人出具经发包人签认的缺陷责任期终止证书，并退还剩余的质量保证金。</w:t>
      </w:r>
    </w:p>
    <w:p w14:paraId="63DF4948">
      <w:pPr>
        <w:spacing w:before="56" w:line="221" w:lineRule="auto"/>
        <w:rPr>
          <w:rFonts w:ascii="黑体" w:hAnsi="黑体" w:eastAsia="黑体" w:cs="黑体"/>
          <w:sz w:val="24"/>
          <w:szCs w:val="24"/>
          <w:highlight w:val="none"/>
        </w:rPr>
      </w:pPr>
      <w:r>
        <w:rPr>
          <w:rFonts w:ascii="黑体" w:hAnsi="黑体" w:eastAsia="黑体" w:cs="黑体"/>
          <w:spacing w:val="11"/>
          <w:sz w:val="24"/>
          <w:szCs w:val="24"/>
          <w:highlight w:val="none"/>
        </w:rPr>
        <w:t>19.7保修责任</w:t>
      </w:r>
    </w:p>
    <w:p w14:paraId="03327C16">
      <w:pPr>
        <w:spacing w:before="112" w:line="380" w:lineRule="auto"/>
        <w:ind w:firstLine="440"/>
        <w:jc w:val="both"/>
        <w:rPr>
          <w:rFonts w:ascii="宋体" w:hAnsi="宋体" w:eastAsia="宋体" w:cs="宋体"/>
          <w:sz w:val="22"/>
          <w:szCs w:val="22"/>
          <w:highlight w:val="none"/>
        </w:rPr>
      </w:pPr>
      <w:r>
        <w:rPr>
          <w:rFonts w:ascii="宋体" w:hAnsi="宋体" w:eastAsia="宋体" w:cs="宋体"/>
          <w:spacing w:val="-15"/>
          <w:sz w:val="22"/>
          <w:szCs w:val="22"/>
          <w:highlight w:val="none"/>
        </w:rPr>
        <w:t>合同当事人根据有关法律规定，在专用合同条款中约定工程质量保修范围、</w:t>
      </w:r>
      <w:r>
        <w:rPr>
          <w:rFonts w:ascii="宋体" w:hAnsi="宋体" w:eastAsia="宋体" w:cs="宋体"/>
          <w:spacing w:val="-16"/>
          <w:sz w:val="22"/>
          <w:szCs w:val="22"/>
          <w:highlight w:val="none"/>
        </w:rPr>
        <w:t>期限和责任。</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保修期自实际竣工日期起计算。在全部工程竣工验收前，已经发包</w:t>
      </w:r>
      <w:r>
        <w:rPr>
          <w:rFonts w:ascii="宋体" w:hAnsi="宋体" w:eastAsia="宋体" w:cs="宋体"/>
          <w:spacing w:val="-10"/>
          <w:sz w:val="22"/>
          <w:szCs w:val="22"/>
          <w:highlight w:val="none"/>
        </w:rPr>
        <w:t>人提前验收的区段工程，</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其保修期的起算日期相应提前。</w:t>
      </w:r>
    </w:p>
    <w:p w14:paraId="4F166FC7">
      <w:pPr>
        <w:pStyle w:val="2"/>
        <w:spacing w:line="327" w:lineRule="exact"/>
        <w:outlineLvl w:val="1"/>
        <w:rPr>
          <w:rFonts w:ascii="黑体" w:hAnsi="黑体" w:eastAsia="黑体" w:cs="黑体"/>
          <w:sz w:val="24"/>
          <w:szCs w:val="24"/>
          <w:highlight w:val="none"/>
        </w:rPr>
      </w:pPr>
      <w:bookmarkStart w:id="200" w:name="bookmark115"/>
      <w:bookmarkEnd w:id="200"/>
      <w:r>
        <w:rPr>
          <w:spacing w:val="1"/>
          <w:position w:val="1"/>
          <w:sz w:val="24"/>
          <w:szCs w:val="24"/>
          <w:highlight w:val="none"/>
        </w:rPr>
        <w:t xml:space="preserve">20. </w:t>
      </w:r>
      <w:r>
        <w:rPr>
          <w:rFonts w:ascii="黑体" w:hAnsi="黑体" w:eastAsia="黑体" w:cs="黑体"/>
          <w:spacing w:val="1"/>
          <w:position w:val="1"/>
          <w:sz w:val="24"/>
          <w:szCs w:val="24"/>
          <w:highlight w:val="none"/>
        </w:rPr>
        <w:t>保险</w:t>
      </w:r>
    </w:p>
    <w:p w14:paraId="0C104963">
      <w:pPr>
        <w:spacing w:before="195" w:line="222" w:lineRule="auto"/>
        <w:rPr>
          <w:rFonts w:ascii="黑体" w:hAnsi="黑体" w:eastAsia="黑体" w:cs="黑体"/>
          <w:sz w:val="24"/>
          <w:szCs w:val="24"/>
          <w:highlight w:val="none"/>
        </w:rPr>
      </w:pPr>
      <w:r>
        <w:rPr>
          <w:rFonts w:ascii="黑体" w:hAnsi="黑体" w:eastAsia="黑体" w:cs="黑体"/>
          <w:spacing w:val="-3"/>
          <w:sz w:val="24"/>
          <w:szCs w:val="24"/>
          <w:highlight w:val="none"/>
        </w:rPr>
        <w:t>20.1 设计和工程保险</w:t>
      </w:r>
    </w:p>
    <w:p w14:paraId="62035C21">
      <w:pPr>
        <w:spacing w:before="132" w:line="336" w:lineRule="auto"/>
        <w:ind w:right="81" w:firstLine="440"/>
        <w:rPr>
          <w:rFonts w:ascii="宋体" w:hAnsi="宋体" w:eastAsia="宋体" w:cs="宋体"/>
          <w:sz w:val="22"/>
          <w:szCs w:val="22"/>
          <w:highlight w:val="none"/>
        </w:rPr>
      </w:pPr>
      <w:r>
        <w:rPr>
          <w:rFonts w:ascii="宋体" w:hAnsi="宋体" w:eastAsia="宋体" w:cs="宋体"/>
          <w:sz w:val="22"/>
          <w:szCs w:val="22"/>
          <w:highlight w:val="none"/>
        </w:rPr>
        <w:t>20.1.1承包人按照专用合同条款的约定向双方同意的</w:t>
      </w:r>
      <w:r>
        <w:rPr>
          <w:rFonts w:ascii="宋体" w:hAnsi="宋体" w:eastAsia="宋体" w:cs="宋体"/>
          <w:spacing w:val="-1"/>
          <w:sz w:val="22"/>
          <w:szCs w:val="22"/>
          <w:highlight w:val="none"/>
        </w:rPr>
        <w:t>保险人投保建设工程设计责任</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险、建筑工程一切险或安装工程一切险等保险。具体的投保险种、保险范围、保险金额、保</w:t>
      </w:r>
      <w:r>
        <w:rPr>
          <w:rFonts w:ascii="宋体" w:hAnsi="宋体" w:eastAsia="宋体" w:cs="宋体"/>
          <w:spacing w:val="6"/>
          <w:sz w:val="22"/>
          <w:szCs w:val="22"/>
          <w:highlight w:val="none"/>
        </w:rPr>
        <w:t xml:space="preserve"> </w:t>
      </w:r>
      <w:r>
        <w:rPr>
          <w:rFonts w:ascii="宋体" w:hAnsi="宋体" w:eastAsia="宋体" w:cs="宋体"/>
          <w:spacing w:val="-11"/>
          <w:sz w:val="22"/>
          <w:szCs w:val="22"/>
          <w:highlight w:val="none"/>
        </w:rPr>
        <w:t>险费率、保险期限等有关内容应当在专用合同条款中明确约定。</w:t>
      </w:r>
    </w:p>
    <w:p w14:paraId="0132A14F">
      <w:pPr>
        <w:spacing w:before="237" w:line="317" w:lineRule="auto"/>
        <w:ind w:right="100" w:firstLine="44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20.1.2</w:t>
      </w:r>
      <w:r>
        <w:rPr>
          <w:rFonts w:ascii="Times New Roman" w:hAnsi="Times New Roman" w:eastAsia="Times New Roman" w:cs="Times New Roman"/>
          <w:spacing w:val="14"/>
          <w:sz w:val="21"/>
          <w:szCs w:val="21"/>
          <w:highlight w:val="none"/>
        </w:rPr>
        <w:t xml:space="preserve">   </w:t>
      </w:r>
      <w:r>
        <w:rPr>
          <w:rFonts w:ascii="宋体" w:hAnsi="宋体" w:eastAsia="宋体" w:cs="宋体"/>
          <w:spacing w:val="1"/>
          <w:sz w:val="21"/>
          <w:szCs w:val="21"/>
          <w:highlight w:val="none"/>
        </w:rPr>
        <w:t>在缺陷责任期终止证书颁发前，承包人应</w:t>
      </w:r>
      <w:r>
        <w:rPr>
          <w:rFonts w:ascii="宋体" w:hAnsi="宋体" w:eastAsia="宋体" w:cs="宋体"/>
          <w:sz w:val="21"/>
          <w:szCs w:val="21"/>
          <w:highlight w:val="none"/>
        </w:rPr>
        <w:t xml:space="preserve">按照专用合同条款的约定投保第三者 </w:t>
      </w:r>
      <w:r>
        <w:rPr>
          <w:rFonts w:ascii="宋体" w:hAnsi="宋体" w:eastAsia="宋体" w:cs="宋体"/>
          <w:spacing w:val="-9"/>
          <w:sz w:val="21"/>
          <w:szCs w:val="21"/>
          <w:highlight w:val="none"/>
        </w:rPr>
        <w:t>责任险。</w:t>
      </w:r>
    </w:p>
    <w:p w14:paraId="19E64D6C">
      <w:pPr>
        <w:spacing w:before="282" w:line="222" w:lineRule="auto"/>
        <w:rPr>
          <w:rFonts w:ascii="黑体" w:hAnsi="黑体" w:eastAsia="黑体" w:cs="黑体"/>
          <w:sz w:val="25"/>
          <w:szCs w:val="25"/>
          <w:highlight w:val="none"/>
        </w:rPr>
      </w:pPr>
      <w:r>
        <w:rPr>
          <w:rFonts w:ascii="黑体" w:hAnsi="黑体" w:eastAsia="黑体" w:cs="黑体"/>
          <w:spacing w:val="-5"/>
          <w:sz w:val="25"/>
          <w:szCs w:val="25"/>
          <w:highlight w:val="none"/>
        </w:rPr>
        <w:t>20.2</w:t>
      </w:r>
      <w:r>
        <w:rPr>
          <w:rFonts w:ascii="黑体" w:hAnsi="黑体" w:eastAsia="黑体" w:cs="黑体"/>
          <w:spacing w:val="-18"/>
          <w:sz w:val="25"/>
          <w:szCs w:val="25"/>
          <w:highlight w:val="none"/>
        </w:rPr>
        <w:t xml:space="preserve"> </w:t>
      </w:r>
      <w:r>
        <w:rPr>
          <w:rFonts w:ascii="黑体" w:hAnsi="黑体" w:eastAsia="黑体" w:cs="黑体"/>
          <w:spacing w:val="-5"/>
          <w:sz w:val="25"/>
          <w:szCs w:val="25"/>
          <w:highlight w:val="none"/>
        </w:rPr>
        <w:t>工伤保险</w:t>
      </w:r>
    </w:p>
    <w:p w14:paraId="7F976086">
      <w:pPr>
        <w:spacing w:before="128" w:line="219" w:lineRule="auto"/>
        <w:ind w:left="440"/>
        <w:rPr>
          <w:rFonts w:ascii="宋体" w:hAnsi="宋体" w:eastAsia="宋体" w:cs="宋体"/>
          <w:sz w:val="22"/>
          <w:szCs w:val="22"/>
          <w:highlight w:val="none"/>
        </w:rPr>
      </w:pPr>
      <w:r>
        <w:rPr>
          <w:rFonts w:ascii="宋体" w:hAnsi="宋体" w:eastAsia="宋体" w:cs="宋体"/>
          <w:spacing w:val="-1"/>
          <w:sz w:val="22"/>
          <w:szCs w:val="22"/>
          <w:highlight w:val="none"/>
        </w:rPr>
        <w:t>20.2.1承包人员工伤保险</w:t>
      </w:r>
    </w:p>
    <w:p w14:paraId="5A697F34">
      <w:pPr>
        <w:spacing w:before="199" w:line="407" w:lineRule="auto"/>
        <w:ind w:right="99" w:firstLine="440"/>
        <w:rPr>
          <w:rFonts w:ascii="宋体" w:hAnsi="宋体" w:eastAsia="宋体" w:cs="宋体"/>
          <w:sz w:val="22"/>
          <w:szCs w:val="22"/>
          <w:highlight w:val="none"/>
        </w:rPr>
      </w:pPr>
      <w:r>
        <w:rPr>
          <w:rFonts w:ascii="宋体" w:hAnsi="宋体" w:eastAsia="宋体" w:cs="宋体"/>
          <w:spacing w:val="-12"/>
          <w:sz w:val="22"/>
          <w:szCs w:val="22"/>
          <w:highlight w:val="none"/>
        </w:rPr>
        <w:t>承包人应依照有关法律规定，为其履行合同所雇佣的</w:t>
      </w:r>
      <w:r>
        <w:rPr>
          <w:rFonts w:ascii="宋体" w:hAnsi="宋体" w:eastAsia="宋体" w:cs="宋体"/>
          <w:spacing w:val="-13"/>
          <w:sz w:val="22"/>
          <w:szCs w:val="22"/>
          <w:highlight w:val="none"/>
        </w:rPr>
        <w:t>全部人员投保工伤保险，缴纳工伤</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保险费，并要求其分包人也投保此项保险。</w:t>
      </w:r>
    </w:p>
    <w:p w14:paraId="2C8E3514">
      <w:pPr>
        <w:spacing w:line="219" w:lineRule="auto"/>
        <w:ind w:left="44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20.2.2</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5"/>
          <w:sz w:val="22"/>
          <w:szCs w:val="22"/>
          <w:highlight w:val="none"/>
        </w:rPr>
        <w:t>发包人员工伤保险</w:t>
      </w:r>
    </w:p>
    <w:p w14:paraId="54D7DAA9">
      <w:pPr>
        <w:spacing w:before="228" w:line="397" w:lineRule="auto"/>
        <w:ind w:right="82" w:firstLine="440"/>
        <w:rPr>
          <w:rFonts w:ascii="宋体" w:hAnsi="宋体" w:eastAsia="宋体" w:cs="宋体"/>
          <w:sz w:val="22"/>
          <w:szCs w:val="22"/>
          <w:highlight w:val="none"/>
        </w:rPr>
      </w:pPr>
      <w:r>
        <w:rPr>
          <w:rFonts w:ascii="宋体" w:hAnsi="宋体" w:eastAsia="宋体" w:cs="宋体"/>
          <w:spacing w:val="-12"/>
          <w:sz w:val="22"/>
          <w:szCs w:val="22"/>
          <w:highlight w:val="none"/>
        </w:rPr>
        <w:t>发包人应依照有关法律规定，为其现场机构雇佣的全部人员投保工伤保险，缴纳工伤保</w:t>
      </w:r>
      <w:r>
        <w:rPr>
          <w:rFonts w:ascii="宋体" w:hAnsi="宋体" w:eastAsia="宋体" w:cs="宋体"/>
          <w:spacing w:val="2"/>
          <w:sz w:val="22"/>
          <w:szCs w:val="22"/>
          <w:highlight w:val="none"/>
        </w:rPr>
        <w:t xml:space="preserve"> </w:t>
      </w:r>
      <w:r>
        <w:rPr>
          <w:rFonts w:ascii="宋体" w:hAnsi="宋体" w:eastAsia="宋体" w:cs="宋体"/>
          <w:spacing w:val="-11"/>
          <w:sz w:val="22"/>
          <w:szCs w:val="22"/>
          <w:highlight w:val="none"/>
        </w:rPr>
        <w:t>险费，并要求其监理人也进行此项保险。</w:t>
      </w:r>
    </w:p>
    <w:p w14:paraId="3881B9FB">
      <w:pPr>
        <w:spacing w:line="397" w:lineRule="auto"/>
        <w:rPr>
          <w:rFonts w:ascii="宋体" w:hAnsi="宋体" w:eastAsia="宋体" w:cs="宋体"/>
          <w:sz w:val="22"/>
          <w:szCs w:val="22"/>
          <w:highlight w:val="none"/>
        </w:rPr>
        <w:sectPr>
          <w:footerReference r:id="rId210" w:type="default"/>
          <w:pgSz w:w="11910" w:h="16840"/>
          <w:pgMar w:top="400" w:right="1719" w:bottom="1238" w:left="1759" w:header="0" w:footer="1006" w:gutter="0"/>
          <w:cols w:space="720" w:num="1"/>
        </w:sectPr>
      </w:pPr>
    </w:p>
    <w:p w14:paraId="5DF94323">
      <w:pPr>
        <w:pStyle w:val="2"/>
        <w:spacing w:line="245" w:lineRule="auto"/>
        <w:rPr>
          <w:highlight w:val="none"/>
        </w:rPr>
      </w:pPr>
    </w:p>
    <w:p w14:paraId="2BA24BF9">
      <w:pPr>
        <w:pStyle w:val="2"/>
        <w:spacing w:line="246" w:lineRule="auto"/>
        <w:rPr>
          <w:highlight w:val="none"/>
        </w:rPr>
      </w:pPr>
    </w:p>
    <w:p w14:paraId="105C17A3">
      <w:pPr>
        <w:pStyle w:val="2"/>
        <w:spacing w:line="246" w:lineRule="auto"/>
        <w:rPr>
          <w:highlight w:val="none"/>
        </w:rPr>
      </w:pPr>
    </w:p>
    <w:p w14:paraId="03B88E7C">
      <w:pPr>
        <w:pStyle w:val="2"/>
        <w:spacing w:line="246" w:lineRule="auto"/>
        <w:rPr>
          <w:highlight w:val="none"/>
        </w:rPr>
      </w:pPr>
    </w:p>
    <w:p w14:paraId="6CF4E93D">
      <w:pPr>
        <w:spacing w:before="78" w:line="221" w:lineRule="auto"/>
        <w:rPr>
          <w:rFonts w:ascii="黑体" w:hAnsi="黑体" w:eastAsia="黑体" w:cs="黑体"/>
          <w:sz w:val="24"/>
          <w:szCs w:val="24"/>
          <w:highlight w:val="none"/>
        </w:rPr>
      </w:pPr>
      <w:r>
        <w:rPr>
          <w:rFonts w:ascii="黑体" w:hAnsi="黑体" w:eastAsia="黑体" w:cs="黑体"/>
          <w:spacing w:val="9"/>
          <w:sz w:val="24"/>
          <w:szCs w:val="24"/>
          <w:highlight w:val="none"/>
        </w:rPr>
        <w:t>20.3人身意外伤害险</w:t>
      </w:r>
    </w:p>
    <w:p w14:paraId="79C4FFC1">
      <w:pPr>
        <w:spacing w:before="113" w:line="311" w:lineRule="auto"/>
        <w:ind w:right="30" w:firstLine="42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 xml:space="preserve">20.3.1   </w:t>
      </w:r>
      <w:r>
        <w:rPr>
          <w:rFonts w:ascii="宋体" w:hAnsi="宋体" w:eastAsia="宋体" w:cs="宋体"/>
          <w:spacing w:val="-10"/>
          <w:sz w:val="22"/>
          <w:szCs w:val="22"/>
          <w:highlight w:val="none"/>
        </w:rPr>
        <w:t>发包人应在整个施工期间为其现场机构雇</w:t>
      </w:r>
      <w:r>
        <w:rPr>
          <w:rFonts w:ascii="宋体" w:hAnsi="宋体" w:eastAsia="宋体" w:cs="宋体"/>
          <w:spacing w:val="-11"/>
          <w:sz w:val="22"/>
          <w:szCs w:val="22"/>
          <w:highlight w:val="none"/>
        </w:rPr>
        <w:t>用的全部人员，投保人身意外伤害险，</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缴纳保险费，并要求其监理人也进行此项保险。</w:t>
      </w:r>
    </w:p>
    <w:p w14:paraId="16033752">
      <w:pPr>
        <w:spacing w:before="218" w:line="311" w:lineRule="auto"/>
        <w:ind w:firstLine="42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 xml:space="preserve">20.3.2   </w:t>
      </w:r>
      <w:r>
        <w:rPr>
          <w:rFonts w:ascii="宋体" w:hAnsi="宋体" w:eastAsia="宋体" w:cs="宋体"/>
          <w:spacing w:val="-10"/>
          <w:sz w:val="22"/>
          <w:szCs w:val="22"/>
          <w:highlight w:val="none"/>
        </w:rPr>
        <w:t>承包人应在整个施工期间为其现场机构雇用的全部人员，投保人身意外伤害险，</w:t>
      </w:r>
      <w:r>
        <w:rPr>
          <w:rFonts w:ascii="宋体" w:hAnsi="宋体" w:eastAsia="宋体" w:cs="宋体"/>
          <w:spacing w:val="13"/>
          <w:sz w:val="22"/>
          <w:szCs w:val="22"/>
          <w:highlight w:val="none"/>
        </w:rPr>
        <w:t xml:space="preserve"> </w:t>
      </w:r>
      <w:r>
        <w:rPr>
          <w:rFonts w:ascii="宋体" w:hAnsi="宋体" w:eastAsia="宋体" w:cs="宋体"/>
          <w:spacing w:val="-11"/>
          <w:sz w:val="22"/>
          <w:szCs w:val="22"/>
          <w:highlight w:val="none"/>
        </w:rPr>
        <w:t>缴纳保险费，并要求其分包人也进行此项保险。</w:t>
      </w:r>
    </w:p>
    <w:p w14:paraId="43E4132A">
      <w:pPr>
        <w:spacing w:before="280" w:line="222" w:lineRule="auto"/>
        <w:rPr>
          <w:rFonts w:ascii="黑体" w:hAnsi="黑体" w:eastAsia="黑体" w:cs="黑体"/>
          <w:sz w:val="24"/>
          <w:szCs w:val="24"/>
          <w:highlight w:val="none"/>
        </w:rPr>
      </w:pPr>
      <w:r>
        <w:rPr>
          <w:rFonts w:ascii="黑体" w:hAnsi="黑体" w:eastAsia="黑体" w:cs="黑体"/>
          <w:spacing w:val="13"/>
          <w:sz w:val="24"/>
          <w:szCs w:val="24"/>
          <w:highlight w:val="none"/>
        </w:rPr>
        <w:t>20.4其他保险</w:t>
      </w:r>
    </w:p>
    <w:p w14:paraId="79668B78">
      <w:pPr>
        <w:spacing w:before="139" w:line="417" w:lineRule="auto"/>
        <w:ind w:right="82" w:firstLine="420"/>
        <w:rPr>
          <w:rFonts w:ascii="宋体" w:hAnsi="宋体" w:eastAsia="宋体" w:cs="宋体"/>
          <w:sz w:val="21"/>
          <w:szCs w:val="21"/>
          <w:highlight w:val="none"/>
        </w:rPr>
      </w:pPr>
      <w:r>
        <w:rPr>
          <w:rFonts w:ascii="宋体" w:hAnsi="宋体" w:eastAsia="宋体" w:cs="宋体"/>
          <w:spacing w:val="-2"/>
          <w:sz w:val="21"/>
          <w:szCs w:val="21"/>
          <w:highlight w:val="none"/>
        </w:rPr>
        <w:t>除专用合同条款另有约定外，承包人应为其施工设备、进场的材料和工程设备等办理保</w:t>
      </w:r>
      <w:r>
        <w:rPr>
          <w:rFonts w:ascii="宋体" w:hAnsi="宋体" w:eastAsia="宋体" w:cs="宋体"/>
          <w:spacing w:val="2"/>
          <w:sz w:val="21"/>
          <w:szCs w:val="21"/>
          <w:highlight w:val="none"/>
        </w:rPr>
        <w:t xml:space="preserve"> </w:t>
      </w:r>
      <w:r>
        <w:rPr>
          <w:rFonts w:ascii="宋体" w:hAnsi="宋体" w:eastAsia="宋体" w:cs="宋体"/>
          <w:spacing w:val="-7"/>
          <w:sz w:val="21"/>
          <w:szCs w:val="21"/>
          <w:highlight w:val="none"/>
        </w:rPr>
        <w:t>险。</w:t>
      </w:r>
    </w:p>
    <w:p w14:paraId="490E2FEA">
      <w:pPr>
        <w:pStyle w:val="2"/>
        <w:spacing w:before="38" w:line="327" w:lineRule="exact"/>
        <w:rPr>
          <w:rFonts w:ascii="黑体" w:hAnsi="黑体" w:eastAsia="黑体" w:cs="黑体"/>
          <w:sz w:val="24"/>
          <w:szCs w:val="24"/>
          <w:highlight w:val="none"/>
        </w:rPr>
      </w:pPr>
      <w:r>
        <w:rPr>
          <w:position w:val="1"/>
          <w:sz w:val="24"/>
          <w:szCs w:val="24"/>
          <w:highlight w:val="none"/>
        </w:rPr>
        <w:t>20.5</w:t>
      </w:r>
      <w:r>
        <w:rPr>
          <w:spacing w:val="68"/>
          <w:position w:val="1"/>
          <w:sz w:val="24"/>
          <w:szCs w:val="24"/>
          <w:highlight w:val="none"/>
        </w:rPr>
        <w:t xml:space="preserve"> </w:t>
      </w:r>
      <w:r>
        <w:rPr>
          <w:rFonts w:ascii="黑体" w:hAnsi="黑体" w:eastAsia="黑体" w:cs="黑体"/>
          <w:position w:val="1"/>
          <w:sz w:val="24"/>
          <w:szCs w:val="24"/>
          <w:highlight w:val="none"/>
        </w:rPr>
        <w:t>对各项保险的一般要求</w:t>
      </w:r>
    </w:p>
    <w:p w14:paraId="1265F25F">
      <w:pPr>
        <w:spacing w:before="108" w:line="219" w:lineRule="auto"/>
        <w:ind w:left="42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20.5.1</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4"/>
          <w:sz w:val="22"/>
          <w:szCs w:val="22"/>
          <w:highlight w:val="none"/>
        </w:rPr>
        <w:t>保险凭证</w:t>
      </w:r>
    </w:p>
    <w:p w14:paraId="43802FBE">
      <w:pPr>
        <w:spacing w:before="217" w:line="396" w:lineRule="auto"/>
        <w:ind w:right="91" w:firstLine="420"/>
        <w:rPr>
          <w:rFonts w:ascii="宋体" w:hAnsi="宋体" w:eastAsia="宋体" w:cs="宋体"/>
          <w:sz w:val="22"/>
          <w:szCs w:val="22"/>
          <w:highlight w:val="none"/>
        </w:rPr>
      </w:pPr>
      <w:r>
        <w:rPr>
          <w:rFonts w:ascii="宋体" w:hAnsi="宋体" w:eastAsia="宋体" w:cs="宋体"/>
          <w:spacing w:val="-7"/>
          <w:sz w:val="22"/>
          <w:szCs w:val="22"/>
          <w:highlight w:val="none"/>
        </w:rPr>
        <w:t>承包人应在专用合同条款约定的期限内向发包人提交各项保险生效的证据和保险单副</w:t>
      </w:r>
      <w:r>
        <w:rPr>
          <w:rFonts w:ascii="宋体" w:hAnsi="宋体" w:eastAsia="宋体" w:cs="宋体"/>
          <w:spacing w:val="16"/>
          <w:sz w:val="22"/>
          <w:szCs w:val="22"/>
          <w:highlight w:val="none"/>
        </w:rPr>
        <w:t xml:space="preserve"> </w:t>
      </w:r>
      <w:r>
        <w:rPr>
          <w:rFonts w:ascii="宋体" w:hAnsi="宋体" w:eastAsia="宋体" w:cs="宋体"/>
          <w:spacing w:val="-11"/>
          <w:sz w:val="22"/>
          <w:szCs w:val="22"/>
          <w:highlight w:val="none"/>
        </w:rPr>
        <w:t>本，保险单必须与专用合同条款约定的条件保持一致。</w:t>
      </w:r>
    </w:p>
    <w:p w14:paraId="61B8AACD">
      <w:pPr>
        <w:spacing w:before="18" w:line="219" w:lineRule="auto"/>
        <w:ind w:left="42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 xml:space="preserve">20.5.2   </w:t>
      </w:r>
      <w:r>
        <w:rPr>
          <w:rFonts w:ascii="宋体" w:hAnsi="宋体" w:eastAsia="宋体" w:cs="宋体"/>
          <w:spacing w:val="-3"/>
          <w:sz w:val="22"/>
          <w:szCs w:val="22"/>
          <w:highlight w:val="none"/>
        </w:rPr>
        <w:t>保险合同条款的变动</w:t>
      </w:r>
    </w:p>
    <w:p w14:paraId="1F988E3D">
      <w:pPr>
        <w:spacing w:before="229" w:line="415" w:lineRule="auto"/>
        <w:ind w:right="64" w:firstLine="420"/>
        <w:rPr>
          <w:rFonts w:ascii="宋体" w:hAnsi="宋体" w:eastAsia="宋体" w:cs="宋体"/>
          <w:sz w:val="21"/>
          <w:szCs w:val="21"/>
          <w:highlight w:val="none"/>
        </w:rPr>
      </w:pPr>
      <w:r>
        <w:rPr>
          <w:rFonts w:ascii="宋体" w:hAnsi="宋体" w:eastAsia="宋体" w:cs="宋体"/>
          <w:spacing w:val="-1"/>
          <w:sz w:val="21"/>
          <w:szCs w:val="21"/>
          <w:highlight w:val="none"/>
        </w:rPr>
        <w:t>承包人需要变动保险合同条款时，应事先征得</w:t>
      </w:r>
      <w:r>
        <w:rPr>
          <w:rFonts w:ascii="宋体" w:hAnsi="宋体" w:eastAsia="宋体" w:cs="宋体"/>
          <w:spacing w:val="-2"/>
          <w:sz w:val="21"/>
          <w:szCs w:val="21"/>
          <w:highlight w:val="none"/>
        </w:rPr>
        <w:t>发包人同意，并通知监理人。保险人作出</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变动的，承包人应在收到保险人通知后立即</w:t>
      </w:r>
      <w:r>
        <w:rPr>
          <w:rFonts w:ascii="宋体" w:hAnsi="宋体" w:eastAsia="宋体" w:cs="宋体"/>
          <w:spacing w:val="-2"/>
          <w:sz w:val="21"/>
          <w:szCs w:val="21"/>
          <w:highlight w:val="none"/>
        </w:rPr>
        <w:t>通知发包人和监理人。</w:t>
      </w:r>
    </w:p>
    <w:p w14:paraId="25BA0219">
      <w:pPr>
        <w:spacing w:before="6" w:line="219"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20.5.3持续保险</w:t>
      </w:r>
    </w:p>
    <w:p w14:paraId="6ABDBD9E">
      <w:pPr>
        <w:spacing w:before="208" w:line="395" w:lineRule="auto"/>
        <w:ind w:right="81" w:firstLine="420"/>
        <w:rPr>
          <w:rFonts w:ascii="宋体" w:hAnsi="宋体" w:eastAsia="宋体" w:cs="宋体"/>
          <w:sz w:val="22"/>
          <w:szCs w:val="22"/>
          <w:highlight w:val="none"/>
        </w:rPr>
      </w:pPr>
      <w:r>
        <w:rPr>
          <w:rFonts w:ascii="宋体" w:hAnsi="宋体" w:eastAsia="宋体" w:cs="宋体"/>
          <w:spacing w:val="-12"/>
          <w:sz w:val="22"/>
          <w:szCs w:val="22"/>
          <w:highlight w:val="none"/>
        </w:rPr>
        <w:t>承包人应与保险人保持联系，使保险人能够随时了解工程实施中的变动，并确保按保险</w:t>
      </w:r>
      <w:r>
        <w:rPr>
          <w:rFonts w:ascii="宋体" w:hAnsi="宋体" w:eastAsia="宋体" w:cs="宋体"/>
          <w:spacing w:val="3"/>
          <w:sz w:val="22"/>
          <w:szCs w:val="22"/>
          <w:highlight w:val="none"/>
        </w:rPr>
        <w:t xml:space="preserve"> </w:t>
      </w:r>
      <w:r>
        <w:rPr>
          <w:rFonts w:ascii="宋体" w:hAnsi="宋体" w:eastAsia="宋体" w:cs="宋体"/>
          <w:spacing w:val="-12"/>
          <w:sz w:val="22"/>
          <w:szCs w:val="22"/>
          <w:highlight w:val="none"/>
        </w:rPr>
        <w:t>合同条款要求持续保险。</w:t>
      </w:r>
    </w:p>
    <w:p w14:paraId="7E05B08A">
      <w:pPr>
        <w:spacing w:line="220" w:lineRule="auto"/>
        <w:ind w:left="42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20.5.4</w:t>
      </w:r>
      <w:r>
        <w:rPr>
          <w:rFonts w:ascii="Times New Roman" w:hAnsi="Times New Roman" w:eastAsia="Times New Roman" w:cs="Times New Roman"/>
          <w:spacing w:val="9"/>
          <w:sz w:val="22"/>
          <w:szCs w:val="22"/>
          <w:highlight w:val="none"/>
        </w:rPr>
        <w:t xml:space="preserve">   </w:t>
      </w:r>
      <w:r>
        <w:rPr>
          <w:rFonts w:ascii="宋体" w:hAnsi="宋体" w:eastAsia="宋体" w:cs="宋体"/>
          <w:spacing w:val="-4"/>
          <w:sz w:val="22"/>
          <w:szCs w:val="22"/>
          <w:highlight w:val="none"/>
        </w:rPr>
        <w:t>保险金不足的补偿</w:t>
      </w:r>
    </w:p>
    <w:p w14:paraId="1875F808">
      <w:pPr>
        <w:spacing w:before="227" w:line="219" w:lineRule="auto"/>
        <w:ind w:left="420"/>
        <w:rPr>
          <w:rFonts w:ascii="宋体" w:hAnsi="宋体" w:eastAsia="宋体" w:cs="宋体"/>
          <w:sz w:val="22"/>
          <w:szCs w:val="22"/>
          <w:highlight w:val="none"/>
        </w:rPr>
      </w:pPr>
      <w:r>
        <w:rPr>
          <w:rFonts w:ascii="宋体" w:hAnsi="宋体" w:eastAsia="宋体" w:cs="宋体"/>
          <w:spacing w:val="-4"/>
          <w:sz w:val="22"/>
          <w:szCs w:val="22"/>
          <w:highlight w:val="none"/>
        </w:rPr>
        <w:t>保险金不足以补偿损失的，应由承包人和(或)发包人按合同约定负责补偿。</w:t>
      </w:r>
    </w:p>
    <w:p w14:paraId="72CF0BB7">
      <w:pPr>
        <w:spacing w:before="248" w:line="219" w:lineRule="auto"/>
        <w:ind w:left="42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20.5.5</w:t>
      </w:r>
      <w:r>
        <w:rPr>
          <w:rFonts w:ascii="Times New Roman" w:hAnsi="Times New Roman" w:eastAsia="Times New Roman" w:cs="Times New Roman"/>
          <w:spacing w:val="12"/>
          <w:w w:val="101"/>
          <w:sz w:val="20"/>
          <w:szCs w:val="20"/>
          <w:highlight w:val="none"/>
        </w:rPr>
        <w:t xml:space="preserve">    </w:t>
      </w:r>
      <w:r>
        <w:rPr>
          <w:rFonts w:ascii="宋体" w:hAnsi="宋体" w:eastAsia="宋体" w:cs="宋体"/>
          <w:spacing w:val="5"/>
          <w:sz w:val="20"/>
          <w:szCs w:val="20"/>
          <w:highlight w:val="none"/>
        </w:rPr>
        <w:t>未按约定投保的补救</w:t>
      </w:r>
    </w:p>
    <w:p w14:paraId="453E94D4">
      <w:pPr>
        <w:spacing w:before="223" w:line="307" w:lineRule="auto"/>
        <w:ind w:right="80" w:firstLine="539"/>
        <w:rPr>
          <w:rFonts w:ascii="宋体" w:hAnsi="宋体" w:eastAsia="宋体" w:cs="宋体"/>
          <w:sz w:val="22"/>
          <w:szCs w:val="22"/>
          <w:highlight w:val="none"/>
        </w:rPr>
      </w:pPr>
      <w:r>
        <w:rPr>
          <w:rFonts w:ascii="宋体" w:hAnsi="宋体" w:eastAsia="宋体" w:cs="宋体"/>
          <w:spacing w:val="-6"/>
          <w:sz w:val="22"/>
          <w:szCs w:val="22"/>
          <w:highlight w:val="none"/>
        </w:rPr>
        <w:t>(1)由于负有投保义务的一方当事人未按合同约定办</w:t>
      </w:r>
      <w:r>
        <w:rPr>
          <w:rFonts w:ascii="宋体" w:hAnsi="宋体" w:eastAsia="宋体" w:cs="宋体"/>
          <w:spacing w:val="-7"/>
          <w:sz w:val="22"/>
          <w:szCs w:val="22"/>
          <w:highlight w:val="none"/>
        </w:rPr>
        <w:t>理保险，或未能使保险持续有效</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的，另一方当事人可代为办理，所需费用由对方当事人承担。</w:t>
      </w:r>
    </w:p>
    <w:p w14:paraId="750C097E">
      <w:pPr>
        <w:spacing w:before="239" w:line="307" w:lineRule="auto"/>
        <w:ind w:right="81" w:firstLine="530"/>
        <w:rPr>
          <w:rFonts w:ascii="宋体" w:hAnsi="宋体" w:eastAsia="宋体" w:cs="宋体"/>
          <w:sz w:val="22"/>
          <w:szCs w:val="22"/>
          <w:highlight w:val="none"/>
        </w:rPr>
      </w:pPr>
      <w:r>
        <w:rPr>
          <w:rFonts w:ascii="宋体" w:hAnsi="宋体" w:eastAsia="宋体" w:cs="宋体"/>
          <w:spacing w:val="-6"/>
          <w:sz w:val="22"/>
          <w:szCs w:val="22"/>
          <w:highlight w:val="none"/>
        </w:rPr>
        <w:t>(2)由于负有投保义务的一方当事人未按合同约定办理某项保险，导致受</w:t>
      </w:r>
      <w:r>
        <w:rPr>
          <w:rFonts w:ascii="宋体" w:hAnsi="宋体" w:eastAsia="宋体" w:cs="宋体"/>
          <w:spacing w:val="-7"/>
          <w:sz w:val="22"/>
          <w:szCs w:val="22"/>
          <w:highlight w:val="none"/>
        </w:rPr>
        <w:t>益人未能得</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到保险人的赔偿，原应从该项保险得到的保险金应由负有投保义务的一方当事人支付。</w:t>
      </w:r>
    </w:p>
    <w:p w14:paraId="4C473697">
      <w:pPr>
        <w:spacing w:before="216" w:line="218" w:lineRule="auto"/>
        <w:ind w:left="42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20.5.6    </w:t>
      </w:r>
      <w:r>
        <w:rPr>
          <w:rFonts w:ascii="宋体" w:hAnsi="宋体" w:eastAsia="宋体" w:cs="宋体"/>
          <w:sz w:val="21"/>
          <w:szCs w:val="21"/>
          <w:highlight w:val="none"/>
        </w:rPr>
        <w:t>报告义务</w:t>
      </w:r>
    </w:p>
    <w:p w14:paraId="6C1989E9">
      <w:pPr>
        <w:spacing w:before="233" w:line="218" w:lineRule="auto"/>
        <w:ind w:left="420"/>
        <w:rPr>
          <w:rFonts w:ascii="宋体" w:hAnsi="宋体" w:eastAsia="宋体" w:cs="宋体"/>
          <w:sz w:val="22"/>
          <w:szCs w:val="22"/>
          <w:highlight w:val="none"/>
        </w:rPr>
      </w:pPr>
      <w:r>
        <w:rPr>
          <w:rFonts w:ascii="宋体" w:hAnsi="宋体" w:eastAsia="宋体" w:cs="宋体"/>
          <w:spacing w:val="-10"/>
          <w:sz w:val="22"/>
          <w:szCs w:val="22"/>
          <w:highlight w:val="none"/>
        </w:rPr>
        <w:t>当保险事故发生时，投保人应按照保险单规定的条件和</w:t>
      </w:r>
      <w:r>
        <w:rPr>
          <w:rFonts w:ascii="宋体" w:hAnsi="宋体" w:eastAsia="宋体" w:cs="宋体"/>
          <w:spacing w:val="-11"/>
          <w:sz w:val="22"/>
          <w:szCs w:val="22"/>
          <w:highlight w:val="none"/>
        </w:rPr>
        <w:t>期限及时向保险人报告。</w:t>
      </w:r>
    </w:p>
    <w:p w14:paraId="78ED38A6">
      <w:pPr>
        <w:spacing w:line="218" w:lineRule="auto"/>
        <w:rPr>
          <w:rFonts w:ascii="宋体" w:hAnsi="宋体" w:eastAsia="宋体" w:cs="宋体"/>
          <w:sz w:val="22"/>
          <w:szCs w:val="22"/>
          <w:highlight w:val="none"/>
        </w:rPr>
        <w:sectPr>
          <w:footerReference r:id="rId211" w:type="default"/>
          <w:pgSz w:w="11910" w:h="16840"/>
          <w:pgMar w:top="400" w:right="1730" w:bottom="1238" w:left="1769" w:header="0" w:footer="1006" w:gutter="0"/>
          <w:cols w:space="720" w:num="1"/>
        </w:sectPr>
      </w:pPr>
    </w:p>
    <w:p w14:paraId="4FE566E3">
      <w:pPr>
        <w:pStyle w:val="2"/>
        <w:spacing w:line="241" w:lineRule="auto"/>
        <w:rPr>
          <w:highlight w:val="none"/>
        </w:rPr>
      </w:pPr>
    </w:p>
    <w:p w14:paraId="112F44C5">
      <w:pPr>
        <w:pStyle w:val="2"/>
        <w:spacing w:line="242" w:lineRule="auto"/>
        <w:rPr>
          <w:highlight w:val="none"/>
        </w:rPr>
      </w:pPr>
    </w:p>
    <w:p w14:paraId="31074CA3">
      <w:pPr>
        <w:pStyle w:val="2"/>
        <w:spacing w:line="242" w:lineRule="auto"/>
        <w:rPr>
          <w:highlight w:val="none"/>
        </w:rPr>
      </w:pPr>
    </w:p>
    <w:p w14:paraId="7E927225">
      <w:pPr>
        <w:pStyle w:val="2"/>
        <w:spacing w:line="242" w:lineRule="auto"/>
        <w:rPr>
          <w:highlight w:val="none"/>
        </w:rPr>
      </w:pPr>
    </w:p>
    <w:p w14:paraId="3A6FD351">
      <w:pPr>
        <w:spacing w:before="85" w:line="221" w:lineRule="auto"/>
        <w:outlineLvl w:val="1"/>
        <w:rPr>
          <w:rFonts w:ascii="黑体" w:hAnsi="黑体" w:eastAsia="黑体" w:cs="黑体"/>
          <w:sz w:val="26"/>
          <w:szCs w:val="26"/>
          <w:highlight w:val="none"/>
        </w:rPr>
      </w:pPr>
      <w:bookmarkStart w:id="201" w:name="bookmark285"/>
      <w:bookmarkEnd w:id="201"/>
      <w:bookmarkStart w:id="202" w:name="bookmark116"/>
      <w:bookmarkEnd w:id="202"/>
      <w:r>
        <w:rPr>
          <w:rFonts w:ascii="黑体" w:hAnsi="黑体" w:eastAsia="黑体" w:cs="黑体"/>
          <w:spacing w:val="-15"/>
          <w:sz w:val="26"/>
          <w:szCs w:val="26"/>
          <w:highlight w:val="none"/>
        </w:rPr>
        <w:t>21.</w:t>
      </w:r>
      <w:r>
        <w:rPr>
          <w:rFonts w:ascii="黑体" w:hAnsi="黑体" w:eastAsia="黑体" w:cs="黑体"/>
          <w:spacing w:val="-60"/>
          <w:sz w:val="26"/>
          <w:szCs w:val="26"/>
          <w:highlight w:val="none"/>
        </w:rPr>
        <w:t xml:space="preserve"> </w:t>
      </w:r>
      <w:r>
        <w:rPr>
          <w:rFonts w:ascii="黑体" w:hAnsi="黑体" w:eastAsia="黑体" w:cs="黑体"/>
          <w:spacing w:val="-15"/>
          <w:sz w:val="26"/>
          <w:szCs w:val="26"/>
          <w:highlight w:val="none"/>
        </w:rPr>
        <w:t>不可抗力</w:t>
      </w:r>
    </w:p>
    <w:p w14:paraId="4A26AEE7">
      <w:pPr>
        <w:spacing w:before="158" w:line="221" w:lineRule="auto"/>
        <w:rPr>
          <w:rFonts w:ascii="黑体" w:hAnsi="黑体" w:eastAsia="黑体" w:cs="黑体"/>
          <w:sz w:val="24"/>
          <w:szCs w:val="24"/>
          <w:highlight w:val="none"/>
        </w:rPr>
      </w:pPr>
      <w:r>
        <w:rPr>
          <w:rFonts w:ascii="黑体" w:hAnsi="黑体" w:eastAsia="黑体" w:cs="黑体"/>
          <w:spacing w:val="9"/>
          <w:sz w:val="24"/>
          <w:szCs w:val="24"/>
          <w:highlight w:val="none"/>
        </w:rPr>
        <w:t>21.1不可抗力的确认</w:t>
      </w:r>
    </w:p>
    <w:p w14:paraId="60DC4103">
      <w:pPr>
        <w:spacing w:before="154" w:line="362" w:lineRule="auto"/>
        <w:ind w:right="96" w:firstLine="41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21.1.1    </w:t>
      </w:r>
      <w:r>
        <w:rPr>
          <w:rFonts w:ascii="宋体" w:hAnsi="宋体" w:eastAsia="宋体" w:cs="宋体"/>
          <w:spacing w:val="9"/>
          <w:sz w:val="20"/>
          <w:szCs w:val="20"/>
          <w:highlight w:val="none"/>
        </w:rPr>
        <w:t>不可抗力是指承包人和发包人在订立合同时不可预见，在履行合同过程中不可</w:t>
      </w:r>
      <w:r>
        <w:rPr>
          <w:rFonts w:ascii="宋体" w:hAnsi="宋体" w:eastAsia="宋体" w:cs="宋体"/>
          <w:spacing w:val="1"/>
          <w:sz w:val="20"/>
          <w:szCs w:val="20"/>
          <w:highlight w:val="none"/>
        </w:rPr>
        <w:t xml:space="preserve"> </w:t>
      </w:r>
      <w:r>
        <w:rPr>
          <w:rFonts w:ascii="宋体" w:hAnsi="宋体" w:eastAsia="宋体" w:cs="宋体"/>
          <w:spacing w:val="8"/>
          <w:sz w:val="20"/>
          <w:szCs w:val="20"/>
          <w:highlight w:val="none"/>
        </w:rPr>
        <w:t>避免发生并不能克服的自然灾害和社会性突发事件，如地震、</w:t>
      </w:r>
      <w:r>
        <w:rPr>
          <w:rFonts w:ascii="宋体" w:hAnsi="宋体" w:eastAsia="宋体" w:cs="宋体"/>
          <w:spacing w:val="7"/>
          <w:sz w:val="20"/>
          <w:szCs w:val="20"/>
          <w:highlight w:val="none"/>
        </w:rPr>
        <w:t>海啸、瘟疫、水灾、骚乱、暴</w:t>
      </w:r>
      <w:r>
        <w:rPr>
          <w:rFonts w:ascii="宋体" w:hAnsi="宋体" w:eastAsia="宋体" w:cs="宋体"/>
          <w:sz w:val="20"/>
          <w:szCs w:val="20"/>
          <w:highlight w:val="none"/>
        </w:rPr>
        <w:t xml:space="preserve"> </w:t>
      </w:r>
      <w:r>
        <w:rPr>
          <w:rFonts w:ascii="宋体" w:hAnsi="宋体" w:eastAsia="宋体" w:cs="宋体"/>
          <w:spacing w:val="8"/>
          <w:sz w:val="20"/>
          <w:szCs w:val="20"/>
          <w:highlight w:val="none"/>
        </w:rPr>
        <w:t>动、战争和专用合同条款约定的其他情形。</w:t>
      </w:r>
    </w:p>
    <w:p w14:paraId="7645DF71">
      <w:pPr>
        <w:spacing w:before="253" w:line="316" w:lineRule="auto"/>
        <w:ind w:right="91" w:firstLine="410"/>
        <w:rPr>
          <w:rFonts w:ascii="宋体" w:hAnsi="宋体" w:eastAsia="宋体" w:cs="宋体"/>
          <w:sz w:val="21"/>
          <w:szCs w:val="21"/>
          <w:highlight w:val="none"/>
        </w:rPr>
      </w:pPr>
      <w:r>
        <w:rPr>
          <w:rFonts w:ascii="宋体" w:hAnsi="宋体" w:eastAsia="宋体" w:cs="宋体"/>
          <w:spacing w:val="-1"/>
          <w:sz w:val="21"/>
          <w:szCs w:val="21"/>
          <w:highlight w:val="none"/>
        </w:rPr>
        <w:t>21.1.2</w:t>
      </w:r>
      <w:r>
        <w:rPr>
          <w:rFonts w:ascii="宋体" w:hAnsi="宋体" w:eastAsia="宋体" w:cs="宋体"/>
          <w:spacing w:val="45"/>
          <w:sz w:val="21"/>
          <w:szCs w:val="21"/>
          <w:highlight w:val="none"/>
        </w:rPr>
        <w:t xml:space="preserve"> </w:t>
      </w:r>
      <w:r>
        <w:rPr>
          <w:rFonts w:ascii="宋体" w:hAnsi="宋体" w:eastAsia="宋体" w:cs="宋体"/>
          <w:spacing w:val="-1"/>
          <w:sz w:val="21"/>
          <w:szCs w:val="21"/>
          <w:highlight w:val="none"/>
        </w:rPr>
        <w:t>不可抗力发生后，发包人和承包人应及时认真统计所造成的损失，收集不可抗</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力造成损失的证据。合同双方对是否属于不可抗力或其损失的意见不一致</w:t>
      </w:r>
      <w:r>
        <w:rPr>
          <w:rFonts w:ascii="宋体" w:hAnsi="宋体" w:eastAsia="宋体" w:cs="宋体"/>
          <w:spacing w:val="-3"/>
          <w:sz w:val="21"/>
          <w:szCs w:val="21"/>
          <w:highlight w:val="none"/>
        </w:rPr>
        <w:t>的，由监理人按第</w:t>
      </w:r>
    </w:p>
    <w:p w14:paraId="33A443FF">
      <w:pPr>
        <w:spacing w:before="250" w:line="219" w:lineRule="auto"/>
        <w:rPr>
          <w:rFonts w:ascii="宋体" w:hAnsi="宋体" w:eastAsia="宋体" w:cs="宋体"/>
          <w:sz w:val="20"/>
          <w:szCs w:val="20"/>
          <w:highlight w:val="none"/>
        </w:rPr>
      </w:pPr>
      <w:r>
        <w:rPr>
          <w:rFonts w:ascii="宋体" w:hAnsi="宋体" w:eastAsia="宋体" w:cs="宋体"/>
          <w:spacing w:val="16"/>
          <w:sz w:val="20"/>
          <w:szCs w:val="20"/>
          <w:highlight w:val="none"/>
        </w:rPr>
        <w:t>3.5款商定或确定。发生争议时，按第24条的约定执行。</w:t>
      </w:r>
    </w:p>
    <w:p w14:paraId="1605AAF2">
      <w:pPr>
        <w:spacing w:before="302" w:line="221" w:lineRule="auto"/>
        <w:rPr>
          <w:rFonts w:ascii="黑体" w:hAnsi="黑体" w:eastAsia="黑体" w:cs="黑体"/>
          <w:sz w:val="24"/>
          <w:szCs w:val="24"/>
          <w:highlight w:val="none"/>
        </w:rPr>
      </w:pPr>
      <w:r>
        <w:rPr>
          <w:rFonts w:ascii="黑体" w:hAnsi="黑体" w:eastAsia="黑体" w:cs="黑体"/>
          <w:spacing w:val="10"/>
          <w:sz w:val="24"/>
          <w:szCs w:val="24"/>
          <w:highlight w:val="none"/>
        </w:rPr>
        <w:t>21.2不可抗力的通知</w:t>
      </w:r>
    </w:p>
    <w:p w14:paraId="77152E27">
      <w:pPr>
        <w:spacing w:before="113" w:line="320" w:lineRule="auto"/>
        <w:ind w:firstLine="410"/>
        <w:rPr>
          <w:rFonts w:ascii="宋体" w:hAnsi="宋体" w:eastAsia="宋体" w:cs="宋体"/>
          <w:sz w:val="21"/>
          <w:szCs w:val="21"/>
          <w:highlight w:val="none"/>
        </w:rPr>
      </w:pPr>
      <w:r>
        <w:rPr>
          <w:rFonts w:ascii="宋体" w:hAnsi="宋体" w:eastAsia="宋体" w:cs="宋体"/>
          <w:spacing w:val="3"/>
          <w:sz w:val="21"/>
          <w:szCs w:val="21"/>
          <w:highlight w:val="none"/>
        </w:rPr>
        <w:t xml:space="preserve">21.2.1合同一方当事人遇到不可抗力事件，使其履行合同义务受到阻碍时，应立即通  </w:t>
      </w:r>
      <w:r>
        <w:rPr>
          <w:rFonts w:ascii="宋体" w:hAnsi="宋体" w:eastAsia="宋体" w:cs="宋体"/>
          <w:spacing w:val="-5"/>
          <w:sz w:val="21"/>
          <w:szCs w:val="21"/>
          <w:highlight w:val="none"/>
        </w:rPr>
        <w:t>知合同另一方当事人和监理人，书面说明不可抗力和受阻碍的详细情况，并提供必要的证明。</w:t>
      </w:r>
    </w:p>
    <w:p w14:paraId="5BF4080C">
      <w:pPr>
        <w:spacing w:before="213" w:line="359" w:lineRule="auto"/>
        <w:ind w:right="95" w:firstLine="41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21.2.2    </w:t>
      </w:r>
      <w:r>
        <w:rPr>
          <w:rFonts w:ascii="宋体" w:hAnsi="宋体" w:eastAsia="宋体" w:cs="宋体"/>
          <w:spacing w:val="1"/>
          <w:sz w:val="21"/>
          <w:szCs w:val="21"/>
          <w:highlight w:val="none"/>
        </w:rPr>
        <w:t>如不可抗力持续发生，合同</w:t>
      </w:r>
      <w:r>
        <w:rPr>
          <w:rFonts w:ascii="宋体" w:hAnsi="宋体" w:eastAsia="宋体" w:cs="宋体"/>
          <w:sz w:val="21"/>
          <w:szCs w:val="21"/>
          <w:highlight w:val="none"/>
        </w:rPr>
        <w:t xml:space="preserve">一方当事人应及时向合同另一方当事人和监理人提 </w:t>
      </w:r>
      <w:r>
        <w:rPr>
          <w:rFonts w:ascii="宋体" w:hAnsi="宋体" w:eastAsia="宋体" w:cs="宋体"/>
          <w:spacing w:val="3"/>
          <w:sz w:val="21"/>
          <w:szCs w:val="21"/>
          <w:highlight w:val="none"/>
        </w:rPr>
        <w:t>交中间报告，说明不可抗力和履行合同受阻的情况，并于不可抗力事件结束后28天内</w:t>
      </w:r>
      <w:r>
        <w:rPr>
          <w:rFonts w:ascii="宋体" w:hAnsi="宋体" w:eastAsia="宋体" w:cs="宋体"/>
          <w:spacing w:val="2"/>
          <w:sz w:val="21"/>
          <w:szCs w:val="21"/>
          <w:highlight w:val="none"/>
        </w:rPr>
        <w:t>提交</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最终报告及有关资料。</w:t>
      </w:r>
    </w:p>
    <w:p w14:paraId="5B6C72B2">
      <w:pPr>
        <w:spacing w:before="283" w:line="221" w:lineRule="auto"/>
        <w:rPr>
          <w:rFonts w:ascii="黑体" w:hAnsi="黑体" w:eastAsia="黑体" w:cs="黑体"/>
          <w:sz w:val="24"/>
          <w:szCs w:val="24"/>
          <w:highlight w:val="none"/>
        </w:rPr>
      </w:pPr>
      <w:r>
        <w:rPr>
          <w:rFonts w:ascii="黑体" w:hAnsi="黑体" w:eastAsia="黑体" w:cs="黑体"/>
          <w:spacing w:val="7"/>
          <w:sz w:val="24"/>
          <w:szCs w:val="24"/>
          <w:highlight w:val="none"/>
        </w:rPr>
        <w:t>21.3不可抗力后果及其处理</w:t>
      </w:r>
    </w:p>
    <w:p w14:paraId="651B55F7">
      <w:pPr>
        <w:spacing w:before="143" w:line="219" w:lineRule="auto"/>
        <w:ind w:left="410"/>
        <w:rPr>
          <w:rFonts w:ascii="宋体" w:hAnsi="宋体" w:eastAsia="宋体" w:cs="宋体"/>
          <w:sz w:val="20"/>
          <w:szCs w:val="20"/>
          <w:highlight w:val="none"/>
        </w:rPr>
      </w:pPr>
      <w:r>
        <w:rPr>
          <w:rFonts w:ascii="宋体" w:hAnsi="宋体" w:eastAsia="宋体" w:cs="宋体"/>
          <w:spacing w:val="15"/>
          <w:sz w:val="20"/>
          <w:szCs w:val="20"/>
          <w:highlight w:val="none"/>
        </w:rPr>
        <w:t>21.3.1不可抗力造成损害的责任</w:t>
      </w:r>
    </w:p>
    <w:p w14:paraId="3516E50A">
      <w:pPr>
        <w:spacing w:before="252" w:line="429" w:lineRule="auto"/>
        <w:ind w:right="61" w:firstLine="410"/>
        <w:rPr>
          <w:rFonts w:ascii="宋体" w:hAnsi="宋体" w:eastAsia="宋体" w:cs="宋体"/>
          <w:sz w:val="20"/>
          <w:szCs w:val="20"/>
          <w:highlight w:val="none"/>
        </w:rPr>
      </w:pPr>
      <w:r>
        <w:rPr>
          <w:rFonts w:ascii="宋体" w:hAnsi="宋体" w:eastAsia="宋体" w:cs="宋体"/>
          <w:spacing w:val="14"/>
          <w:sz w:val="20"/>
          <w:szCs w:val="20"/>
          <w:highlight w:val="none"/>
        </w:rPr>
        <w:t>除专用合同条款另有约定外，不可抗力导致的人员伤亡、财产损失、费用增加和(或)</w:t>
      </w:r>
      <w:r>
        <w:rPr>
          <w:rFonts w:ascii="宋体" w:hAnsi="宋体" w:eastAsia="宋体" w:cs="宋体"/>
          <w:sz w:val="20"/>
          <w:szCs w:val="20"/>
          <w:highlight w:val="none"/>
        </w:rPr>
        <w:t xml:space="preserve"> </w:t>
      </w:r>
      <w:r>
        <w:rPr>
          <w:rFonts w:ascii="宋体" w:hAnsi="宋体" w:eastAsia="宋体" w:cs="宋体"/>
          <w:spacing w:val="7"/>
          <w:sz w:val="20"/>
          <w:szCs w:val="20"/>
          <w:highlight w:val="none"/>
        </w:rPr>
        <w:t>工期延误等后果，由合同双方按以下原则承担：</w:t>
      </w:r>
    </w:p>
    <w:p w14:paraId="533A4ABD">
      <w:pPr>
        <w:spacing w:before="2" w:line="340" w:lineRule="auto"/>
        <w:ind w:right="95" w:firstLine="539"/>
        <w:rPr>
          <w:rFonts w:ascii="宋体" w:hAnsi="宋体" w:eastAsia="宋体" w:cs="宋体"/>
          <w:sz w:val="20"/>
          <w:szCs w:val="20"/>
          <w:highlight w:val="none"/>
        </w:rPr>
      </w:pPr>
      <w:r>
        <w:rPr>
          <w:rFonts w:ascii="宋体" w:hAnsi="宋体" w:eastAsia="宋体" w:cs="宋体"/>
          <w:spacing w:val="12"/>
          <w:sz w:val="20"/>
          <w:szCs w:val="20"/>
          <w:highlight w:val="none"/>
        </w:rPr>
        <w:t xml:space="preserve">(1)永久工程，包括已运至施工场地的材料和工程设备的损害，以及因工程损害造成 </w:t>
      </w:r>
      <w:r>
        <w:rPr>
          <w:rFonts w:ascii="宋体" w:hAnsi="宋体" w:eastAsia="宋体" w:cs="宋体"/>
          <w:spacing w:val="7"/>
          <w:sz w:val="20"/>
          <w:szCs w:val="20"/>
          <w:highlight w:val="none"/>
        </w:rPr>
        <w:t>的第三者人员伤亡和财产损失由发包人承担；</w:t>
      </w:r>
    </w:p>
    <w:p w14:paraId="49616A33">
      <w:pPr>
        <w:spacing w:before="233" w:line="219" w:lineRule="auto"/>
        <w:ind w:left="539"/>
        <w:rPr>
          <w:rFonts w:ascii="宋体" w:hAnsi="宋体" w:eastAsia="宋体" w:cs="宋体"/>
          <w:sz w:val="20"/>
          <w:szCs w:val="20"/>
          <w:highlight w:val="none"/>
        </w:rPr>
      </w:pPr>
      <w:r>
        <w:rPr>
          <w:rFonts w:ascii="宋体" w:hAnsi="宋体" w:eastAsia="宋体" w:cs="宋体"/>
          <w:spacing w:val="12"/>
          <w:sz w:val="20"/>
          <w:szCs w:val="20"/>
          <w:highlight w:val="none"/>
        </w:rPr>
        <w:t>(2)承包人设备的损坏由承包人承担；</w:t>
      </w:r>
    </w:p>
    <w:p w14:paraId="7A9BE68E">
      <w:pPr>
        <w:spacing w:before="243" w:line="219" w:lineRule="auto"/>
        <w:ind w:left="539"/>
        <w:rPr>
          <w:rFonts w:ascii="宋体" w:hAnsi="宋体" w:eastAsia="宋体" w:cs="宋体"/>
          <w:sz w:val="21"/>
          <w:szCs w:val="21"/>
          <w:highlight w:val="none"/>
        </w:rPr>
      </w:pPr>
      <w:r>
        <w:rPr>
          <w:rFonts w:ascii="宋体" w:hAnsi="宋体" w:eastAsia="宋体" w:cs="宋体"/>
          <w:spacing w:val="2"/>
          <w:sz w:val="21"/>
          <w:szCs w:val="21"/>
          <w:highlight w:val="none"/>
        </w:rPr>
        <w:t>(3)发包人和承包人各自承担其人员伤亡和其他财产损</w:t>
      </w:r>
      <w:r>
        <w:rPr>
          <w:rFonts w:ascii="宋体" w:hAnsi="宋体" w:eastAsia="宋体" w:cs="宋体"/>
          <w:spacing w:val="1"/>
          <w:sz w:val="21"/>
          <w:szCs w:val="21"/>
          <w:highlight w:val="none"/>
        </w:rPr>
        <w:t>失及其相关费用；</w:t>
      </w:r>
    </w:p>
    <w:p w14:paraId="383BC2B3">
      <w:pPr>
        <w:spacing w:before="231" w:line="316" w:lineRule="auto"/>
        <w:ind w:right="96" w:firstLine="539"/>
        <w:rPr>
          <w:rFonts w:ascii="宋体" w:hAnsi="宋体" w:eastAsia="宋体" w:cs="宋体"/>
          <w:sz w:val="21"/>
          <w:szCs w:val="21"/>
          <w:highlight w:val="none"/>
        </w:rPr>
      </w:pPr>
      <w:r>
        <w:rPr>
          <w:rFonts w:ascii="宋体" w:hAnsi="宋体" w:eastAsia="宋体" w:cs="宋体"/>
          <w:spacing w:val="3"/>
          <w:sz w:val="21"/>
          <w:szCs w:val="21"/>
          <w:highlight w:val="none"/>
        </w:rPr>
        <w:t>(4)承包人的停工损失由承包人承担，但停工期间应监理</w:t>
      </w:r>
      <w:r>
        <w:rPr>
          <w:rFonts w:ascii="宋体" w:hAnsi="宋体" w:eastAsia="宋体" w:cs="宋体"/>
          <w:spacing w:val="2"/>
          <w:sz w:val="21"/>
          <w:szCs w:val="21"/>
          <w:highlight w:val="none"/>
        </w:rPr>
        <w:t>人要求照管工程和清理、修</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复工程的金额由发包人承担；</w:t>
      </w:r>
    </w:p>
    <w:p w14:paraId="3E2B598B">
      <w:pPr>
        <w:spacing w:before="240" w:line="316" w:lineRule="auto"/>
        <w:ind w:right="94" w:firstLine="539"/>
        <w:rPr>
          <w:rFonts w:ascii="宋体" w:hAnsi="宋体" w:eastAsia="宋体" w:cs="宋体"/>
          <w:sz w:val="21"/>
          <w:szCs w:val="21"/>
          <w:highlight w:val="none"/>
        </w:rPr>
      </w:pPr>
      <w:r>
        <w:rPr>
          <w:rFonts w:ascii="宋体" w:hAnsi="宋体" w:eastAsia="宋体" w:cs="宋体"/>
          <w:spacing w:val="3"/>
          <w:sz w:val="21"/>
          <w:szCs w:val="21"/>
          <w:highlight w:val="none"/>
        </w:rPr>
        <w:t>(5)不能按期竣工的，应合理延长工期，承包人不需支付逾期</w:t>
      </w:r>
      <w:r>
        <w:rPr>
          <w:rFonts w:ascii="宋体" w:hAnsi="宋体" w:eastAsia="宋体" w:cs="宋体"/>
          <w:spacing w:val="2"/>
          <w:sz w:val="21"/>
          <w:szCs w:val="21"/>
          <w:highlight w:val="none"/>
        </w:rPr>
        <w:t>竣工违约金。发包人要</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求赶工的，承包人应采取赶工措施，赶工费用由发包人承担。</w:t>
      </w:r>
    </w:p>
    <w:p w14:paraId="6CED9DE1">
      <w:pPr>
        <w:spacing w:before="232" w:line="219" w:lineRule="auto"/>
        <w:ind w:left="41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 xml:space="preserve">21.3.2   </w:t>
      </w:r>
      <w:r>
        <w:rPr>
          <w:rFonts w:ascii="宋体" w:hAnsi="宋体" w:eastAsia="宋体" w:cs="宋体"/>
          <w:spacing w:val="-4"/>
          <w:sz w:val="22"/>
          <w:szCs w:val="22"/>
          <w:highlight w:val="none"/>
        </w:rPr>
        <w:t>延迟履行期间发生的不可</w:t>
      </w:r>
      <w:r>
        <w:rPr>
          <w:rFonts w:ascii="宋体" w:hAnsi="宋体" w:eastAsia="宋体" w:cs="宋体"/>
          <w:spacing w:val="-5"/>
          <w:sz w:val="22"/>
          <w:szCs w:val="22"/>
          <w:highlight w:val="none"/>
        </w:rPr>
        <w:t>抗力</w:t>
      </w:r>
    </w:p>
    <w:p w14:paraId="417FAE14">
      <w:pPr>
        <w:spacing w:before="229" w:line="219" w:lineRule="auto"/>
        <w:ind w:left="410"/>
        <w:rPr>
          <w:rFonts w:ascii="宋体" w:hAnsi="宋体" w:eastAsia="宋体" w:cs="宋体"/>
          <w:sz w:val="21"/>
          <w:szCs w:val="21"/>
          <w:highlight w:val="none"/>
        </w:rPr>
      </w:pPr>
      <w:r>
        <w:rPr>
          <w:rFonts w:ascii="宋体" w:hAnsi="宋体" w:eastAsia="宋体" w:cs="宋体"/>
          <w:spacing w:val="-1"/>
          <w:sz w:val="21"/>
          <w:szCs w:val="21"/>
          <w:highlight w:val="none"/>
        </w:rPr>
        <w:t>合同一方当事人延迟履行，在延迟履行期间发生不可抗力的，不</w:t>
      </w:r>
      <w:r>
        <w:rPr>
          <w:rFonts w:ascii="宋体" w:hAnsi="宋体" w:eastAsia="宋体" w:cs="宋体"/>
          <w:spacing w:val="-2"/>
          <w:sz w:val="21"/>
          <w:szCs w:val="21"/>
          <w:highlight w:val="none"/>
        </w:rPr>
        <w:t>免除其责任。</w:t>
      </w:r>
    </w:p>
    <w:p w14:paraId="6F037801">
      <w:pPr>
        <w:spacing w:before="220" w:line="219" w:lineRule="auto"/>
        <w:ind w:left="41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21.3.3    </w:t>
      </w:r>
      <w:r>
        <w:rPr>
          <w:rFonts w:ascii="宋体" w:hAnsi="宋体" w:eastAsia="宋体" w:cs="宋体"/>
          <w:spacing w:val="7"/>
          <w:sz w:val="20"/>
          <w:szCs w:val="20"/>
          <w:highlight w:val="none"/>
        </w:rPr>
        <w:t>避免和减少不可抗力损失</w:t>
      </w:r>
    </w:p>
    <w:p w14:paraId="530194FD">
      <w:pPr>
        <w:spacing w:line="219" w:lineRule="auto"/>
        <w:rPr>
          <w:rFonts w:ascii="宋体" w:hAnsi="宋体" w:eastAsia="宋体" w:cs="宋体"/>
          <w:sz w:val="20"/>
          <w:szCs w:val="20"/>
          <w:highlight w:val="none"/>
        </w:rPr>
        <w:sectPr>
          <w:footerReference r:id="rId212" w:type="default"/>
          <w:pgSz w:w="11910" w:h="16840"/>
          <w:pgMar w:top="400" w:right="1724" w:bottom="1238" w:left="1779" w:header="0" w:footer="1006" w:gutter="0"/>
          <w:cols w:space="720" w:num="1"/>
        </w:sectPr>
      </w:pPr>
    </w:p>
    <w:p w14:paraId="1805967A">
      <w:pPr>
        <w:pStyle w:val="2"/>
        <w:spacing w:line="270" w:lineRule="auto"/>
        <w:rPr>
          <w:highlight w:val="none"/>
        </w:rPr>
      </w:pPr>
    </w:p>
    <w:p w14:paraId="17524F1B">
      <w:pPr>
        <w:pStyle w:val="2"/>
        <w:spacing w:line="270" w:lineRule="auto"/>
        <w:rPr>
          <w:highlight w:val="none"/>
        </w:rPr>
      </w:pPr>
    </w:p>
    <w:p w14:paraId="224A7BD1">
      <w:pPr>
        <w:pStyle w:val="2"/>
        <w:spacing w:line="270" w:lineRule="auto"/>
        <w:rPr>
          <w:highlight w:val="none"/>
        </w:rPr>
      </w:pPr>
    </w:p>
    <w:p w14:paraId="34B7EDB5">
      <w:pPr>
        <w:pStyle w:val="2"/>
        <w:spacing w:line="270" w:lineRule="auto"/>
        <w:rPr>
          <w:highlight w:val="none"/>
        </w:rPr>
      </w:pPr>
    </w:p>
    <w:p w14:paraId="4F4542DE">
      <w:pPr>
        <w:spacing w:before="71" w:line="396" w:lineRule="auto"/>
        <w:ind w:right="66" w:firstLine="420"/>
        <w:rPr>
          <w:rFonts w:ascii="宋体" w:hAnsi="宋体" w:eastAsia="宋体" w:cs="宋体"/>
          <w:sz w:val="22"/>
          <w:szCs w:val="22"/>
          <w:highlight w:val="none"/>
        </w:rPr>
      </w:pPr>
      <w:bookmarkStart w:id="203" w:name="bookmark286"/>
      <w:bookmarkEnd w:id="203"/>
      <w:r>
        <w:rPr>
          <w:rFonts w:ascii="宋体" w:hAnsi="宋体" w:eastAsia="宋体" w:cs="宋体"/>
          <w:spacing w:val="-12"/>
          <w:sz w:val="22"/>
          <w:szCs w:val="22"/>
          <w:highlight w:val="none"/>
        </w:rPr>
        <w:t>不可抗力发生后，发包人和承包人均应采取措施</w:t>
      </w:r>
      <w:r>
        <w:rPr>
          <w:rFonts w:ascii="宋体" w:hAnsi="宋体" w:eastAsia="宋体" w:cs="宋体"/>
          <w:spacing w:val="-13"/>
          <w:sz w:val="22"/>
          <w:szCs w:val="22"/>
          <w:highlight w:val="none"/>
        </w:rPr>
        <w:t>尽量避免和减少损失的扩大，任何一方</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没有采取有效措施导致损失扩大的，应对扩大的损失承担责任。</w:t>
      </w:r>
    </w:p>
    <w:p w14:paraId="025900DC">
      <w:pPr>
        <w:spacing w:before="26" w:line="219"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21.3.4</w:t>
      </w:r>
      <w:r>
        <w:rPr>
          <w:rFonts w:ascii="Times New Roman" w:hAnsi="Times New Roman" w:eastAsia="Times New Roman" w:cs="Times New Roman"/>
          <w:spacing w:val="11"/>
          <w:sz w:val="20"/>
          <w:szCs w:val="20"/>
          <w:highlight w:val="none"/>
        </w:rPr>
        <w:t xml:space="preserve">    </w:t>
      </w:r>
      <w:r>
        <w:rPr>
          <w:rFonts w:ascii="宋体" w:hAnsi="宋体" w:eastAsia="宋体" w:cs="宋体"/>
          <w:spacing w:val="6"/>
          <w:sz w:val="20"/>
          <w:szCs w:val="20"/>
          <w:highlight w:val="none"/>
        </w:rPr>
        <w:t>因不可抗力解除合同</w:t>
      </w:r>
    </w:p>
    <w:p w14:paraId="0F169E2C">
      <w:pPr>
        <w:spacing w:before="240" w:line="414" w:lineRule="auto"/>
        <w:ind w:firstLine="420"/>
        <w:rPr>
          <w:rFonts w:ascii="宋体" w:hAnsi="宋体" w:eastAsia="宋体" w:cs="宋体"/>
          <w:sz w:val="21"/>
          <w:szCs w:val="21"/>
          <w:highlight w:val="none"/>
        </w:rPr>
      </w:pPr>
      <w:r>
        <w:rPr>
          <w:rFonts w:ascii="宋体" w:hAnsi="宋体" w:eastAsia="宋体" w:cs="宋体"/>
          <w:spacing w:val="-6"/>
          <w:sz w:val="21"/>
          <w:szCs w:val="21"/>
          <w:highlight w:val="none"/>
        </w:rPr>
        <w:t>合同一方当事人因不可抗力不能履行合同的，应当及时通知对方解除合同。合同解除</w:t>
      </w:r>
      <w:r>
        <w:rPr>
          <w:rFonts w:ascii="宋体" w:hAnsi="宋体" w:eastAsia="宋体" w:cs="宋体"/>
          <w:spacing w:val="-7"/>
          <w:sz w:val="21"/>
          <w:szCs w:val="21"/>
          <w:highlight w:val="none"/>
        </w:rPr>
        <w:t>后，</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承包人应按照第22.2.4项约定撤离施工场地。已经订货的材料、设备由</w:t>
      </w:r>
      <w:r>
        <w:rPr>
          <w:rFonts w:ascii="宋体" w:hAnsi="宋体" w:eastAsia="宋体" w:cs="宋体"/>
          <w:spacing w:val="2"/>
          <w:sz w:val="21"/>
          <w:szCs w:val="21"/>
          <w:highlight w:val="none"/>
        </w:rPr>
        <w:t>订货方负责退货或</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解除订货合同，不能退还的货款和因退货、解除订货合同发生的费</w:t>
      </w:r>
      <w:r>
        <w:rPr>
          <w:rFonts w:ascii="宋体" w:hAnsi="宋体" w:eastAsia="宋体" w:cs="宋体"/>
          <w:spacing w:val="-3"/>
          <w:sz w:val="21"/>
          <w:szCs w:val="21"/>
          <w:highlight w:val="none"/>
        </w:rPr>
        <w:t>用，由发包人承担，因未</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及时退货造成的损失由责任方承担。合同解除后的付款，参照第22.2.</w:t>
      </w:r>
      <w:r>
        <w:rPr>
          <w:rFonts w:ascii="宋体" w:hAnsi="宋体" w:eastAsia="宋体" w:cs="宋体"/>
          <w:spacing w:val="2"/>
          <w:sz w:val="21"/>
          <w:szCs w:val="21"/>
          <w:highlight w:val="none"/>
        </w:rPr>
        <w:t>3项约定，由监理人</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按第3.5款商定或确定。</w:t>
      </w:r>
    </w:p>
    <w:p w14:paraId="6B4CBF8E">
      <w:pPr>
        <w:pStyle w:val="2"/>
        <w:spacing w:line="223" w:lineRule="auto"/>
        <w:outlineLvl w:val="1"/>
        <w:rPr>
          <w:rFonts w:ascii="黑体" w:hAnsi="黑体" w:eastAsia="黑体" w:cs="黑体"/>
          <w:sz w:val="24"/>
          <w:szCs w:val="24"/>
          <w:highlight w:val="none"/>
        </w:rPr>
      </w:pPr>
      <w:bookmarkStart w:id="204" w:name="bookmark117"/>
      <w:bookmarkEnd w:id="204"/>
      <w:r>
        <w:rPr>
          <w:spacing w:val="3"/>
          <w:sz w:val="24"/>
          <w:szCs w:val="24"/>
          <w:highlight w:val="none"/>
        </w:rPr>
        <w:t xml:space="preserve">22. </w:t>
      </w:r>
      <w:r>
        <w:rPr>
          <w:rFonts w:ascii="黑体" w:hAnsi="黑体" w:eastAsia="黑体" w:cs="黑体"/>
          <w:spacing w:val="3"/>
          <w:sz w:val="24"/>
          <w:szCs w:val="24"/>
          <w:highlight w:val="none"/>
        </w:rPr>
        <w:t>违约</w:t>
      </w:r>
    </w:p>
    <w:p w14:paraId="14A5CF17">
      <w:pPr>
        <w:spacing w:before="199" w:line="222" w:lineRule="auto"/>
        <w:rPr>
          <w:rFonts w:ascii="黑体" w:hAnsi="黑体" w:eastAsia="黑体" w:cs="黑体"/>
          <w:sz w:val="24"/>
          <w:szCs w:val="24"/>
          <w:highlight w:val="none"/>
        </w:rPr>
      </w:pPr>
      <w:r>
        <w:rPr>
          <w:rFonts w:ascii="黑体" w:hAnsi="黑体" w:eastAsia="黑体" w:cs="黑体"/>
          <w:spacing w:val="12"/>
          <w:sz w:val="24"/>
          <w:szCs w:val="24"/>
          <w:highlight w:val="none"/>
        </w:rPr>
        <w:t>22.1承包人违约</w:t>
      </w:r>
    </w:p>
    <w:p w14:paraId="7B71C5D7">
      <w:pPr>
        <w:spacing w:before="119" w:line="219"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22.1.1</w:t>
      </w:r>
      <w:r>
        <w:rPr>
          <w:rFonts w:ascii="Times New Roman" w:hAnsi="Times New Roman" w:eastAsia="Times New Roman" w:cs="Times New Roman"/>
          <w:spacing w:val="11"/>
          <w:sz w:val="20"/>
          <w:szCs w:val="20"/>
          <w:highlight w:val="none"/>
        </w:rPr>
        <w:t xml:space="preserve">    </w:t>
      </w:r>
      <w:r>
        <w:rPr>
          <w:rFonts w:ascii="宋体" w:hAnsi="宋体" w:eastAsia="宋体" w:cs="宋体"/>
          <w:spacing w:val="6"/>
          <w:sz w:val="20"/>
          <w:szCs w:val="20"/>
          <w:highlight w:val="none"/>
        </w:rPr>
        <w:t>承包人违约的情形</w:t>
      </w:r>
    </w:p>
    <w:p w14:paraId="44E09804">
      <w:pPr>
        <w:spacing w:before="214" w:line="219" w:lineRule="auto"/>
        <w:ind w:left="420"/>
        <w:rPr>
          <w:rFonts w:ascii="宋体" w:hAnsi="宋体" w:eastAsia="宋体" w:cs="宋体"/>
          <w:sz w:val="22"/>
          <w:szCs w:val="22"/>
          <w:highlight w:val="none"/>
        </w:rPr>
      </w:pPr>
      <w:r>
        <w:rPr>
          <w:rFonts w:ascii="宋体" w:hAnsi="宋体" w:eastAsia="宋体" w:cs="宋体"/>
          <w:spacing w:val="-12"/>
          <w:sz w:val="22"/>
          <w:szCs w:val="22"/>
          <w:highlight w:val="none"/>
        </w:rPr>
        <w:t>在履行合同过程中发生的下列情况之一的，属承包人违约：</w:t>
      </w:r>
    </w:p>
    <w:p w14:paraId="137DFFD1">
      <w:pPr>
        <w:spacing w:before="229" w:line="219" w:lineRule="auto"/>
        <w:ind w:left="530"/>
        <w:rPr>
          <w:rFonts w:ascii="宋体" w:hAnsi="宋体" w:eastAsia="宋体" w:cs="宋体"/>
          <w:sz w:val="22"/>
          <w:szCs w:val="22"/>
          <w:highlight w:val="none"/>
        </w:rPr>
      </w:pPr>
      <w:r>
        <w:rPr>
          <w:rFonts w:ascii="宋体" w:hAnsi="宋体" w:eastAsia="宋体" w:cs="宋体"/>
          <w:spacing w:val="-7"/>
          <w:sz w:val="22"/>
          <w:szCs w:val="22"/>
          <w:highlight w:val="none"/>
        </w:rPr>
        <w:t>(1)承包人的设计、承包人文件、实施和竣工的工程</w:t>
      </w:r>
      <w:r>
        <w:rPr>
          <w:rFonts w:ascii="宋体" w:hAnsi="宋体" w:eastAsia="宋体" w:cs="宋体"/>
          <w:spacing w:val="-8"/>
          <w:sz w:val="22"/>
          <w:szCs w:val="22"/>
          <w:highlight w:val="none"/>
        </w:rPr>
        <w:t>不符合法律以及合同约定；</w:t>
      </w:r>
    </w:p>
    <w:p w14:paraId="76C017D8">
      <w:pPr>
        <w:spacing w:before="209" w:line="329" w:lineRule="auto"/>
        <w:ind w:right="66" w:firstLine="530"/>
        <w:rPr>
          <w:rFonts w:ascii="宋体" w:hAnsi="宋体" w:eastAsia="宋体" w:cs="宋体"/>
          <w:sz w:val="21"/>
          <w:szCs w:val="21"/>
          <w:highlight w:val="none"/>
        </w:rPr>
      </w:pPr>
      <w:r>
        <w:rPr>
          <w:rFonts w:ascii="宋体" w:hAnsi="宋体" w:eastAsia="宋体" w:cs="宋体"/>
          <w:spacing w:val="5"/>
          <w:sz w:val="21"/>
          <w:szCs w:val="21"/>
          <w:highlight w:val="none"/>
        </w:rPr>
        <w:t>(2)承包人违反第1.8款或第4.3 款的约定，私自将合同的全部或部分权利转让给其</w:t>
      </w:r>
      <w:r>
        <w:rPr>
          <w:rFonts w:ascii="宋体" w:hAnsi="宋体" w:eastAsia="宋体" w:cs="宋体"/>
          <w:spacing w:val="12"/>
          <w:sz w:val="21"/>
          <w:szCs w:val="21"/>
          <w:highlight w:val="none"/>
        </w:rPr>
        <w:t xml:space="preserve"> </w:t>
      </w:r>
      <w:r>
        <w:rPr>
          <w:rFonts w:ascii="宋体" w:hAnsi="宋体" w:eastAsia="宋体" w:cs="宋体"/>
          <w:spacing w:val="-3"/>
          <w:sz w:val="21"/>
          <w:szCs w:val="21"/>
          <w:highlight w:val="none"/>
        </w:rPr>
        <w:t>他人，或私自将合同的全部或部分义务转移给其他人；</w:t>
      </w:r>
    </w:p>
    <w:p w14:paraId="24535F8B">
      <w:pPr>
        <w:spacing w:before="229" w:line="316" w:lineRule="auto"/>
        <w:ind w:right="31" w:firstLine="530"/>
        <w:rPr>
          <w:rFonts w:ascii="宋体" w:hAnsi="宋体" w:eastAsia="宋体" w:cs="宋体"/>
          <w:sz w:val="21"/>
          <w:szCs w:val="21"/>
          <w:highlight w:val="none"/>
        </w:rPr>
      </w:pPr>
      <w:r>
        <w:rPr>
          <w:rFonts w:ascii="宋体" w:hAnsi="宋体" w:eastAsia="宋体" w:cs="宋体"/>
          <w:spacing w:val="6"/>
          <w:sz w:val="21"/>
          <w:szCs w:val="21"/>
          <w:highlight w:val="none"/>
        </w:rPr>
        <w:t xml:space="preserve">(3)承包人违反第6.3 款或第7.4款的约定，未经监理人批准，私自将已按合同约定 </w:t>
      </w:r>
      <w:r>
        <w:rPr>
          <w:rFonts w:ascii="宋体" w:hAnsi="宋体" w:eastAsia="宋体" w:cs="宋体"/>
          <w:spacing w:val="-2"/>
          <w:sz w:val="21"/>
          <w:szCs w:val="21"/>
          <w:highlight w:val="none"/>
        </w:rPr>
        <w:t>进入施工场地的施工设备、临时设施或材料撤离施工</w:t>
      </w:r>
      <w:r>
        <w:rPr>
          <w:rFonts w:ascii="宋体" w:hAnsi="宋体" w:eastAsia="宋体" w:cs="宋体"/>
          <w:spacing w:val="-3"/>
          <w:sz w:val="21"/>
          <w:szCs w:val="21"/>
          <w:highlight w:val="none"/>
        </w:rPr>
        <w:t>场地；</w:t>
      </w:r>
    </w:p>
    <w:p w14:paraId="6393BD71">
      <w:pPr>
        <w:spacing w:before="242" w:line="321" w:lineRule="auto"/>
        <w:ind w:right="64" w:firstLine="530"/>
        <w:rPr>
          <w:rFonts w:ascii="宋体" w:hAnsi="宋体" w:eastAsia="宋体" w:cs="宋体"/>
          <w:sz w:val="21"/>
          <w:szCs w:val="21"/>
          <w:highlight w:val="none"/>
        </w:rPr>
      </w:pPr>
      <w:r>
        <w:rPr>
          <w:rFonts w:ascii="宋体" w:hAnsi="宋体" w:eastAsia="宋体" w:cs="宋体"/>
          <w:spacing w:val="3"/>
          <w:sz w:val="21"/>
          <w:szCs w:val="21"/>
          <w:highlight w:val="none"/>
        </w:rPr>
        <w:t>(4)承包人违反第6.5</w:t>
      </w:r>
      <w:r>
        <w:rPr>
          <w:rFonts w:ascii="宋体" w:hAnsi="宋体" w:eastAsia="宋体" w:cs="宋体"/>
          <w:spacing w:val="-3"/>
          <w:sz w:val="21"/>
          <w:szCs w:val="21"/>
          <w:highlight w:val="none"/>
        </w:rPr>
        <w:t xml:space="preserve"> </w:t>
      </w:r>
      <w:r>
        <w:rPr>
          <w:rFonts w:ascii="宋体" w:hAnsi="宋体" w:eastAsia="宋体" w:cs="宋体"/>
          <w:spacing w:val="3"/>
          <w:sz w:val="21"/>
          <w:szCs w:val="21"/>
          <w:highlight w:val="none"/>
        </w:rPr>
        <w:t>款的约定使用了不合格材料或工程设备，工程质量达不到标准</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要求，又拒绝清除不合格工程；</w:t>
      </w:r>
    </w:p>
    <w:p w14:paraId="45FF4ED4">
      <w:pPr>
        <w:spacing w:before="230" w:line="219" w:lineRule="auto"/>
        <w:ind w:left="530"/>
        <w:rPr>
          <w:rFonts w:ascii="宋体" w:hAnsi="宋体" w:eastAsia="宋体" w:cs="宋体"/>
          <w:sz w:val="20"/>
          <w:szCs w:val="20"/>
          <w:highlight w:val="none"/>
        </w:rPr>
      </w:pPr>
      <w:r>
        <w:rPr>
          <w:rFonts w:ascii="宋体" w:hAnsi="宋体" w:eastAsia="宋体" w:cs="宋体"/>
          <w:spacing w:val="12"/>
          <w:sz w:val="20"/>
          <w:szCs w:val="20"/>
          <w:highlight w:val="none"/>
        </w:rPr>
        <w:t>(5)承包人未能按合同进度计划及时完成合同约定的</w:t>
      </w:r>
      <w:r>
        <w:rPr>
          <w:rFonts w:ascii="宋体" w:hAnsi="宋体" w:eastAsia="宋体" w:cs="宋体"/>
          <w:spacing w:val="11"/>
          <w:sz w:val="20"/>
          <w:szCs w:val="20"/>
          <w:highlight w:val="none"/>
        </w:rPr>
        <w:t>工作，造成工期延误；</w:t>
      </w:r>
    </w:p>
    <w:p w14:paraId="5E5D6870">
      <w:pPr>
        <w:spacing w:before="253" w:line="219" w:lineRule="auto"/>
        <w:ind w:left="530"/>
        <w:rPr>
          <w:rFonts w:ascii="宋体" w:hAnsi="宋体" w:eastAsia="宋体" w:cs="宋体"/>
          <w:sz w:val="20"/>
          <w:szCs w:val="20"/>
          <w:highlight w:val="none"/>
        </w:rPr>
      </w:pPr>
      <w:r>
        <w:rPr>
          <w:rFonts w:ascii="宋体" w:hAnsi="宋体" w:eastAsia="宋体" w:cs="宋体"/>
          <w:spacing w:val="11"/>
          <w:sz w:val="20"/>
          <w:szCs w:val="20"/>
          <w:highlight w:val="none"/>
        </w:rPr>
        <w:t>(6)由于承包人原因未能通过竣工试验或竣工后试验的；</w:t>
      </w:r>
    </w:p>
    <w:p w14:paraId="6D87CF1E">
      <w:pPr>
        <w:spacing w:before="192" w:line="320" w:lineRule="auto"/>
        <w:ind w:right="65" w:firstLine="530"/>
        <w:rPr>
          <w:rFonts w:ascii="宋体" w:hAnsi="宋体" w:eastAsia="宋体" w:cs="宋体"/>
          <w:sz w:val="22"/>
          <w:szCs w:val="22"/>
          <w:highlight w:val="none"/>
        </w:rPr>
      </w:pPr>
      <w:r>
        <w:rPr>
          <w:rFonts w:ascii="宋体" w:hAnsi="宋体" w:eastAsia="宋体" w:cs="宋体"/>
          <w:spacing w:val="-7"/>
          <w:sz w:val="22"/>
          <w:szCs w:val="22"/>
          <w:highlight w:val="none"/>
        </w:rPr>
        <w:t>(7)承包人在缺陷责任期内，未能对工程接收证书所列的缺陷清单的内容或缺陷责任</w:t>
      </w:r>
      <w:r>
        <w:rPr>
          <w:rFonts w:ascii="宋体" w:hAnsi="宋体" w:eastAsia="宋体" w:cs="宋体"/>
          <w:spacing w:val="14"/>
          <w:sz w:val="22"/>
          <w:szCs w:val="22"/>
          <w:highlight w:val="none"/>
        </w:rPr>
        <w:t xml:space="preserve"> </w:t>
      </w:r>
      <w:r>
        <w:rPr>
          <w:rFonts w:ascii="宋体" w:hAnsi="宋体" w:eastAsia="宋体" w:cs="宋体"/>
          <w:spacing w:val="-12"/>
          <w:sz w:val="22"/>
          <w:szCs w:val="22"/>
          <w:highlight w:val="none"/>
        </w:rPr>
        <w:t>期内发生的缺陷进行修复，而又拒绝按监理人指示再进行修补；</w:t>
      </w:r>
    </w:p>
    <w:p w14:paraId="00DAFE9D">
      <w:pPr>
        <w:spacing w:before="209" w:line="219" w:lineRule="auto"/>
        <w:ind w:left="530"/>
        <w:rPr>
          <w:rFonts w:ascii="宋体" w:hAnsi="宋体" w:eastAsia="宋体" w:cs="宋体"/>
          <w:sz w:val="22"/>
          <w:szCs w:val="22"/>
          <w:highlight w:val="none"/>
        </w:rPr>
      </w:pPr>
      <w:r>
        <w:rPr>
          <w:rFonts w:ascii="宋体" w:hAnsi="宋体" w:eastAsia="宋体" w:cs="宋体"/>
          <w:spacing w:val="-7"/>
          <w:sz w:val="22"/>
          <w:szCs w:val="22"/>
          <w:highlight w:val="none"/>
        </w:rPr>
        <w:t>(8)承包人无法继续履行或明确表示不履行或实质上已停止履行合同；</w:t>
      </w:r>
    </w:p>
    <w:p w14:paraId="6B30CAFB">
      <w:pPr>
        <w:spacing w:before="219" w:line="219" w:lineRule="auto"/>
        <w:ind w:left="530"/>
        <w:rPr>
          <w:rFonts w:ascii="宋体" w:hAnsi="宋体" w:eastAsia="宋体" w:cs="宋体"/>
          <w:sz w:val="22"/>
          <w:szCs w:val="22"/>
          <w:highlight w:val="none"/>
        </w:rPr>
      </w:pPr>
      <w:r>
        <w:rPr>
          <w:rFonts w:ascii="宋体" w:hAnsi="宋体" w:eastAsia="宋体" w:cs="宋体"/>
          <w:spacing w:val="-6"/>
          <w:sz w:val="22"/>
          <w:szCs w:val="22"/>
          <w:highlight w:val="none"/>
        </w:rPr>
        <w:t>(9)承包人不按合同约定履行义务的其他情况。</w:t>
      </w:r>
    </w:p>
    <w:p w14:paraId="275ED95F">
      <w:pPr>
        <w:spacing w:before="248" w:line="219" w:lineRule="auto"/>
        <w:ind w:left="42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22.1.2    </w:t>
      </w:r>
      <w:r>
        <w:rPr>
          <w:rFonts w:ascii="宋体" w:hAnsi="宋体" w:eastAsia="宋体" w:cs="宋体"/>
          <w:spacing w:val="6"/>
          <w:sz w:val="20"/>
          <w:szCs w:val="20"/>
          <w:highlight w:val="none"/>
        </w:rPr>
        <w:t>对承包人违约的处理</w:t>
      </w:r>
    </w:p>
    <w:p w14:paraId="340F92A1">
      <w:pPr>
        <w:spacing w:before="214" w:line="329" w:lineRule="auto"/>
        <w:ind w:right="66" w:firstLine="530"/>
        <w:rPr>
          <w:rFonts w:ascii="宋体" w:hAnsi="宋体" w:eastAsia="宋体" w:cs="宋体"/>
          <w:sz w:val="21"/>
          <w:szCs w:val="21"/>
          <w:highlight w:val="none"/>
        </w:rPr>
      </w:pPr>
      <w:r>
        <w:rPr>
          <w:rFonts w:ascii="宋体" w:hAnsi="宋体" w:eastAsia="宋体" w:cs="宋体"/>
          <w:spacing w:val="10"/>
          <w:sz w:val="21"/>
          <w:szCs w:val="21"/>
          <w:highlight w:val="none"/>
        </w:rPr>
        <w:t>(1)承包人发生第22.1.1(6)目约定的违约情况时，按照发包人要求中的未能通过</w:t>
      </w:r>
      <w:r>
        <w:rPr>
          <w:rFonts w:ascii="宋体" w:hAnsi="宋体" w:eastAsia="宋体" w:cs="宋体"/>
          <w:spacing w:val="17"/>
          <w:sz w:val="21"/>
          <w:szCs w:val="21"/>
          <w:highlight w:val="none"/>
        </w:rPr>
        <w:t xml:space="preserve"> </w:t>
      </w:r>
      <w:r>
        <w:rPr>
          <w:rFonts w:ascii="宋体" w:hAnsi="宋体" w:eastAsia="宋体" w:cs="宋体"/>
          <w:spacing w:val="-1"/>
          <w:sz w:val="21"/>
          <w:szCs w:val="21"/>
          <w:highlight w:val="none"/>
        </w:rPr>
        <w:t>竣工/竣工后试验的损害进行赔偿。发生延期的，承包人应</w:t>
      </w:r>
      <w:r>
        <w:rPr>
          <w:rFonts w:ascii="宋体" w:hAnsi="宋体" w:eastAsia="宋体" w:cs="宋体"/>
          <w:spacing w:val="-2"/>
          <w:sz w:val="21"/>
          <w:szCs w:val="21"/>
          <w:highlight w:val="none"/>
        </w:rPr>
        <w:t>承担延期责任。</w:t>
      </w:r>
    </w:p>
    <w:p w14:paraId="0D8A8D3E">
      <w:pPr>
        <w:spacing w:before="231" w:line="219" w:lineRule="auto"/>
        <w:ind w:left="530"/>
        <w:rPr>
          <w:rFonts w:ascii="宋体" w:hAnsi="宋体" w:eastAsia="宋体" w:cs="宋体"/>
          <w:sz w:val="21"/>
          <w:szCs w:val="21"/>
          <w:highlight w:val="none"/>
        </w:rPr>
      </w:pPr>
      <w:r>
        <w:rPr>
          <w:rFonts w:ascii="宋体" w:hAnsi="宋体" w:eastAsia="宋体" w:cs="宋体"/>
          <w:spacing w:val="11"/>
          <w:sz w:val="21"/>
          <w:szCs w:val="21"/>
          <w:highlight w:val="none"/>
        </w:rPr>
        <w:t>(2)承包人发生第22.1.1(8)目</w:t>
      </w:r>
      <w:r>
        <w:rPr>
          <w:rFonts w:ascii="宋体" w:hAnsi="宋体" w:eastAsia="宋体" w:cs="宋体"/>
          <w:spacing w:val="10"/>
          <w:sz w:val="21"/>
          <w:szCs w:val="21"/>
          <w:highlight w:val="none"/>
        </w:rPr>
        <w:t>约定的违约情况时，发包人可通知承包人立即解除</w:t>
      </w:r>
    </w:p>
    <w:p w14:paraId="609CBD33">
      <w:pPr>
        <w:spacing w:line="219" w:lineRule="auto"/>
        <w:rPr>
          <w:rFonts w:ascii="宋体" w:hAnsi="宋体" w:eastAsia="宋体" w:cs="宋体"/>
          <w:sz w:val="21"/>
          <w:szCs w:val="21"/>
          <w:highlight w:val="none"/>
        </w:rPr>
        <w:sectPr>
          <w:footerReference r:id="rId213" w:type="default"/>
          <w:pgSz w:w="11910" w:h="16840"/>
          <w:pgMar w:top="400" w:right="1764" w:bottom="1238" w:left="1769" w:header="0" w:footer="1006" w:gutter="0"/>
          <w:cols w:space="720" w:num="1"/>
        </w:sectPr>
      </w:pPr>
    </w:p>
    <w:p w14:paraId="4BD85C70">
      <w:pPr>
        <w:pStyle w:val="2"/>
        <w:spacing w:line="267" w:lineRule="auto"/>
        <w:rPr>
          <w:highlight w:val="none"/>
        </w:rPr>
      </w:pPr>
    </w:p>
    <w:p w14:paraId="163AD4B5">
      <w:pPr>
        <w:pStyle w:val="2"/>
        <w:spacing w:line="268" w:lineRule="auto"/>
        <w:rPr>
          <w:highlight w:val="none"/>
        </w:rPr>
      </w:pPr>
    </w:p>
    <w:p w14:paraId="350D7332">
      <w:pPr>
        <w:pStyle w:val="2"/>
        <w:spacing w:line="268" w:lineRule="auto"/>
        <w:rPr>
          <w:highlight w:val="none"/>
        </w:rPr>
      </w:pPr>
    </w:p>
    <w:p w14:paraId="65E983FA">
      <w:pPr>
        <w:pStyle w:val="2"/>
        <w:spacing w:line="268" w:lineRule="auto"/>
        <w:rPr>
          <w:highlight w:val="none"/>
        </w:rPr>
      </w:pPr>
    </w:p>
    <w:p w14:paraId="7E1DF7BD">
      <w:pPr>
        <w:spacing w:before="71" w:line="219" w:lineRule="auto"/>
        <w:rPr>
          <w:rFonts w:ascii="宋体" w:hAnsi="宋体" w:eastAsia="宋体" w:cs="宋体"/>
          <w:sz w:val="22"/>
          <w:szCs w:val="22"/>
          <w:highlight w:val="none"/>
        </w:rPr>
      </w:pPr>
      <w:bookmarkStart w:id="205" w:name="bookmark287"/>
      <w:bookmarkEnd w:id="205"/>
      <w:r>
        <w:rPr>
          <w:rFonts w:ascii="宋体" w:hAnsi="宋体" w:eastAsia="宋体" w:cs="宋体"/>
          <w:spacing w:val="2"/>
          <w:sz w:val="22"/>
          <w:szCs w:val="22"/>
          <w:highlight w:val="none"/>
        </w:rPr>
        <w:t>合同，并按第22.1.3项、第22.1.4项、第22.</w:t>
      </w:r>
      <w:r>
        <w:rPr>
          <w:rFonts w:ascii="宋体" w:hAnsi="宋体" w:eastAsia="宋体" w:cs="宋体"/>
          <w:spacing w:val="1"/>
          <w:sz w:val="22"/>
          <w:szCs w:val="22"/>
          <w:highlight w:val="none"/>
        </w:rPr>
        <w:t>1.5项约定处理。</w:t>
      </w:r>
    </w:p>
    <w:p w14:paraId="36E6D279">
      <w:pPr>
        <w:spacing w:before="246" w:line="415" w:lineRule="auto"/>
        <w:ind w:firstLine="530"/>
        <w:jc w:val="both"/>
        <w:rPr>
          <w:rFonts w:ascii="宋体" w:hAnsi="宋体" w:eastAsia="宋体" w:cs="宋体"/>
          <w:sz w:val="21"/>
          <w:szCs w:val="21"/>
          <w:highlight w:val="none"/>
        </w:rPr>
      </w:pPr>
      <w:r>
        <w:rPr>
          <w:rFonts w:ascii="宋体" w:hAnsi="宋体" w:eastAsia="宋体" w:cs="宋体"/>
          <w:spacing w:val="14"/>
          <w:sz w:val="21"/>
          <w:szCs w:val="21"/>
          <w:highlight w:val="none"/>
        </w:rPr>
        <w:t>(3)承包人发生除第22.1.1(6)目和第22.1.1(8)目约定以外的其他违约情况</w:t>
      </w:r>
      <w:r>
        <w:rPr>
          <w:rFonts w:ascii="宋体" w:hAnsi="宋体" w:eastAsia="宋体" w:cs="宋体"/>
          <w:spacing w:val="13"/>
          <w:sz w:val="21"/>
          <w:szCs w:val="21"/>
          <w:highlight w:val="none"/>
        </w:rPr>
        <w:t>时，</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监理人可向承包人发出整改通知，要求其在指定的期限内纠正。</w:t>
      </w:r>
      <w:r>
        <w:rPr>
          <w:rFonts w:ascii="宋体" w:hAnsi="宋体" w:eastAsia="宋体" w:cs="宋体"/>
          <w:spacing w:val="-3"/>
          <w:sz w:val="21"/>
          <w:szCs w:val="21"/>
          <w:highlight w:val="none"/>
        </w:rPr>
        <w:t>除合同条款另有约定外，承</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包人应承担其违约所引起的费用增加和(或)工期延</w:t>
      </w:r>
      <w:r>
        <w:rPr>
          <w:rFonts w:ascii="宋体" w:hAnsi="宋体" w:eastAsia="宋体" w:cs="宋体"/>
          <w:spacing w:val="6"/>
          <w:sz w:val="21"/>
          <w:szCs w:val="21"/>
          <w:highlight w:val="none"/>
        </w:rPr>
        <w:t>误。</w:t>
      </w:r>
    </w:p>
    <w:p w14:paraId="2275139D">
      <w:pPr>
        <w:spacing w:before="25" w:line="219" w:lineRule="auto"/>
        <w:ind w:left="43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 xml:space="preserve">22.1.3    </w:t>
      </w:r>
      <w:r>
        <w:rPr>
          <w:rFonts w:ascii="宋体" w:hAnsi="宋体" w:eastAsia="宋体" w:cs="宋体"/>
          <w:spacing w:val="6"/>
          <w:sz w:val="20"/>
          <w:szCs w:val="20"/>
          <w:highlight w:val="none"/>
        </w:rPr>
        <w:t>因承包人违约解除合同</w:t>
      </w:r>
    </w:p>
    <w:p w14:paraId="3A315172">
      <w:pPr>
        <w:spacing w:before="195" w:line="424" w:lineRule="auto"/>
        <w:ind w:firstLine="430"/>
        <w:rPr>
          <w:rFonts w:ascii="宋体" w:hAnsi="宋体" w:eastAsia="宋体" w:cs="宋体"/>
          <w:sz w:val="21"/>
          <w:szCs w:val="21"/>
          <w:highlight w:val="none"/>
        </w:rPr>
      </w:pPr>
      <w:r>
        <w:rPr>
          <w:rFonts w:ascii="宋体" w:hAnsi="宋体" w:eastAsia="宋体" w:cs="宋体"/>
          <w:spacing w:val="3"/>
          <w:sz w:val="21"/>
          <w:szCs w:val="21"/>
          <w:highlight w:val="none"/>
        </w:rPr>
        <w:t>监理人发出整改通知28天后，承包人仍不纠正违约行为的，发包人有权解除合同并向</w:t>
      </w:r>
      <w:r>
        <w:rPr>
          <w:rFonts w:ascii="宋体" w:hAnsi="宋体" w:eastAsia="宋体" w:cs="宋体"/>
          <w:spacing w:val="6"/>
          <w:sz w:val="21"/>
          <w:szCs w:val="21"/>
          <w:highlight w:val="none"/>
        </w:rPr>
        <w:t xml:space="preserve"> </w:t>
      </w:r>
      <w:r>
        <w:rPr>
          <w:rFonts w:ascii="宋体" w:hAnsi="宋体" w:eastAsia="宋体" w:cs="宋体"/>
          <w:sz w:val="21"/>
          <w:szCs w:val="21"/>
          <w:highlight w:val="none"/>
        </w:rPr>
        <w:t>承包人发出解除合同通知。承包人收到发包人解除合同通知后14天内，承包人应撤离现场，</w:t>
      </w:r>
      <w:r>
        <w:rPr>
          <w:rFonts w:ascii="宋体" w:hAnsi="宋体" w:eastAsia="宋体" w:cs="宋体"/>
          <w:spacing w:val="3"/>
          <w:sz w:val="21"/>
          <w:szCs w:val="21"/>
          <w:highlight w:val="none"/>
        </w:rPr>
        <w:t xml:space="preserve"> </w:t>
      </w:r>
      <w:r>
        <w:rPr>
          <w:rFonts w:ascii="宋体" w:hAnsi="宋体" w:eastAsia="宋体" w:cs="宋体"/>
          <w:sz w:val="21"/>
          <w:szCs w:val="21"/>
          <w:highlight w:val="none"/>
        </w:rPr>
        <w:t>发包人派员进驻施工场地完成现场交接手续，发包人有权另行组织人员或委托其他承包人。</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发包人因继续完成该工程的需要，有权扣留使用承包人在现场的</w:t>
      </w:r>
      <w:r>
        <w:rPr>
          <w:rFonts w:ascii="宋体" w:hAnsi="宋体" w:eastAsia="宋体" w:cs="宋体"/>
          <w:spacing w:val="-3"/>
          <w:sz w:val="21"/>
          <w:szCs w:val="21"/>
          <w:highlight w:val="none"/>
        </w:rPr>
        <w:t>材料、设备和临时设施。但</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发包人的这一行动不免除承包人应承担的违约责任，也不影响发包人根据合</w:t>
      </w:r>
      <w:r>
        <w:rPr>
          <w:rFonts w:ascii="宋体" w:hAnsi="宋体" w:eastAsia="宋体" w:cs="宋体"/>
          <w:spacing w:val="-3"/>
          <w:sz w:val="21"/>
          <w:szCs w:val="21"/>
          <w:highlight w:val="none"/>
        </w:rPr>
        <w:t>同约定享有的索</w:t>
      </w:r>
      <w:r>
        <w:rPr>
          <w:rFonts w:ascii="宋体" w:hAnsi="宋体" w:eastAsia="宋体" w:cs="宋体"/>
          <w:sz w:val="21"/>
          <w:szCs w:val="21"/>
          <w:highlight w:val="none"/>
        </w:rPr>
        <w:t xml:space="preserve">  </w:t>
      </w:r>
      <w:r>
        <w:rPr>
          <w:rFonts w:ascii="宋体" w:hAnsi="宋体" w:eastAsia="宋体" w:cs="宋体"/>
          <w:spacing w:val="-8"/>
          <w:sz w:val="21"/>
          <w:szCs w:val="21"/>
          <w:highlight w:val="none"/>
        </w:rPr>
        <w:t>赔权利。</w:t>
      </w:r>
    </w:p>
    <w:p w14:paraId="348924FB">
      <w:pPr>
        <w:spacing w:before="11" w:line="218" w:lineRule="auto"/>
        <w:ind w:left="430"/>
        <w:rPr>
          <w:rFonts w:ascii="宋体" w:hAnsi="宋体" w:eastAsia="宋体" w:cs="宋体"/>
          <w:sz w:val="20"/>
          <w:szCs w:val="20"/>
          <w:highlight w:val="none"/>
        </w:rPr>
      </w:pPr>
      <w:r>
        <w:rPr>
          <w:rFonts w:ascii="宋体" w:hAnsi="宋体" w:eastAsia="宋体" w:cs="宋体"/>
          <w:spacing w:val="13"/>
          <w:sz w:val="20"/>
          <w:szCs w:val="20"/>
          <w:highlight w:val="none"/>
        </w:rPr>
        <w:t>22.1.4发包人发出合同解除通知后的估价、付款和</w:t>
      </w:r>
      <w:r>
        <w:rPr>
          <w:rFonts w:ascii="宋体" w:hAnsi="宋体" w:eastAsia="宋体" w:cs="宋体"/>
          <w:spacing w:val="12"/>
          <w:sz w:val="20"/>
          <w:szCs w:val="20"/>
          <w:highlight w:val="none"/>
        </w:rPr>
        <w:t>结清</w:t>
      </w:r>
    </w:p>
    <w:p w14:paraId="7150255D">
      <w:pPr>
        <w:spacing w:before="235" w:line="351" w:lineRule="auto"/>
        <w:ind w:right="88" w:firstLine="530"/>
        <w:rPr>
          <w:rFonts w:ascii="宋体" w:hAnsi="宋体" w:eastAsia="宋体" w:cs="宋体"/>
          <w:sz w:val="21"/>
          <w:szCs w:val="21"/>
          <w:highlight w:val="none"/>
        </w:rPr>
      </w:pPr>
      <w:r>
        <w:rPr>
          <w:rFonts w:ascii="宋体" w:hAnsi="宋体" w:eastAsia="宋体" w:cs="宋体"/>
          <w:spacing w:val="11"/>
          <w:sz w:val="21"/>
          <w:szCs w:val="21"/>
          <w:highlight w:val="none"/>
        </w:rPr>
        <w:t>(1)承包人收到发包人解除合同通知后28天内，监理人按第3.5款商定或确定承包</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人实际完成工作的价值，包括发包人扣留承包人的材料、设备及临时设施和承包</w:t>
      </w:r>
      <w:r>
        <w:rPr>
          <w:rFonts w:ascii="宋体" w:hAnsi="宋体" w:eastAsia="宋体" w:cs="宋体"/>
          <w:spacing w:val="-3"/>
          <w:sz w:val="21"/>
          <w:szCs w:val="21"/>
          <w:highlight w:val="none"/>
        </w:rPr>
        <w:t>人已提供的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设计、材料、施工设备、工程设备、临时工程等的价值。</w:t>
      </w:r>
    </w:p>
    <w:p w14:paraId="548440D3">
      <w:pPr>
        <w:spacing w:before="224" w:line="311" w:lineRule="auto"/>
        <w:ind w:right="96" w:firstLine="530"/>
        <w:rPr>
          <w:rFonts w:ascii="宋体" w:hAnsi="宋体" w:eastAsia="宋体" w:cs="宋体"/>
          <w:sz w:val="22"/>
          <w:szCs w:val="22"/>
          <w:highlight w:val="none"/>
        </w:rPr>
      </w:pPr>
      <w:r>
        <w:rPr>
          <w:rFonts w:ascii="宋体" w:hAnsi="宋体" w:eastAsia="宋体" w:cs="宋体"/>
          <w:spacing w:val="-7"/>
          <w:sz w:val="22"/>
          <w:szCs w:val="22"/>
          <w:highlight w:val="none"/>
        </w:rPr>
        <w:t>(2)发包人发出解除合同通知后，发包人有权暂停对承包人的一切付款，查清各项付</w:t>
      </w:r>
      <w:r>
        <w:rPr>
          <w:rFonts w:ascii="宋体" w:hAnsi="宋体" w:eastAsia="宋体" w:cs="宋体"/>
          <w:spacing w:val="13"/>
          <w:sz w:val="22"/>
          <w:szCs w:val="22"/>
          <w:highlight w:val="none"/>
        </w:rPr>
        <w:t xml:space="preserve"> </w:t>
      </w:r>
      <w:r>
        <w:rPr>
          <w:rFonts w:ascii="宋体" w:hAnsi="宋体" w:eastAsia="宋体" w:cs="宋体"/>
          <w:spacing w:val="-11"/>
          <w:sz w:val="22"/>
          <w:szCs w:val="22"/>
          <w:highlight w:val="none"/>
        </w:rPr>
        <w:t>款和已扣款金额，包括承包人应支付的违约金。</w:t>
      </w:r>
    </w:p>
    <w:p w14:paraId="31157B2E">
      <w:pPr>
        <w:spacing w:before="209" w:line="329" w:lineRule="auto"/>
        <w:ind w:right="92" w:firstLine="530"/>
        <w:rPr>
          <w:rFonts w:ascii="宋体" w:hAnsi="宋体" w:eastAsia="宋体" w:cs="宋体"/>
          <w:sz w:val="21"/>
          <w:szCs w:val="21"/>
          <w:highlight w:val="none"/>
        </w:rPr>
      </w:pPr>
      <w:r>
        <w:rPr>
          <w:rFonts w:ascii="宋体" w:hAnsi="宋体" w:eastAsia="宋体" w:cs="宋体"/>
          <w:spacing w:val="8"/>
          <w:sz w:val="21"/>
          <w:szCs w:val="21"/>
          <w:highlight w:val="none"/>
        </w:rPr>
        <w:t>(3)发包人发出解除合同通知后，发包人有权按第23.4款的约定向承包人索赔由于</w:t>
      </w:r>
      <w:r>
        <w:rPr>
          <w:rFonts w:ascii="宋体" w:hAnsi="宋体" w:eastAsia="宋体" w:cs="宋体"/>
          <w:spacing w:val="14"/>
          <w:sz w:val="21"/>
          <w:szCs w:val="21"/>
          <w:highlight w:val="none"/>
        </w:rPr>
        <w:t xml:space="preserve"> </w:t>
      </w:r>
      <w:r>
        <w:rPr>
          <w:rFonts w:ascii="宋体" w:hAnsi="宋体" w:eastAsia="宋体" w:cs="宋体"/>
          <w:spacing w:val="-1"/>
          <w:sz w:val="21"/>
          <w:szCs w:val="21"/>
          <w:highlight w:val="none"/>
        </w:rPr>
        <w:t>解除合同给发包人造成的损失。</w:t>
      </w:r>
    </w:p>
    <w:p w14:paraId="029E50D4">
      <w:pPr>
        <w:spacing w:before="229" w:line="218" w:lineRule="auto"/>
        <w:jc w:val="right"/>
        <w:rPr>
          <w:rFonts w:ascii="宋体" w:hAnsi="宋体" w:eastAsia="宋体" w:cs="宋体"/>
          <w:sz w:val="21"/>
          <w:szCs w:val="21"/>
          <w:highlight w:val="none"/>
        </w:rPr>
      </w:pPr>
      <w:r>
        <w:rPr>
          <w:rFonts w:ascii="宋体" w:hAnsi="宋体" w:eastAsia="宋体" w:cs="宋体"/>
          <w:sz w:val="21"/>
          <w:szCs w:val="21"/>
          <w:highlight w:val="none"/>
        </w:rPr>
        <w:t>(4)合同双方确认合同价款后，发包人颁发最终结清付款证书，并结清全部合同款</w:t>
      </w:r>
      <w:r>
        <w:rPr>
          <w:rFonts w:ascii="宋体" w:hAnsi="宋体" w:eastAsia="宋体" w:cs="宋体"/>
          <w:spacing w:val="-1"/>
          <w:sz w:val="21"/>
          <w:szCs w:val="21"/>
          <w:highlight w:val="none"/>
        </w:rPr>
        <w:t>项。</w:t>
      </w:r>
    </w:p>
    <w:p w14:paraId="459E54A3">
      <w:pPr>
        <w:spacing w:before="224" w:line="340" w:lineRule="auto"/>
        <w:ind w:right="66" w:firstLine="530"/>
        <w:rPr>
          <w:rFonts w:ascii="宋体" w:hAnsi="宋体" w:eastAsia="宋体" w:cs="宋体"/>
          <w:sz w:val="20"/>
          <w:szCs w:val="20"/>
          <w:highlight w:val="none"/>
        </w:rPr>
      </w:pPr>
      <w:r>
        <w:rPr>
          <w:rFonts w:ascii="宋体" w:hAnsi="宋体" w:eastAsia="宋体" w:cs="宋体"/>
          <w:spacing w:val="13"/>
          <w:sz w:val="20"/>
          <w:szCs w:val="20"/>
          <w:highlight w:val="none"/>
        </w:rPr>
        <w:t>(5)发包人和承包人未能就解除合同后的结清达成一致而形成争议的，按第24条的约</w:t>
      </w:r>
      <w:r>
        <w:rPr>
          <w:rFonts w:ascii="宋体" w:hAnsi="宋体" w:eastAsia="宋体" w:cs="宋体"/>
          <w:sz w:val="20"/>
          <w:szCs w:val="20"/>
          <w:highlight w:val="none"/>
        </w:rPr>
        <w:t xml:space="preserve"> 定执行。</w:t>
      </w:r>
    </w:p>
    <w:p w14:paraId="7621C409">
      <w:pPr>
        <w:spacing w:before="243" w:line="220" w:lineRule="auto"/>
        <w:ind w:left="430"/>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22.1.5</w:t>
      </w:r>
      <w:r>
        <w:rPr>
          <w:rFonts w:ascii="Times New Roman" w:hAnsi="Times New Roman" w:eastAsia="Times New Roman" w:cs="Times New Roman"/>
          <w:spacing w:val="10"/>
          <w:sz w:val="20"/>
          <w:szCs w:val="20"/>
          <w:highlight w:val="none"/>
        </w:rPr>
        <w:t xml:space="preserve">    </w:t>
      </w:r>
      <w:r>
        <w:rPr>
          <w:rFonts w:ascii="宋体" w:hAnsi="宋体" w:eastAsia="宋体" w:cs="宋体"/>
          <w:spacing w:val="5"/>
          <w:sz w:val="20"/>
          <w:szCs w:val="20"/>
          <w:highlight w:val="none"/>
        </w:rPr>
        <w:t>协议利益的转让</w:t>
      </w:r>
    </w:p>
    <w:p w14:paraId="5C2C4365">
      <w:pPr>
        <w:spacing w:before="233" w:line="414" w:lineRule="auto"/>
        <w:ind w:right="30" w:firstLine="430"/>
        <w:rPr>
          <w:rFonts w:ascii="宋体" w:hAnsi="宋体" w:eastAsia="宋体" w:cs="宋体"/>
          <w:sz w:val="21"/>
          <w:szCs w:val="21"/>
          <w:highlight w:val="none"/>
        </w:rPr>
      </w:pPr>
      <w:r>
        <w:rPr>
          <w:rFonts w:ascii="宋体" w:hAnsi="宋体" w:eastAsia="宋体" w:cs="宋体"/>
          <w:spacing w:val="-2"/>
          <w:sz w:val="21"/>
          <w:szCs w:val="21"/>
          <w:highlight w:val="none"/>
        </w:rPr>
        <w:t>因承包人违约解除合同的，发包人有权要求承包人将其为实施合同而签订</w:t>
      </w:r>
      <w:r>
        <w:rPr>
          <w:rFonts w:ascii="宋体" w:hAnsi="宋体" w:eastAsia="宋体" w:cs="宋体"/>
          <w:spacing w:val="-3"/>
          <w:sz w:val="21"/>
          <w:szCs w:val="21"/>
          <w:highlight w:val="none"/>
        </w:rPr>
        <w:t>的材料和设备</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的订货协议或任何服务协议利益转让给发包人，并在承包人收到解除合同通知后的14天内，</w:t>
      </w:r>
      <w:r>
        <w:rPr>
          <w:rFonts w:ascii="宋体" w:hAnsi="宋体" w:eastAsia="宋体" w:cs="宋体"/>
          <w:spacing w:val="14"/>
          <w:sz w:val="21"/>
          <w:szCs w:val="21"/>
          <w:highlight w:val="none"/>
        </w:rPr>
        <w:t xml:space="preserve"> </w:t>
      </w:r>
      <w:r>
        <w:rPr>
          <w:rFonts w:ascii="宋体" w:hAnsi="宋体" w:eastAsia="宋体" w:cs="宋体"/>
          <w:spacing w:val="3"/>
          <w:sz w:val="21"/>
          <w:szCs w:val="21"/>
          <w:highlight w:val="none"/>
        </w:rPr>
        <w:t xml:space="preserve">依法办理转让手续。发包人有权使用承包人文件和由承包人或以其名义编制的其他设计文 </w:t>
      </w:r>
      <w:r>
        <w:rPr>
          <w:rFonts w:ascii="宋体" w:hAnsi="宋体" w:eastAsia="宋体" w:cs="宋体"/>
          <w:spacing w:val="-10"/>
          <w:sz w:val="21"/>
          <w:szCs w:val="21"/>
          <w:highlight w:val="none"/>
        </w:rPr>
        <w:t>件。</w:t>
      </w:r>
    </w:p>
    <w:p w14:paraId="6FC6A96F">
      <w:pPr>
        <w:spacing w:before="16" w:line="219" w:lineRule="auto"/>
        <w:ind w:left="430"/>
        <w:rPr>
          <w:rFonts w:ascii="宋体" w:hAnsi="宋体" w:eastAsia="宋体" w:cs="宋体"/>
          <w:sz w:val="22"/>
          <w:szCs w:val="22"/>
          <w:highlight w:val="none"/>
        </w:rPr>
      </w:pPr>
      <w:r>
        <w:rPr>
          <w:rFonts w:ascii="宋体" w:hAnsi="宋体" w:eastAsia="宋体" w:cs="宋体"/>
          <w:spacing w:val="-3"/>
          <w:sz w:val="22"/>
          <w:szCs w:val="22"/>
          <w:highlight w:val="none"/>
        </w:rPr>
        <w:t>22.1.6紧急情况下无能力或不愿进行抢救</w:t>
      </w:r>
    </w:p>
    <w:p w14:paraId="7CBEE13A">
      <w:pPr>
        <w:spacing w:before="218" w:line="219" w:lineRule="auto"/>
        <w:ind w:left="430"/>
        <w:rPr>
          <w:rFonts w:ascii="宋体" w:hAnsi="宋体" w:eastAsia="宋体" w:cs="宋体"/>
          <w:sz w:val="21"/>
          <w:szCs w:val="21"/>
          <w:highlight w:val="none"/>
        </w:rPr>
      </w:pPr>
      <w:r>
        <w:rPr>
          <w:rFonts w:ascii="宋体" w:hAnsi="宋体" w:eastAsia="宋体" w:cs="宋体"/>
          <w:spacing w:val="3"/>
          <w:sz w:val="21"/>
          <w:szCs w:val="21"/>
          <w:highlight w:val="none"/>
        </w:rPr>
        <w:t>在工程实施期间或缺陷责任期内发生危及工程安全的事件，监理人通知承包人</w:t>
      </w:r>
      <w:r>
        <w:rPr>
          <w:rFonts w:ascii="宋体" w:hAnsi="宋体" w:eastAsia="宋体" w:cs="宋体"/>
          <w:spacing w:val="2"/>
          <w:sz w:val="21"/>
          <w:szCs w:val="21"/>
          <w:highlight w:val="none"/>
        </w:rPr>
        <w:t>进行抢</w:t>
      </w:r>
    </w:p>
    <w:p w14:paraId="054A0E99">
      <w:pPr>
        <w:spacing w:line="219" w:lineRule="auto"/>
        <w:rPr>
          <w:rFonts w:ascii="宋体" w:hAnsi="宋体" w:eastAsia="宋体" w:cs="宋体"/>
          <w:sz w:val="21"/>
          <w:szCs w:val="21"/>
          <w:highlight w:val="none"/>
        </w:rPr>
        <w:sectPr>
          <w:footerReference r:id="rId214" w:type="default"/>
          <w:pgSz w:w="11910" w:h="16840"/>
          <w:pgMar w:top="400" w:right="1735" w:bottom="1238" w:left="1769" w:header="0" w:footer="1006" w:gutter="0"/>
          <w:cols w:space="720" w:num="1"/>
        </w:sectPr>
      </w:pPr>
    </w:p>
    <w:p w14:paraId="486A5A05">
      <w:pPr>
        <w:pStyle w:val="2"/>
        <w:spacing w:line="273" w:lineRule="auto"/>
        <w:rPr>
          <w:highlight w:val="none"/>
        </w:rPr>
      </w:pPr>
    </w:p>
    <w:p w14:paraId="6A7A7E98">
      <w:pPr>
        <w:pStyle w:val="2"/>
        <w:spacing w:line="273" w:lineRule="auto"/>
        <w:rPr>
          <w:highlight w:val="none"/>
        </w:rPr>
      </w:pPr>
    </w:p>
    <w:p w14:paraId="4C66AE8F">
      <w:pPr>
        <w:pStyle w:val="2"/>
        <w:spacing w:line="274" w:lineRule="auto"/>
        <w:rPr>
          <w:highlight w:val="none"/>
        </w:rPr>
      </w:pPr>
    </w:p>
    <w:p w14:paraId="0CB0D030">
      <w:pPr>
        <w:pStyle w:val="2"/>
        <w:spacing w:line="274" w:lineRule="auto"/>
        <w:rPr>
          <w:highlight w:val="none"/>
        </w:rPr>
      </w:pPr>
    </w:p>
    <w:p w14:paraId="3BB3144D">
      <w:pPr>
        <w:spacing w:before="68" w:line="415" w:lineRule="auto"/>
        <w:ind w:right="32"/>
        <w:rPr>
          <w:rFonts w:ascii="宋体" w:hAnsi="宋体" w:eastAsia="宋体" w:cs="宋体"/>
          <w:sz w:val="21"/>
          <w:szCs w:val="21"/>
          <w:highlight w:val="none"/>
        </w:rPr>
      </w:pPr>
      <w:bookmarkStart w:id="206" w:name="bookmark288"/>
      <w:bookmarkEnd w:id="206"/>
      <w:r>
        <w:rPr>
          <w:rFonts w:ascii="宋体" w:hAnsi="宋体" w:eastAsia="宋体" w:cs="宋体"/>
          <w:spacing w:val="-2"/>
          <w:sz w:val="21"/>
          <w:szCs w:val="21"/>
          <w:highlight w:val="none"/>
        </w:rPr>
        <w:t>救，承包人声明无能力或不愿立即执行的，发包人有权雇佣其他人员进行抢救。此类抢救按</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合同约定属于承包人义务的，由此发生的金额和(或)工期延误由</w:t>
      </w:r>
      <w:r>
        <w:rPr>
          <w:rFonts w:ascii="宋体" w:hAnsi="宋体" w:eastAsia="宋体" w:cs="宋体"/>
          <w:spacing w:val="5"/>
          <w:sz w:val="21"/>
          <w:szCs w:val="21"/>
          <w:highlight w:val="none"/>
        </w:rPr>
        <w:t>承包人承担。</w:t>
      </w:r>
    </w:p>
    <w:p w14:paraId="2AF73333">
      <w:pPr>
        <w:spacing w:before="64" w:line="221" w:lineRule="auto"/>
        <w:rPr>
          <w:rFonts w:ascii="黑体" w:hAnsi="黑体" w:eastAsia="黑体" w:cs="黑体"/>
          <w:sz w:val="24"/>
          <w:szCs w:val="24"/>
          <w:highlight w:val="none"/>
        </w:rPr>
      </w:pPr>
      <w:r>
        <w:rPr>
          <w:rFonts w:ascii="黑体" w:hAnsi="黑体" w:eastAsia="黑体" w:cs="黑体"/>
          <w:spacing w:val="13"/>
          <w:sz w:val="24"/>
          <w:szCs w:val="24"/>
          <w:highlight w:val="none"/>
        </w:rPr>
        <w:t>22.2发包人违约</w:t>
      </w:r>
    </w:p>
    <w:p w14:paraId="09289397">
      <w:pPr>
        <w:spacing w:before="134" w:line="220" w:lineRule="auto"/>
        <w:ind w:left="43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22.2.1</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5"/>
          <w:sz w:val="22"/>
          <w:szCs w:val="22"/>
          <w:highlight w:val="none"/>
        </w:rPr>
        <w:t>发包人违约的情形</w:t>
      </w:r>
    </w:p>
    <w:p w14:paraId="64CFCF3C">
      <w:pPr>
        <w:spacing w:before="217" w:line="220"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在履行合同过程中发生下列情形之一的，属发包人违</w:t>
      </w:r>
      <w:r>
        <w:rPr>
          <w:rFonts w:ascii="宋体" w:hAnsi="宋体" w:eastAsia="宋体" w:cs="宋体"/>
          <w:spacing w:val="-12"/>
          <w:sz w:val="22"/>
          <w:szCs w:val="22"/>
          <w:highlight w:val="none"/>
        </w:rPr>
        <w:t>约：</w:t>
      </w:r>
    </w:p>
    <w:p w14:paraId="26B242C6">
      <w:pPr>
        <w:spacing w:before="214" w:line="332" w:lineRule="auto"/>
        <w:ind w:right="35" w:firstLine="530"/>
        <w:rPr>
          <w:rFonts w:ascii="宋体" w:hAnsi="宋体" w:eastAsia="宋体" w:cs="宋体"/>
          <w:sz w:val="20"/>
          <w:szCs w:val="20"/>
          <w:highlight w:val="none"/>
        </w:rPr>
      </w:pPr>
      <w:r>
        <w:rPr>
          <w:rFonts w:ascii="宋体" w:hAnsi="宋体" w:eastAsia="宋体" w:cs="宋体"/>
          <w:spacing w:val="13"/>
          <w:sz w:val="20"/>
          <w:szCs w:val="20"/>
          <w:highlight w:val="none"/>
        </w:rPr>
        <w:t>(1)发包人未能按合同约定支付价款，或拖延、拒绝批准付款申请</w:t>
      </w:r>
      <w:r>
        <w:rPr>
          <w:rFonts w:ascii="宋体" w:hAnsi="宋体" w:eastAsia="宋体" w:cs="宋体"/>
          <w:spacing w:val="12"/>
          <w:sz w:val="20"/>
          <w:szCs w:val="20"/>
          <w:highlight w:val="none"/>
        </w:rPr>
        <w:t>和支付凭证，导致</w:t>
      </w:r>
      <w:r>
        <w:rPr>
          <w:rFonts w:ascii="宋体" w:hAnsi="宋体" w:eastAsia="宋体" w:cs="宋体"/>
          <w:sz w:val="20"/>
          <w:szCs w:val="20"/>
          <w:highlight w:val="none"/>
        </w:rPr>
        <w:t xml:space="preserve"> 付款延误；</w:t>
      </w:r>
    </w:p>
    <w:p w14:paraId="652D85CD">
      <w:pPr>
        <w:spacing w:before="243" w:line="220" w:lineRule="auto"/>
        <w:ind w:left="530"/>
        <w:rPr>
          <w:rFonts w:ascii="宋体" w:hAnsi="宋体" w:eastAsia="宋体" w:cs="宋体"/>
          <w:sz w:val="20"/>
          <w:szCs w:val="20"/>
          <w:highlight w:val="none"/>
        </w:rPr>
      </w:pPr>
      <w:r>
        <w:rPr>
          <w:rFonts w:ascii="宋体" w:hAnsi="宋体" w:eastAsia="宋体" w:cs="宋体"/>
          <w:spacing w:val="13"/>
          <w:sz w:val="20"/>
          <w:szCs w:val="20"/>
          <w:highlight w:val="none"/>
        </w:rPr>
        <w:t>(2)发包人原因造成停工；</w:t>
      </w:r>
    </w:p>
    <w:p w14:paraId="6AFC0188">
      <w:pPr>
        <w:spacing w:before="222" w:line="219" w:lineRule="auto"/>
        <w:ind w:left="530"/>
        <w:rPr>
          <w:rFonts w:ascii="宋体" w:hAnsi="宋体" w:eastAsia="宋体" w:cs="宋体"/>
          <w:sz w:val="21"/>
          <w:szCs w:val="21"/>
          <w:highlight w:val="none"/>
        </w:rPr>
      </w:pPr>
      <w:r>
        <w:rPr>
          <w:rFonts w:ascii="宋体" w:hAnsi="宋体" w:eastAsia="宋体" w:cs="宋体"/>
          <w:spacing w:val="2"/>
          <w:sz w:val="21"/>
          <w:szCs w:val="21"/>
          <w:highlight w:val="none"/>
        </w:rPr>
        <w:t>(3)监理人无正当理由没有在约定期限内发出复工指示，导致承包人无法</w:t>
      </w:r>
      <w:r>
        <w:rPr>
          <w:rFonts w:ascii="宋体" w:hAnsi="宋体" w:eastAsia="宋体" w:cs="宋体"/>
          <w:spacing w:val="1"/>
          <w:sz w:val="21"/>
          <w:szCs w:val="21"/>
          <w:highlight w:val="none"/>
        </w:rPr>
        <w:t>复工；</w:t>
      </w:r>
    </w:p>
    <w:p w14:paraId="123DC7B9">
      <w:pPr>
        <w:spacing w:before="241" w:line="219" w:lineRule="auto"/>
        <w:ind w:left="530"/>
        <w:rPr>
          <w:rFonts w:ascii="宋体" w:hAnsi="宋体" w:eastAsia="宋体" w:cs="宋体"/>
          <w:sz w:val="20"/>
          <w:szCs w:val="20"/>
          <w:highlight w:val="none"/>
        </w:rPr>
      </w:pPr>
      <w:r>
        <w:rPr>
          <w:rFonts w:ascii="宋体" w:hAnsi="宋体" w:eastAsia="宋体" w:cs="宋体"/>
          <w:spacing w:val="11"/>
          <w:sz w:val="20"/>
          <w:szCs w:val="20"/>
          <w:highlight w:val="none"/>
        </w:rPr>
        <w:t>(4)发包人无法继续履行或明确表示不履行或实质上已停止履行合同；</w:t>
      </w:r>
    </w:p>
    <w:p w14:paraId="22C96117">
      <w:pPr>
        <w:spacing w:before="252" w:line="219" w:lineRule="auto"/>
        <w:ind w:left="530"/>
        <w:rPr>
          <w:rFonts w:ascii="宋体" w:hAnsi="宋体" w:eastAsia="宋体" w:cs="宋体"/>
          <w:sz w:val="20"/>
          <w:szCs w:val="20"/>
          <w:highlight w:val="none"/>
        </w:rPr>
      </w:pPr>
      <w:r>
        <w:rPr>
          <w:rFonts w:ascii="宋体" w:hAnsi="宋体" w:eastAsia="宋体" w:cs="宋体"/>
          <w:spacing w:val="13"/>
          <w:sz w:val="20"/>
          <w:szCs w:val="20"/>
          <w:highlight w:val="none"/>
        </w:rPr>
        <w:t>(5)发包人不履行合同约定其他义务。</w:t>
      </w:r>
    </w:p>
    <w:p w14:paraId="2295CB0E">
      <w:pPr>
        <w:spacing w:before="304" w:line="219" w:lineRule="auto"/>
        <w:ind w:left="430"/>
        <w:rPr>
          <w:rFonts w:ascii="宋体" w:hAnsi="宋体" w:eastAsia="宋体" w:cs="宋体"/>
          <w:sz w:val="22"/>
          <w:szCs w:val="22"/>
          <w:highlight w:val="none"/>
        </w:rPr>
      </w:pPr>
      <w:r>
        <w:rPr>
          <w:rFonts w:ascii="Times New Roman" w:hAnsi="Times New Roman" w:eastAsia="Times New Roman" w:cs="Times New Roman"/>
          <w:spacing w:val="-4"/>
          <w:sz w:val="22"/>
          <w:szCs w:val="22"/>
          <w:highlight w:val="none"/>
        </w:rPr>
        <w:t xml:space="preserve">22.2.2   </w:t>
      </w:r>
      <w:r>
        <w:rPr>
          <w:rFonts w:ascii="宋体" w:hAnsi="宋体" w:eastAsia="宋体" w:cs="宋体"/>
          <w:spacing w:val="-4"/>
          <w:sz w:val="22"/>
          <w:szCs w:val="22"/>
          <w:highlight w:val="none"/>
        </w:rPr>
        <w:t>因发包人违约解除合同</w:t>
      </w:r>
    </w:p>
    <w:p w14:paraId="6ED3D39D">
      <w:pPr>
        <w:spacing w:before="137" w:line="219" w:lineRule="auto"/>
        <w:ind w:left="530"/>
        <w:rPr>
          <w:rFonts w:ascii="宋体" w:hAnsi="宋体" w:eastAsia="宋体" w:cs="宋体"/>
          <w:sz w:val="22"/>
          <w:szCs w:val="22"/>
          <w:highlight w:val="none"/>
        </w:rPr>
      </w:pPr>
      <w:r>
        <w:rPr>
          <w:rFonts w:ascii="宋体" w:hAnsi="宋体" w:eastAsia="宋体" w:cs="宋体"/>
          <w:spacing w:val="1"/>
          <w:sz w:val="22"/>
          <w:szCs w:val="22"/>
          <w:highlight w:val="none"/>
        </w:rPr>
        <w:t>(1)发生第22.2.1(4)目的违约情况时，承包人可书面通知发包人解除合同。</w:t>
      </w:r>
    </w:p>
    <w:p w14:paraId="36490540">
      <w:pPr>
        <w:spacing w:before="232" w:line="351" w:lineRule="auto"/>
        <w:ind w:right="34" w:firstLine="530"/>
        <w:rPr>
          <w:rFonts w:ascii="宋体" w:hAnsi="宋体" w:eastAsia="宋体" w:cs="宋体"/>
          <w:sz w:val="21"/>
          <w:szCs w:val="21"/>
          <w:highlight w:val="none"/>
        </w:rPr>
      </w:pPr>
      <w:r>
        <w:rPr>
          <w:rFonts w:ascii="宋体" w:hAnsi="宋体" w:eastAsia="宋体" w:cs="宋体"/>
          <w:spacing w:val="8"/>
          <w:sz w:val="21"/>
          <w:szCs w:val="21"/>
          <w:highlight w:val="none"/>
        </w:rPr>
        <w:t>(2)承包人按12.2.1项约定暂停施工28天后，发包人仍不纠正违约行为的，承包人</w:t>
      </w:r>
      <w:r>
        <w:rPr>
          <w:rFonts w:ascii="宋体" w:hAnsi="宋体" w:eastAsia="宋体" w:cs="宋体"/>
          <w:spacing w:val="5"/>
          <w:sz w:val="21"/>
          <w:szCs w:val="21"/>
          <w:highlight w:val="none"/>
        </w:rPr>
        <w:t xml:space="preserve"> </w:t>
      </w:r>
      <w:r>
        <w:rPr>
          <w:rFonts w:ascii="宋体" w:hAnsi="宋体" w:eastAsia="宋体" w:cs="宋体"/>
          <w:spacing w:val="-2"/>
          <w:sz w:val="21"/>
          <w:szCs w:val="21"/>
          <w:highlight w:val="none"/>
        </w:rPr>
        <w:t>可向发包人发出解除合同通知。但承包人的这一行为不免除发包人承担的违约责任，也</w:t>
      </w:r>
      <w:r>
        <w:rPr>
          <w:rFonts w:ascii="宋体" w:hAnsi="宋体" w:eastAsia="宋体" w:cs="宋体"/>
          <w:spacing w:val="-3"/>
          <w:sz w:val="21"/>
          <w:szCs w:val="21"/>
          <w:highlight w:val="none"/>
        </w:rPr>
        <w:t>不影</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响承包人根据合同约定享有的索赔权利。</w:t>
      </w:r>
    </w:p>
    <w:p w14:paraId="2175101B">
      <w:pPr>
        <w:spacing w:before="211" w:line="219" w:lineRule="auto"/>
        <w:ind w:left="43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22.2.3</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5"/>
          <w:sz w:val="22"/>
          <w:szCs w:val="22"/>
          <w:highlight w:val="none"/>
        </w:rPr>
        <w:t>解除合同后的付款</w:t>
      </w:r>
    </w:p>
    <w:p w14:paraId="47761D19">
      <w:pPr>
        <w:spacing w:before="210" w:line="406" w:lineRule="auto"/>
        <w:ind w:right="33" w:firstLine="430"/>
        <w:rPr>
          <w:rFonts w:ascii="宋体" w:hAnsi="宋体" w:eastAsia="宋体" w:cs="宋体"/>
          <w:sz w:val="22"/>
          <w:szCs w:val="22"/>
          <w:highlight w:val="none"/>
        </w:rPr>
      </w:pPr>
      <w:r>
        <w:rPr>
          <w:rFonts w:ascii="宋体" w:hAnsi="宋体" w:eastAsia="宋体" w:cs="宋体"/>
          <w:spacing w:val="-7"/>
          <w:sz w:val="22"/>
          <w:szCs w:val="22"/>
          <w:highlight w:val="none"/>
        </w:rPr>
        <w:t>因发包人违约解除合同的，发包人应在解除合同后28天内向承包人支付下列款项，承</w:t>
      </w:r>
      <w:r>
        <w:rPr>
          <w:rFonts w:ascii="宋体" w:hAnsi="宋体" w:eastAsia="宋体" w:cs="宋体"/>
          <w:spacing w:val="15"/>
          <w:sz w:val="22"/>
          <w:szCs w:val="22"/>
          <w:highlight w:val="none"/>
        </w:rPr>
        <w:t xml:space="preserve"> </w:t>
      </w:r>
      <w:r>
        <w:rPr>
          <w:rFonts w:ascii="宋体" w:hAnsi="宋体" w:eastAsia="宋体" w:cs="宋体"/>
          <w:spacing w:val="-11"/>
          <w:sz w:val="22"/>
          <w:szCs w:val="22"/>
          <w:highlight w:val="none"/>
        </w:rPr>
        <w:t>包人应在此期限内及时向发包人提交要求支付下列金额的有关资料和凭证：</w:t>
      </w:r>
    </w:p>
    <w:p w14:paraId="79598F01">
      <w:pPr>
        <w:spacing w:before="1" w:line="217" w:lineRule="auto"/>
        <w:ind w:left="530"/>
        <w:rPr>
          <w:rFonts w:ascii="宋体" w:hAnsi="宋体" w:eastAsia="宋体" w:cs="宋体"/>
          <w:sz w:val="22"/>
          <w:szCs w:val="22"/>
          <w:highlight w:val="none"/>
        </w:rPr>
      </w:pPr>
      <w:r>
        <w:rPr>
          <w:rFonts w:ascii="宋体" w:hAnsi="宋体" w:eastAsia="宋体" w:cs="宋体"/>
          <w:spacing w:val="-7"/>
          <w:sz w:val="22"/>
          <w:szCs w:val="22"/>
          <w:highlight w:val="none"/>
        </w:rPr>
        <w:t>(1)承包人发出解除合同通知前所完成工作的价款；</w:t>
      </w:r>
    </w:p>
    <w:p w14:paraId="21E3CC4E">
      <w:pPr>
        <w:spacing w:before="230" w:line="311" w:lineRule="auto"/>
        <w:ind w:right="34" w:firstLine="530"/>
        <w:rPr>
          <w:rFonts w:ascii="宋体" w:hAnsi="宋体" w:eastAsia="宋体" w:cs="宋体"/>
          <w:sz w:val="22"/>
          <w:szCs w:val="22"/>
          <w:highlight w:val="none"/>
        </w:rPr>
      </w:pPr>
      <w:r>
        <w:rPr>
          <w:rFonts w:ascii="宋体" w:hAnsi="宋体" w:eastAsia="宋体" w:cs="宋体"/>
          <w:spacing w:val="-6"/>
          <w:sz w:val="22"/>
          <w:szCs w:val="22"/>
          <w:highlight w:val="none"/>
        </w:rPr>
        <w:t>(2)承包人为该工程施工订购并已付款的材料、工程</w:t>
      </w:r>
      <w:r>
        <w:rPr>
          <w:rFonts w:ascii="宋体" w:hAnsi="宋体" w:eastAsia="宋体" w:cs="宋体"/>
          <w:spacing w:val="-7"/>
          <w:sz w:val="22"/>
          <w:szCs w:val="22"/>
          <w:highlight w:val="none"/>
        </w:rPr>
        <w:t>设备和其他物品的金额。发包人</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付款后，该材料、工程设备和其他物品归发包人所有；</w:t>
      </w:r>
    </w:p>
    <w:p w14:paraId="11B68F15">
      <w:pPr>
        <w:spacing w:before="211" w:line="219" w:lineRule="auto"/>
        <w:ind w:left="530"/>
        <w:rPr>
          <w:rFonts w:ascii="宋体" w:hAnsi="宋体" w:eastAsia="宋体" w:cs="宋体"/>
          <w:sz w:val="22"/>
          <w:szCs w:val="22"/>
          <w:highlight w:val="none"/>
        </w:rPr>
      </w:pPr>
      <w:r>
        <w:rPr>
          <w:rFonts w:ascii="宋体" w:hAnsi="宋体" w:eastAsia="宋体" w:cs="宋体"/>
          <w:spacing w:val="-10"/>
          <w:sz w:val="22"/>
          <w:szCs w:val="22"/>
          <w:highlight w:val="none"/>
        </w:rPr>
        <w:t>(3) 承包人为完成工程所发生的，而发包人未支付的金额；</w:t>
      </w:r>
    </w:p>
    <w:p w14:paraId="241EFD82">
      <w:pPr>
        <w:spacing w:before="219" w:line="219" w:lineRule="auto"/>
        <w:ind w:left="530"/>
        <w:rPr>
          <w:rFonts w:ascii="宋体" w:hAnsi="宋体" w:eastAsia="宋体" w:cs="宋体"/>
          <w:sz w:val="22"/>
          <w:szCs w:val="22"/>
          <w:highlight w:val="none"/>
        </w:rPr>
      </w:pPr>
      <w:r>
        <w:rPr>
          <w:rFonts w:ascii="宋体" w:hAnsi="宋体" w:eastAsia="宋体" w:cs="宋体"/>
          <w:spacing w:val="-7"/>
          <w:sz w:val="22"/>
          <w:szCs w:val="22"/>
          <w:highlight w:val="none"/>
        </w:rPr>
        <w:t>(4)承包人撤离施工场地以及遣散承包人人员的金额；</w:t>
      </w:r>
    </w:p>
    <w:p w14:paraId="2E08D81B">
      <w:pPr>
        <w:spacing w:before="238" w:line="219" w:lineRule="auto"/>
        <w:ind w:left="530"/>
        <w:rPr>
          <w:rFonts w:ascii="宋体" w:hAnsi="宋体" w:eastAsia="宋体" w:cs="宋体"/>
          <w:sz w:val="20"/>
          <w:szCs w:val="20"/>
          <w:highlight w:val="none"/>
        </w:rPr>
      </w:pPr>
      <w:r>
        <w:rPr>
          <w:rFonts w:ascii="宋体" w:hAnsi="宋体" w:eastAsia="宋体" w:cs="宋体"/>
          <w:spacing w:val="12"/>
          <w:sz w:val="20"/>
          <w:szCs w:val="20"/>
          <w:highlight w:val="none"/>
        </w:rPr>
        <w:t>(5)因解除合同造成的承包人损失；</w:t>
      </w:r>
    </w:p>
    <w:p w14:paraId="7DC6F928">
      <w:pPr>
        <w:spacing w:before="233" w:line="219" w:lineRule="auto"/>
        <w:ind w:left="530"/>
        <w:rPr>
          <w:rFonts w:ascii="宋体" w:hAnsi="宋体" w:eastAsia="宋体" w:cs="宋体"/>
          <w:sz w:val="21"/>
          <w:szCs w:val="21"/>
          <w:highlight w:val="none"/>
        </w:rPr>
      </w:pPr>
      <w:r>
        <w:rPr>
          <w:rFonts w:ascii="宋体" w:hAnsi="宋体" w:eastAsia="宋体" w:cs="宋体"/>
          <w:spacing w:val="3"/>
          <w:sz w:val="21"/>
          <w:szCs w:val="21"/>
          <w:highlight w:val="none"/>
        </w:rPr>
        <w:t>(6)按合同约定在承包人发出解除合同通知前</w:t>
      </w:r>
      <w:r>
        <w:rPr>
          <w:rFonts w:ascii="宋体" w:hAnsi="宋体" w:eastAsia="宋体" w:cs="宋体"/>
          <w:spacing w:val="2"/>
          <w:sz w:val="21"/>
          <w:szCs w:val="21"/>
          <w:highlight w:val="none"/>
        </w:rPr>
        <w:t>应支付给承包人的其他金额。</w:t>
      </w:r>
    </w:p>
    <w:p w14:paraId="635C39DB">
      <w:pPr>
        <w:spacing w:before="220" w:line="397" w:lineRule="auto"/>
        <w:ind w:right="32" w:firstLine="430"/>
        <w:rPr>
          <w:rFonts w:ascii="宋体" w:hAnsi="宋体" w:eastAsia="宋体" w:cs="宋体"/>
          <w:sz w:val="22"/>
          <w:szCs w:val="22"/>
          <w:highlight w:val="none"/>
        </w:rPr>
      </w:pPr>
      <w:r>
        <w:rPr>
          <w:rFonts w:ascii="宋体" w:hAnsi="宋体" w:eastAsia="宋体" w:cs="宋体"/>
          <w:spacing w:val="-12"/>
          <w:sz w:val="22"/>
          <w:szCs w:val="22"/>
          <w:highlight w:val="none"/>
        </w:rPr>
        <w:t>发包人应按本项约定支付上述金额并退还质量保证金和</w:t>
      </w:r>
      <w:r>
        <w:rPr>
          <w:rFonts w:ascii="宋体" w:hAnsi="宋体" w:eastAsia="宋体" w:cs="宋体"/>
          <w:spacing w:val="-13"/>
          <w:sz w:val="22"/>
          <w:szCs w:val="22"/>
          <w:highlight w:val="none"/>
        </w:rPr>
        <w:t>履约担保，但有权要求承包人支</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付应偿还给发包人的各项金额。</w:t>
      </w:r>
    </w:p>
    <w:p w14:paraId="0F063B3C">
      <w:pPr>
        <w:spacing w:line="397" w:lineRule="auto"/>
        <w:rPr>
          <w:rFonts w:ascii="宋体" w:hAnsi="宋体" w:eastAsia="宋体" w:cs="宋体"/>
          <w:sz w:val="22"/>
          <w:szCs w:val="22"/>
          <w:highlight w:val="none"/>
        </w:rPr>
        <w:sectPr>
          <w:footerReference r:id="rId215" w:type="default"/>
          <w:pgSz w:w="11910" w:h="16840"/>
          <w:pgMar w:top="400" w:right="1786" w:bottom="1228" w:left="1769" w:header="0" w:footer="1009" w:gutter="0"/>
          <w:cols w:space="720" w:num="1"/>
        </w:sectPr>
      </w:pPr>
    </w:p>
    <w:p w14:paraId="1229ACF2">
      <w:pPr>
        <w:pStyle w:val="2"/>
        <w:spacing w:line="247" w:lineRule="auto"/>
        <w:rPr>
          <w:highlight w:val="none"/>
        </w:rPr>
      </w:pPr>
    </w:p>
    <w:p w14:paraId="0F4BC91F">
      <w:pPr>
        <w:pStyle w:val="2"/>
        <w:spacing w:line="248" w:lineRule="auto"/>
        <w:rPr>
          <w:highlight w:val="none"/>
        </w:rPr>
      </w:pPr>
    </w:p>
    <w:p w14:paraId="6DB7ACC8">
      <w:pPr>
        <w:pStyle w:val="2"/>
        <w:spacing w:line="248" w:lineRule="auto"/>
        <w:rPr>
          <w:highlight w:val="none"/>
        </w:rPr>
      </w:pPr>
    </w:p>
    <w:p w14:paraId="5B3F5B32">
      <w:pPr>
        <w:pStyle w:val="2"/>
        <w:spacing w:line="248" w:lineRule="auto"/>
        <w:rPr>
          <w:highlight w:val="none"/>
        </w:rPr>
      </w:pPr>
    </w:p>
    <w:p w14:paraId="1C55A7D2">
      <w:pPr>
        <w:spacing w:before="72" w:line="219" w:lineRule="auto"/>
        <w:ind w:left="410"/>
        <w:rPr>
          <w:rFonts w:ascii="宋体" w:hAnsi="宋体" w:eastAsia="宋体" w:cs="宋体"/>
          <w:sz w:val="22"/>
          <w:szCs w:val="22"/>
          <w:highlight w:val="none"/>
        </w:rPr>
      </w:pPr>
      <w:bookmarkStart w:id="207" w:name="bookmark289"/>
      <w:bookmarkEnd w:id="207"/>
      <w:r>
        <w:rPr>
          <w:rFonts w:ascii="宋体" w:hAnsi="宋体" w:eastAsia="宋体" w:cs="宋体"/>
          <w:spacing w:val="-1"/>
          <w:sz w:val="22"/>
          <w:szCs w:val="22"/>
          <w:highlight w:val="none"/>
        </w:rPr>
        <w:t>22.2.4解除合同后的承包人撤离</w:t>
      </w:r>
    </w:p>
    <w:p w14:paraId="33153C0A">
      <w:pPr>
        <w:spacing w:before="147" w:line="423" w:lineRule="auto"/>
        <w:ind w:right="25" w:firstLine="410"/>
        <w:rPr>
          <w:rFonts w:ascii="宋体" w:hAnsi="宋体" w:eastAsia="宋体" w:cs="宋体"/>
          <w:sz w:val="21"/>
          <w:szCs w:val="21"/>
          <w:highlight w:val="none"/>
        </w:rPr>
      </w:pPr>
      <w:r>
        <w:rPr>
          <w:rFonts w:ascii="宋体" w:hAnsi="宋体" w:eastAsia="宋体" w:cs="宋体"/>
          <w:spacing w:val="-2"/>
          <w:sz w:val="21"/>
          <w:szCs w:val="21"/>
          <w:highlight w:val="none"/>
        </w:rPr>
        <w:t>因发包人违约而解除合同后，承包人应妥善处理正在施工的工程和已购材料、设备的保</w:t>
      </w:r>
      <w:r>
        <w:rPr>
          <w:rFonts w:ascii="宋体" w:hAnsi="宋体" w:eastAsia="宋体" w:cs="宋体"/>
          <w:spacing w:val="2"/>
          <w:sz w:val="21"/>
          <w:szCs w:val="21"/>
          <w:highlight w:val="none"/>
        </w:rPr>
        <w:t xml:space="preserve"> </w:t>
      </w:r>
      <w:r>
        <w:rPr>
          <w:rFonts w:ascii="宋体" w:hAnsi="宋体" w:eastAsia="宋体" w:cs="宋体"/>
          <w:spacing w:val="-2"/>
          <w:sz w:val="21"/>
          <w:szCs w:val="21"/>
          <w:highlight w:val="none"/>
        </w:rPr>
        <w:t>护和移交工作，并按发包人的要求将承包人设备和人员撤出施工场地。承包人撤出施</w:t>
      </w:r>
      <w:r>
        <w:rPr>
          <w:rFonts w:ascii="宋体" w:hAnsi="宋体" w:eastAsia="宋体" w:cs="宋体"/>
          <w:spacing w:val="-3"/>
          <w:sz w:val="21"/>
          <w:szCs w:val="21"/>
          <w:highlight w:val="none"/>
        </w:rPr>
        <w:t>工场地</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应遵守第18.7.1 项的约定，发包人应为承包人撤出提供必要条件并办理移交手续。</w:t>
      </w:r>
    </w:p>
    <w:p w14:paraId="5EA15D7C">
      <w:pPr>
        <w:pStyle w:val="2"/>
        <w:spacing w:before="94" w:line="327" w:lineRule="exact"/>
        <w:rPr>
          <w:rFonts w:ascii="黑体" w:hAnsi="黑体" w:eastAsia="黑体" w:cs="黑体"/>
          <w:sz w:val="24"/>
          <w:szCs w:val="24"/>
          <w:highlight w:val="none"/>
        </w:rPr>
      </w:pPr>
      <w:r>
        <w:rPr>
          <w:spacing w:val="1"/>
          <w:position w:val="1"/>
          <w:sz w:val="24"/>
          <w:szCs w:val="24"/>
          <w:highlight w:val="none"/>
        </w:rPr>
        <w:t>22.3</w:t>
      </w:r>
      <w:r>
        <w:rPr>
          <w:spacing w:val="73"/>
          <w:w w:val="101"/>
          <w:position w:val="1"/>
          <w:sz w:val="24"/>
          <w:szCs w:val="24"/>
          <w:highlight w:val="none"/>
        </w:rPr>
        <w:t xml:space="preserve"> </w:t>
      </w:r>
      <w:r>
        <w:rPr>
          <w:rFonts w:ascii="黑体" w:hAnsi="黑体" w:eastAsia="黑体" w:cs="黑体"/>
          <w:spacing w:val="1"/>
          <w:position w:val="1"/>
          <w:sz w:val="24"/>
          <w:szCs w:val="24"/>
          <w:highlight w:val="none"/>
        </w:rPr>
        <w:t>第三人造成的违约</w:t>
      </w:r>
    </w:p>
    <w:p w14:paraId="6C2E0EF9">
      <w:pPr>
        <w:spacing w:before="126" w:line="376" w:lineRule="auto"/>
        <w:ind w:right="24" w:firstLine="410"/>
        <w:rPr>
          <w:rFonts w:ascii="宋体" w:hAnsi="宋体" w:eastAsia="宋体" w:cs="宋体"/>
          <w:sz w:val="22"/>
          <w:szCs w:val="22"/>
          <w:highlight w:val="none"/>
        </w:rPr>
      </w:pPr>
      <w:r>
        <w:rPr>
          <w:rFonts w:ascii="宋体" w:hAnsi="宋体" w:eastAsia="宋体" w:cs="宋体"/>
          <w:spacing w:val="-12"/>
          <w:sz w:val="22"/>
          <w:szCs w:val="22"/>
          <w:highlight w:val="none"/>
        </w:rPr>
        <w:t>在履行合同过程中，一方当事人因第三人的原因造成违约的，应当向对方当事人承担违</w:t>
      </w:r>
      <w:r>
        <w:rPr>
          <w:rFonts w:ascii="宋体" w:hAnsi="宋体" w:eastAsia="宋体" w:cs="宋体"/>
          <w:spacing w:val="3"/>
          <w:sz w:val="22"/>
          <w:szCs w:val="22"/>
          <w:highlight w:val="none"/>
        </w:rPr>
        <w:t xml:space="preserve"> </w:t>
      </w:r>
      <w:r>
        <w:rPr>
          <w:rFonts w:ascii="宋体" w:hAnsi="宋体" w:eastAsia="宋体" w:cs="宋体"/>
          <w:spacing w:val="-10"/>
          <w:sz w:val="22"/>
          <w:szCs w:val="22"/>
          <w:highlight w:val="none"/>
        </w:rPr>
        <w:t>约责任。一方当事人和第三人之间的纠纷，依照法律规定或者按照约定解决。</w:t>
      </w:r>
    </w:p>
    <w:p w14:paraId="32BE6AEC">
      <w:pPr>
        <w:pStyle w:val="2"/>
        <w:spacing w:line="327" w:lineRule="exact"/>
        <w:outlineLvl w:val="1"/>
        <w:rPr>
          <w:rFonts w:ascii="黑体" w:hAnsi="黑体" w:eastAsia="黑体" w:cs="黑体"/>
          <w:sz w:val="24"/>
          <w:szCs w:val="24"/>
          <w:highlight w:val="none"/>
        </w:rPr>
      </w:pPr>
      <w:bookmarkStart w:id="208" w:name="bookmark119"/>
      <w:bookmarkEnd w:id="208"/>
      <w:r>
        <w:rPr>
          <w:spacing w:val="1"/>
          <w:position w:val="1"/>
          <w:sz w:val="24"/>
          <w:szCs w:val="24"/>
          <w:highlight w:val="none"/>
        </w:rPr>
        <w:t xml:space="preserve">23. </w:t>
      </w:r>
      <w:r>
        <w:rPr>
          <w:rFonts w:ascii="黑体" w:hAnsi="黑体" w:eastAsia="黑体" w:cs="黑体"/>
          <w:spacing w:val="1"/>
          <w:position w:val="1"/>
          <w:sz w:val="24"/>
          <w:szCs w:val="24"/>
          <w:highlight w:val="none"/>
        </w:rPr>
        <w:t>索赔</w:t>
      </w:r>
    </w:p>
    <w:p w14:paraId="698D485F">
      <w:pPr>
        <w:spacing w:before="185" w:line="222" w:lineRule="auto"/>
        <w:rPr>
          <w:rFonts w:ascii="黑体" w:hAnsi="黑体" w:eastAsia="黑体" w:cs="黑体"/>
          <w:sz w:val="24"/>
          <w:szCs w:val="24"/>
          <w:highlight w:val="none"/>
        </w:rPr>
      </w:pPr>
      <w:r>
        <w:rPr>
          <w:rFonts w:ascii="黑体" w:hAnsi="黑体" w:eastAsia="黑体" w:cs="黑体"/>
          <w:sz w:val="24"/>
          <w:szCs w:val="24"/>
          <w:highlight w:val="none"/>
        </w:rPr>
        <w:t>23.1</w:t>
      </w:r>
      <w:r>
        <w:rPr>
          <w:rFonts w:ascii="黑体" w:hAnsi="黑体" w:eastAsia="黑体" w:cs="黑体"/>
          <w:spacing w:val="-22"/>
          <w:sz w:val="24"/>
          <w:szCs w:val="24"/>
          <w:highlight w:val="none"/>
        </w:rPr>
        <w:t xml:space="preserve"> </w:t>
      </w:r>
      <w:r>
        <w:rPr>
          <w:rFonts w:ascii="黑体" w:hAnsi="黑体" w:eastAsia="黑体" w:cs="黑体"/>
          <w:sz w:val="24"/>
          <w:szCs w:val="24"/>
          <w:highlight w:val="none"/>
        </w:rPr>
        <w:t>承包人索赔的提出</w:t>
      </w:r>
    </w:p>
    <w:p w14:paraId="2784DD94">
      <w:pPr>
        <w:spacing w:before="131" w:line="436" w:lineRule="auto"/>
        <w:ind w:right="24" w:firstLine="410"/>
        <w:rPr>
          <w:rFonts w:ascii="宋体" w:hAnsi="宋体" w:eastAsia="宋体" w:cs="宋体"/>
          <w:sz w:val="20"/>
          <w:szCs w:val="20"/>
          <w:highlight w:val="none"/>
        </w:rPr>
      </w:pPr>
      <w:r>
        <w:rPr>
          <w:rFonts w:ascii="宋体" w:hAnsi="宋体" w:eastAsia="宋体" w:cs="宋体"/>
          <w:spacing w:val="13"/>
          <w:sz w:val="20"/>
          <w:szCs w:val="20"/>
          <w:highlight w:val="none"/>
        </w:rPr>
        <w:t xml:space="preserve">根据合同约定，承包人认为有权得到追加付款和(或)延长工期的，应按以下程序向发 </w:t>
      </w:r>
      <w:r>
        <w:rPr>
          <w:rFonts w:ascii="宋体" w:hAnsi="宋体" w:eastAsia="宋体" w:cs="宋体"/>
          <w:spacing w:val="1"/>
          <w:sz w:val="20"/>
          <w:szCs w:val="20"/>
          <w:highlight w:val="none"/>
        </w:rPr>
        <w:t>包人提出索赔：</w:t>
      </w:r>
    </w:p>
    <w:p w14:paraId="6A087106">
      <w:pPr>
        <w:spacing w:before="4" w:line="349" w:lineRule="auto"/>
        <w:ind w:right="19" w:firstLine="520"/>
        <w:rPr>
          <w:rFonts w:ascii="宋体" w:hAnsi="宋体" w:eastAsia="宋体" w:cs="宋体"/>
          <w:sz w:val="21"/>
          <w:szCs w:val="21"/>
          <w:highlight w:val="none"/>
        </w:rPr>
      </w:pPr>
      <w:r>
        <w:rPr>
          <w:rFonts w:ascii="宋体" w:hAnsi="宋体" w:eastAsia="宋体" w:cs="宋体"/>
          <w:spacing w:val="9"/>
          <w:sz w:val="21"/>
          <w:szCs w:val="21"/>
          <w:highlight w:val="none"/>
        </w:rPr>
        <w:t>(1)承包人应在知道或应当知道索赔事件发生后28天内，向监理人递交索赔意向通</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知书，并说明发生索赔事件的事由。承包人未在前述28天内发出索赔意向通知书的，工期</w:t>
      </w:r>
      <w:r>
        <w:rPr>
          <w:rFonts w:ascii="宋体" w:hAnsi="宋体" w:eastAsia="宋体" w:cs="宋体"/>
          <w:spacing w:val="13"/>
          <w:sz w:val="21"/>
          <w:szCs w:val="21"/>
          <w:highlight w:val="none"/>
        </w:rPr>
        <w:t xml:space="preserve"> </w:t>
      </w:r>
      <w:r>
        <w:rPr>
          <w:rFonts w:ascii="宋体" w:hAnsi="宋体" w:eastAsia="宋体" w:cs="宋体"/>
          <w:spacing w:val="-2"/>
          <w:sz w:val="21"/>
          <w:szCs w:val="21"/>
          <w:highlight w:val="none"/>
        </w:rPr>
        <w:t>不予顺延，且承包人无权获得追加付款；</w:t>
      </w:r>
    </w:p>
    <w:p w14:paraId="4D001F1E">
      <w:pPr>
        <w:spacing w:before="241" w:line="357" w:lineRule="auto"/>
        <w:ind w:right="23" w:firstLine="520"/>
        <w:rPr>
          <w:rFonts w:ascii="宋体" w:hAnsi="宋体" w:eastAsia="宋体" w:cs="宋体"/>
          <w:sz w:val="21"/>
          <w:szCs w:val="21"/>
          <w:highlight w:val="none"/>
        </w:rPr>
      </w:pPr>
      <w:r>
        <w:rPr>
          <w:rFonts w:ascii="宋体" w:hAnsi="宋体" w:eastAsia="宋体" w:cs="宋体"/>
          <w:spacing w:val="3"/>
          <w:sz w:val="21"/>
          <w:szCs w:val="21"/>
          <w:highlight w:val="none"/>
        </w:rPr>
        <w:t>(2)承包人应在发出索赔意向通知书后28天内，向监理人正式递交索赔通知书。索赔</w:t>
      </w:r>
      <w:r>
        <w:rPr>
          <w:rFonts w:ascii="宋体" w:hAnsi="宋体" w:eastAsia="宋体" w:cs="宋体"/>
          <w:spacing w:val="16"/>
          <w:sz w:val="21"/>
          <w:szCs w:val="21"/>
          <w:highlight w:val="none"/>
        </w:rPr>
        <w:t xml:space="preserve"> </w:t>
      </w:r>
      <w:r>
        <w:rPr>
          <w:rFonts w:ascii="宋体" w:hAnsi="宋体" w:eastAsia="宋体" w:cs="宋体"/>
          <w:spacing w:val="3"/>
          <w:sz w:val="21"/>
          <w:szCs w:val="21"/>
          <w:highlight w:val="none"/>
        </w:rPr>
        <w:t>通知书应详细说明索赔理由以及要求追加的付款金额和(或)延长的工期，并附必要的记录</w:t>
      </w:r>
      <w:r>
        <w:rPr>
          <w:rFonts w:ascii="宋体" w:hAnsi="宋体" w:eastAsia="宋体" w:cs="宋体"/>
          <w:spacing w:val="8"/>
          <w:sz w:val="21"/>
          <w:szCs w:val="21"/>
          <w:highlight w:val="none"/>
        </w:rPr>
        <w:t xml:space="preserve"> </w:t>
      </w:r>
      <w:r>
        <w:rPr>
          <w:rFonts w:ascii="宋体" w:hAnsi="宋体" w:eastAsia="宋体" w:cs="宋体"/>
          <w:spacing w:val="-9"/>
          <w:sz w:val="21"/>
          <w:szCs w:val="21"/>
          <w:highlight w:val="none"/>
        </w:rPr>
        <w:t>和证明材料；</w:t>
      </w:r>
    </w:p>
    <w:p w14:paraId="1229DFAC">
      <w:pPr>
        <w:spacing w:before="240" w:line="327" w:lineRule="auto"/>
        <w:ind w:right="24" w:firstLine="520"/>
        <w:rPr>
          <w:rFonts w:ascii="宋体" w:hAnsi="宋体" w:eastAsia="宋体" w:cs="宋体"/>
          <w:sz w:val="20"/>
          <w:szCs w:val="20"/>
          <w:highlight w:val="none"/>
        </w:rPr>
      </w:pPr>
      <w:r>
        <w:rPr>
          <w:rFonts w:ascii="宋体" w:hAnsi="宋体" w:eastAsia="宋体" w:cs="宋体"/>
          <w:spacing w:val="13"/>
          <w:sz w:val="20"/>
          <w:szCs w:val="20"/>
          <w:highlight w:val="none"/>
        </w:rPr>
        <w:t>(3)索赔事件具有连续影响的，承包人应按合理时间间隔继续递交延续索赔通知，说</w:t>
      </w:r>
      <w:r>
        <w:rPr>
          <w:rFonts w:ascii="宋体" w:hAnsi="宋体" w:eastAsia="宋体" w:cs="宋体"/>
          <w:spacing w:val="3"/>
          <w:sz w:val="20"/>
          <w:szCs w:val="20"/>
          <w:highlight w:val="none"/>
        </w:rPr>
        <w:t xml:space="preserve"> </w:t>
      </w:r>
      <w:r>
        <w:rPr>
          <w:rFonts w:ascii="宋体" w:hAnsi="宋体" w:eastAsia="宋体" w:cs="宋体"/>
          <w:spacing w:val="14"/>
          <w:sz w:val="20"/>
          <w:szCs w:val="20"/>
          <w:highlight w:val="none"/>
        </w:rPr>
        <w:t>明连续影响的实际情况和记录，列出累计的追加付款金额和(或)工期延长天数；</w:t>
      </w:r>
    </w:p>
    <w:p w14:paraId="42E7BB04">
      <w:pPr>
        <w:spacing w:before="233" w:line="320" w:lineRule="auto"/>
        <w:ind w:right="44" w:firstLine="520"/>
        <w:rPr>
          <w:rFonts w:ascii="宋体" w:hAnsi="宋体" w:eastAsia="宋体" w:cs="宋体"/>
          <w:sz w:val="21"/>
          <w:szCs w:val="21"/>
          <w:highlight w:val="none"/>
        </w:rPr>
      </w:pPr>
      <w:r>
        <w:rPr>
          <w:rFonts w:ascii="宋体" w:hAnsi="宋体" w:eastAsia="宋体" w:cs="宋体"/>
          <w:spacing w:val="9"/>
          <w:sz w:val="21"/>
          <w:szCs w:val="21"/>
          <w:highlight w:val="none"/>
        </w:rPr>
        <w:t>(4)在索赔事件影响结束后的28天内，</w:t>
      </w:r>
      <w:r>
        <w:rPr>
          <w:rFonts w:ascii="宋体" w:hAnsi="宋体" w:eastAsia="宋体" w:cs="宋体"/>
          <w:spacing w:val="8"/>
          <w:sz w:val="21"/>
          <w:szCs w:val="21"/>
          <w:highlight w:val="none"/>
        </w:rPr>
        <w:t>承包人应向监理人递交最终索赔通知书，说</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明最终要求索赔的追加付款金额和延长的工期，并附必要的记录和证明材料。</w:t>
      </w:r>
    </w:p>
    <w:p w14:paraId="6B7C51EB">
      <w:pPr>
        <w:spacing w:before="302" w:line="222" w:lineRule="auto"/>
        <w:rPr>
          <w:rFonts w:ascii="黑体" w:hAnsi="黑体" w:eastAsia="黑体" w:cs="黑体"/>
          <w:sz w:val="24"/>
          <w:szCs w:val="24"/>
          <w:highlight w:val="none"/>
        </w:rPr>
      </w:pPr>
      <w:r>
        <w:rPr>
          <w:rFonts w:ascii="黑体" w:hAnsi="黑体" w:eastAsia="黑体" w:cs="黑体"/>
          <w:spacing w:val="8"/>
          <w:sz w:val="24"/>
          <w:szCs w:val="24"/>
          <w:highlight w:val="none"/>
        </w:rPr>
        <w:t>23.2承包人索赔处理程序</w:t>
      </w:r>
    </w:p>
    <w:p w14:paraId="79B35DF1">
      <w:pPr>
        <w:spacing w:before="101" w:line="329" w:lineRule="auto"/>
        <w:ind w:right="43" w:firstLine="520"/>
        <w:rPr>
          <w:rFonts w:ascii="宋体" w:hAnsi="宋体" w:eastAsia="宋体" w:cs="宋体"/>
          <w:sz w:val="21"/>
          <w:szCs w:val="21"/>
          <w:highlight w:val="none"/>
        </w:rPr>
      </w:pPr>
      <w:r>
        <w:rPr>
          <w:rFonts w:ascii="宋体" w:hAnsi="宋体" w:eastAsia="宋体" w:cs="宋体"/>
          <w:spacing w:val="3"/>
          <w:sz w:val="21"/>
          <w:szCs w:val="21"/>
          <w:highlight w:val="none"/>
        </w:rPr>
        <w:t>(1)监理人收到承包人提交的索赔通知书后，应及时审查索赔通知书的内容、查验承</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包人的记录和证明材料，必要时监理人可要求承包人提交全部原始记录副本。</w:t>
      </w:r>
    </w:p>
    <w:p w14:paraId="35D9C1FC">
      <w:pPr>
        <w:spacing w:before="221" w:line="351" w:lineRule="auto"/>
        <w:ind w:right="26" w:firstLine="520"/>
        <w:rPr>
          <w:rFonts w:ascii="宋体" w:hAnsi="宋体" w:eastAsia="宋体" w:cs="宋体"/>
          <w:sz w:val="22"/>
          <w:szCs w:val="22"/>
          <w:highlight w:val="none"/>
        </w:rPr>
      </w:pPr>
      <w:r>
        <w:rPr>
          <w:rFonts w:ascii="宋体" w:hAnsi="宋体" w:eastAsia="宋体" w:cs="宋体"/>
          <w:spacing w:val="2"/>
          <w:sz w:val="22"/>
          <w:szCs w:val="22"/>
          <w:highlight w:val="none"/>
        </w:rPr>
        <w:t>(2)监理人应按第3.5款商定或确定追加的付款和(或)延长的工期，并在收到上述</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索赔通知书或有关索赔的进一步证明材料后的42天内，将索赔处理结果答复承包人。监理</w:t>
      </w:r>
      <w:r>
        <w:rPr>
          <w:rFonts w:ascii="宋体" w:hAnsi="宋体" w:eastAsia="宋体" w:cs="宋体"/>
          <w:spacing w:val="16"/>
          <w:sz w:val="22"/>
          <w:szCs w:val="22"/>
          <w:highlight w:val="none"/>
        </w:rPr>
        <w:t xml:space="preserve"> </w:t>
      </w:r>
      <w:r>
        <w:rPr>
          <w:rFonts w:ascii="宋体" w:hAnsi="宋体" w:eastAsia="宋体" w:cs="宋体"/>
          <w:spacing w:val="-7"/>
          <w:sz w:val="22"/>
          <w:szCs w:val="22"/>
          <w:highlight w:val="none"/>
        </w:rPr>
        <w:t>人应当在收到索赔通知书或有关索赔的进一步证明材料后的42天内不予答复的，视为</w:t>
      </w:r>
      <w:r>
        <w:rPr>
          <w:rFonts w:ascii="宋体" w:hAnsi="宋体" w:eastAsia="宋体" w:cs="宋体"/>
          <w:spacing w:val="-8"/>
          <w:sz w:val="22"/>
          <w:szCs w:val="22"/>
          <w:highlight w:val="none"/>
        </w:rPr>
        <w:t>认可</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索赔。</w:t>
      </w:r>
    </w:p>
    <w:p w14:paraId="53A28030">
      <w:pPr>
        <w:spacing w:before="238" w:line="219" w:lineRule="auto"/>
        <w:ind w:left="520"/>
        <w:rPr>
          <w:rFonts w:ascii="宋体" w:hAnsi="宋体" w:eastAsia="宋体" w:cs="宋体"/>
          <w:sz w:val="21"/>
          <w:szCs w:val="21"/>
          <w:highlight w:val="none"/>
        </w:rPr>
      </w:pPr>
      <w:r>
        <w:rPr>
          <w:rFonts w:ascii="宋体" w:hAnsi="宋体" w:eastAsia="宋体" w:cs="宋体"/>
          <w:spacing w:val="6"/>
          <w:sz w:val="21"/>
          <w:szCs w:val="21"/>
          <w:highlight w:val="none"/>
        </w:rPr>
        <w:t>(3)承包人接受索赔处理结果的，发包人应在作出索赔处理结果答复后28</w:t>
      </w:r>
      <w:r>
        <w:rPr>
          <w:rFonts w:ascii="宋体" w:hAnsi="宋体" w:eastAsia="宋体" w:cs="宋体"/>
          <w:spacing w:val="-10"/>
          <w:sz w:val="21"/>
          <w:szCs w:val="21"/>
          <w:highlight w:val="none"/>
        </w:rPr>
        <w:t xml:space="preserve"> </w:t>
      </w:r>
      <w:r>
        <w:rPr>
          <w:rFonts w:ascii="宋体" w:hAnsi="宋体" w:eastAsia="宋体" w:cs="宋体"/>
          <w:spacing w:val="6"/>
          <w:sz w:val="21"/>
          <w:szCs w:val="21"/>
          <w:highlight w:val="none"/>
        </w:rPr>
        <w:t>天内完成</w:t>
      </w:r>
    </w:p>
    <w:p w14:paraId="2C31C614">
      <w:pPr>
        <w:spacing w:line="219" w:lineRule="auto"/>
        <w:rPr>
          <w:rFonts w:ascii="宋体" w:hAnsi="宋体" w:eastAsia="宋体" w:cs="宋体"/>
          <w:sz w:val="21"/>
          <w:szCs w:val="21"/>
          <w:highlight w:val="none"/>
        </w:rPr>
        <w:sectPr>
          <w:footerReference r:id="rId216" w:type="default"/>
          <w:pgSz w:w="11910" w:h="16840"/>
          <w:pgMar w:top="400" w:right="1786" w:bottom="1169" w:left="1779" w:header="0" w:footer="1028" w:gutter="0"/>
          <w:cols w:space="720" w:num="1"/>
        </w:sectPr>
      </w:pPr>
    </w:p>
    <w:p w14:paraId="708F3846">
      <w:pPr>
        <w:pStyle w:val="2"/>
        <w:spacing w:line="270" w:lineRule="auto"/>
        <w:rPr>
          <w:highlight w:val="none"/>
        </w:rPr>
      </w:pPr>
    </w:p>
    <w:p w14:paraId="2471DFFC">
      <w:pPr>
        <w:pStyle w:val="2"/>
        <w:spacing w:line="270" w:lineRule="auto"/>
        <w:rPr>
          <w:highlight w:val="none"/>
        </w:rPr>
      </w:pPr>
    </w:p>
    <w:p w14:paraId="42F4A278">
      <w:pPr>
        <w:pStyle w:val="2"/>
        <w:spacing w:line="270" w:lineRule="auto"/>
        <w:rPr>
          <w:highlight w:val="none"/>
        </w:rPr>
      </w:pPr>
    </w:p>
    <w:p w14:paraId="68A83DFF">
      <w:pPr>
        <w:pStyle w:val="2"/>
        <w:spacing w:line="271" w:lineRule="auto"/>
        <w:rPr>
          <w:highlight w:val="none"/>
        </w:rPr>
      </w:pPr>
    </w:p>
    <w:p w14:paraId="594CE1EB">
      <w:pPr>
        <w:spacing w:before="71" w:line="219" w:lineRule="auto"/>
        <w:rPr>
          <w:rFonts w:ascii="宋体" w:hAnsi="宋体" w:eastAsia="宋体" w:cs="宋体"/>
          <w:sz w:val="22"/>
          <w:szCs w:val="22"/>
          <w:highlight w:val="none"/>
        </w:rPr>
      </w:pPr>
      <w:bookmarkStart w:id="209" w:name="bookmark290"/>
      <w:bookmarkEnd w:id="209"/>
      <w:r>
        <w:rPr>
          <w:rFonts w:ascii="宋体" w:hAnsi="宋体" w:eastAsia="宋体" w:cs="宋体"/>
          <w:spacing w:val="-6"/>
          <w:sz w:val="22"/>
          <w:szCs w:val="22"/>
          <w:highlight w:val="none"/>
        </w:rPr>
        <w:t>赔付。承包人不接受索赔处理结果的，按第24</w:t>
      </w:r>
      <w:r>
        <w:rPr>
          <w:rFonts w:ascii="宋体" w:hAnsi="宋体" w:eastAsia="宋体" w:cs="宋体"/>
          <w:spacing w:val="-7"/>
          <w:sz w:val="22"/>
          <w:szCs w:val="22"/>
          <w:highlight w:val="none"/>
        </w:rPr>
        <w:t>条的约定执行。</w:t>
      </w:r>
    </w:p>
    <w:p w14:paraId="4886E62C">
      <w:pPr>
        <w:spacing w:before="288" w:line="222" w:lineRule="auto"/>
        <w:rPr>
          <w:rFonts w:ascii="黑体" w:hAnsi="黑体" w:eastAsia="黑体" w:cs="黑体"/>
          <w:sz w:val="24"/>
          <w:szCs w:val="24"/>
          <w:highlight w:val="none"/>
        </w:rPr>
      </w:pPr>
      <w:r>
        <w:rPr>
          <w:rFonts w:ascii="黑体" w:hAnsi="黑体" w:eastAsia="黑体" w:cs="黑体"/>
          <w:spacing w:val="9"/>
          <w:sz w:val="24"/>
          <w:szCs w:val="24"/>
          <w:highlight w:val="none"/>
        </w:rPr>
        <w:t>23.3承包人提出索赔的期限</w:t>
      </w:r>
    </w:p>
    <w:p w14:paraId="2E1F194F">
      <w:pPr>
        <w:spacing w:before="111" w:line="329" w:lineRule="auto"/>
        <w:ind w:right="93" w:firstLine="430"/>
        <w:rPr>
          <w:rFonts w:ascii="宋体" w:hAnsi="宋体" w:eastAsia="宋体" w:cs="宋体"/>
          <w:sz w:val="21"/>
          <w:szCs w:val="21"/>
          <w:highlight w:val="none"/>
        </w:rPr>
      </w:pPr>
      <w:r>
        <w:rPr>
          <w:rFonts w:ascii="宋体" w:hAnsi="宋体" w:eastAsia="宋体" w:cs="宋体"/>
          <w:spacing w:val="8"/>
          <w:sz w:val="21"/>
          <w:szCs w:val="21"/>
          <w:highlight w:val="none"/>
        </w:rPr>
        <w:t>23.3.1承包人按第17.5款的约定接受了竣工付款证书后，应被认</w:t>
      </w:r>
      <w:r>
        <w:rPr>
          <w:rFonts w:ascii="宋体" w:hAnsi="宋体" w:eastAsia="宋体" w:cs="宋体"/>
          <w:spacing w:val="7"/>
          <w:sz w:val="21"/>
          <w:szCs w:val="21"/>
          <w:highlight w:val="none"/>
        </w:rPr>
        <w:t>为已无权再提出在</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合同工程接收证书颁发前所发生的任何索赔。</w:t>
      </w:r>
    </w:p>
    <w:p w14:paraId="35FDB463">
      <w:pPr>
        <w:spacing w:before="222" w:line="302" w:lineRule="auto"/>
        <w:ind w:right="75" w:firstLine="430"/>
        <w:rPr>
          <w:rFonts w:ascii="宋体" w:hAnsi="宋体" w:eastAsia="宋体" w:cs="宋体"/>
          <w:sz w:val="22"/>
          <w:szCs w:val="22"/>
          <w:highlight w:val="none"/>
        </w:rPr>
      </w:pPr>
      <w:r>
        <w:rPr>
          <w:rFonts w:ascii="Times New Roman" w:hAnsi="Times New Roman" w:eastAsia="Times New Roman" w:cs="Times New Roman"/>
          <w:spacing w:val="-2"/>
          <w:sz w:val="22"/>
          <w:szCs w:val="22"/>
          <w:highlight w:val="none"/>
        </w:rPr>
        <w:t xml:space="preserve">23.3.2   </w:t>
      </w:r>
      <w:r>
        <w:rPr>
          <w:rFonts w:ascii="宋体" w:hAnsi="宋体" w:eastAsia="宋体" w:cs="宋体"/>
          <w:spacing w:val="-2"/>
          <w:sz w:val="22"/>
          <w:szCs w:val="22"/>
          <w:highlight w:val="none"/>
        </w:rPr>
        <w:t>承包人按第17.6款的约定提交的最终结清申请单中，只限于提出工程接收证</w:t>
      </w:r>
      <w:r>
        <w:rPr>
          <w:rFonts w:ascii="宋体" w:hAnsi="宋体" w:eastAsia="宋体" w:cs="宋体"/>
          <w:spacing w:val="11"/>
          <w:sz w:val="22"/>
          <w:szCs w:val="22"/>
          <w:highlight w:val="none"/>
        </w:rPr>
        <w:t xml:space="preserve"> </w:t>
      </w:r>
      <w:r>
        <w:rPr>
          <w:rFonts w:ascii="宋体" w:hAnsi="宋体" w:eastAsia="宋体" w:cs="宋体"/>
          <w:spacing w:val="-11"/>
          <w:sz w:val="22"/>
          <w:szCs w:val="22"/>
          <w:highlight w:val="none"/>
        </w:rPr>
        <w:t>书颁发后发生的索赔。提出索赔的期限自接受最终结清证书时终止。</w:t>
      </w:r>
    </w:p>
    <w:p w14:paraId="0BA1D952">
      <w:pPr>
        <w:spacing w:before="299" w:line="221" w:lineRule="auto"/>
        <w:rPr>
          <w:rFonts w:ascii="黑体" w:hAnsi="黑体" w:eastAsia="黑体" w:cs="黑体"/>
          <w:sz w:val="24"/>
          <w:szCs w:val="24"/>
          <w:highlight w:val="none"/>
        </w:rPr>
      </w:pPr>
      <w:r>
        <w:rPr>
          <w:rFonts w:ascii="黑体" w:hAnsi="黑体" w:eastAsia="黑体" w:cs="黑体"/>
          <w:spacing w:val="9"/>
          <w:sz w:val="24"/>
          <w:szCs w:val="24"/>
          <w:highlight w:val="none"/>
        </w:rPr>
        <w:t>23.4发包人的索赔</w:t>
      </w:r>
    </w:p>
    <w:p w14:paraId="13EA6649">
      <w:pPr>
        <w:spacing w:before="130" w:line="399" w:lineRule="auto"/>
        <w:ind w:right="5" w:firstLine="430"/>
        <w:rPr>
          <w:rFonts w:ascii="宋体" w:hAnsi="宋体" w:eastAsia="宋体" w:cs="宋体"/>
          <w:sz w:val="20"/>
          <w:szCs w:val="20"/>
          <w:highlight w:val="none"/>
        </w:rPr>
      </w:pPr>
      <w:r>
        <w:rPr>
          <w:rFonts w:ascii="Times New Roman" w:hAnsi="Times New Roman" w:eastAsia="Times New Roman" w:cs="Times New Roman"/>
          <w:spacing w:val="10"/>
          <w:sz w:val="20"/>
          <w:szCs w:val="20"/>
          <w:highlight w:val="none"/>
        </w:rPr>
        <w:t xml:space="preserve">23.4.1    </w:t>
      </w:r>
      <w:r>
        <w:rPr>
          <w:rFonts w:ascii="宋体" w:hAnsi="宋体" w:eastAsia="宋体" w:cs="宋体"/>
          <w:spacing w:val="10"/>
          <w:sz w:val="20"/>
          <w:szCs w:val="20"/>
          <w:highlight w:val="none"/>
        </w:rPr>
        <w:t>发包人应在知道或应当知道索赔事件发生后28天内，向承包人发出索赔通知，</w:t>
      </w:r>
      <w:r>
        <w:rPr>
          <w:rFonts w:ascii="宋体" w:hAnsi="宋体" w:eastAsia="宋体" w:cs="宋体"/>
          <w:spacing w:val="18"/>
          <w:sz w:val="20"/>
          <w:szCs w:val="20"/>
          <w:highlight w:val="none"/>
        </w:rPr>
        <w:t xml:space="preserve"> 并说明发包人有权扣减的付款和(或)延长缺陷责任期的细节和依据。</w:t>
      </w:r>
      <w:r>
        <w:rPr>
          <w:rFonts w:ascii="宋体" w:hAnsi="宋体" w:eastAsia="宋体" w:cs="宋体"/>
          <w:spacing w:val="17"/>
          <w:sz w:val="20"/>
          <w:szCs w:val="20"/>
          <w:highlight w:val="none"/>
        </w:rPr>
        <w:t>发包人未在前述28</w:t>
      </w:r>
      <w:r>
        <w:rPr>
          <w:rFonts w:ascii="宋体" w:hAnsi="宋体" w:eastAsia="宋体" w:cs="宋体"/>
          <w:sz w:val="20"/>
          <w:szCs w:val="20"/>
          <w:highlight w:val="none"/>
        </w:rPr>
        <w:t xml:space="preserve">  </w:t>
      </w:r>
      <w:r>
        <w:rPr>
          <w:rFonts w:ascii="宋体" w:hAnsi="宋体" w:eastAsia="宋体" w:cs="宋体"/>
          <w:spacing w:val="13"/>
          <w:sz w:val="20"/>
          <w:szCs w:val="20"/>
          <w:highlight w:val="none"/>
        </w:rPr>
        <w:t>天内发出索赔通知的，丧失要求扣减付款和(或)延长缺陷责</w:t>
      </w:r>
      <w:r>
        <w:rPr>
          <w:rFonts w:ascii="宋体" w:hAnsi="宋体" w:eastAsia="宋体" w:cs="宋体"/>
          <w:spacing w:val="12"/>
          <w:sz w:val="20"/>
          <w:szCs w:val="20"/>
          <w:highlight w:val="none"/>
        </w:rPr>
        <w:t>任期的权利。发包人提出索赔</w:t>
      </w:r>
      <w:r>
        <w:rPr>
          <w:rFonts w:ascii="宋体" w:hAnsi="宋体" w:eastAsia="宋体" w:cs="宋体"/>
          <w:sz w:val="20"/>
          <w:szCs w:val="20"/>
          <w:highlight w:val="none"/>
        </w:rPr>
        <w:t xml:space="preserve">  </w:t>
      </w:r>
      <w:r>
        <w:rPr>
          <w:rFonts w:ascii="宋体" w:hAnsi="宋体" w:eastAsia="宋体" w:cs="宋体"/>
          <w:spacing w:val="10"/>
          <w:sz w:val="20"/>
          <w:szCs w:val="20"/>
          <w:highlight w:val="none"/>
        </w:rPr>
        <w:t>的期限和要求与第23.3 款的约定相同，要求延长缺陷责任期的通</w:t>
      </w:r>
      <w:r>
        <w:rPr>
          <w:rFonts w:ascii="宋体" w:hAnsi="宋体" w:eastAsia="宋体" w:cs="宋体"/>
          <w:spacing w:val="9"/>
          <w:sz w:val="20"/>
          <w:szCs w:val="20"/>
          <w:highlight w:val="none"/>
        </w:rPr>
        <w:t>知应在缺陷责任期届满前</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发出。</w:t>
      </w:r>
    </w:p>
    <w:p w14:paraId="443E7DDC">
      <w:pPr>
        <w:spacing w:before="229" w:line="352" w:lineRule="auto"/>
        <w:ind w:right="80" w:firstLine="430"/>
        <w:rPr>
          <w:rFonts w:ascii="宋体" w:hAnsi="宋体" w:eastAsia="宋体" w:cs="宋体"/>
          <w:sz w:val="21"/>
          <w:szCs w:val="21"/>
          <w:highlight w:val="none"/>
        </w:rPr>
      </w:pPr>
      <w:r>
        <w:rPr>
          <w:rFonts w:ascii="Times New Roman" w:hAnsi="Times New Roman" w:eastAsia="Times New Roman" w:cs="Times New Roman"/>
          <w:spacing w:val="6"/>
          <w:sz w:val="21"/>
          <w:szCs w:val="21"/>
          <w:highlight w:val="none"/>
        </w:rPr>
        <w:t>23.4.2</w:t>
      </w:r>
      <w:r>
        <w:rPr>
          <w:rFonts w:ascii="Times New Roman" w:hAnsi="Times New Roman" w:eastAsia="Times New Roman" w:cs="Times New Roman"/>
          <w:spacing w:val="17"/>
          <w:w w:val="101"/>
          <w:sz w:val="21"/>
          <w:szCs w:val="21"/>
          <w:highlight w:val="none"/>
        </w:rPr>
        <w:t xml:space="preserve">   </w:t>
      </w:r>
      <w:r>
        <w:rPr>
          <w:rFonts w:ascii="宋体" w:hAnsi="宋体" w:eastAsia="宋体" w:cs="宋体"/>
          <w:spacing w:val="6"/>
          <w:sz w:val="21"/>
          <w:szCs w:val="21"/>
          <w:highlight w:val="none"/>
        </w:rPr>
        <w:t>发包人按第3.5</w:t>
      </w:r>
      <w:r>
        <w:rPr>
          <w:rFonts w:ascii="宋体" w:hAnsi="宋体" w:eastAsia="宋体" w:cs="宋体"/>
          <w:spacing w:val="-18"/>
          <w:sz w:val="21"/>
          <w:szCs w:val="21"/>
          <w:highlight w:val="none"/>
        </w:rPr>
        <w:t xml:space="preserve"> </w:t>
      </w:r>
      <w:r>
        <w:rPr>
          <w:rFonts w:ascii="宋体" w:hAnsi="宋体" w:eastAsia="宋体" w:cs="宋体"/>
          <w:spacing w:val="6"/>
          <w:sz w:val="21"/>
          <w:szCs w:val="21"/>
          <w:highlight w:val="none"/>
        </w:rPr>
        <w:t>款商定或确定发包人从承包人处得到赔付的</w:t>
      </w:r>
      <w:r>
        <w:rPr>
          <w:rFonts w:ascii="宋体" w:hAnsi="宋体" w:eastAsia="宋体" w:cs="宋体"/>
          <w:spacing w:val="5"/>
          <w:sz w:val="21"/>
          <w:szCs w:val="21"/>
          <w:highlight w:val="none"/>
        </w:rPr>
        <w:t>金额和(或)缺陷</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责任期的延长期。承包人应付给发包人的金额可从拟支付给承包人的合同价款中扣除，或由</w:t>
      </w:r>
      <w:r>
        <w:rPr>
          <w:rFonts w:ascii="宋体" w:hAnsi="宋体" w:eastAsia="宋体" w:cs="宋体"/>
          <w:spacing w:val="3"/>
          <w:sz w:val="21"/>
          <w:szCs w:val="21"/>
          <w:highlight w:val="none"/>
        </w:rPr>
        <w:t xml:space="preserve"> </w:t>
      </w:r>
      <w:r>
        <w:rPr>
          <w:rFonts w:ascii="宋体" w:hAnsi="宋体" w:eastAsia="宋体" w:cs="宋体"/>
          <w:spacing w:val="-1"/>
          <w:sz w:val="21"/>
          <w:szCs w:val="21"/>
          <w:highlight w:val="none"/>
        </w:rPr>
        <w:t>承包人以其他方式支付给发包人。</w:t>
      </w:r>
    </w:p>
    <w:p w14:paraId="687F2EF1">
      <w:pPr>
        <w:spacing w:before="191" w:line="222" w:lineRule="auto"/>
        <w:outlineLvl w:val="1"/>
        <w:rPr>
          <w:rFonts w:ascii="黑体" w:hAnsi="黑体" w:eastAsia="黑体" w:cs="黑体"/>
          <w:sz w:val="24"/>
          <w:szCs w:val="24"/>
          <w:highlight w:val="none"/>
        </w:rPr>
      </w:pPr>
      <w:bookmarkStart w:id="210" w:name="bookmark120"/>
      <w:bookmarkEnd w:id="210"/>
      <w:r>
        <w:rPr>
          <w:rFonts w:ascii="黑体" w:hAnsi="黑体" w:eastAsia="黑体" w:cs="黑体"/>
          <w:spacing w:val="1"/>
          <w:sz w:val="24"/>
          <w:szCs w:val="24"/>
          <w:highlight w:val="none"/>
        </w:rPr>
        <w:t>24.</w:t>
      </w:r>
      <w:r>
        <w:rPr>
          <w:rFonts w:ascii="黑体" w:hAnsi="黑体" w:eastAsia="黑体" w:cs="黑体"/>
          <w:spacing w:val="-62"/>
          <w:sz w:val="24"/>
          <w:szCs w:val="24"/>
          <w:highlight w:val="none"/>
        </w:rPr>
        <w:t xml:space="preserve"> </w:t>
      </w:r>
      <w:r>
        <w:rPr>
          <w:rFonts w:ascii="黑体" w:hAnsi="黑体" w:eastAsia="黑体" w:cs="黑体"/>
          <w:spacing w:val="1"/>
          <w:sz w:val="24"/>
          <w:szCs w:val="24"/>
          <w:highlight w:val="none"/>
        </w:rPr>
        <w:t>争议的解决</w:t>
      </w:r>
    </w:p>
    <w:p w14:paraId="6756C243">
      <w:pPr>
        <w:spacing w:before="190" w:line="221" w:lineRule="auto"/>
        <w:rPr>
          <w:rFonts w:ascii="黑体" w:hAnsi="黑体" w:eastAsia="黑体" w:cs="黑体"/>
          <w:sz w:val="24"/>
          <w:szCs w:val="24"/>
          <w:highlight w:val="none"/>
        </w:rPr>
      </w:pPr>
      <w:r>
        <w:rPr>
          <w:rFonts w:ascii="黑体" w:hAnsi="黑体" w:eastAsia="黑体" w:cs="黑体"/>
          <w:spacing w:val="-1"/>
          <w:sz w:val="24"/>
          <w:szCs w:val="24"/>
          <w:highlight w:val="none"/>
        </w:rPr>
        <w:t>24.1 争议的解决方式</w:t>
      </w:r>
    </w:p>
    <w:p w14:paraId="6CCF6ECC">
      <w:pPr>
        <w:spacing w:before="143" w:line="422" w:lineRule="auto"/>
        <w:ind w:right="93" w:firstLine="430"/>
        <w:jc w:val="both"/>
        <w:rPr>
          <w:rFonts w:ascii="宋体" w:hAnsi="宋体" w:eastAsia="宋体" w:cs="宋体"/>
          <w:sz w:val="21"/>
          <w:szCs w:val="21"/>
          <w:highlight w:val="none"/>
        </w:rPr>
      </w:pPr>
      <w:r>
        <w:rPr>
          <w:rFonts w:ascii="宋体" w:hAnsi="宋体" w:eastAsia="宋体" w:cs="宋体"/>
          <w:spacing w:val="3"/>
          <w:sz w:val="21"/>
          <w:szCs w:val="21"/>
          <w:highlight w:val="none"/>
        </w:rPr>
        <w:t>发包人和承包人在履行合同中发生争议的，可以友好协商解决或者提请争</w:t>
      </w:r>
      <w:r>
        <w:rPr>
          <w:rFonts w:ascii="宋体" w:hAnsi="宋体" w:eastAsia="宋体" w:cs="宋体"/>
          <w:spacing w:val="2"/>
          <w:sz w:val="21"/>
          <w:szCs w:val="21"/>
          <w:highlight w:val="none"/>
        </w:rPr>
        <w:t>议评审组评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审。合同当事人友好协商解决不成、不愿提请争议评审或者不接受争</w:t>
      </w:r>
      <w:r>
        <w:rPr>
          <w:rFonts w:ascii="宋体" w:hAnsi="宋体" w:eastAsia="宋体" w:cs="宋体"/>
          <w:spacing w:val="-3"/>
          <w:sz w:val="21"/>
          <w:szCs w:val="21"/>
          <w:highlight w:val="none"/>
        </w:rPr>
        <w:t>议评审组意见的，可在</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专用合同条款中约定下列一种方式解决：</w:t>
      </w:r>
    </w:p>
    <w:p w14:paraId="31322BE7">
      <w:pPr>
        <w:spacing w:line="218" w:lineRule="auto"/>
        <w:ind w:left="550"/>
        <w:rPr>
          <w:rFonts w:ascii="宋体" w:hAnsi="宋体" w:eastAsia="宋体" w:cs="宋体"/>
          <w:sz w:val="20"/>
          <w:szCs w:val="20"/>
          <w:highlight w:val="none"/>
        </w:rPr>
      </w:pPr>
      <w:r>
        <w:rPr>
          <w:rFonts w:ascii="宋体" w:hAnsi="宋体" w:eastAsia="宋体" w:cs="宋体"/>
          <w:spacing w:val="12"/>
          <w:sz w:val="20"/>
          <w:szCs w:val="20"/>
          <w:highlight w:val="none"/>
        </w:rPr>
        <w:t>(1)向约定的仲裁委员会申请仲裁；</w:t>
      </w:r>
    </w:p>
    <w:p w14:paraId="3EA70849">
      <w:pPr>
        <w:spacing w:before="233" w:line="219" w:lineRule="auto"/>
        <w:ind w:left="560"/>
        <w:rPr>
          <w:rFonts w:ascii="宋体" w:hAnsi="宋体" w:eastAsia="宋体" w:cs="宋体"/>
          <w:sz w:val="20"/>
          <w:szCs w:val="20"/>
          <w:highlight w:val="none"/>
        </w:rPr>
      </w:pPr>
      <w:r>
        <w:rPr>
          <w:rFonts w:ascii="宋体" w:hAnsi="宋体" w:eastAsia="宋体" w:cs="宋体"/>
          <w:spacing w:val="13"/>
          <w:sz w:val="20"/>
          <w:szCs w:val="20"/>
          <w:highlight w:val="none"/>
        </w:rPr>
        <w:t>(2)向有管辖权的人民法院提起诉讼。</w:t>
      </w:r>
    </w:p>
    <w:p w14:paraId="0437975F">
      <w:pPr>
        <w:spacing w:before="306" w:line="222" w:lineRule="auto"/>
        <w:rPr>
          <w:rFonts w:ascii="黑体" w:hAnsi="黑体" w:eastAsia="黑体" w:cs="黑体"/>
          <w:sz w:val="24"/>
          <w:szCs w:val="24"/>
          <w:highlight w:val="none"/>
        </w:rPr>
      </w:pPr>
      <w:r>
        <w:rPr>
          <w:rFonts w:ascii="黑体" w:hAnsi="黑体" w:eastAsia="黑体" w:cs="黑体"/>
          <w:spacing w:val="12"/>
          <w:sz w:val="24"/>
          <w:szCs w:val="24"/>
          <w:highlight w:val="none"/>
        </w:rPr>
        <w:t>24.2友好解决</w:t>
      </w:r>
    </w:p>
    <w:p w14:paraId="4679ADBC">
      <w:pPr>
        <w:spacing w:before="121" w:line="396" w:lineRule="auto"/>
        <w:ind w:right="95" w:firstLine="430"/>
        <w:rPr>
          <w:rFonts w:ascii="宋体" w:hAnsi="宋体" w:eastAsia="宋体" w:cs="宋体"/>
          <w:sz w:val="22"/>
          <w:szCs w:val="22"/>
          <w:highlight w:val="none"/>
        </w:rPr>
      </w:pPr>
      <w:r>
        <w:rPr>
          <w:rFonts w:ascii="宋体" w:hAnsi="宋体" w:eastAsia="宋体" w:cs="宋体"/>
          <w:spacing w:val="-13"/>
          <w:sz w:val="22"/>
          <w:szCs w:val="22"/>
          <w:highlight w:val="none"/>
        </w:rPr>
        <w:t>在提请争议评审、仲裁或者诉讼前，以及在争议评审、仲裁或诉讼过程中，发包人和承</w:t>
      </w:r>
      <w:r>
        <w:rPr>
          <w:rFonts w:ascii="宋体" w:hAnsi="宋体" w:eastAsia="宋体" w:cs="宋体"/>
          <w:spacing w:val="12"/>
          <w:sz w:val="22"/>
          <w:szCs w:val="22"/>
          <w:highlight w:val="none"/>
        </w:rPr>
        <w:t xml:space="preserve"> </w:t>
      </w:r>
      <w:r>
        <w:rPr>
          <w:rFonts w:ascii="宋体" w:hAnsi="宋体" w:eastAsia="宋体" w:cs="宋体"/>
          <w:spacing w:val="-11"/>
          <w:sz w:val="22"/>
          <w:szCs w:val="22"/>
          <w:highlight w:val="none"/>
        </w:rPr>
        <w:t>包人均可共同努力友好协商解决争议。</w:t>
      </w:r>
    </w:p>
    <w:p w14:paraId="5BBD6B7C">
      <w:pPr>
        <w:spacing w:before="85" w:line="222" w:lineRule="auto"/>
        <w:rPr>
          <w:rFonts w:ascii="黑体" w:hAnsi="黑体" w:eastAsia="黑体" w:cs="黑体"/>
          <w:sz w:val="24"/>
          <w:szCs w:val="24"/>
          <w:highlight w:val="none"/>
        </w:rPr>
      </w:pPr>
      <w:r>
        <w:rPr>
          <w:rFonts w:ascii="黑体" w:hAnsi="黑体" w:eastAsia="黑体" w:cs="黑体"/>
          <w:spacing w:val="13"/>
          <w:sz w:val="24"/>
          <w:szCs w:val="24"/>
          <w:highlight w:val="none"/>
        </w:rPr>
        <w:t>24.3争议评审</w:t>
      </w:r>
    </w:p>
    <w:p w14:paraId="1A679B64">
      <w:pPr>
        <w:spacing w:before="100" w:line="320" w:lineRule="auto"/>
        <w:ind w:right="53" w:firstLine="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24.3.1   </w:t>
      </w:r>
      <w:r>
        <w:rPr>
          <w:rFonts w:ascii="宋体" w:hAnsi="宋体" w:eastAsia="宋体" w:cs="宋体"/>
          <w:spacing w:val="-6"/>
          <w:sz w:val="22"/>
          <w:szCs w:val="22"/>
          <w:highlight w:val="none"/>
        </w:rPr>
        <w:t>采用争议评审的，发包人和承包人应在开工日后的28</w:t>
      </w:r>
      <w:r>
        <w:rPr>
          <w:rFonts w:ascii="宋体" w:hAnsi="宋体" w:eastAsia="宋体" w:cs="宋体"/>
          <w:spacing w:val="-7"/>
          <w:sz w:val="22"/>
          <w:szCs w:val="22"/>
          <w:highlight w:val="none"/>
        </w:rPr>
        <w:t>天内或在争议发生后，协</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商成立争议评审组。争议评审组由有合同管理和工程实践经验的专家组成。</w:t>
      </w:r>
    </w:p>
    <w:p w14:paraId="360EDD1F">
      <w:pPr>
        <w:spacing w:before="227" w:line="218" w:lineRule="auto"/>
        <w:jc w:val="right"/>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24.3.2    </w:t>
      </w:r>
      <w:r>
        <w:rPr>
          <w:rFonts w:ascii="宋体" w:hAnsi="宋体" w:eastAsia="宋体" w:cs="宋体"/>
          <w:spacing w:val="-2"/>
          <w:sz w:val="21"/>
          <w:szCs w:val="21"/>
          <w:highlight w:val="none"/>
        </w:rPr>
        <w:t>合同双方的争议，应首先由申</w:t>
      </w:r>
      <w:r>
        <w:rPr>
          <w:rFonts w:ascii="宋体" w:hAnsi="宋体" w:eastAsia="宋体" w:cs="宋体"/>
          <w:spacing w:val="-3"/>
          <w:sz w:val="21"/>
          <w:szCs w:val="21"/>
          <w:highlight w:val="none"/>
        </w:rPr>
        <w:t>请人向争议评审组提交一份详细的评审申请报告，</w:t>
      </w:r>
    </w:p>
    <w:p w14:paraId="53AA18C6">
      <w:pPr>
        <w:spacing w:line="218" w:lineRule="auto"/>
        <w:rPr>
          <w:rFonts w:ascii="宋体" w:hAnsi="宋体" w:eastAsia="宋体" w:cs="宋体"/>
          <w:sz w:val="21"/>
          <w:szCs w:val="21"/>
          <w:highlight w:val="none"/>
        </w:rPr>
        <w:sectPr>
          <w:footerReference r:id="rId217" w:type="default"/>
          <w:pgSz w:w="11910" w:h="16840"/>
          <w:pgMar w:top="400" w:right="1744" w:bottom="1169" w:left="1759" w:header="0" w:footer="1028" w:gutter="0"/>
          <w:cols w:space="720" w:num="1"/>
        </w:sectPr>
      </w:pPr>
    </w:p>
    <w:p w14:paraId="2C54957B">
      <w:pPr>
        <w:pStyle w:val="2"/>
        <w:spacing w:line="276" w:lineRule="auto"/>
        <w:rPr>
          <w:highlight w:val="none"/>
        </w:rPr>
      </w:pPr>
    </w:p>
    <w:p w14:paraId="45FB1CA6">
      <w:pPr>
        <w:pStyle w:val="2"/>
        <w:spacing w:line="276" w:lineRule="auto"/>
        <w:rPr>
          <w:highlight w:val="none"/>
        </w:rPr>
      </w:pPr>
    </w:p>
    <w:p w14:paraId="1B73CC5F">
      <w:pPr>
        <w:pStyle w:val="2"/>
        <w:spacing w:line="276" w:lineRule="auto"/>
        <w:rPr>
          <w:highlight w:val="none"/>
        </w:rPr>
      </w:pPr>
    </w:p>
    <w:p w14:paraId="512EE8D4">
      <w:pPr>
        <w:pStyle w:val="2"/>
        <w:spacing w:line="277" w:lineRule="auto"/>
        <w:rPr>
          <w:highlight w:val="none"/>
        </w:rPr>
      </w:pPr>
    </w:p>
    <w:p w14:paraId="16DDD95E">
      <w:pPr>
        <w:spacing w:before="65" w:line="429" w:lineRule="auto"/>
        <w:ind w:right="34"/>
        <w:rPr>
          <w:rFonts w:ascii="宋体" w:hAnsi="宋体" w:eastAsia="宋体" w:cs="宋体"/>
          <w:sz w:val="20"/>
          <w:szCs w:val="20"/>
          <w:highlight w:val="none"/>
        </w:rPr>
      </w:pPr>
      <w:r>
        <w:rPr>
          <w:rFonts w:ascii="宋体" w:hAnsi="宋体" w:eastAsia="宋体" w:cs="宋体"/>
          <w:spacing w:val="8"/>
          <w:sz w:val="20"/>
          <w:szCs w:val="20"/>
          <w:highlight w:val="none"/>
        </w:rPr>
        <w:t>并附必要的文件、图纸和证明材料，申请人还应将上述报告的</w:t>
      </w:r>
      <w:r>
        <w:rPr>
          <w:rFonts w:ascii="宋体" w:hAnsi="宋体" w:eastAsia="宋体" w:cs="宋体"/>
          <w:spacing w:val="7"/>
          <w:sz w:val="20"/>
          <w:szCs w:val="20"/>
          <w:highlight w:val="none"/>
        </w:rPr>
        <w:t>副本同时提交给被申请人和监</w:t>
      </w:r>
      <w:r>
        <w:rPr>
          <w:rFonts w:ascii="宋体" w:hAnsi="宋体" w:eastAsia="宋体" w:cs="宋体"/>
          <w:sz w:val="20"/>
          <w:szCs w:val="20"/>
          <w:highlight w:val="none"/>
        </w:rPr>
        <w:t xml:space="preserve"> 理人。</w:t>
      </w:r>
    </w:p>
    <w:p w14:paraId="461CEB06">
      <w:pPr>
        <w:spacing w:before="1" w:line="328" w:lineRule="auto"/>
        <w:ind w:right="32" w:firstLine="410"/>
        <w:rPr>
          <w:rFonts w:ascii="宋体" w:hAnsi="宋体" w:eastAsia="宋体" w:cs="宋体"/>
          <w:sz w:val="21"/>
          <w:szCs w:val="21"/>
          <w:highlight w:val="none"/>
        </w:rPr>
      </w:pPr>
      <w:r>
        <w:rPr>
          <w:rFonts w:ascii="Times New Roman" w:hAnsi="Times New Roman" w:eastAsia="Times New Roman" w:cs="Times New Roman"/>
          <w:spacing w:val="5"/>
          <w:sz w:val="21"/>
          <w:szCs w:val="21"/>
          <w:highlight w:val="none"/>
        </w:rPr>
        <w:t xml:space="preserve">24.3.3    </w:t>
      </w:r>
      <w:r>
        <w:rPr>
          <w:rFonts w:ascii="宋体" w:hAnsi="宋体" w:eastAsia="宋体" w:cs="宋体"/>
          <w:spacing w:val="5"/>
          <w:sz w:val="21"/>
          <w:szCs w:val="21"/>
          <w:highlight w:val="none"/>
        </w:rPr>
        <w:t>被申请人在收到申请人评审申请报告副本后的28天内，向争议评审组提交一</w:t>
      </w:r>
      <w:r>
        <w:rPr>
          <w:rFonts w:ascii="宋体" w:hAnsi="宋体" w:eastAsia="宋体" w:cs="宋体"/>
          <w:spacing w:val="15"/>
          <w:sz w:val="21"/>
          <w:szCs w:val="21"/>
          <w:highlight w:val="none"/>
        </w:rPr>
        <w:t xml:space="preserve"> </w:t>
      </w:r>
      <w:r>
        <w:rPr>
          <w:rFonts w:ascii="宋体" w:hAnsi="宋体" w:eastAsia="宋体" w:cs="宋体"/>
          <w:sz w:val="21"/>
          <w:szCs w:val="21"/>
          <w:highlight w:val="none"/>
        </w:rPr>
        <w:t>份答辩报告，并附证明材料。被申请人应将答辩报告的副本同时提交给申</w:t>
      </w:r>
      <w:r>
        <w:rPr>
          <w:rFonts w:ascii="宋体" w:hAnsi="宋体" w:eastAsia="宋体" w:cs="宋体"/>
          <w:spacing w:val="-1"/>
          <w:sz w:val="21"/>
          <w:szCs w:val="21"/>
          <w:highlight w:val="none"/>
        </w:rPr>
        <w:t>请人和监理人。</w:t>
      </w:r>
    </w:p>
    <w:p w14:paraId="0BA62508">
      <w:pPr>
        <w:spacing w:before="230" w:line="346" w:lineRule="auto"/>
        <w:ind w:right="15" w:firstLine="41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24.3.4</w:t>
      </w:r>
      <w:r>
        <w:rPr>
          <w:rFonts w:ascii="Times New Roman" w:hAnsi="Times New Roman" w:eastAsia="Times New Roman" w:cs="Times New Roman"/>
          <w:spacing w:val="17"/>
          <w:w w:val="101"/>
          <w:sz w:val="21"/>
          <w:szCs w:val="21"/>
          <w:highlight w:val="none"/>
        </w:rPr>
        <w:t xml:space="preserve">   </w:t>
      </w:r>
      <w:r>
        <w:rPr>
          <w:rFonts w:ascii="宋体" w:hAnsi="宋体" w:eastAsia="宋体" w:cs="宋体"/>
          <w:spacing w:val="1"/>
          <w:sz w:val="21"/>
          <w:szCs w:val="21"/>
          <w:highlight w:val="none"/>
        </w:rPr>
        <w:t>除专用合同条款另有约定外，争议评审组在收到合同双方报告后的14天内，邀</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请双方代表和有关人员举行调查会，向双方调查争议细节；必</w:t>
      </w:r>
      <w:r>
        <w:rPr>
          <w:rFonts w:ascii="宋体" w:hAnsi="宋体" w:eastAsia="宋体" w:cs="宋体"/>
          <w:spacing w:val="-3"/>
          <w:sz w:val="21"/>
          <w:szCs w:val="21"/>
          <w:highlight w:val="none"/>
        </w:rPr>
        <w:t>要时争议评审组可要求双方进</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一步提供补充材料。</w:t>
      </w:r>
    </w:p>
    <w:p w14:paraId="1D699244">
      <w:pPr>
        <w:spacing w:before="250" w:line="349" w:lineRule="auto"/>
        <w:ind w:right="14" w:firstLine="41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24.3.5    </w:t>
      </w:r>
      <w:r>
        <w:rPr>
          <w:rFonts w:ascii="宋体" w:hAnsi="宋体" w:eastAsia="宋体" w:cs="宋体"/>
          <w:spacing w:val="1"/>
          <w:sz w:val="21"/>
          <w:szCs w:val="21"/>
          <w:highlight w:val="none"/>
        </w:rPr>
        <w:t>除专用合同条款另有约定外，在调查会结束后的14天内，争议评审组应在</w:t>
      </w:r>
      <w:r>
        <w:rPr>
          <w:rFonts w:ascii="宋体" w:hAnsi="宋体" w:eastAsia="宋体" w:cs="宋体"/>
          <w:sz w:val="21"/>
          <w:szCs w:val="21"/>
          <w:highlight w:val="none"/>
        </w:rPr>
        <w:t xml:space="preserve">不受 </w:t>
      </w:r>
      <w:r>
        <w:rPr>
          <w:rFonts w:ascii="宋体" w:hAnsi="宋体" w:eastAsia="宋体" w:cs="宋体"/>
          <w:spacing w:val="-2"/>
          <w:sz w:val="21"/>
          <w:szCs w:val="21"/>
          <w:highlight w:val="none"/>
        </w:rPr>
        <w:t>任何干扰的情况下进行独立、公正的评审，作出书面评审意见，并说明理</w:t>
      </w:r>
      <w:r>
        <w:rPr>
          <w:rFonts w:ascii="宋体" w:hAnsi="宋体" w:eastAsia="宋体" w:cs="宋体"/>
          <w:spacing w:val="-3"/>
          <w:sz w:val="21"/>
          <w:szCs w:val="21"/>
          <w:highlight w:val="none"/>
        </w:rPr>
        <w:t>由。在争议评审期</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间，争议双方暂按总监理工程师的确定执行。</w:t>
      </w:r>
    </w:p>
    <w:p w14:paraId="07FA3B9A">
      <w:pPr>
        <w:spacing w:before="239" w:line="317" w:lineRule="auto"/>
        <w:ind w:right="34" w:firstLine="41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24.3.6</w:t>
      </w:r>
      <w:r>
        <w:rPr>
          <w:rFonts w:ascii="Times New Roman" w:hAnsi="Times New Roman" w:eastAsia="Times New Roman" w:cs="Times New Roman"/>
          <w:spacing w:val="17"/>
          <w:w w:val="101"/>
          <w:sz w:val="21"/>
          <w:szCs w:val="21"/>
          <w:highlight w:val="none"/>
        </w:rPr>
        <w:t xml:space="preserve">   </w:t>
      </w:r>
      <w:r>
        <w:rPr>
          <w:rFonts w:ascii="宋体" w:hAnsi="宋体" w:eastAsia="宋体" w:cs="宋体"/>
          <w:spacing w:val="1"/>
          <w:sz w:val="21"/>
          <w:szCs w:val="21"/>
          <w:highlight w:val="none"/>
        </w:rPr>
        <w:t>发包人和承包人接受评审意见的，由监</w:t>
      </w:r>
      <w:r>
        <w:rPr>
          <w:rFonts w:ascii="宋体" w:hAnsi="宋体" w:eastAsia="宋体" w:cs="宋体"/>
          <w:sz w:val="21"/>
          <w:szCs w:val="21"/>
          <w:highlight w:val="none"/>
        </w:rPr>
        <w:t xml:space="preserve">理人根据评审意见拟定执行协议，经争 </w:t>
      </w:r>
      <w:r>
        <w:rPr>
          <w:rFonts w:ascii="宋体" w:hAnsi="宋体" w:eastAsia="宋体" w:cs="宋体"/>
          <w:spacing w:val="-2"/>
          <w:sz w:val="21"/>
          <w:szCs w:val="21"/>
          <w:highlight w:val="none"/>
        </w:rPr>
        <w:t>议双方签字后作为合同的补充文件，并遵照执行。</w:t>
      </w:r>
    </w:p>
    <w:p w14:paraId="6067B4EA">
      <w:pPr>
        <w:spacing w:before="222" w:line="357" w:lineRule="auto"/>
        <w:ind w:right="25" w:firstLine="410"/>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24.3.7    </w:t>
      </w:r>
      <w:r>
        <w:rPr>
          <w:rFonts w:ascii="宋体" w:hAnsi="宋体" w:eastAsia="宋体" w:cs="宋体"/>
          <w:sz w:val="21"/>
          <w:szCs w:val="21"/>
          <w:highlight w:val="none"/>
        </w:rPr>
        <w:t>发包人或承包人不接受评审意见，并要求提交仲裁或提起诉讼的，应在收到评</w:t>
      </w:r>
      <w:r>
        <w:rPr>
          <w:rFonts w:ascii="宋体" w:hAnsi="宋体" w:eastAsia="宋体" w:cs="宋体"/>
          <w:spacing w:val="2"/>
          <w:sz w:val="21"/>
          <w:szCs w:val="21"/>
          <w:highlight w:val="none"/>
        </w:rPr>
        <w:t xml:space="preserve"> </w:t>
      </w:r>
      <w:r>
        <w:rPr>
          <w:rFonts w:ascii="宋体" w:hAnsi="宋体" w:eastAsia="宋体" w:cs="宋体"/>
          <w:spacing w:val="1"/>
          <w:sz w:val="21"/>
          <w:szCs w:val="21"/>
          <w:highlight w:val="none"/>
        </w:rPr>
        <w:t>审意见后的14 天内将仲裁或起诉意向书面通</w:t>
      </w:r>
      <w:r>
        <w:rPr>
          <w:rFonts w:ascii="宋体" w:hAnsi="宋体" w:eastAsia="宋体" w:cs="宋体"/>
          <w:sz w:val="21"/>
          <w:szCs w:val="21"/>
          <w:highlight w:val="none"/>
        </w:rPr>
        <w:t xml:space="preserve">知另一方，并抄送监理人，但在仲裁或诉讼结 </w:t>
      </w:r>
      <w:r>
        <w:rPr>
          <w:rFonts w:ascii="宋体" w:hAnsi="宋体" w:eastAsia="宋体" w:cs="宋体"/>
          <w:spacing w:val="-3"/>
          <w:sz w:val="21"/>
          <w:szCs w:val="21"/>
          <w:highlight w:val="none"/>
        </w:rPr>
        <w:t>束前应暂按总监理工程师的确定执行。</w:t>
      </w:r>
    </w:p>
    <w:p w14:paraId="3962FCF2">
      <w:pPr>
        <w:spacing w:line="357" w:lineRule="auto"/>
        <w:rPr>
          <w:rFonts w:ascii="宋体" w:hAnsi="宋体" w:eastAsia="宋体" w:cs="宋体"/>
          <w:sz w:val="21"/>
          <w:szCs w:val="21"/>
          <w:highlight w:val="none"/>
        </w:rPr>
        <w:sectPr>
          <w:footerReference r:id="rId218" w:type="default"/>
          <w:pgSz w:w="11910" w:h="16840"/>
          <w:pgMar w:top="400" w:right="1786" w:bottom="1238" w:left="1779" w:header="0" w:footer="1007" w:gutter="0"/>
          <w:cols w:space="720" w:num="1"/>
        </w:sectPr>
      </w:pPr>
    </w:p>
    <w:p w14:paraId="484402B9">
      <w:pPr>
        <w:pStyle w:val="2"/>
        <w:spacing w:line="272" w:lineRule="auto"/>
        <w:rPr>
          <w:highlight w:val="none"/>
        </w:rPr>
      </w:pPr>
    </w:p>
    <w:p w14:paraId="4526FC87">
      <w:pPr>
        <w:pStyle w:val="2"/>
        <w:spacing w:line="272" w:lineRule="auto"/>
        <w:rPr>
          <w:highlight w:val="none"/>
        </w:rPr>
      </w:pPr>
    </w:p>
    <w:p w14:paraId="51DD3BB9">
      <w:pPr>
        <w:pStyle w:val="2"/>
        <w:spacing w:line="272" w:lineRule="auto"/>
        <w:rPr>
          <w:highlight w:val="none"/>
        </w:rPr>
      </w:pPr>
    </w:p>
    <w:p w14:paraId="66F8222A">
      <w:pPr>
        <w:pStyle w:val="2"/>
        <w:spacing w:line="273" w:lineRule="auto"/>
        <w:rPr>
          <w:highlight w:val="none"/>
        </w:rPr>
      </w:pPr>
    </w:p>
    <w:p w14:paraId="3E70F372">
      <w:pPr>
        <w:pStyle w:val="2"/>
        <w:spacing w:line="273" w:lineRule="auto"/>
        <w:rPr>
          <w:highlight w:val="none"/>
        </w:rPr>
      </w:pPr>
    </w:p>
    <w:p w14:paraId="4AFF4AA2">
      <w:pPr>
        <w:pStyle w:val="2"/>
        <w:spacing w:line="273" w:lineRule="auto"/>
        <w:rPr>
          <w:highlight w:val="none"/>
        </w:rPr>
      </w:pPr>
    </w:p>
    <w:p w14:paraId="14D3658E">
      <w:pPr>
        <w:spacing w:before="95" w:line="222" w:lineRule="auto"/>
        <w:ind w:left="2800"/>
        <w:outlineLvl w:val="1"/>
        <w:rPr>
          <w:rFonts w:ascii="黑体" w:hAnsi="黑体" w:eastAsia="黑体" w:cs="黑体"/>
          <w:sz w:val="29"/>
          <w:szCs w:val="29"/>
          <w:highlight w:val="none"/>
        </w:rPr>
      </w:pPr>
      <w:bookmarkStart w:id="211" w:name="bookmark121"/>
      <w:bookmarkEnd w:id="211"/>
      <w:r>
        <w:rPr>
          <w:rFonts w:ascii="黑体" w:hAnsi="黑体" w:eastAsia="黑体" w:cs="黑体"/>
          <w:spacing w:val="10"/>
          <w:sz w:val="29"/>
          <w:szCs w:val="29"/>
          <w:highlight w:val="none"/>
        </w:rPr>
        <w:t>第二节专用合同条款</w:t>
      </w:r>
    </w:p>
    <w:p w14:paraId="58B96ED1">
      <w:pPr>
        <w:spacing w:before="193" w:line="223" w:lineRule="auto"/>
        <w:ind w:left="3560"/>
        <w:rPr>
          <w:rFonts w:ascii="黑体" w:hAnsi="黑体" w:eastAsia="黑体" w:cs="黑体"/>
          <w:sz w:val="29"/>
          <w:szCs w:val="29"/>
          <w:highlight w:val="none"/>
        </w:rPr>
      </w:pPr>
      <w:r>
        <w:rPr>
          <w:rFonts w:ascii="黑体" w:hAnsi="黑体" w:eastAsia="黑体" w:cs="黑体"/>
          <w:spacing w:val="-3"/>
          <w:sz w:val="29"/>
          <w:szCs w:val="29"/>
          <w:highlight w:val="none"/>
        </w:rPr>
        <w:t>专用合同条款</w:t>
      </w:r>
    </w:p>
    <w:p w14:paraId="2DC57FCF">
      <w:pPr>
        <w:spacing w:before="74" w:line="221" w:lineRule="auto"/>
        <w:outlineLvl w:val="1"/>
        <w:rPr>
          <w:rFonts w:ascii="黑体" w:hAnsi="黑体" w:eastAsia="黑体" w:cs="黑体"/>
          <w:sz w:val="24"/>
          <w:szCs w:val="24"/>
          <w:highlight w:val="none"/>
        </w:rPr>
      </w:pPr>
      <w:bookmarkStart w:id="212" w:name="bookmark122"/>
      <w:bookmarkEnd w:id="212"/>
      <w:r>
        <w:rPr>
          <w:rFonts w:ascii="黑体" w:hAnsi="黑体" w:eastAsia="黑体" w:cs="黑体"/>
          <w:spacing w:val="1"/>
          <w:sz w:val="24"/>
          <w:szCs w:val="24"/>
          <w:highlight w:val="none"/>
        </w:rPr>
        <w:t>1.一般约定</w:t>
      </w:r>
    </w:p>
    <w:p w14:paraId="323756C2">
      <w:pPr>
        <w:pStyle w:val="2"/>
        <w:spacing w:before="194" w:line="222" w:lineRule="auto"/>
        <w:rPr>
          <w:rFonts w:ascii="黑体" w:hAnsi="黑体" w:eastAsia="黑体" w:cs="黑体"/>
          <w:sz w:val="22"/>
          <w:szCs w:val="22"/>
          <w:highlight w:val="none"/>
        </w:rPr>
      </w:pPr>
      <w:r>
        <w:rPr>
          <w:spacing w:val="-6"/>
          <w:sz w:val="22"/>
          <w:szCs w:val="22"/>
          <w:highlight w:val="none"/>
        </w:rPr>
        <w:t xml:space="preserve">1.1  </w:t>
      </w:r>
      <w:r>
        <w:rPr>
          <w:rFonts w:ascii="黑体" w:hAnsi="黑体" w:eastAsia="黑体" w:cs="黑体"/>
          <w:spacing w:val="-6"/>
          <w:sz w:val="22"/>
          <w:szCs w:val="22"/>
          <w:highlight w:val="none"/>
        </w:rPr>
        <w:t>词语定义</w:t>
      </w:r>
    </w:p>
    <w:p w14:paraId="094C7901">
      <w:pPr>
        <w:spacing w:before="165" w:line="220" w:lineRule="auto"/>
        <w:ind w:left="410"/>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1.1.2</w:t>
      </w:r>
      <w:r>
        <w:rPr>
          <w:rFonts w:ascii="Times New Roman" w:hAnsi="Times New Roman" w:eastAsia="Times New Roman" w:cs="Times New Roman"/>
          <w:spacing w:val="1"/>
          <w:sz w:val="20"/>
          <w:szCs w:val="20"/>
          <w:highlight w:val="none"/>
        </w:rPr>
        <w:t xml:space="preserve">       </w:t>
      </w:r>
      <w:r>
        <w:rPr>
          <w:rFonts w:ascii="宋体" w:hAnsi="宋体" w:eastAsia="宋体" w:cs="宋体"/>
          <w:spacing w:val="6"/>
          <w:sz w:val="20"/>
          <w:szCs w:val="20"/>
          <w:highlight w:val="none"/>
        </w:rPr>
        <w:t>合同当事人和人员</w:t>
      </w:r>
    </w:p>
    <w:p w14:paraId="4CAB740F">
      <w:pPr>
        <w:spacing w:before="212" w:line="220" w:lineRule="auto"/>
        <w:ind w:left="410"/>
        <w:rPr>
          <w:rFonts w:ascii="宋体" w:hAnsi="宋体" w:eastAsia="宋体" w:cs="宋体"/>
          <w:sz w:val="22"/>
          <w:szCs w:val="22"/>
          <w:highlight w:val="none"/>
        </w:rPr>
      </w:pPr>
      <w:r>
        <w:rPr>
          <w:highlight w:val="none"/>
        </w:rPr>
        <w:fldChar w:fldCharType="begin"/>
      </w:r>
      <w:r>
        <w:rPr>
          <w:highlight w:val="none"/>
        </w:rPr>
        <w:instrText xml:space="preserve"> HYPERLINK "1.1.2.2" </w:instrText>
      </w:r>
      <w:r>
        <w:rPr>
          <w:highlight w:val="none"/>
        </w:rPr>
        <w:fldChar w:fldCharType="separate"/>
      </w:r>
      <w:r>
        <w:rPr>
          <w:rFonts w:ascii="Times New Roman" w:hAnsi="Times New Roman" w:eastAsia="Times New Roman" w:cs="Times New Roman"/>
          <w:spacing w:val="-5"/>
          <w:sz w:val="22"/>
          <w:szCs w:val="22"/>
          <w:highlight w:val="none"/>
        </w:rPr>
        <w:t>1.1.2.2</w:t>
      </w:r>
      <w:r>
        <w:rPr>
          <w:rFonts w:ascii="Times New Roman" w:hAnsi="Times New Roman" w:eastAsia="Times New Roman" w:cs="Times New Roman"/>
          <w:spacing w:val="-5"/>
          <w:sz w:val="22"/>
          <w:szCs w:val="22"/>
          <w:highlight w:val="none"/>
        </w:rPr>
        <w:fldChar w:fldCharType="end"/>
      </w:r>
      <w:r>
        <w:rPr>
          <w:rFonts w:ascii="Times New Roman" w:hAnsi="Times New Roman" w:eastAsia="Times New Roman" w:cs="Times New Roman"/>
          <w:spacing w:val="8"/>
          <w:sz w:val="22"/>
          <w:szCs w:val="22"/>
          <w:highlight w:val="none"/>
        </w:rPr>
        <w:t xml:space="preserve">      </w:t>
      </w:r>
      <w:r>
        <w:rPr>
          <w:rFonts w:ascii="宋体" w:hAnsi="宋体" w:eastAsia="宋体" w:cs="宋体"/>
          <w:spacing w:val="-5"/>
          <w:sz w:val="22"/>
          <w:szCs w:val="22"/>
          <w:highlight w:val="none"/>
        </w:rPr>
        <w:t>发包人：</w:t>
      </w:r>
      <w:r>
        <w:rPr>
          <w:rFonts w:ascii="宋体" w:hAnsi="宋体" w:eastAsia="宋体" w:cs="宋体"/>
          <w:spacing w:val="-5"/>
          <w:sz w:val="22"/>
          <w:szCs w:val="22"/>
          <w:highlight w:val="none"/>
          <w:u w:val="single" w:color="auto"/>
        </w:rPr>
        <w:t xml:space="preserve">                                                      </w:t>
      </w:r>
    </w:p>
    <w:p w14:paraId="58854F07">
      <w:pPr>
        <w:spacing w:before="246" w:line="219" w:lineRule="auto"/>
        <w:ind w:left="410"/>
        <w:rPr>
          <w:rFonts w:ascii="宋体" w:hAnsi="宋体" w:eastAsia="宋体" w:cs="宋体"/>
          <w:sz w:val="20"/>
          <w:szCs w:val="20"/>
          <w:highlight w:val="none"/>
        </w:rPr>
      </w:pPr>
      <w:r>
        <w:rPr>
          <w:highlight w:val="none"/>
        </w:rPr>
        <w:fldChar w:fldCharType="begin"/>
      </w:r>
      <w:r>
        <w:rPr>
          <w:highlight w:val="none"/>
        </w:rPr>
        <w:instrText xml:space="preserve"> HYPERLINK "1.1.2.3" </w:instrText>
      </w:r>
      <w:r>
        <w:rPr>
          <w:highlight w:val="none"/>
        </w:rPr>
        <w:fldChar w:fldCharType="separate"/>
      </w:r>
      <w:r>
        <w:rPr>
          <w:rFonts w:ascii="Times New Roman" w:hAnsi="Times New Roman" w:eastAsia="Times New Roman" w:cs="Times New Roman"/>
          <w:spacing w:val="-3"/>
          <w:sz w:val="20"/>
          <w:szCs w:val="20"/>
          <w:highlight w:val="none"/>
        </w:rPr>
        <w:t>1.1.2.3</w:t>
      </w:r>
      <w:r>
        <w:rPr>
          <w:rFonts w:ascii="Times New Roman" w:hAnsi="Times New Roman" w:eastAsia="Times New Roman" w:cs="Times New Roman"/>
          <w:spacing w:val="-3"/>
          <w:sz w:val="20"/>
          <w:szCs w:val="20"/>
          <w:highlight w:val="none"/>
        </w:rPr>
        <w:fldChar w:fldCharType="end"/>
      </w:r>
      <w:r>
        <w:rPr>
          <w:rFonts w:ascii="Times New Roman" w:hAnsi="Times New Roman" w:eastAsia="Times New Roman" w:cs="Times New Roman"/>
          <w:spacing w:val="2"/>
          <w:sz w:val="20"/>
          <w:szCs w:val="20"/>
          <w:highlight w:val="none"/>
        </w:rPr>
        <w:t xml:space="preserve">        </w:t>
      </w:r>
      <w:r>
        <w:rPr>
          <w:rFonts w:ascii="宋体" w:hAnsi="宋体" w:eastAsia="宋体" w:cs="宋体"/>
          <w:spacing w:val="-3"/>
          <w:sz w:val="20"/>
          <w:szCs w:val="20"/>
          <w:highlight w:val="none"/>
        </w:rPr>
        <w:t>承包人：</w:t>
      </w:r>
      <w:r>
        <w:rPr>
          <w:rFonts w:ascii="宋体" w:hAnsi="宋体" w:eastAsia="宋体" w:cs="宋体"/>
          <w:spacing w:val="-45"/>
          <w:sz w:val="20"/>
          <w:szCs w:val="20"/>
          <w:highlight w:val="none"/>
        </w:rPr>
        <w:t xml:space="preserve"> </w:t>
      </w:r>
      <w:r>
        <w:rPr>
          <w:rFonts w:ascii="宋体" w:hAnsi="宋体" w:eastAsia="宋体" w:cs="宋体"/>
          <w:sz w:val="20"/>
          <w:szCs w:val="20"/>
          <w:highlight w:val="none"/>
          <w:u w:val="single" w:color="auto"/>
        </w:rPr>
        <w:t xml:space="preserve">                                                         </w:t>
      </w:r>
    </w:p>
    <w:p w14:paraId="6925E22E">
      <w:pPr>
        <w:spacing w:before="204" w:line="220" w:lineRule="auto"/>
        <w:ind w:left="410"/>
        <w:rPr>
          <w:rFonts w:ascii="宋体" w:hAnsi="宋体" w:eastAsia="宋体" w:cs="宋体"/>
          <w:sz w:val="22"/>
          <w:szCs w:val="22"/>
          <w:highlight w:val="none"/>
        </w:rPr>
      </w:pPr>
      <w:r>
        <w:rPr>
          <w:highlight w:val="none"/>
        </w:rPr>
        <w:fldChar w:fldCharType="begin"/>
      </w:r>
      <w:r>
        <w:rPr>
          <w:highlight w:val="none"/>
        </w:rPr>
        <w:instrText xml:space="preserve"> HYPERLINK "1.1.2.8" </w:instrText>
      </w:r>
      <w:r>
        <w:rPr>
          <w:highlight w:val="none"/>
        </w:rPr>
        <w:fldChar w:fldCharType="separate"/>
      </w:r>
      <w:r>
        <w:rPr>
          <w:rFonts w:ascii="Times New Roman" w:hAnsi="Times New Roman" w:eastAsia="Times New Roman" w:cs="Times New Roman"/>
          <w:spacing w:val="-7"/>
          <w:sz w:val="22"/>
          <w:szCs w:val="22"/>
          <w:highlight w:val="none"/>
        </w:rPr>
        <w:t>1.1.2.8</w:t>
      </w:r>
      <w:r>
        <w:rPr>
          <w:rFonts w:ascii="Times New Roman" w:hAnsi="Times New Roman" w:eastAsia="Times New Roman" w:cs="Times New Roman"/>
          <w:spacing w:val="-7"/>
          <w:sz w:val="22"/>
          <w:szCs w:val="22"/>
          <w:highlight w:val="none"/>
        </w:rPr>
        <w:fldChar w:fldCharType="end"/>
      </w:r>
      <w:r>
        <w:rPr>
          <w:rFonts w:ascii="Times New Roman" w:hAnsi="Times New Roman" w:eastAsia="Times New Roman" w:cs="Times New Roman"/>
          <w:spacing w:val="-7"/>
          <w:sz w:val="22"/>
          <w:szCs w:val="22"/>
          <w:highlight w:val="none"/>
        </w:rPr>
        <w:t xml:space="preserve">       </w:t>
      </w:r>
      <w:r>
        <w:rPr>
          <w:rFonts w:ascii="宋体" w:hAnsi="宋体" w:eastAsia="宋体" w:cs="宋体"/>
          <w:spacing w:val="-7"/>
          <w:sz w:val="22"/>
          <w:szCs w:val="22"/>
          <w:highlight w:val="none"/>
        </w:rPr>
        <w:t>分包人：</w:t>
      </w:r>
      <w:r>
        <w:rPr>
          <w:rFonts w:ascii="宋体" w:hAnsi="宋体" w:eastAsia="宋体" w:cs="宋体"/>
          <w:spacing w:val="-66"/>
          <w:sz w:val="22"/>
          <w:szCs w:val="22"/>
          <w:highlight w:val="none"/>
        </w:rPr>
        <w:t xml:space="preserve"> </w:t>
      </w:r>
      <w:r>
        <w:rPr>
          <w:rFonts w:ascii="宋体" w:hAnsi="宋体" w:eastAsia="宋体" w:cs="宋体"/>
          <w:sz w:val="22"/>
          <w:szCs w:val="22"/>
          <w:highlight w:val="none"/>
          <w:u w:val="single" w:color="auto"/>
        </w:rPr>
        <w:t xml:space="preserve">                                                    </w:t>
      </w:r>
    </w:p>
    <w:p w14:paraId="4C8EAE91">
      <w:pPr>
        <w:spacing w:before="240" w:line="222" w:lineRule="auto"/>
        <w:ind w:left="410"/>
        <w:rPr>
          <w:rFonts w:ascii="宋体" w:hAnsi="宋体" w:eastAsia="宋体" w:cs="宋体"/>
          <w:sz w:val="20"/>
          <w:szCs w:val="20"/>
          <w:highlight w:val="none"/>
        </w:rPr>
      </w:pPr>
      <w:r>
        <w:rPr>
          <w:highlight w:val="none"/>
        </w:rPr>
        <w:fldChar w:fldCharType="begin"/>
      </w:r>
      <w:r>
        <w:rPr>
          <w:highlight w:val="none"/>
        </w:rPr>
        <w:instrText xml:space="preserve"> HYPERLINK "1.1.2.9" </w:instrText>
      </w:r>
      <w:r>
        <w:rPr>
          <w:highlight w:val="none"/>
        </w:rPr>
        <w:fldChar w:fldCharType="separate"/>
      </w:r>
      <w:r>
        <w:rPr>
          <w:rFonts w:ascii="Times New Roman" w:hAnsi="Times New Roman" w:eastAsia="Times New Roman" w:cs="Times New Roman"/>
          <w:spacing w:val="-2"/>
          <w:sz w:val="20"/>
          <w:szCs w:val="20"/>
          <w:highlight w:val="none"/>
        </w:rPr>
        <w:t>1.1.2.9</w:t>
      </w:r>
      <w:r>
        <w:rPr>
          <w:rFonts w:ascii="Times New Roman" w:hAnsi="Times New Roman" w:eastAsia="Times New Roman" w:cs="Times New Roman"/>
          <w:spacing w:val="-2"/>
          <w:sz w:val="20"/>
          <w:szCs w:val="20"/>
          <w:highlight w:val="none"/>
        </w:rPr>
        <w:fldChar w:fldCharType="end"/>
      </w:r>
      <w:r>
        <w:rPr>
          <w:rFonts w:ascii="Times New Roman" w:hAnsi="Times New Roman" w:eastAsia="Times New Roman" w:cs="Times New Roman"/>
          <w:spacing w:val="-2"/>
          <w:sz w:val="20"/>
          <w:szCs w:val="20"/>
          <w:highlight w:val="none"/>
        </w:rPr>
        <w:t xml:space="preserve">        </w:t>
      </w:r>
      <w:r>
        <w:rPr>
          <w:rFonts w:ascii="宋体" w:hAnsi="宋体" w:eastAsia="宋体" w:cs="宋体"/>
          <w:spacing w:val="-2"/>
          <w:sz w:val="20"/>
          <w:szCs w:val="20"/>
          <w:highlight w:val="none"/>
        </w:rPr>
        <w:t>监理人：</w:t>
      </w:r>
      <w:r>
        <w:rPr>
          <w:rFonts w:ascii="宋体" w:hAnsi="宋体" w:eastAsia="宋体" w:cs="宋体"/>
          <w:spacing w:val="-54"/>
          <w:sz w:val="20"/>
          <w:szCs w:val="20"/>
          <w:highlight w:val="none"/>
        </w:rPr>
        <w:t xml:space="preserve"> </w:t>
      </w:r>
      <w:r>
        <w:rPr>
          <w:rFonts w:ascii="宋体" w:hAnsi="宋体" w:eastAsia="宋体" w:cs="宋体"/>
          <w:sz w:val="20"/>
          <w:szCs w:val="20"/>
          <w:highlight w:val="none"/>
          <w:u w:val="single" w:color="auto"/>
        </w:rPr>
        <w:t xml:space="preserve">                                                         </w:t>
      </w:r>
    </w:p>
    <w:p w14:paraId="1A966160">
      <w:pPr>
        <w:spacing w:before="227" w:line="219" w:lineRule="auto"/>
        <w:ind w:left="410"/>
        <w:rPr>
          <w:rFonts w:ascii="宋体" w:hAnsi="宋体" w:eastAsia="宋体" w:cs="宋体"/>
          <w:sz w:val="21"/>
          <w:szCs w:val="21"/>
          <w:highlight w:val="none"/>
        </w:rPr>
      </w:pPr>
      <w:r>
        <w:rPr>
          <w:rFonts w:ascii="宋体" w:hAnsi="宋体" w:eastAsia="宋体" w:cs="宋体"/>
          <w:spacing w:val="3"/>
          <w:sz w:val="21"/>
          <w:szCs w:val="21"/>
          <w:highlight w:val="none"/>
        </w:rPr>
        <w:t>1.1.2.10总监理工程师：</w:t>
      </w:r>
      <w:r>
        <w:rPr>
          <w:rFonts w:ascii="宋体" w:hAnsi="宋体" w:eastAsia="宋体" w:cs="宋体"/>
          <w:spacing w:val="-32"/>
          <w:sz w:val="21"/>
          <w:szCs w:val="21"/>
          <w:highlight w:val="none"/>
        </w:rPr>
        <w:t xml:space="preserve"> </w:t>
      </w:r>
      <w:r>
        <w:rPr>
          <w:rFonts w:ascii="宋体" w:hAnsi="宋体" w:eastAsia="宋体" w:cs="宋体"/>
          <w:sz w:val="21"/>
          <w:szCs w:val="21"/>
          <w:highlight w:val="none"/>
          <w:u w:val="single" w:color="auto"/>
        </w:rPr>
        <w:t xml:space="preserve">                                                 </w:t>
      </w:r>
    </w:p>
    <w:p w14:paraId="5BC5AE70">
      <w:pPr>
        <w:spacing w:before="241" w:line="220" w:lineRule="auto"/>
        <w:ind w:left="410"/>
        <w:rPr>
          <w:rFonts w:ascii="宋体" w:hAnsi="宋体" w:eastAsia="宋体" w:cs="宋体"/>
          <w:sz w:val="21"/>
          <w:szCs w:val="21"/>
          <w:highlight w:val="none"/>
        </w:rPr>
      </w:pPr>
      <w:r>
        <w:rPr>
          <w:rFonts w:ascii="宋体" w:hAnsi="宋体" w:eastAsia="宋体" w:cs="宋体"/>
          <w:spacing w:val="-5"/>
          <w:sz w:val="21"/>
          <w:szCs w:val="21"/>
          <w:highlight w:val="none"/>
        </w:rPr>
        <w:t>1.1.4</w:t>
      </w:r>
      <w:r>
        <w:rPr>
          <w:rFonts w:ascii="宋体" w:hAnsi="宋体" w:eastAsia="宋体" w:cs="宋体"/>
          <w:spacing w:val="10"/>
          <w:sz w:val="21"/>
          <w:szCs w:val="21"/>
          <w:highlight w:val="none"/>
        </w:rPr>
        <w:t xml:space="preserve">  </w:t>
      </w:r>
      <w:r>
        <w:rPr>
          <w:rFonts w:ascii="宋体" w:hAnsi="宋体" w:eastAsia="宋体" w:cs="宋体"/>
          <w:spacing w:val="-5"/>
          <w:sz w:val="21"/>
          <w:szCs w:val="21"/>
          <w:highlight w:val="none"/>
        </w:rPr>
        <w:t>日期</w:t>
      </w:r>
    </w:p>
    <w:p w14:paraId="1B2792BD">
      <w:pPr>
        <w:spacing w:before="229" w:line="219" w:lineRule="auto"/>
        <w:ind w:left="410"/>
        <w:rPr>
          <w:rFonts w:ascii="宋体" w:hAnsi="宋体" w:eastAsia="宋体" w:cs="宋体"/>
          <w:sz w:val="20"/>
          <w:szCs w:val="20"/>
          <w:highlight w:val="none"/>
        </w:rPr>
      </w:pPr>
      <w:r>
        <w:rPr>
          <w:highlight w:val="none"/>
        </w:rPr>
        <w:fldChar w:fldCharType="begin"/>
      </w:r>
      <w:r>
        <w:rPr>
          <w:highlight w:val="none"/>
        </w:rPr>
        <w:instrText xml:space="preserve"> HYPERLINK "1.1.4.5" </w:instrText>
      </w:r>
      <w:r>
        <w:rPr>
          <w:highlight w:val="none"/>
        </w:rPr>
        <w:fldChar w:fldCharType="separate"/>
      </w:r>
      <w:r>
        <w:rPr>
          <w:rFonts w:ascii="Times New Roman" w:hAnsi="Times New Roman" w:eastAsia="Times New Roman" w:cs="Times New Roman"/>
          <w:spacing w:val="10"/>
          <w:sz w:val="20"/>
          <w:szCs w:val="20"/>
          <w:highlight w:val="none"/>
        </w:rPr>
        <w:t>1.1.4.5</w:t>
      </w:r>
      <w:r>
        <w:rPr>
          <w:rFonts w:ascii="Times New Roman" w:hAnsi="Times New Roman" w:eastAsia="Times New Roman" w:cs="Times New Roman"/>
          <w:spacing w:val="10"/>
          <w:sz w:val="20"/>
          <w:szCs w:val="20"/>
          <w:highlight w:val="none"/>
        </w:rPr>
        <w:fldChar w:fldCharType="end"/>
      </w:r>
      <w:r>
        <w:rPr>
          <w:rFonts w:ascii="Times New Roman" w:hAnsi="Times New Roman" w:eastAsia="Times New Roman" w:cs="Times New Roman"/>
          <w:spacing w:val="3"/>
          <w:sz w:val="20"/>
          <w:szCs w:val="20"/>
          <w:highlight w:val="none"/>
        </w:rPr>
        <w:t xml:space="preserve">        </w:t>
      </w:r>
      <w:r>
        <w:rPr>
          <w:rFonts w:ascii="宋体" w:hAnsi="宋体" w:eastAsia="宋体" w:cs="宋体"/>
          <w:spacing w:val="10"/>
          <w:sz w:val="20"/>
          <w:szCs w:val="20"/>
          <w:highlight w:val="none"/>
        </w:rPr>
        <w:t xml:space="preserve">缺陷责任期(工程质量保修期): </w:t>
      </w:r>
      <w:r>
        <w:rPr>
          <w:rFonts w:ascii="宋体" w:hAnsi="宋体" w:eastAsia="宋体" w:cs="宋体"/>
          <w:sz w:val="20"/>
          <w:szCs w:val="20"/>
          <w:highlight w:val="none"/>
          <w:u w:val="single" w:color="auto"/>
        </w:rPr>
        <w:t xml:space="preserve">                                   </w:t>
      </w:r>
    </w:p>
    <w:p w14:paraId="03E0A431">
      <w:pPr>
        <w:spacing w:before="264" w:line="220" w:lineRule="auto"/>
        <w:ind w:left="410"/>
        <w:rPr>
          <w:rFonts w:ascii="宋体" w:hAnsi="宋体" w:eastAsia="宋体" w:cs="宋体"/>
          <w:sz w:val="22"/>
          <w:szCs w:val="22"/>
          <w:highlight w:val="none"/>
        </w:rPr>
      </w:pPr>
      <w:r>
        <w:rPr>
          <w:highlight w:val="none"/>
        </w:rPr>
        <w:fldChar w:fldCharType="begin"/>
      </w:r>
      <w:r>
        <w:rPr>
          <w:highlight w:val="none"/>
        </w:rPr>
        <w:instrText xml:space="preserve"> HYPERLINK "1.1.3.4" </w:instrText>
      </w:r>
      <w:r>
        <w:rPr>
          <w:highlight w:val="none"/>
        </w:rPr>
        <w:fldChar w:fldCharType="separate"/>
      </w:r>
      <w:r>
        <w:rPr>
          <w:rFonts w:ascii="Times New Roman" w:hAnsi="Times New Roman" w:eastAsia="Times New Roman" w:cs="Times New Roman"/>
          <w:spacing w:val="-5"/>
          <w:sz w:val="22"/>
          <w:szCs w:val="22"/>
          <w:highlight w:val="none"/>
        </w:rPr>
        <w:t>1.1.3.4</w:t>
      </w:r>
      <w:r>
        <w:rPr>
          <w:rFonts w:ascii="Times New Roman" w:hAnsi="Times New Roman" w:eastAsia="Times New Roman" w:cs="Times New Roman"/>
          <w:spacing w:val="-5"/>
          <w:sz w:val="22"/>
          <w:szCs w:val="22"/>
          <w:highlight w:val="none"/>
        </w:rPr>
        <w:fldChar w:fldCharType="end"/>
      </w:r>
      <w:r>
        <w:rPr>
          <w:rFonts w:ascii="Times New Roman" w:hAnsi="Times New Roman" w:eastAsia="Times New Roman" w:cs="Times New Roman"/>
          <w:spacing w:val="5"/>
          <w:sz w:val="22"/>
          <w:szCs w:val="22"/>
          <w:highlight w:val="none"/>
        </w:rPr>
        <w:t xml:space="preserve">      </w:t>
      </w:r>
      <w:r>
        <w:rPr>
          <w:rFonts w:ascii="宋体" w:hAnsi="宋体" w:eastAsia="宋体" w:cs="宋体"/>
          <w:spacing w:val="-5"/>
          <w:sz w:val="22"/>
          <w:szCs w:val="22"/>
          <w:highlight w:val="none"/>
        </w:rPr>
        <w:t>区段工程：</w:t>
      </w:r>
      <w:r>
        <w:rPr>
          <w:rFonts w:ascii="宋体" w:hAnsi="宋体" w:eastAsia="宋体" w:cs="宋体"/>
          <w:spacing w:val="-5"/>
          <w:sz w:val="22"/>
          <w:szCs w:val="22"/>
          <w:highlight w:val="none"/>
          <w:u w:val="single" w:color="auto"/>
        </w:rPr>
        <w:t xml:space="preserve">                                   </w:t>
      </w:r>
      <w:r>
        <w:rPr>
          <w:rFonts w:ascii="宋体" w:hAnsi="宋体" w:eastAsia="宋体" w:cs="宋体"/>
          <w:spacing w:val="-6"/>
          <w:sz w:val="22"/>
          <w:szCs w:val="22"/>
          <w:highlight w:val="none"/>
          <w:u w:val="single" w:color="auto"/>
        </w:rPr>
        <w:t xml:space="preserve">                 </w:t>
      </w:r>
    </w:p>
    <w:p w14:paraId="7839E666">
      <w:pPr>
        <w:spacing w:before="219" w:line="221" w:lineRule="auto"/>
        <w:ind w:left="410"/>
        <w:rPr>
          <w:rFonts w:ascii="宋体" w:hAnsi="宋体" w:eastAsia="宋体" w:cs="宋体"/>
          <w:sz w:val="22"/>
          <w:szCs w:val="22"/>
          <w:highlight w:val="none"/>
        </w:rPr>
      </w:pPr>
      <w:r>
        <w:rPr>
          <w:highlight w:val="none"/>
        </w:rPr>
        <w:fldChar w:fldCharType="begin"/>
      </w:r>
      <w:r>
        <w:rPr>
          <w:highlight w:val="none"/>
        </w:rPr>
        <w:instrText xml:space="preserve"> HYPERLINK "1.1.3.10" </w:instrText>
      </w:r>
      <w:r>
        <w:rPr>
          <w:highlight w:val="none"/>
        </w:rPr>
        <w:fldChar w:fldCharType="separate"/>
      </w:r>
      <w:r>
        <w:rPr>
          <w:rFonts w:ascii="Times New Roman" w:hAnsi="Times New Roman" w:eastAsia="Times New Roman" w:cs="Times New Roman"/>
          <w:spacing w:val="-4"/>
          <w:sz w:val="22"/>
          <w:szCs w:val="22"/>
          <w:highlight w:val="none"/>
        </w:rPr>
        <w:t>1.1.3.10</w:t>
      </w:r>
      <w:r>
        <w:rPr>
          <w:rFonts w:ascii="Times New Roman" w:hAnsi="Times New Roman" w:eastAsia="Times New Roman" w:cs="Times New Roman"/>
          <w:spacing w:val="-4"/>
          <w:sz w:val="22"/>
          <w:szCs w:val="22"/>
          <w:highlight w:val="none"/>
        </w:rPr>
        <w:fldChar w:fldCharType="end"/>
      </w:r>
      <w:r>
        <w:rPr>
          <w:rFonts w:ascii="Times New Roman" w:hAnsi="Times New Roman" w:eastAsia="Times New Roman" w:cs="Times New Roman"/>
          <w:spacing w:val="-4"/>
          <w:sz w:val="22"/>
          <w:szCs w:val="22"/>
          <w:highlight w:val="none"/>
        </w:rPr>
        <w:t xml:space="preserve">       </w:t>
      </w:r>
      <w:r>
        <w:rPr>
          <w:rFonts w:ascii="宋体" w:hAnsi="宋体" w:eastAsia="宋体" w:cs="宋体"/>
          <w:spacing w:val="-4"/>
          <w:sz w:val="22"/>
          <w:szCs w:val="22"/>
          <w:highlight w:val="none"/>
        </w:rPr>
        <w:t>永久占地：</w:t>
      </w:r>
      <w:r>
        <w:rPr>
          <w:rFonts w:ascii="宋体" w:hAnsi="宋体" w:eastAsia="宋体" w:cs="宋体"/>
          <w:spacing w:val="-4"/>
          <w:sz w:val="22"/>
          <w:szCs w:val="22"/>
          <w:highlight w:val="none"/>
          <w:u w:val="single" w:color="auto"/>
        </w:rPr>
        <w:t xml:space="preserve">   </w:t>
      </w:r>
      <w:r>
        <w:rPr>
          <w:rFonts w:ascii="宋体" w:hAnsi="宋体" w:eastAsia="宋体" w:cs="宋体"/>
          <w:spacing w:val="-5"/>
          <w:sz w:val="22"/>
          <w:szCs w:val="22"/>
          <w:highlight w:val="none"/>
          <w:u w:val="single" w:color="auto"/>
        </w:rPr>
        <w:t xml:space="preserve">                                                </w:t>
      </w:r>
    </w:p>
    <w:p w14:paraId="150F93D5">
      <w:pPr>
        <w:spacing w:before="195" w:line="219" w:lineRule="auto"/>
        <w:ind w:left="410"/>
        <w:rPr>
          <w:rFonts w:ascii="宋体" w:hAnsi="宋体" w:eastAsia="宋体" w:cs="宋体"/>
          <w:sz w:val="22"/>
          <w:szCs w:val="22"/>
          <w:highlight w:val="none"/>
        </w:rPr>
      </w:pPr>
      <w:r>
        <w:rPr>
          <w:highlight w:val="none"/>
        </w:rPr>
        <w:fldChar w:fldCharType="begin"/>
      </w:r>
      <w:r>
        <w:rPr>
          <w:highlight w:val="none"/>
        </w:rPr>
        <w:instrText xml:space="preserve"> HYPERLINK "1.1.3.11" </w:instrText>
      </w:r>
      <w:r>
        <w:rPr>
          <w:highlight w:val="none"/>
        </w:rPr>
        <w:fldChar w:fldCharType="separate"/>
      </w:r>
      <w:r>
        <w:rPr>
          <w:rFonts w:ascii="Times New Roman" w:hAnsi="Times New Roman" w:eastAsia="Times New Roman" w:cs="Times New Roman"/>
          <w:spacing w:val="-4"/>
          <w:sz w:val="22"/>
          <w:szCs w:val="22"/>
          <w:highlight w:val="none"/>
        </w:rPr>
        <w:t>1.1.3.11</w:t>
      </w:r>
      <w:r>
        <w:rPr>
          <w:rFonts w:ascii="Times New Roman" w:hAnsi="Times New Roman" w:eastAsia="Times New Roman" w:cs="Times New Roman"/>
          <w:spacing w:val="-4"/>
          <w:sz w:val="22"/>
          <w:szCs w:val="22"/>
          <w:highlight w:val="none"/>
        </w:rPr>
        <w:fldChar w:fldCharType="end"/>
      </w:r>
      <w:r>
        <w:rPr>
          <w:rFonts w:ascii="Times New Roman" w:hAnsi="Times New Roman" w:eastAsia="Times New Roman" w:cs="Times New Roman"/>
          <w:spacing w:val="-4"/>
          <w:sz w:val="22"/>
          <w:szCs w:val="22"/>
          <w:highlight w:val="none"/>
        </w:rPr>
        <w:t xml:space="preserve">       </w:t>
      </w:r>
      <w:r>
        <w:rPr>
          <w:rFonts w:ascii="宋体" w:hAnsi="宋体" w:eastAsia="宋体" w:cs="宋体"/>
          <w:spacing w:val="-4"/>
          <w:sz w:val="22"/>
          <w:szCs w:val="22"/>
          <w:highlight w:val="none"/>
        </w:rPr>
        <w:t>临时占地：</w:t>
      </w:r>
      <w:r>
        <w:rPr>
          <w:rFonts w:ascii="宋体" w:hAnsi="宋体" w:eastAsia="宋体" w:cs="宋体"/>
          <w:spacing w:val="-4"/>
          <w:sz w:val="22"/>
          <w:szCs w:val="22"/>
          <w:highlight w:val="none"/>
          <w:u w:val="single" w:color="auto"/>
        </w:rPr>
        <w:t xml:space="preserve">         </w:t>
      </w:r>
      <w:r>
        <w:rPr>
          <w:rFonts w:ascii="宋体" w:hAnsi="宋体" w:eastAsia="宋体" w:cs="宋体"/>
          <w:spacing w:val="-5"/>
          <w:sz w:val="22"/>
          <w:szCs w:val="22"/>
          <w:highlight w:val="none"/>
          <w:u w:val="single" w:color="auto"/>
        </w:rPr>
        <w:t xml:space="preserve">                                           </w:t>
      </w:r>
    </w:p>
    <w:p w14:paraId="1DC8C4F9">
      <w:pPr>
        <w:spacing w:before="267" w:line="221" w:lineRule="auto"/>
        <w:rPr>
          <w:rFonts w:ascii="黑体" w:hAnsi="黑体" w:eastAsia="黑体" w:cs="黑体"/>
          <w:sz w:val="22"/>
          <w:szCs w:val="22"/>
          <w:highlight w:val="none"/>
        </w:rPr>
      </w:pPr>
      <w:r>
        <w:rPr>
          <w:rFonts w:ascii="黑体" w:hAnsi="黑体" w:eastAsia="黑体" w:cs="黑体"/>
          <w:spacing w:val="-2"/>
          <w:sz w:val="22"/>
          <w:szCs w:val="22"/>
          <w:highlight w:val="none"/>
        </w:rPr>
        <w:t>1.4合同文件的优先顺序</w:t>
      </w:r>
    </w:p>
    <w:p w14:paraId="3AE8F9AC">
      <w:pPr>
        <w:spacing w:before="149" w:line="219" w:lineRule="auto"/>
        <w:ind w:left="410"/>
        <w:rPr>
          <w:rFonts w:ascii="宋体" w:hAnsi="宋体" w:eastAsia="宋体" w:cs="宋体"/>
          <w:sz w:val="23"/>
          <w:szCs w:val="23"/>
          <w:highlight w:val="none"/>
        </w:rPr>
      </w:pPr>
      <w:r>
        <w:rPr>
          <w:rFonts w:ascii="宋体" w:hAnsi="宋体" w:eastAsia="宋体" w:cs="宋体"/>
          <w:spacing w:val="-19"/>
          <w:w w:val="96"/>
          <w:sz w:val="23"/>
          <w:szCs w:val="23"/>
          <w:highlight w:val="none"/>
        </w:rPr>
        <w:t>进入合同的各项文件及其优先顺序是</w:t>
      </w:r>
      <w:r>
        <w:rPr>
          <w:rFonts w:ascii="宋体" w:hAnsi="宋体" w:eastAsia="宋体" w:cs="宋体"/>
          <w:spacing w:val="-85"/>
          <w:sz w:val="23"/>
          <w:szCs w:val="23"/>
          <w:highlight w:val="none"/>
        </w:rPr>
        <w:t xml:space="preserve"> </w:t>
      </w:r>
      <w:r>
        <w:rPr>
          <w:rFonts w:ascii="宋体" w:hAnsi="宋体" w:eastAsia="宋体" w:cs="宋体"/>
          <w:sz w:val="23"/>
          <w:szCs w:val="23"/>
          <w:highlight w:val="none"/>
          <w:u w:val="single" w:color="auto"/>
        </w:rPr>
        <w:t xml:space="preserve">                                      </w:t>
      </w:r>
    </w:p>
    <w:p w14:paraId="60A5F8E9">
      <w:pPr>
        <w:spacing w:before="276" w:line="222" w:lineRule="auto"/>
        <w:rPr>
          <w:rFonts w:ascii="黑体" w:hAnsi="黑体" w:eastAsia="黑体" w:cs="黑体"/>
          <w:sz w:val="22"/>
          <w:szCs w:val="22"/>
          <w:highlight w:val="none"/>
        </w:rPr>
      </w:pPr>
      <w:r>
        <w:rPr>
          <w:rFonts w:ascii="黑体" w:hAnsi="黑体" w:eastAsia="黑体" w:cs="黑体"/>
          <w:spacing w:val="-2"/>
          <w:sz w:val="22"/>
          <w:szCs w:val="22"/>
          <w:highlight w:val="none"/>
        </w:rPr>
        <w:t>1.6文件的提供和照管</w:t>
      </w:r>
    </w:p>
    <w:p w14:paraId="63E18CEE">
      <w:pPr>
        <w:spacing w:before="154" w:line="219" w:lineRule="auto"/>
        <w:ind w:left="410"/>
        <w:rPr>
          <w:rFonts w:ascii="宋体" w:hAnsi="宋体" w:eastAsia="宋体" w:cs="宋体"/>
          <w:sz w:val="20"/>
          <w:szCs w:val="20"/>
          <w:highlight w:val="none"/>
        </w:rPr>
      </w:pPr>
      <w:r>
        <w:rPr>
          <w:rFonts w:ascii="Times New Roman" w:hAnsi="Times New Roman" w:eastAsia="Times New Roman" w:cs="Times New Roman"/>
          <w:spacing w:val="-3"/>
          <w:sz w:val="20"/>
          <w:szCs w:val="20"/>
          <w:highlight w:val="none"/>
        </w:rPr>
        <w:t xml:space="preserve">1.6.1      </w:t>
      </w:r>
      <w:r>
        <w:rPr>
          <w:rFonts w:ascii="宋体" w:hAnsi="宋体" w:eastAsia="宋体" w:cs="宋体"/>
          <w:spacing w:val="-3"/>
          <w:sz w:val="20"/>
          <w:szCs w:val="20"/>
          <w:highlight w:val="none"/>
        </w:rPr>
        <w:t xml:space="preserve">承包人提供的文件：  </w:t>
      </w:r>
      <w:r>
        <w:rPr>
          <w:rFonts w:ascii="宋体" w:hAnsi="宋体" w:eastAsia="宋体" w:cs="宋体"/>
          <w:spacing w:val="-3"/>
          <w:sz w:val="20"/>
          <w:szCs w:val="20"/>
          <w:highlight w:val="none"/>
          <w:u w:val="single" w:color="auto"/>
        </w:rPr>
        <w:t xml:space="preserve">                                                   </w:t>
      </w:r>
    </w:p>
    <w:p w14:paraId="2A56BD78">
      <w:pPr>
        <w:spacing w:before="254" w:line="219" w:lineRule="auto"/>
        <w:ind w:left="41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1.6.2</w:t>
      </w:r>
      <w:r>
        <w:rPr>
          <w:rFonts w:ascii="Times New Roman" w:hAnsi="Times New Roman" w:eastAsia="Times New Roman" w:cs="Times New Roman"/>
          <w:spacing w:val="8"/>
          <w:sz w:val="22"/>
          <w:szCs w:val="22"/>
          <w:highlight w:val="none"/>
        </w:rPr>
        <w:t xml:space="preserve">     </w:t>
      </w:r>
      <w:r>
        <w:rPr>
          <w:rFonts w:ascii="宋体" w:hAnsi="宋体" w:eastAsia="宋体" w:cs="宋体"/>
          <w:spacing w:val="-3"/>
          <w:sz w:val="22"/>
          <w:szCs w:val="22"/>
          <w:highlight w:val="none"/>
        </w:rPr>
        <w:t>发包人提供的文件</w:t>
      </w:r>
      <w:r>
        <w:rPr>
          <w:rFonts w:ascii="宋体" w:hAnsi="宋体" w:eastAsia="宋体" w:cs="宋体"/>
          <w:spacing w:val="-3"/>
          <w:sz w:val="22"/>
          <w:szCs w:val="22"/>
          <w:highlight w:val="none"/>
          <w:u w:val="single" w:color="auto"/>
        </w:rPr>
        <w:t>：</w:t>
      </w:r>
      <w:r>
        <w:rPr>
          <w:rFonts w:ascii="宋体" w:hAnsi="宋体" w:eastAsia="宋体" w:cs="宋体"/>
          <w:sz w:val="22"/>
          <w:szCs w:val="22"/>
          <w:highlight w:val="none"/>
          <w:u w:val="single" w:color="auto"/>
        </w:rPr>
        <w:t xml:space="preserve">                                             </w:t>
      </w:r>
    </w:p>
    <w:p w14:paraId="06F30105">
      <w:pPr>
        <w:spacing w:before="268" w:line="221" w:lineRule="auto"/>
        <w:rPr>
          <w:rFonts w:ascii="黑体" w:hAnsi="黑体" w:eastAsia="黑体" w:cs="黑体"/>
          <w:sz w:val="22"/>
          <w:szCs w:val="22"/>
          <w:highlight w:val="none"/>
        </w:rPr>
      </w:pPr>
      <w:r>
        <w:rPr>
          <w:rFonts w:ascii="黑体" w:hAnsi="黑体" w:eastAsia="黑体" w:cs="黑体"/>
          <w:spacing w:val="13"/>
          <w:sz w:val="22"/>
          <w:szCs w:val="22"/>
          <w:highlight w:val="none"/>
        </w:rPr>
        <w:t>1.7联络</w:t>
      </w:r>
    </w:p>
    <w:p w14:paraId="3A74F2FB">
      <w:pPr>
        <w:spacing w:before="169" w:line="219" w:lineRule="auto"/>
        <w:ind w:left="410"/>
        <w:rPr>
          <w:rFonts w:ascii="宋体" w:hAnsi="宋体" w:eastAsia="宋体" w:cs="宋体"/>
          <w:sz w:val="22"/>
          <w:szCs w:val="22"/>
          <w:highlight w:val="none"/>
        </w:rPr>
      </w:pPr>
      <w:r>
        <w:rPr>
          <w:rFonts w:ascii="Times New Roman" w:hAnsi="Times New Roman" w:eastAsia="Times New Roman" w:cs="Times New Roman"/>
          <w:spacing w:val="-1"/>
          <w:sz w:val="22"/>
          <w:szCs w:val="22"/>
          <w:highlight w:val="none"/>
        </w:rPr>
        <w:t xml:space="preserve">1.7.2     </w:t>
      </w:r>
      <w:r>
        <w:rPr>
          <w:rFonts w:ascii="宋体" w:hAnsi="宋体" w:eastAsia="宋体" w:cs="宋体"/>
          <w:spacing w:val="-1"/>
          <w:sz w:val="22"/>
          <w:szCs w:val="22"/>
          <w:highlight w:val="none"/>
        </w:rPr>
        <w:t>来往函件均应按技术标准和要求(合同</w:t>
      </w:r>
      <w:r>
        <w:rPr>
          <w:rFonts w:ascii="宋体" w:hAnsi="宋体" w:eastAsia="宋体" w:cs="宋体"/>
          <w:spacing w:val="-2"/>
          <w:sz w:val="22"/>
          <w:szCs w:val="22"/>
          <w:highlight w:val="none"/>
        </w:rPr>
        <w:t>技术条款)约定的期限送达</w:t>
      </w:r>
      <w:r>
        <w:rPr>
          <w:rFonts w:ascii="宋体" w:hAnsi="宋体" w:eastAsia="宋体" w:cs="宋体"/>
          <w:spacing w:val="-2"/>
          <w:sz w:val="22"/>
          <w:szCs w:val="22"/>
          <w:highlight w:val="none"/>
          <w:u w:val="single" w:color="auto"/>
        </w:rPr>
        <w:t xml:space="preserve">        </w:t>
      </w:r>
    </w:p>
    <w:p w14:paraId="479864D0">
      <w:pPr>
        <w:spacing w:before="199" w:line="219" w:lineRule="auto"/>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1.11</w:t>
      </w:r>
      <w:r>
        <w:rPr>
          <w:rFonts w:ascii="Times New Roman" w:hAnsi="Times New Roman" w:eastAsia="Times New Roman" w:cs="Times New Roman"/>
          <w:spacing w:val="19"/>
          <w:sz w:val="22"/>
          <w:szCs w:val="22"/>
          <w:highlight w:val="none"/>
        </w:rPr>
        <w:t xml:space="preserve"> </w:t>
      </w:r>
      <w:r>
        <w:rPr>
          <w:rFonts w:ascii="宋体" w:hAnsi="宋体" w:eastAsia="宋体" w:cs="宋体"/>
          <w:spacing w:val="-5"/>
          <w:sz w:val="22"/>
          <w:szCs w:val="22"/>
          <w:highlight w:val="none"/>
        </w:rPr>
        <w:t>知识产权</w:t>
      </w:r>
    </w:p>
    <w:p w14:paraId="5A8056A9">
      <w:pPr>
        <w:spacing w:before="229" w:line="219" w:lineRule="auto"/>
        <w:ind w:left="410"/>
        <w:rPr>
          <w:rFonts w:ascii="宋体" w:hAnsi="宋体" w:eastAsia="宋体" w:cs="宋体"/>
          <w:sz w:val="21"/>
          <w:szCs w:val="21"/>
          <w:highlight w:val="none"/>
        </w:rPr>
      </w:pPr>
      <w:r>
        <w:rPr>
          <w:rFonts w:ascii="宋体" w:hAnsi="宋体" w:eastAsia="宋体" w:cs="宋体"/>
          <w:spacing w:val="-2"/>
          <w:sz w:val="21"/>
          <w:szCs w:val="21"/>
          <w:highlight w:val="none"/>
        </w:rPr>
        <w:t>1.11.1</w:t>
      </w:r>
      <w:r>
        <w:rPr>
          <w:rFonts w:ascii="宋体" w:hAnsi="宋体" w:eastAsia="宋体" w:cs="宋体"/>
          <w:spacing w:val="12"/>
          <w:sz w:val="21"/>
          <w:szCs w:val="21"/>
          <w:highlight w:val="none"/>
        </w:rPr>
        <w:t xml:space="preserve">  </w:t>
      </w:r>
      <w:r>
        <w:rPr>
          <w:rFonts w:ascii="宋体" w:hAnsi="宋体" w:eastAsia="宋体" w:cs="宋体"/>
          <w:spacing w:val="-2"/>
          <w:sz w:val="21"/>
          <w:szCs w:val="21"/>
          <w:highlight w:val="none"/>
        </w:rPr>
        <w:t>知识产权：</w:t>
      </w:r>
      <w:r>
        <w:rPr>
          <w:rFonts w:ascii="宋体" w:hAnsi="宋体" w:eastAsia="宋体" w:cs="宋体"/>
          <w:spacing w:val="-2"/>
          <w:sz w:val="21"/>
          <w:szCs w:val="21"/>
          <w:highlight w:val="none"/>
          <w:u w:val="single" w:color="auto"/>
        </w:rPr>
        <w:t xml:space="preserve">                             </w:t>
      </w:r>
      <w:r>
        <w:rPr>
          <w:rFonts w:ascii="宋体" w:hAnsi="宋体" w:eastAsia="宋体" w:cs="宋体"/>
          <w:spacing w:val="-3"/>
          <w:sz w:val="21"/>
          <w:szCs w:val="21"/>
          <w:highlight w:val="none"/>
          <w:u w:val="single" w:color="auto"/>
        </w:rPr>
        <w:t xml:space="preserve">                              </w:t>
      </w:r>
    </w:p>
    <w:p w14:paraId="5CB34493">
      <w:pPr>
        <w:spacing w:before="279" w:line="221" w:lineRule="auto"/>
        <w:rPr>
          <w:rFonts w:ascii="黑体" w:hAnsi="黑体" w:eastAsia="黑体" w:cs="黑体"/>
          <w:sz w:val="22"/>
          <w:szCs w:val="22"/>
          <w:highlight w:val="none"/>
        </w:rPr>
      </w:pPr>
      <w:r>
        <w:rPr>
          <w:rFonts w:ascii="黑体" w:hAnsi="黑体" w:eastAsia="黑体" w:cs="黑体"/>
          <w:spacing w:val="-2"/>
          <w:sz w:val="22"/>
          <w:szCs w:val="22"/>
          <w:highlight w:val="none"/>
        </w:rPr>
        <w:t>1.13发包人要求中的错误</w:t>
      </w:r>
    </w:p>
    <w:p w14:paraId="44B9ED9A">
      <w:pPr>
        <w:spacing w:before="138" w:line="228" w:lineRule="auto"/>
        <w:ind w:left="410"/>
        <w:rPr>
          <w:rFonts w:ascii="宋体" w:hAnsi="宋体" w:eastAsia="宋体" w:cs="宋体"/>
          <w:sz w:val="21"/>
          <w:szCs w:val="21"/>
          <w:highlight w:val="none"/>
        </w:rPr>
      </w:pPr>
      <w:r>
        <w:rPr>
          <w:rFonts w:ascii="宋体" w:hAnsi="宋体" w:eastAsia="宋体" w:cs="宋体"/>
          <w:spacing w:val="-11"/>
          <w:position w:val="-1"/>
          <w:sz w:val="24"/>
          <w:szCs w:val="24"/>
          <w:highlight w:val="none"/>
        </w:rPr>
        <w:t>适用通用条款中的</w:t>
      </w:r>
      <w:r>
        <w:rPr>
          <w:rFonts w:ascii="宋体" w:hAnsi="宋体" w:eastAsia="宋体" w:cs="宋体"/>
          <w:spacing w:val="-87"/>
          <w:position w:val="-1"/>
          <w:sz w:val="24"/>
          <w:szCs w:val="24"/>
          <w:highlight w:val="none"/>
        </w:rPr>
        <w:t xml:space="preserve"> </w:t>
      </w:r>
      <w:r>
        <w:rPr>
          <w:rFonts w:ascii="宋体" w:hAnsi="宋体" w:eastAsia="宋体" w:cs="宋体"/>
          <w:spacing w:val="2"/>
          <w:position w:val="-1"/>
          <w:sz w:val="24"/>
          <w:szCs w:val="24"/>
          <w:highlight w:val="none"/>
          <w:u w:val="single" w:color="auto"/>
        </w:rPr>
        <w:t xml:space="preserve">       </w:t>
      </w:r>
      <w:r>
        <w:rPr>
          <w:rFonts w:ascii="宋体" w:hAnsi="宋体" w:eastAsia="宋体" w:cs="宋体"/>
          <w:spacing w:val="-115"/>
          <w:position w:val="-1"/>
          <w:sz w:val="24"/>
          <w:szCs w:val="24"/>
          <w:highlight w:val="none"/>
        </w:rPr>
        <w:t xml:space="preserve"> </w:t>
      </w:r>
      <w:r>
        <w:rPr>
          <w:rFonts w:ascii="宋体" w:hAnsi="宋体" w:eastAsia="宋体" w:cs="宋体"/>
          <w:spacing w:val="-11"/>
          <w:position w:val="2"/>
          <w:sz w:val="21"/>
          <w:szCs w:val="21"/>
          <w:highlight w:val="none"/>
        </w:rPr>
        <w:t>条款，其他要求：</w:t>
      </w:r>
      <w:r>
        <w:rPr>
          <w:rFonts w:ascii="宋体" w:hAnsi="宋体" w:eastAsia="宋体" w:cs="宋体"/>
          <w:spacing w:val="-11"/>
          <w:position w:val="2"/>
          <w:sz w:val="21"/>
          <w:szCs w:val="21"/>
          <w:highlight w:val="none"/>
          <w:u w:val="single" w:color="auto"/>
        </w:rPr>
        <w:t xml:space="preserve">                                 </w:t>
      </w:r>
    </w:p>
    <w:p w14:paraId="29D4D997">
      <w:pPr>
        <w:spacing w:line="228" w:lineRule="auto"/>
        <w:rPr>
          <w:rFonts w:ascii="宋体" w:hAnsi="宋体" w:eastAsia="宋体" w:cs="宋体"/>
          <w:sz w:val="21"/>
          <w:szCs w:val="21"/>
          <w:highlight w:val="none"/>
        </w:rPr>
        <w:sectPr>
          <w:footerReference r:id="rId219" w:type="default"/>
          <w:pgSz w:w="11910" w:h="16840"/>
          <w:pgMar w:top="400" w:right="1779" w:bottom="1184" w:left="1779" w:header="0" w:footer="1024" w:gutter="0"/>
          <w:cols w:space="720" w:num="1"/>
        </w:sectPr>
      </w:pPr>
    </w:p>
    <w:p w14:paraId="3A951976">
      <w:pPr>
        <w:pStyle w:val="2"/>
        <w:spacing w:line="248" w:lineRule="auto"/>
        <w:rPr>
          <w:highlight w:val="none"/>
        </w:rPr>
      </w:pPr>
    </w:p>
    <w:p w14:paraId="156B3D01">
      <w:pPr>
        <w:pStyle w:val="2"/>
        <w:spacing w:line="248" w:lineRule="auto"/>
        <w:rPr>
          <w:highlight w:val="none"/>
        </w:rPr>
      </w:pPr>
    </w:p>
    <w:p w14:paraId="6EADEE14">
      <w:pPr>
        <w:pStyle w:val="2"/>
        <w:spacing w:line="248" w:lineRule="auto"/>
        <w:rPr>
          <w:highlight w:val="none"/>
        </w:rPr>
      </w:pPr>
    </w:p>
    <w:p w14:paraId="6C6A0ED2">
      <w:pPr>
        <w:pStyle w:val="2"/>
        <w:spacing w:line="249" w:lineRule="auto"/>
        <w:rPr>
          <w:highlight w:val="none"/>
        </w:rPr>
      </w:pPr>
    </w:p>
    <w:p w14:paraId="6C10DC17">
      <w:pPr>
        <w:pStyle w:val="2"/>
        <w:spacing w:before="78" w:line="221" w:lineRule="auto"/>
        <w:outlineLvl w:val="1"/>
        <w:rPr>
          <w:rFonts w:ascii="黑体" w:hAnsi="黑体" w:eastAsia="黑体" w:cs="黑体"/>
          <w:sz w:val="24"/>
          <w:szCs w:val="24"/>
          <w:highlight w:val="none"/>
        </w:rPr>
      </w:pPr>
      <w:bookmarkStart w:id="213" w:name="bookmark123"/>
      <w:bookmarkEnd w:id="213"/>
      <w:r>
        <w:rPr>
          <w:sz w:val="24"/>
          <w:szCs w:val="24"/>
          <w:highlight w:val="none"/>
        </w:rPr>
        <w:t>2.</w:t>
      </w:r>
      <w:r>
        <w:rPr>
          <w:spacing w:val="51"/>
          <w:sz w:val="24"/>
          <w:szCs w:val="24"/>
          <w:highlight w:val="none"/>
        </w:rPr>
        <w:t xml:space="preserve"> </w:t>
      </w:r>
      <w:r>
        <w:rPr>
          <w:rFonts w:ascii="黑体" w:hAnsi="黑体" w:eastAsia="黑体" w:cs="黑体"/>
          <w:sz w:val="24"/>
          <w:szCs w:val="24"/>
          <w:highlight w:val="none"/>
        </w:rPr>
        <w:t>发包人义务</w:t>
      </w:r>
    </w:p>
    <w:p w14:paraId="69780588">
      <w:pPr>
        <w:pStyle w:val="2"/>
        <w:spacing w:before="134" w:line="300" w:lineRule="exact"/>
        <w:rPr>
          <w:rFonts w:ascii="黑体" w:hAnsi="黑体" w:eastAsia="黑体" w:cs="黑体"/>
          <w:sz w:val="22"/>
          <w:szCs w:val="22"/>
          <w:highlight w:val="none"/>
        </w:rPr>
      </w:pPr>
      <w:r>
        <w:rPr>
          <w:spacing w:val="-6"/>
          <w:position w:val="1"/>
          <w:sz w:val="22"/>
          <w:szCs w:val="22"/>
          <w:highlight w:val="none"/>
        </w:rPr>
        <w:t xml:space="preserve">2.3  </w:t>
      </w:r>
      <w:r>
        <w:rPr>
          <w:rFonts w:ascii="黑体" w:hAnsi="黑体" w:eastAsia="黑体" w:cs="黑体"/>
          <w:spacing w:val="-6"/>
          <w:position w:val="1"/>
          <w:sz w:val="22"/>
          <w:szCs w:val="22"/>
          <w:highlight w:val="none"/>
        </w:rPr>
        <w:t>提供施工场地</w:t>
      </w:r>
    </w:p>
    <w:p w14:paraId="5280BFF1">
      <w:pPr>
        <w:spacing w:before="188" w:line="219" w:lineRule="auto"/>
        <w:ind w:left="430"/>
        <w:rPr>
          <w:rFonts w:ascii="宋体" w:hAnsi="宋体" w:eastAsia="宋体" w:cs="宋体"/>
          <w:sz w:val="20"/>
          <w:szCs w:val="20"/>
          <w:highlight w:val="none"/>
        </w:rPr>
      </w:pPr>
      <w:r>
        <w:rPr>
          <w:rFonts w:ascii="宋体" w:hAnsi="宋体" w:eastAsia="宋体" w:cs="宋体"/>
          <w:sz w:val="20"/>
          <w:szCs w:val="20"/>
          <w:highlight w:val="none"/>
        </w:rPr>
        <w:t>发包人提供的施工场地范围为：</w:t>
      </w:r>
      <w:r>
        <w:rPr>
          <w:rFonts w:ascii="宋体" w:hAnsi="宋体" w:eastAsia="宋体" w:cs="宋体"/>
          <w:spacing w:val="58"/>
          <w:sz w:val="20"/>
          <w:szCs w:val="20"/>
          <w:highlight w:val="none"/>
        </w:rPr>
        <w:t xml:space="preserve"> </w:t>
      </w:r>
      <w:r>
        <w:rPr>
          <w:rFonts w:ascii="宋体" w:hAnsi="宋体" w:eastAsia="宋体" w:cs="宋体"/>
          <w:sz w:val="20"/>
          <w:szCs w:val="20"/>
          <w:highlight w:val="none"/>
          <w:u w:val="single" w:color="auto"/>
        </w:rPr>
        <w:t xml:space="preserve">                                             </w:t>
      </w:r>
    </w:p>
    <w:p w14:paraId="7B00FE92">
      <w:pPr>
        <w:spacing w:before="272" w:line="291" w:lineRule="auto"/>
        <w:ind w:left="430" w:right="7104" w:hanging="430"/>
        <w:rPr>
          <w:rFonts w:ascii="宋体" w:hAnsi="宋体" w:eastAsia="宋体" w:cs="宋体"/>
          <w:sz w:val="21"/>
          <w:szCs w:val="21"/>
          <w:highlight w:val="none"/>
        </w:rPr>
      </w:pPr>
      <w:r>
        <w:rPr>
          <w:rFonts w:ascii="黑体" w:hAnsi="黑体" w:eastAsia="黑体" w:cs="黑体"/>
          <w:spacing w:val="6"/>
          <w:sz w:val="22"/>
          <w:szCs w:val="22"/>
          <w:highlight w:val="none"/>
        </w:rPr>
        <w:t>2.7其它义务</w:t>
      </w:r>
      <w:r>
        <w:rPr>
          <w:rFonts w:ascii="黑体" w:hAnsi="黑体" w:eastAsia="黑体" w:cs="黑体"/>
          <w:spacing w:val="5"/>
          <w:sz w:val="22"/>
          <w:szCs w:val="22"/>
          <w:highlight w:val="none"/>
        </w:rPr>
        <w:t xml:space="preserve"> </w:t>
      </w:r>
      <w:r>
        <w:rPr>
          <w:rFonts w:ascii="宋体" w:hAnsi="宋体" w:eastAsia="宋体" w:cs="宋体"/>
          <w:spacing w:val="-10"/>
          <w:sz w:val="21"/>
          <w:szCs w:val="21"/>
          <w:highlight w:val="none"/>
        </w:rPr>
        <w:t>(1)……</w:t>
      </w:r>
    </w:p>
    <w:p w14:paraId="5E5E15A9">
      <w:pPr>
        <w:spacing w:before="227" w:line="222" w:lineRule="auto"/>
        <w:ind w:left="430"/>
        <w:rPr>
          <w:rFonts w:ascii="宋体" w:hAnsi="宋体" w:eastAsia="宋体" w:cs="宋体"/>
          <w:sz w:val="21"/>
          <w:szCs w:val="21"/>
          <w:highlight w:val="none"/>
        </w:rPr>
      </w:pPr>
      <w:r>
        <w:rPr>
          <w:rFonts w:ascii="宋体" w:hAnsi="宋体" w:eastAsia="宋体" w:cs="宋体"/>
          <w:spacing w:val="-10"/>
          <w:sz w:val="21"/>
          <w:szCs w:val="21"/>
          <w:highlight w:val="none"/>
        </w:rPr>
        <w:t>(2)……</w:t>
      </w:r>
    </w:p>
    <w:p w14:paraId="6AFE82AB">
      <w:pPr>
        <w:pStyle w:val="2"/>
        <w:spacing w:before="154" w:line="327" w:lineRule="exact"/>
        <w:outlineLvl w:val="1"/>
        <w:rPr>
          <w:rFonts w:ascii="黑体" w:hAnsi="黑体" w:eastAsia="黑体" w:cs="黑体"/>
          <w:sz w:val="24"/>
          <w:szCs w:val="24"/>
          <w:highlight w:val="none"/>
        </w:rPr>
      </w:pPr>
      <w:bookmarkStart w:id="214" w:name="bookmark124"/>
      <w:bookmarkEnd w:id="214"/>
      <w:r>
        <w:rPr>
          <w:spacing w:val="4"/>
          <w:position w:val="1"/>
          <w:sz w:val="24"/>
          <w:szCs w:val="24"/>
          <w:highlight w:val="none"/>
        </w:rPr>
        <w:t>3.</w:t>
      </w:r>
      <w:r>
        <w:rPr>
          <w:spacing w:val="33"/>
          <w:position w:val="1"/>
          <w:sz w:val="24"/>
          <w:szCs w:val="24"/>
          <w:highlight w:val="none"/>
        </w:rPr>
        <w:t xml:space="preserve"> </w:t>
      </w:r>
      <w:r>
        <w:rPr>
          <w:rFonts w:ascii="黑体" w:hAnsi="黑体" w:eastAsia="黑体" w:cs="黑体"/>
          <w:spacing w:val="4"/>
          <w:position w:val="1"/>
          <w:sz w:val="24"/>
          <w:szCs w:val="24"/>
          <w:highlight w:val="none"/>
        </w:rPr>
        <w:t>监理人</w:t>
      </w:r>
    </w:p>
    <w:p w14:paraId="55D1456F">
      <w:pPr>
        <w:pStyle w:val="2"/>
        <w:spacing w:before="141" w:line="300" w:lineRule="exact"/>
        <w:rPr>
          <w:rFonts w:ascii="黑体" w:hAnsi="黑体" w:eastAsia="黑体" w:cs="黑体"/>
          <w:sz w:val="22"/>
          <w:szCs w:val="22"/>
          <w:highlight w:val="none"/>
        </w:rPr>
      </w:pPr>
      <w:r>
        <w:rPr>
          <w:spacing w:val="-7"/>
          <w:position w:val="1"/>
          <w:sz w:val="22"/>
          <w:szCs w:val="22"/>
          <w:highlight w:val="none"/>
        </w:rPr>
        <w:t xml:space="preserve">3.1  </w:t>
      </w:r>
      <w:r>
        <w:rPr>
          <w:rFonts w:ascii="黑体" w:hAnsi="黑体" w:eastAsia="黑体" w:cs="黑体"/>
          <w:spacing w:val="-7"/>
          <w:position w:val="1"/>
          <w:sz w:val="22"/>
          <w:szCs w:val="22"/>
          <w:highlight w:val="none"/>
        </w:rPr>
        <w:t>监理人的职责和权力</w:t>
      </w:r>
    </w:p>
    <w:p w14:paraId="0543B58E">
      <w:pPr>
        <w:spacing w:before="172" w:line="219" w:lineRule="auto"/>
        <w:ind w:left="430"/>
        <w:rPr>
          <w:rFonts w:ascii="宋体" w:hAnsi="宋体" w:eastAsia="宋体" w:cs="宋体"/>
          <w:sz w:val="22"/>
          <w:szCs w:val="22"/>
          <w:highlight w:val="none"/>
        </w:rPr>
      </w:pPr>
      <w:r>
        <w:rPr>
          <w:rFonts w:ascii="宋体" w:hAnsi="宋体" w:eastAsia="宋体" w:cs="宋体"/>
          <w:spacing w:val="-4"/>
          <w:sz w:val="22"/>
          <w:szCs w:val="22"/>
          <w:highlight w:val="none"/>
        </w:rPr>
        <w:t>3.3.4总监理工程师委托工作：</w:t>
      </w:r>
      <w:r>
        <w:rPr>
          <w:rFonts w:ascii="宋体" w:hAnsi="宋体" w:eastAsia="宋体" w:cs="宋体"/>
          <w:spacing w:val="-4"/>
          <w:sz w:val="22"/>
          <w:szCs w:val="22"/>
          <w:highlight w:val="none"/>
          <w:u w:val="single" w:color="auto"/>
        </w:rPr>
        <w:t xml:space="preserve">                            </w:t>
      </w:r>
      <w:r>
        <w:rPr>
          <w:rFonts w:ascii="宋体" w:hAnsi="宋体" w:eastAsia="宋体" w:cs="宋体"/>
          <w:spacing w:val="-5"/>
          <w:sz w:val="22"/>
          <w:szCs w:val="22"/>
          <w:highlight w:val="none"/>
          <w:u w:val="single" w:color="auto"/>
        </w:rPr>
        <w:t xml:space="preserve">                   </w:t>
      </w:r>
    </w:p>
    <w:p w14:paraId="0164792E">
      <w:pPr>
        <w:pStyle w:val="2"/>
        <w:spacing w:before="180" w:line="222" w:lineRule="auto"/>
        <w:outlineLvl w:val="1"/>
        <w:rPr>
          <w:rFonts w:ascii="黑体" w:hAnsi="黑体" w:eastAsia="黑体" w:cs="黑体"/>
          <w:sz w:val="24"/>
          <w:szCs w:val="24"/>
          <w:highlight w:val="none"/>
        </w:rPr>
      </w:pPr>
      <w:bookmarkStart w:id="215" w:name="bookmark125"/>
      <w:bookmarkEnd w:id="215"/>
      <w:r>
        <w:rPr>
          <w:spacing w:val="-2"/>
          <w:sz w:val="24"/>
          <w:szCs w:val="24"/>
          <w:highlight w:val="none"/>
        </w:rPr>
        <w:t>4.</w:t>
      </w:r>
      <w:r>
        <w:rPr>
          <w:spacing w:val="46"/>
          <w:sz w:val="24"/>
          <w:szCs w:val="24"/>
          <w:highlight w:val="none"/>
        </w:rPr>
        <w:t xml:space="preserve"> </w:t>
      </w:r>
      <w:r>
        <w:rPr>
          <w:rFonts w:ascii="黑体" w:hAnsi="黑体" w:eastAsia="黑体" w:cs="黑体"/>
          <w:spacing w:val="-2"/>
          <w:sz w:val="24"/>
          <w:szCs w:val="24"/>
          <w:highlight w:val="none"/>
        </w:rPr>
        <w:t>承包人</w:t>
      </w:r>
    </w:p>
    <w:p w14:paraId="5B648F64">
      <w:pPr>
        <w:pStyle w:val="2"/>
        <w:spacing w:before="168" w:line="221" w:lineRule="auto"/>
        <w:rPr>
          <w:rFonts w:ascii="黑体" w:hAnsi="黑体" w:eastAsia="黑体" w:cs="黑体"/>
          <w:sz w:val="22"/>
          <w:szCs w:val="22"/>
          <w:highlight w:val="none"/>
        </w:rPr>
      </w:pPr>
      <w:r>
        <w:rPr>
          <w:spacing w:val="-7"/>
          <w:sz w:val="22"/>
          <w:szCs w:val="22"/>
          <w:highlight w:val="none"/>
        </w:rPr>
        <w:t>4.1</w:t>
      </w:r>
      <w:r>
        <w:rPr>
          <w:spacing w:val="65"/>
          <w:sz w:val="22"/>
          <w:szCs w:val="22"/>
          <w:highlight w:val="none"/>
        </w:rPr>
        <w:t xml:space="preserve"> </w:t>
      </w:r>
      <w:r>
        <w:rPr>
          <w:rFonts w:ascii="黑体" w:hAnsi="黑体" w:eastAsia="黑体" w:cs="黑体"/>
          <w:spacing w:val="-7"/>
          <w:sz w:val="22"/>
          <w:szCs w:val="22"/>
          <w:highlight w:val="none"/>
        </w:rPr>
        <w:t>承包人的一般义务</w:t>
      </w:r>
    </w:p>
    <w:p w14:paraId="38C834AB">
      <w:pPr>
        <w:spacing w:before="188" w:line="219" w:lineRule="auto"/>
        <w:ind w:left="430"/>
        <w:rPr>
          <w:rFonts w:ascii="宋体" w:hAnsi="宋体" w:eastAsia="宋体" w:cs="宋体"/>
          <w:sz w:val="20"/>
          <w:szCs w:val="20"/>
          <w:highlight w:val="none"/>
        </w:rPr>
      </w:pPr>
      <w:r>
        <w:rPr>
          <w:rFonts w:ascii="Times New Roman" w:hAnsi="Times New Roman" w:eastAsia="Times New Roman" w:cs="Times New Roman"/>
          <w:sz w:val="20"/>
          <w:szCs w:val="20"/>
          <w:highlight w:val="none"/>
        </w:rPr>
        <w:t>4.1.3</w:t>
      </w:r>
      <w:r>
        <w:rPr>
          <w:rFonts w:ascii="Times New Roman" w:hAnsi="Times New Roman" w:eastAsia="Times New Roman" w:cs="Times New Roman"/>
          <w:spacing w:val="6"/>
          <w:sz w:val="20"/>
          <w:szCs w:val="20"/>
          <w:highlight w:val="none"/>
        </w:rPr>
        <w:t xml:space="preserve">       </w:t>
      </w:r>
      <w:r>
        <w:rPr>
          <w:rFonts w:ascii="宋体" w:hAnsi="宋体" w:eastAsia="宋体" w:cs="宋体"/>
          <w:sz w:val="20"/>
          <w:szCs w:val="20"/>
          <w:highlight w:val="none"/>
        </w:rPr>
        <w:t xml:space="preserve">承包人完成的工作： </w:t>
      </w:r>
      <w:r>
        <w:rPr>
          <w:rFonts w:ascii="宋体" w:hAnsi="宋体" w:eastAsia="宋体" w:cs="宋体"/>
          <w:sz w:val="20"/>
          <w:szCs w:val="20"/>
          <w:highlight w:val="none"/>
          <w:u w:val="single" w:color="auto"/>
        </w:rPr>
        <w:t xml:space="preserve">               </w:t>
      </w:r>
      <w:r>
        <w:rPr>
          <w:rFonts w:ascii="宋体" w:hAnsi="宋体" w:eastAsia="宋体" w:cs="宋体"/>
          <w:spacing w:val="-1"/>
          <w:sz w:val="20"/>
          <w:szCs w:val="20"/>
          <w:highlight w:val="none"/>
          <w:u w:val="single" w:color="auto"/>
        </w:rPr>
        <w:t xml:space="preserve">                                   </w:t>
      </w:r>
    </w:p>
    <w:p w14:paraId="008F2798">
      <w:pPr>
        <w:spacing w:before="223" w:line="219" w:lineRule="auto"/>
        <w:ind w:left="500"/>
        <w:rPr>
          <w:rFonts w:ascii="宋体" w:hAnsi="宋体" w:eastAsia="宋体" w:cs="宋体"/>
          <w:sz w:val="22"/>
          <w:szCs w:val="22"/>
          <w:highlight w:val="none"/>
        </w:rPr>
      </w:pPr>
      <w:r>
        <w:rPr>
          <w:rFonts w:ascii="Times New Roman" w:hAnsi="Times New Roman" w:eastAsia="Times New Roman" w:cs="Times New Roman"/>
          <w:spacing w:val="-2"/>
          <w:sz w:val="22"/>
          <w:szCs w:val="22"/>
          <w:highlight w:val="none"/>
        </w:rPr>
        <w:t xml:space="preserve">4.1.10     </w:t>
      </w:r>
      <w:r>
        <w:rPr>
          <w:rFonts w:ascii="宋体" w:hAnsi="宋体" w:eastAsia="宋体" w:cs="宋体"/>
          <w:spacing w:val="-2"/>
          <w:sz w:val="22"/>
          <w:szCs w:val="22"/>
          <w:highlight w:val="none"/>
        </w:rPr>
        <w:t>其他义务：</w:t>
      </w:r>
      <w:r>
        <w:rPr>
          <w:rFonts w:ascii="宋体" w:hAnsi="宋体" w:eastAsia="宋体" w:cs="宋体"/>
          <w:spacing w:val="-2"/>
          <w:sz w:val="22"/>
          <w:szCs w:val="22"/>
          <w:highlight w:val="none"/>
          <w:u w:val="single" w:color="auto"/>
        </w:rPr>
        <w:t xml:space="preserve">                        </w:t>
      </w:r>
      <w:r>
        <w:rPr>
          <w:rFonts w:ascii="宋体" w:hAnsi="宋体" w:eastAsia="宋体" w:cs="宋体"/>
          <w:spacing w:val="-3"/>
          <w:sz w:val="22"/>
          <w:szCs w:val="22"/>
          <w:highlight w:val="none"/>
          <w:u w:val="single" w:color="auto"/>
        </w:rPr>
        <w:t xml:space="preserve">                             </w:t>
      </w:r>
    </w:p>
    <w:p w14:paraId="68A21758">
      <w:pPr>
        <w:pStyle w:val="2"/>
        <w:spacing w:before="229" w:line="300" w:lineRule="exact"/>
        <w:rPr>
          <w:rFonts w:ascii="黑体" w:hAnsi="黑体" w:eastAsia="黑体" w:cs="黑体"/>
          <w:sz w:val="22"/>
          <w:szCs w:val="22"/>
          <w:highlight w:val="none"/>
        </w:rPr>
      </w:pPr>
      <w:r>
        <w:rPr>
          <w:spacing w:val="-1"/>
          <w:position w:val="1"/>
          <w:sz w:val="22"/>
          <w:szCs w:val="22"/>
          <w:highlight w:val="none"/>
        </w:rPr>
        <w:t xml:space="preserve">4.3  </w:t>
      </w:r>
      <w:r>
        <w:rPr>
          <w:rFonts w:ascii="黑体" w:hAnsi="黑体" w:eastAsia="黑体" w:cs="黑体"/>
          <w:spacing w:val="-1"/>
          <w:position w:val="1"/>
          <w:sz w:val="22"/>
          <w:szCs w:val="22"/>
          <w:highlight w:val="none"/>
        </w:rPr>
        <w:t>分包</w:t>
      </w:r>
    </w:p>
    <w:p w14:paraId="1D4ECBD9">
      <w:pPr>
        <w:spacing w:before="141" w:line="219" w:lineRule="auto"/>
        <w:ind w:left="43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4.3.2     </w:t>
      </w:r>
      <w:r>
        <w:rPr>
          <w:rFonts w:ascii="宋体" w:hAnsi="宋体" w:eastAsia="宋体" w:cs="宋体"/>
          <w:spacing w:val="-7"/>
          <w:sz w:val="22"/>
          <w:szCs w:val="22"/>
          <w:highlight w:val="none"/>
        </w:rPr>
        <w:t>允许承包人分包的工程项目、工作内容与分包金额限</w:t>
      </w:r>
      <w:r>
        <w:rPr>
          <w:rFonts w:ascii="宋体" w:hAnsi="宋体" w:eastAsia="宋体" w:cs="宋体"/>
          <w:spacing w:val="-8"/>
          <w:sz w:val="22"/>
          <w:szCs w:val="22"/>
          <w:highlight w:val="none"/>
        </w:rPr>
        <w:t>额为：</w:t>
      </w:r>
    </w:p>
    <w:p w14:paraId="427BEBE4">
      <w:pPr>
        <w:spacing w:before="249" w:line="220" w:lineRule="auto"/>
        <w:ind w:left="540"/>
        <w:rPr>
          <w:rFonts w:ascii="宋体" w:hAnsi="宋体" w:eastAsia="宋体" w:cs="宋体"/>
          <w:sz w:val="22"/>
          <w:szCs w:val="22"/>
          <w:highlight w:val="none"/>
        </w:rPr>
      </w:pPr>
      <w:r>
        <w:rPr>
          <w:rFonts w:ascii="宋体" w:hAnsi="宋体" w:eastAsia="宋体" w:cs="宋体"/>
          <w:spacing w:val="-6"/>
          <w:sz w:val="22"/>
          <w:szCs w:val="22"/>
          <w:highlight w:val="none"/>
        </w:rPr>
        <w:t>1)工程项目：</w:t>
      </w:r>
      <w:r>
        <w:rPr>
          <w:rFonts w:ascii="宋体" w:hAnsi="宋体" w:eastAsia="宋体" w:cs="宋体"/>
          <w:sz w:val="22"/>
          <w:szCs w:val="22"/>
          <w:highlight w:val="none"/>
          <w:u w:val="single" w:color="auto"/>
        </w:rPr>
        <w:t xml:space="preserve">                                                            </w:t>
      </w:r>
    </w:p>
    <w:p w14:paraId="18BF790B">
      <w:pPr>
        <w:spacing w:before="227" w:line="219" w:lineRule="auto"/>
        <w:ind w:left="540"/>
        <w:rPr>
          <w:rFonts w:ascii="宋体" w:hAnsi="宋体" w:eastAsia="宋体" w:cs="宋体"/>
          <w:sz w:val="22"/>
          <w:szCs w:val="22"/>
          <w:highlight w:val="none"/>
        </w:rPr>
      </w:pPr>
      <w:r>
        <w:rPr>
          <w:rFonts w:ascii="宋体" w:hAnsi="宋体" w:eastAsia="宋体" w:cs="宋体"/>
          <w:sz w:val="22"/>
          <w:szCs w:val="22"/>
          <w:highlight w:val="none"/>
        </w:rPr>
        <w:t>2)工作内容：</w:t>
      </w:r>
      <w:r>
        <w:rPr>
          <w:rFonts w:ascii="宋体" w:hAnsi="宋体" w:eastAsia="宋体" w:cs="宋体"/>
          <w:spacing w:val="-51"/>
          <w:sz w:val="22"/>
          <w:szCs w:val="22"/>
          <w:highlight w:val="none"/>
        </w:rPr>
        <w:t xml:space="preserve"> </w:t>
      </w:r>
      <w:r>
        <w:rPr>
          <w:rFonts w:ascii="宋体" w:hAnsi="宋体" w:eastAsia="宋体" w:cs="宋体"/>
          <w:sz w:val="22"/>
          <w:szCs w:val="22"/>
          <w:highlight w:val="none"/>
          <w:u w:val="single" w:color="auto"/>
        </w:rPr>
        <w:t xml:space="preserve">                                                           </w:t>
      </w:r>
    </w:p>
    <w:p w14:paraId="0B5B1B35">
      <w:pPr>
        <w:spacing w:before="219" w:line="219" w:lineRule="auto"/>
        <w:ind w:left="540"/>
        <w:rPr>
          <w:rFonts w:ascii="宋体" w:hAnsi="宋体" w:eastAsia="宋体" w:cs="宋体"/>
          <w:sz w:val="22"/>
          <w:szCs w:val="22"/>
          <w:highlight w:val="none"/>
        </w:rPr>
      </w:pPr>
      <w:r>
        <w:rPr>
          <w:rFonts w:ascii="宋体" w:hAnsi="宋体" w:eastAsia="宋体" w:cs="宋体"/>
          <w:spacing w:val="-11"/>
          <w:sz w:val="22"/>
          <w:szCs w:val="22"/>
          <w:highlight w:val="none"/>
        </w:rPr>
        <w:t>3)分包金额限额：</w:t>
      </w:r>
      <w:r>
        <w:rPr>
          <w:rFonts w:ascii="宋体" w:hAnsi="宋体" w:eastAsia="宋体" w:cs="宋体"/>
          <w:sz w:val="22"/>
          <w:szCs w:val="22"/>
          <w:highlight w:val="none"/>
          <w:u w:val="single" w:color="auto"/>
        </w:rPr>
        <w:t xml:space="preserve">                                                        </w:t>
      </w:r>
    </w:p>
    <w:p w14:paraId="33680D31">
      <w:pPr>
        <w:spacing w:before="267" w:line="221" w:lineRule="auto"/>
        <w:rPr>
          <w:rFonts w:ascii="黑体" w:hAnsi="黑体" w:eastAsia="黑体" w:cs="黑体"/>
          <w:sz w:val="22"/>
          <w:szCs w:val="22"/>
          <w:highlight w:val="none"/>
        </w:rPr>
      </w:pPr>
      <w:r>
        <w:rPr>
          <w:rFonts w:ascii="黑体" w:hAnsi="黑体" w:eastAsia="黑体" w:cs="黑体"/>
          <w:spacing w:val="1"/>
          <w:sz w:val="22"/>
          <w:szCs w:val="22"/>
          <w:highlight w:val="none"/>
        </w:rPr>
        <w:t>4.6承包人人员的管理</w:t>
      </w:r>
    </w:p>
    <w:p w14:paraId="6B3B5151">
      <w:pPr>
        <w:spacing w:before="119" w:line="219" w:lineRule="auto"/>
        <w:ind w:left="540"/>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 xml:space="preserve">4.6.5   </w:t>
      </w:r>
      <w:r>
        <w:rPr>
          <w:rFonts w:ascii="宋体" w:hAnsi="宋体" w:eastAsia="宋体" w:cs="宋体"/>
          <w:spacing w:val="-5"/>
          <w:sz w:val="22"/>
          <w:szCs w:val="22"/>
          <w:highlight w:val="none"/>
        </w:rPr>
        <w:t>主要施工管理人员的要求：</w:t>
      </w:r>
      <w:r>
        <w:rPr>
          <w:rFonts w:ascii="宋体" w:hAnsi="宋体" w:eastAsia="宋体" w:cs="宋体"/>
          <w:spacing w:val="-5"/>
          <w:sz w:val="22"/>
          <w:szCs w:val="22"/>
          <w:highlight w:val="none"/>
          <w:u w:val="single" w:color="auto"/>
        </w:rPr>
        <w:t xml:space="preserve">                                   </w:t>
      </w:r>
      <w:r>
        <w:rPr>
          <w:rFonts w:ascii="宋体" w:hAnsi="宋体" w:eastAsia="宋体" w:cs="宋体"/>
          <w:spacing w:val="-6"/>
          <w:sz w:val="22"/>
          <w:szCs w:val="22"/>
          <w:highlight w:val="none"/>
          <w:u w:val="single" w:color="auto"/>
        </w:rPr>
        <w:t xml:space="preserve">       </w:t>
      </w:r>
    </w:p>
    <w:p w14:paraId="3AC688CC">
      <w:pPr>
        <w:pStyle w:val="2"/>
        <w:spacing w:before="308" w:line="222" w:lineRule="auto"/>
        <w:rPr>
          <w:rFonts w:ascii="黑体" w:hAnsi="黑体" w:eastAsia="黑体" w:cs="黑体"/>
          <w:sz w:val="22"/>
          <w:szCs w:val="22"/>
          <w:highlight w:val="none"/>
        </w:rPr>
      </w:pPr>
      <w:r>
        <w:rPr>
          <w:spacing w:val="-5"/>
          <w:sz w:val="22"/>
          <w:szCs w:val="22"/>
          <w:highlight w:val="none"/>
        </w:rPr>
        <w:t>4.11</w:t>
      </w:r>
      <w:r>
        <w:rPr>
          <w:spacing w:val="38"/>
          <w:sz w:val="22"/>
          <w:szCs w:val="22"/>
          <w:highlight w:val="none"/>
        </w:rPr>
        <w:t xml:space="preserve"> </w:t>
      </w:r>
      <w:r>
        <w:rPr>
          <w:rFonts w:ascii="黑体" w:hAnsi="黑体" w:eastAsia="黑体" w:cs="黑体"/>
          <w:spacing w:val="-5"/>
          <w:sz w:val="22"/>
          <w:szCs w:val="22"/>
          <w:highlight w:val="none"/>
        </w:rPr>
        <w:t>不利物质条件</w:t>
      </w:r>
    </w:p>
    <w:p w14:paraId="37199E55">
      <w:pPr>
        <w:spacing w:before="136" w:line="219" w:lineRule="auto"/>
        <w:ind w:left="430"/>
        <w:rPr>
          <w:rFonts w:ascii="宋体" w:hAnsi="宋体" w:eastAsia="宋体" w:cs="宋体"/>
          <w:sz w:val="21"/>
          <w:szCs w:val="21"/>
          <w:highlight w:val="none"/>
        </w:rPr>
      </w:pPr>
      <w:r>
        <w:rPr>
          <w:rFonts w:ascii="宋体" w:hAnsi="宋体" w:eastAsia="宋体" w:cs="宋体"/>
          <w:spacing w:val="-3"/>
          <w:sz w:val="21"/>
          <w:szCs w:val="21"/>
          <w:highlight w:val="none"/>
        </w:rPr>
        <w:t>适用通用条款中的</w:t>
      </w:r>
      <w:r>
        <w:rPr>
          <w:rFonts w:ascii="宋体" w:hAnsi="宋体" w:eastAsia="宋体" w:cs="宋体"/>
          <w:spacing w:val="-59"/>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93"/>
          <w:sz w:val="21"/>
          <w:szCs w:val="21"/>
          <w:highlight w:val="none"/>
        </w:rPr>
        <w:t xml:space="preserve"> </w:t>
      </w:r>
      <w:r>
        <w:rPr>
          <w:rFonts w:ascii="宋体" w:hAnsi="宋体" w:eastAsia="宋体" w:cs="宋体"/>
          <w:spacing w:val="-3"/>
          <w:sz w:val="21"/>
          <w:szCs w:val="21"/>
          <w:highlight w:val="none"/>
        </w:rPr>
        <w:t>条款，其他要求：</w:t>
      </w:r>
      <w:r>
        <w:rPr>
          <w:rFonts w:ascii="宋体" w:hAnsi="宋体" w:eastAsia="宋体" w:cs="宋体"/>
          <w:sz w:val="21"/>
          <w:szCs w:val="21"/>
          <w:highlight w:val="none"/>
          <w:u w:val="single" w:color="auto"/>
        </w:rPr>
        <w:t xml:space="preserve">                               </w:t>
      </w:r>
    </w:p>
    <w:p w14:paraId="354C2E04">
      <w:pPr>
        <w:spacing w:before="261" w:line="219" w:lineRule="auto"/>
        <w:ind w:left="430"/>
        <w:rPr>
          <w:rFonts w:ascii="宋体" w:hAnsi="宋体" w:eastAsia="宋体" w:cs="宋体"/>
          <w:sz w:val="21"/>
          <w:szCs w:val="21"/>
          <w:highlight w:val="none"/>
        </w:rPr>
      </w:pPr>
      <w:r>
        <w:rPr>
          <w:rFonts w:ascii="宋体" w:hAnsi="宋体" w:eastAsia="宋体" w:cs="宋体"/>
          <w:sz w:val="21"/>
          <w:szCs w:val="21"/>
          <w:highlight w:val="none"/>
        </w:rPr>
        <w:t>不利物质条件的范围：</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u w:val="single" w:color="auto"/>
        </w:rPr>
        <w:t xml:space="preserve">      </w:t>
      </w:r>
    </w:p>
    <w:p w14:paraId="4B55D0A1">
      <w:pPr>
        <w:spacing w:before="299" w:line="222" w:lineRule="auto"/>
        <w:rPr>
          <w:rFonts w:ascii="黑体" w:hAnsi="黑体" w:eastAsia="黑体" w:cs="黑体"/>
          <w:sz w:val="19"/>
          <w:szCs w:val="19"/>
          <w:highlight w:val="none"/>
        </w:rPr>
      </w:pPr>
      <w:r>
        <w:rPr>
          <w:rFonts w:ascii="黑体" w:hAnsi="黑体" w:eastAsia="黑体" w:cs="黑体"/>
          <w:spacing w:val="16"/>
          <w:sz w:val="19"/>
          <w:szCs w:val="19"/>
          <w:highlight w:val="none"/>
        </w:rPr>
        <w:t>4</w:t>
      </w:r>
      <w:r>
        <w:rPr>
          <w:rFonts w:ascii="黑体" w:hAnsi="黑体" w:eastAsia="黑体" w:cs="黑体"/>
          <w:spacing w:val="-46"/>
          <w:sz w:val="19"/>
          <w:szCs w:val="19"/>
          <w:highlight w:val="none"/>
        </w:rPr>
        <w:t xml:space="preserve"> </w:t>
      </w:r>
      <w:r>
        <w:rPr>
          <w:rFonts w:ascii="黑体" w:hAnsi="黑体" w:eastAsia="黑体" w:cs="黑体"/>
          <w:spacing w:val="16"/>
          <w:sz w:val="19"/>
          <w:szCs w:val="19"/>
          <w:highlight w:val="none"/>
        </w:rPr>
        <w:t>.</w:t>
      </w:r>
      <w:r>
        <w:rPr>
          <w:rFonts w:ascii="黑体" w:hAnsi="黑体" w:eastAsia="黑体" w:cs="黑体"/>
          <w:spacing w:val="-45"/>
          <w:sz w:val="19"/>
          <w:szCs w:val="19"/>
          <w:highlight w:val="none"/>
        </w:rPr>
        <w:t xml:space="preserve"> </w:t>
      </w:r>
      <w:r>
        <w:rPr>
          <w:rFonts w:ascii="黑体" w:hAnsi="黑体" w:eastAsia="黑体" w:cs="黑体"/>
          <w:spacing w:val="16"/>
          <w:sz w:val="19"/>
          <w:szCs w:val="19"/>
          <w:highlight w:val="none"/>
        </w:rPr>
        <w:t>12进度计划</w:t>
      </w:r>
    </w:p>
    <w:p w14:paraId="4F8E79FA">
      <w:pPr>
        <w:spacing w:before="184" w:line="219" w:lineRule="auto"/>
        <w:ind w:left="430"/>
        <w:rPr>
          <w:rFonts w:ascii="宋体" w:hAnsi="宋体" w:eastAsia="宋体" w:cs="宋体"/>
          <w:sz w:val="22"/>
          <w:szCs w:val="22"/>
          <w:highlight w:val="none"/>
        </w:rPr>
      </w:pPr>
      <w:r>
        <w:rPr>
          <w:rFonts w:ascii="宋体" w:hAnsi="宋体" w:eastAsia="宋体" w:cs="宋体"/>
          <w:spacing w:val="-4"/>
          <w:sz w:val="22"/>
          <w:szCs w:val="22"/>
          <w:highlight w:val="none"/>
        </w:rPr>
        <w:t>4.12.1合同进度计划申报：</w:t>
      </w:r>
      <w:r>
        <w:rPr>
          <w:rFonts w:ascii="宋体" w:hAnsi="宋体" w:eastAsia="宋体" w:cs="宋体"/>
          <w:spacing w:val="-4"/>
          <w:sz w:val="22"/>
          <w:szCs w:val="22"/>
          <w:highlight w:val="none"/>
          <w:u w:val="single" w:color="auto"/>
        </w:rPr>
        <w:t xml:space="preserve">         </w:t>
      </w:r>
      <w:r>
        <w:rPr>
          <w:rFonts w:ascii="宋体" w:hAnsi="宋体" w:eastAsia="宋体" w:cs="宋体"/>
          <w:spacing w:val="-5"/>
          <w:sz w:val="22"/>
          <w:szCs w:val="22"/>
          <w:highlight w:val="none"/>
          <w:u w:val="single" w:color="auto"/>
        </w:rPr>
        <w:t xml:space="preserve">                                       </w:t>
      </w:r>
    </w:p>
    <w:p w14:paraId="5F7B7EC4">
      <w:pPr>
        <w:spacing w:before="219" w:line="220" w:lineRule="auto"/>
        <w:ind w:left="1190"/>
        <w:rPr>
          <w:rFonts w:ascii="宋体" w:hAnsi="宋体" w:eastAsia="宋体" w:cs="宋体"/>
          <w:sz w:val="22"/>
          <w:szCs w:val="22"/>
          <w:highlight w:val="none"/>
        </w:rPr>
      </w:pPr>
      <w:r>
        <w:rPr>
          <w:rFonts w:ascii="宋体" w:hAnsi="宋体" w:eastAsia="宋体" w:cs="宋体"/>
          <w:spacing w:val="-6"/>
          <w:sz w:val="22"/>
          <w:szCs w:val="22"/>
          <w:highlight w:val="none"/>
        </w:rPr>
        <w:t>进度计划审核：</w:t>
      </w:r>
      <w:r>
        <w:rPr>
          <w:rFonts w:ascii="宋体" w:hAnsi="宋体" w:eastAsia="宋体" w:cs="宋体"/>
          <w:spacing w:val="-6"/>
          <w:sz w:val="22"/>
          <w:szCs w:val="22"/>
          <w:highlight w:val="none"/>
          <w:u w:val="single" w:color="auto"/>
        </w:rPr>
        <w:t xml:space="preserve">                                             </w:t>
      </w:r>
      <w:r>
        <w:rPr>
          <w:rFonts w:ascii="宋体" w:hAnsi="宋体" w:eastAsia="宋体" w:cs="宋体"/>
          <w:spacing w:val="-7"/>
          <w:sz w:val="22"/>
          <w:szCs w:val="22"/>
          <w:highlight w:val="none"/>
          <w:u w:val="single" w:color="auto"/>
        </w:rPr>
        <w:t xml:space="preserve">       </w:t>
      </w:r>
    </w:p>
    <w:p w14:paraId="0C4F3D4A">
      <w:pPr>
        <w:spacing w:before="218" w:line="219" w:lineRule="auto"/>
        <w:ind w:left="430"/>
        <w:rPr>
          <w:rFonts w:ascii="宋体" w:hAnsi="宋体" w:eastAsia="宋体" w:cs="宋体"/>
          <w:sz w:val="22"/>
          <w:szCs w:val="22"/>
          <w:highlight w:val="none"/>
        </w:rPr>
      </w:pPr>
      <w:r>
        <w:rPr>
          <w:rFonts w:ascii="宋体" w:hAnsi="宋体" w:eastAsia="宋体" w:cs="宋体"/>
          <w:spacing w:val="-5"/>
          <w:sz w:val="22"/>
          <w:szCs w:val="22"/>
          <w:highlight w:val="none"/>
        </w:rPr>
        <w:t>4.12.2进度计划修订：</w:t>
      </w:r>
      <w:r>
        <w:rPr>
          <w:rFonts w:ascii="宋体" w:hAnsi="宋体" w:eastAsia="宋体" w:cs="宋体"/>
          <w:sz w:val="22"/>
          <w:szCs w:val="22"/>
          <w:highlight w:val="none"/>
          <w:u w:val="single" w:color="auto"/>
        </w:rPr>
        <w:t xml:space="preserve">                                                  </w:t>
      </w:r>
    </w:p>
    <w:p w14:paraId="3C91E6F9">
      <w:pPr>
        <w:spacing w:before="178" w:line="222" w:lineRule="auto"/>
        <w:outlineLvl w:val="1"/>
        <w:rPr>
          <w:rFonts w:ascii="黑体" w:hAnsi="黑体" w:eastAsia="黑体" w:cs="黑体"/>
          <w:sz w:val="24"/>
          <w:szCs w:val="24"/>
          <w:highlight w:val="none"/>
        </w:rPr>
      </w:pPr>
      <w:bookmarkStart w:id="216" w:name="bookmark126"/>
      <w:bookmarkEnd w:id="216"/>
      <w:r>
        <w:rPr>
          <w:rFonts w:ascii="黑体" w:hAnsi="黑体" w:eastAsia="黑体" w:cs="黑体"/>
          <w:spacing w:val="-5"/>
          <w:sz w:val="24"/>
          <w:szCs w:val="24"/>
          <w:highlight w:val="none"/>
        </w:rPr>
        <w:t>5</w:t>
      </w:r>
      <w:r>
        <w:rPr>
          <w:rFonts w:ascii="黑体" w:hAnsi="黑体" w:eastAsia="黑体" w:cs="黑体"/>
          <w:spacing w:val="-37"/>
          <w:sz w:val="24"/>
          <w:szCs w:val="24"/>
          <w:highlight w:val="none"/>
        </w:rPr>
        <w:t xml:space="preserve"> </w:t>
      </w:r>
      <w:r>
        <w:rPr>
          <w:rFonts w:ascii="黑体" w:hAnsi="黑体" w:eastAsia="黑体" w:cs="黑体"/>
          <w:spacing w:val="-5"/>
          <w:sz w:val="24"/>
          <w:szCs w:val="24"/>
          <w:highlight w:val="none"/>
        </w:rPr>
        <w:t>设</w:t>
      </w:r>
      <w:r>
        <w:rPr>
          <w:rFonts w:ascii="黑体" w:hAnsi="黑体" w:eastAsia="黑体" w:cs="黑体"/>
          <w:spacing w:val="-37"/>
          <w:sz w:val="24"/>
          <w:szCs w:val="24"/>
          <w:highlight w:val="none"/>
        </w:rPr>
        <w:t xml:space="preserve"> </w:t>
      </w:r>
      <w:r>
        <w:rPr>
          <w:rFonts w:ascii="黑体" w:hAnsi="黑体" w:eastAsia="黑体" w:cs="黑体"/>
          <w:spacing w:val="-5"/>
          <w:sz w:val="24"/>
          <w:szCs w:val="24"/>
          <w:highlight w:val="none"/>
        </w:rPr>
        <w:t>计</w:t>
      </w:r>
    </w:p>
    <w:p w14:paraId="63C628F9">
      <w:pPr>
        <w:pStyle w:val="2"/>
        <w:spacing w:before="132" w:line="299" w:lineRule="exact"/>
        <w:rPr>
          <w:rFonts w:ascii="黑体" w:hAnsi="黑体" w:eastAsia="黑体" w:cs="黑体"/>
          <w:sz w:val="22"/>
          <w:szCs w:val="22"/>
          <w:highlight w:val="none"/>
        </w:rPr>
      </w:pPr>
      <w:r>
        <w:rPr>
          <w:spacing w:val="-5"/>
          <w:position w:val="1"/>
          <w:sz w:val="22"/>
          <w:szCs w:val="22"/>
          <w:highlight w:val="none"/>
        </w:rPr>
        <w:t xml:space="preserve">5.3  </w:t>
      </w:r>
      <w:r>
        <w:rPr>
          <w:rFonts w:ascii="黑体" w:hAnsi="黑体" w:eastAsia="黑体" w:cs="黑体"/>
          <w:spacing w:val="-5"/>
          <w:position w:val="1"/>
          <w:sz w:val="22"/>
          <w:szCs w:val="22"/>
          <w:highlight w:val="none"/>
        </w:rPr>
        <w:t>设计审查</w:t>
      </w:r>
    </w:p>
    <w:p w14:paraId="68340F89">
      <w:pPr>
        <w:spacing w:before="191" w:line="220" w:lineRule="auto"/>
        <w:ind w:left="430"/>
        <w:rPr>
          <w:rFonts w:ascii="宋体" w:hAnsi="宋体" w:eastAsia="宋体" w:cs="宋体"/>
          <w:sz w:val="20"/>
          <w:szCs w:val="20"/>
          <w:highlight w:val="none"/>
        </w:rPr>
      </w:pPr>
      <w:r>
        <w:rPr>
          <w:rFonts w:ascii="宋体" w:hAnsi="宋体" w:eastAsia="宋体" w:cs="宋体"/>
          <w:spacing w:val="9"/>
          <w:sz w:val="20"/>
          <w:szCs w:val="20"/>
          <w:highlight w:val="none"/>
        </w:rPr>
        <w:t>5.3.</w:t>
      </w:r>
      <w:r>
        <w:rPr>
          <w:rFonts w:ascii="宋体" w:hAnsi="宋体" w:eastAsia="宋体" w:cs="宋体"/>
          <w:spacing w:val="-45"/>
          <w:sz w:val="20"/>
          <w:szCs w:val="20"/>
          <w:highlight w:val="none"/>
        </w:rPr>
        <w:t xml:space="preserve"> </w:t>
      </w:r>
      <w:r>
        <w:rPr>
          <w:rFonts w:ascii="宋体" w:hAnsi="宋体" w:eastAsia="宋体" w:cs="宋体"/>
          <w:spacing w:val="9"/>
          <w:sz w:val="20"/>
          <w:szCs w:val="20"/>
          <w:highlight w:val="none"/>
        </w:rPr>
        <w:t>1发包人的设计审查时间：</w:t>
      </w:r>
      <w:r>
        <w:rPr>
          <w:rFonts w:ascii="宋体" w:hAnsi="宋体" w:eastAsia="宋体" w:cs="宋体"/>
          <w:spacing w:val="-91"/>
          <w:sz w:val="20"/>
          <w:szCs w:val="20"/>
          <w:highlight w:val="none"/>
        </w:rPr>
        <w:t xml:space="preserve"> </w:t>
      </w:r>
      <w:r>
        <w:rPr>
          <w:rFonts w:ascii="宋体" w:hAnsi="宋体" w:eastAsia="宋体" w:cs="宋体"/>
          <w:sz w:val="20"/>
          <w:szCs w:val="20"/>
          <w:highlight w:val="none"/>
          <w:u w:val="single" w:color="auto"/>
        </w:rPr>
        <w:t xml:space="preserve">                                                </w:t>
      </w:r>
    </w:p>
    <w:p w14:paraId="5129B570">
      <w:pPr>
        <w:spacing w:line="220" w:lineRule="auto"/>
        <w:rPr>
          <w:rFonts w:ascii="宋体" w:hAnsi="宋体" w:eastAsia="宋体" w:cs="宋体"/>
          <w:sz w:val="20"/>
          <w:szCs w:val="20"/>
          <w:highlight w:val="none"/>
        </w:rPr>
        <w:sectPr>
          <w:footerReference r:id="rId220" w:type="default"/>
          <w:pgSz w:w="11910" w:h="16840"/>
          <w:pgMar w:top="400" w:right="1786" w:bottom="1218" w:left="1759" w:header="0" w:footer="986" w:gutter="0"/>
          <w:cols w:space="720" w:num="1"/>
        </w:sectPr>
      </w:pPr>
    </w:p>
    <w:p w14:paraId="4786EE3B">
      <w:pPr>
        <w:pStyle w:val="2"/>
        <w:spacing w:line="247" w:lineRule="auto"/>
        <w:rPr>
          <w:highlight w:val="none"/>
        </w:rPr>
      </w:pPr>
    </w:p>
    <w:p w14:paraId="29EAE52D">
      <w:pPr>
        <w:pStyle w:val="2"/>
        <w:spacing w:line="247" w:lineRule="auto"/>
        <w:rPr>
          <w:highlight w:val="none"/>
        </w:rPr>
      </w:pPr>
    </w:p>
    <w:p w14:paraId="309DE8CB">
      <w:pPr>
        <w:pStyle w:val="2"/>
        <w:spacing w:line="247" w:lineRule="auto"/>
        <w:rPr>
          <w:highlight w:val="none"/>
        </w:rPr>
      </w:pPr>
    </w:p>
    <w:p w14:paraId="5EA6E1C3">
      <w:pPr>
        <w:pStyle w:val="2"/>
        <w:spacing w:line="248" w:lineRule="auto"/>
        <w:rPr>
          <w:highlight w:val="none"/>
        </w:rPr>
      </w:pPr>
    </w:p>
    <w:p w14:paraId="6537ADE7">
      <w:pPr>
        <w:spacing w:before="71" w:line="221" w:lineRule="auto"/>
        <w:ind w:left="74"/>
        <w:rPr>
          <w:rFonts w:ascii="黑体" w:hAnsi="黑体" w:eastAsia="黑体" w:cs="黑体"/>
          <w:sz w:val="22"/>
          <w:szCs w:val="22"/>
          <w:highlight w:val="none"/>
        </w:rPr>
      </w:pPr>
      <w:r>
        <w:rPr>
          <w:rFonts w:ascii="黑体" w:hAnsi="黑体" w:eastAsia="黑体" w:cs="黑体"/>
          <w:spacing w:val="-5"/>
          <w:sz w:val="22"/>
          <w:szCs w:val="22"/>
          <w:highlight w:val="none"/>
        </w:rPr>
        <w:t>5.5 竣工文件</w:t>
      </w:r>
    </w:p>
    <w:p w14:paraId="6A8BDD92">
      <w:pPr>
        <w:spacing w:before="138" w:line="219" w:lineRule="auto"/>
        <w:ind w:left="524"/>
        <w:rPr>
          <w:rFonts w:ascii="宋体" w:hAnsi="宋体" w:eastAsia="宋体" w:cs="宋体"/>
          <w:sz w:val="22"/>
          <w:szCs w:val="22"/>
          <w:highlight w:val="none"/>
        </w:rPr>
      </w:pPr>
      <w:r>
        <w:rPr>
          <w:rFonts w:ascii="宋体" w:hAnsi="宋体" w:eastAsia="宋体" w:cs="宋体"/>
          <w:spacing w:val="-4"/>
          <w:sz w:val="22"/>
          <w:szCs w:val="22"/>
          <w:highlight w:val="none"/>
        </w:rPr>
        <w:t>5.5.1竣工文件份数：</w:t>
      </w:r>
      <w:r>
        <w:rPr>
          <w:rFonts w:ascii="宋体" w:hAnsi="宋体" w:eastAsia="宋体" w:cs="宋体"/>
          <w:spacing w:val="-4"/>
          <w:sz w:val="22"/>
          <w:szCs w:val="22"/>
          <w:highlight w:val="none"/>
          <w:u w:val="single" w:color="auto"/>
        </w:rPr>
        <w:t xml:space="preserve">                                                     </w:t>
      </w:r>
    </w:p>
    <w:p w14:paraId="7331A017">
      <w:pPr>
        <w:spacing w:before="227" w:line="222" w:lineRule="auto"/>
        <w:ind w:left="94"/>
        <w:outlineLvl w:val="1"/>
        <w:rPr>
          <w:rFonts w:ascii="黑体" w:hAnsi="黑体" w:eastAsia="黑体" w:cs="黑体"/>
          <w:sz w:val="22"/>
          <w:szCs w:val="22"/>
          <w:highlight w:val="none"/>
        </w:rPr>
      </w:pPr>
      <w:bookmarkStart w:id="217" w:name="bookmark127"/>
      <w:bookmarkEnd w:id="217"/>
      <w:r>
        <w:rPr>
          <w:rFonts w:ascii="黑体" w:hAnsi="黑体" w:eastAsia="黑体" w:cs="黑体"/>
          <w:spacing w:val="14"/>
          <w:sz w:val="22"/>
          <w:szCs w:val="22"/>
          <w:highlight w:val="none"/>
        </w:rPr>
        <w:t>6.</w:t>
      </w:r>
      <w:r>
        <w:rPr>
          <w:rFonts w:ascii="黑体" w:hAnsi="黑体" w:eastAsia="黑体" w:cs="黑体"/>
          <w:spacing w:val="-20"/>
          <w:sz w:val="22"/>
          <w:szCs w:val="22"/>
          <w:highlight w:val="none"/>
        </w:rPr>
        <w:t xml:space="preserve"> </w:t>
      </w:r>
      <w:r>
        <w:rPr>
          <w:rFonts w:ascii="黑体" w:hAnsi="黑体" w:eastAsia="黑体" w:cs="黑体"/>
          <w:spacing w:val="14"/>
          <w:sz w:val="22"/>
          <w:szCs w:val="22"/>
          <w:highlight w:val="none"/>
        </w:rPr>
        <w:t>材料和工程设备</w:t>
      </w:r>
    </w:p>
    <w:p w14:paraId="37EEA7D7">
      <w:pPr>
        <w:spacing w:before="195" w:line="222" w:lineRule="auto"/>
        <w:ind w:left="84"/>
        <w:rPr>
          <w:rFonts w:ascii="黑体" w:hAnsi="黑体" w:eastAsia="黑体" w:cs="黑体"/>
          <w:sz w:val="22"/>
          <w:szCs w:val="22"/>
          <w:highlight w:val="none"/>
        </w:rPr>
      </w:pPr>
      <w:r>
        <w:rPr>
          <w:rFonts w:ascii="黑体" w:hAnsi="黑体" w:eastAsia="黑体" w:cs="黑体"/>
          <w:spacing w:val="-8"/>
          <w:sz w:val="22"/>
          <w:szCs w:val="22"/>
          <w:highlight w:val="none"/>
        </w:rPr>
        <w:t>6.1 承包人提供的材料和工程设备</w:t>
      </w:r>
    </w:p>
    <w:p w14:paraId="44D5237F">
      <w:pPr>
        <w:spacing w:before="136" w:line="219" w:lineRule="auto"/>
        <w:ind w:left="524"/>
        <w:rPr>
          <w:rFonts w:ascii="宋体" w:hAnsi="宋体" w:eastAsia="宋体" w:cs="宋体"/>
          <w:sz w:val="22"/>
          <w:szCs w:val="22"/>
          <w:highlight w:val="none"/>
        </w:rPr>
      </w:pPr>
      <w:r>
        <w:rPr>
          <w:rFonts w:ascii="宋体" w:hAnsi="宋体" w:eastAsia="宋体" w:cs="宋体"/>
          <w:spacing w:val="-4"/>
          <w:sz w:val="22"/>
          <w:szCs w:val="22"/>
          <w:highlight w:val="none"/>
        </w:rPr>
        <w:t>6.1.1承包人提供材料和工程设备的要求：</w:t>
      </w:r>
      <w:r>
        <w:rPr>
          <w:rFonts w:ascii="宋体" w:hAnsi="宋体" w:eastAsia="宋体" w:cs="宋体"/>
          <w:spacing w:val="-4"/>
          <w:sz w:val="22"/>
          <w:szCs w:val="22"/>
          <w:highlight w:val="none"/>
          <w:u w:val="single" w:color="auto"/>
        </w:rPr>
        <w:t xml:space="preserve">                  </w:t>
      </w:r>
      <w:r>
        <w:rPr>
          <w:rFonts w:ascii="宋体" w:hAnsi="宋体" w:eastAsia="宋体" w:cs="宋体"/>
          <w:spacing w:val="-5"/>
          <w:sz w:val="22"/>
          <w:szCs w:val="22"/>
          <w:highlight w:val="none"/>
          <w:u w:val="single" w:color="auto"/>
        </w:rPr>
        <w:t xml:space="preserve">                   </w:t>
      </w:r>
    </w:p>
    <w:p w14:paraId="46E9DB0B">
      <w:pPr>
        <w:spacing w:before="209" w:line="219" w:lineRule="auto"/>
        <w:ind w:left="524"/>
        <w:rPr>
          <w:rFonts w:ascii="宋体" w:hAnsi="宋体" w:eastAsia="宋体" w:cs="宋体"/>
          <w:sz w:val="22"/>
          <w:szCs w:val="22"/>
          <w:highlight w:val="none"/>
        </w:rPr>
      </w:pPr>
      <w:r>
        <w:rPr>
          <w:rFonts w:ascii="宋体" w:hAnsi="宋体" w:eastAsia="宋体" w:cs="宋体"/>
          <w:spacing w:val="-7"/>
          <w:sz w:val="22"/>
          <w:szCs w:val="22"/>
          <w:highlight w:val="none"/>
        </w:rPr>
        <w:t>6.1.2承包人提供材料和工程设备的质量标准及验收：</w:t>
      </w:r>
      <w:r>
        <w:rPr>
          <w:rFonts w:ascii="宋体" w:hAnsi="宋体" w:eastAsia="宋体" w:cs="宋体"/>
          <w:sz w:val="22"/>
          <w:szCs w:val="22"/>
          <w:highlight w:val="none"/>
          <w:u w:val="single" w:color="auto"/>
        </w:rPr>
        <w:t xml:space="preserve">                           </w:t>
      </w:r>
    </w:p>
    <w:p w14:paraId="4978F6B9">
      <w:pPr>
        <w:spacing w:before="288" w:line="221" w:lineRule="auto"/>
        <w:ind w:left="84"/>
        <w:rPr>
          <w:rFonts w:ascii="黑体" w:hAnsi="黑体" w:eastAsia="黑体" w:cs="黑体"/>
          <w:sz w:val="22"/>
          <w:szCs w:val="22"/>
          <w:highlight w:val="none"/>
        </w:rPr>
      </w:pPr>
      <w:r>
        <w:rPr>
          <w:rFonts w:ascii="黑体" w:hAnsi="黑体" w:eastAsia="黑体" w:cs="黑体"/>
          <w:spacing w:val="-8"/>
          <w:sz w:val="22"/>
          <w:szCs w:val="22"/>
          <w:highlight w:val="none"/>
        </w:rPr>
        <w:t>6.2 发包人提供的材料和工程设备</w:t>
      </w:r>
    </w:p>
    <w:p w14:paraId="67B32158">
      <w:pPr>
        <w:spacing w:before="139" w:line="223" w:lineRule="auto"/>
        <w:ind w:left="514"/>
        <w:rPr>
          <w:rFonts w:ascii="宋体" w:hAnsi="宋体" w:eastAsia="宋体" w:cs="宋体"/>
          <w:sz w:val="22"/>
          <w:szCs w:val="22"/>
          <w:highlight w:val="none"/>
        </w:rPr>
      </w:pPr>
      <w:r>
        <w:rPr>
          <w:rFonts w:ascii="宋体" w:hAnsi="宋体" w:eastAsia="宋体" w:cs="宋体"/>
          <w:spacing w:val="-13"/>
          <w:sz w:val="22"/>
          <w:szCs w:val="22"/>
          <w:highlight w:val="none"/>
        </w:rPr>
        <w:t>适用通用条款中的</w:t>
      </w:r>
      <w:r>
        <w:rPr>
          <w:rFonts w:ascii="宋体" w:hAnsi="宋体" w:eastAsia="宋体" w:cs="宋体"/>
          <w:spacing w:val="-13"/>
          <w:sz w:val="22"/>
          <w:szCs w:val="22"/>
          <w:highlight w:val="none"/>
          <w:u w:val="single" w:color="auto"/>
        </w:rPr>
        <w:t xml:space="preserve">        </w:t>
      </w:r>
      <w:r>
        <w:rPr>
          <w:rFonts w:ascii="宋体" w:hAnsi="宋体" w:eastAsia="宋体" w:cs="宋体"/>
          <w:spacing w:val="-100"/>
          <w:sz w:val="22"/>
          <w:szCs w:val="22"/>
          <w:highlight w:val="none"/>
        </w:rPr>
        <w:t xml:space="preserve"> </w:t>
      </w:r>
      <w:r>
        <w:rPr>
          <w:rFonts w:ascii="宋体" w:hAnsi="宋体" w:eastAsia="宋体" w:cs="宋体"/>
          <w:spacing w:val="-13"/>
          <w:sz w:val="22"/>
          <w:szCs w:val="22"/>
          <w:highlight w:val="none"/>
        </w:rPr>
        <w:t>条款，</w:t>
      </w:r>
      <w:r>
        <w:rPr>
          <w:rFonts w:ascii="宋体" w:hAnsi="宋体" w:eastAsia="宋体" w:cs="宋体"/>
          <w:spacing w:val="-14"/>
          <w:sz w:val="22"/>
          <w:szCs w:val="22"/>
          <w:highlight w:val="none"/>
        </w:rPr>
        <w:t>其他要求：_</w:t>
      </w:r>
      <w:r>
        <w:rPr>
          <w:rFonts w:ascii="宋体" w:hAnsi="宋体" w:eastAsia="宋体" w:cs="宋体"/>
          <w:spacing w:val="-91"/>
          <w:sz w:val="22"/>
          <w:szCs w:val="22"/>
          <w:highlight w:val="none"/>
        </w:rPr>
        <w:t xml:space="preserve"> </w:t>
      </w:r>
      <w:r>
        <w:rPr>
          <w:rFonts w:ascii="宋体" w:hAnsi="宋体" w:eastAsia="宋体" w:cs="宋体"/>
          <w:sz w:val="22"/>
          <w:szCs w:val="22"/>
          <w:highlight w:val="none"/>
          <w:u w:val="single" w:color="auto"/>
        </w:rPr>
        <w:t xml:space="preserve">                             </w:t>
      </w:r>
    </w:p>
    <w:p w14:paraId="6D3C2A16">
      <w:pPr>
        <w:spacing w:before="223" w:line="219" w:lineRule="auto"/>
        <w:ind w:left="524"/>
        <w:rPr>
          <w:rFonts w:ascii="宋体" w:hAnsi="宋体" w:eastAsia="宋体" w:cs="宋体"/>
          <w:sz w:val="22"/>
          <w:szCs w:val="22"/>
          <w:highlight w:val="none"/>
        </w:rPr>
      </w:pPr>
      <w:r>
        <w:rPr>
          <w:rFonts w:ascii="宋体" w:hAnsi="宋体" w:eastAsia="宋体" w:cs="宋体"/>
          <w:sz w:val="22"/>
          <w:szCs w:val="22"/>
          <w:highlight w:val="none"/>
        </w:rPr>
        <w:t>6.2.1发包人提供的材料和工程设备(如有)见下表：</w:t>
      </w:r>
    </w:p>
    <w:p w14:paraId="54B19E6C">
      <w:pPr>
        <w:spacing w:before="225" w:line="219" w:lineRule="auto"/>
        <w:ind w:left="2468"/>
        <w:rPr>
          <w:rFonts w:ascii="宋体" w:hAnsi="宋体" w:eastAsia="宋体" w:cs="宋体"/>
          <w:sz w:val="22"/>
          <w:szCs w:val="22"/>
          <w:highlight w:val="none"/>
        </w:rPr>
      </w:pPr>
      <w:r>
        <w:rPr>
          <w:rFonts w:ascii="宋体" w:hAnsi="宋体" w:eastAsia="宋体" w:cs="宋体"/>
          <w:b/>
          <w:bCs/>
          <w:spacing w:val="-11"/>
          <w:sz w:val="22"/>
          <w:szCs w:val="22"/>
          <w:highlight w:val="none"/>
        </w:rPr>
        <w:t>发包人提供的主要材料表(参考格式)</w:t>
      </w:r>
    </w:p>
    <w:p w14:paraId="059AD049">
      <w:pPr>
        <w:spacing w:line="100" w:lineRule="exact"/>
        <w:rPr>
          <w:highlight w:val="none"/>
        </w:rPr>
      </w:pPr>
    </w:p>
    <w:tbl>
      <w:tblPr>
        <w:tblStyle w:val="5"/>
        <w:tblW w:w="91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4"/>
        <w:gridCol w:w="1688"/>
        <w:gridCol w:w="1718"/>
        <w:gridCol w:w="1109"/>
        <w:gridCol w:w="1148"/>
        <w:gridCol w:w="1568"/>
        <w:gridCol w:w="984"/>
      </w:tblGrid>
      <w:tr w14:paraId="6C80B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954" w:type="dxa"/>
            <w:vAlign w:val="top"/>
          </w:tcPr>
          <w:p w14:paraId="7C18FA66">
            <w:pPr>
              <w:pStyle w:val="6"/>
              <w:spacing w:before="135" w:line="221" w:lineRule="auto"/>
              <w:ind w:left="265"/>
              <w:rPr>
                <w:sz w:val="22"/>
                <w:szCs w:val="22"/>
                <w:highlight w:val="none"/>
              </w:rPr>
            </w:pPr>
            <w:r>
              <w:rPr>
                <w:spacing w:val="6"/>
                <w:sz w:val="22"/>
                <w:szCs w:val="22"/>
                <w:highlight w:val="none"/>
              </w:rPr>
              <w:t>序号</w:t>
            </w:r>
          </w:p>
        </w:tc>
        <w:tc>
          <w:tcPr>
            <w:tcW w:w="1688" w:type="dxa"/>
            <w:vAlign w:val="top"/>
          </w:tcPr>
          <w:p w14:paraId="50043A92">
            <w:pPr>
              <w:pStyle w:val="6"/>
              <w:spacing w:before="132" w:line="219" w:lineRule="auto"/>
              <w:ind w:left="401"/>
              <w:rPr>
                <w:sz w:val="22"/>
                <w:szCs w:val="22"/>
                <w:highlight w:val="none"/>
              </w:rPr>
            </w:pPr>
            <w:r>
              <w:rPr>
                <w:spacing w:val="-2"/>
                <w:sz w:val="22"/>
                <w:szCs w:val="22"/>
                <w:highlight w:val="none"/>
              </w:rPr>
              <w:t>材料名称</w:t>
            </w:r>
          </w:p>
        </w:tc>
        <w:tc>
          <w:tcPr>
            <w:tcW w:w="1718" w:type="dxa"/>
            <w:vAlign w:val="top"/>
          </w:tcPr>
          <w:p w14:paraId="363329AC">
            <w:pPr>
              <w:pStyle w:val="6"/>
              <w:spacing w:before="132" w:line="219" w:lineRule="auto"/>
              <w:ind w:left="442"/>
              <w:rPr>
                <w:sz w:val="22"/>
                <w:szCs w:val="22"/>
                <w:highlight w:val="none"/>
              </w:rPr>
            </w:pPr>
            <w:r>
              <w:rPr>
                <w:spacing w:val="-2"/>
                <w:sz w:val="22"/>
                <w:szCs w:val="22"/>
                <w:highlight w:val="none"/>
              </w:rPr>
              <w:t>材料规格</w:t>
            </w:r>
          </w:p>
        </w:tc>
        <w:tc>
          <w:tcPr>
            <w:tcW w:w="1109" w:type="dxa"/>
            <w:vAlign w:val="top"/>
          </w:tcPr>
          <w:p w14:paraId="3465587D">
            <w:pPr>
              <w:pStyle w:val="6"/>
              <w:spacing w:before="134" w:line="219" w:lineRule="auto"/>
              <w:ind w:left="354"/>
              <w:rPr>
                <w:sz w:val="22"/>
                <w:szCs w:val="22"/>
                <w:highlight w:val="none"/>
              </w:rPr>
            </w:pPr>
            <w:r>
              <w:rPr>
                <w:spacing w:val="-3"/>
                <w:sz w:val="22"/>
                <w:szCs w:val="22"/>
                <w:highlight w:val="none"/>
              </w:rPr>
              <w:t>数量</w:t>
            </w:r>
          </w:p>
        </w:tc>
        <w:tc>
          <w:tcPr>
            <w:tcW w:w="1148" w:type="dxa"/>
            <w:vAlign w:val="top"/>
          </w:tcPr>
          <w:p w14:paraId="46B89339">
            <w:pPr>
              <w:pStyle w:val="6"/>
              <w:spacing w:before="132" w:line="219" w:lineRule="auto"/>
              <w:ind w:left="165"/>
              <w:rPr>
                <w:sz w:val="22"/>
                <w:szCs w:val="22"/>
                <w:highlight w:val="none"/>
              </w:rPr>
            </w:pPr>
            <w:r>
              <w:rPr>
                <w:spacing w:val="4"/>
                <w:sz w:val="22"/>
                <w:szCs w:val="22"/>
                <w:highlight w:val="none"/>
              </w:rPr>
              <w:t>交货地点</w:t>
            </w:r>
          </w:p>
        </w:tc>
        <w:tc>
          <w:tcPr>
            <w:tcW w:w="1568" w:type="dxa"/>
            <w:vAlign w:val="top"/>
          </w:tcPr>
          <w:p w14:paraId="2918E825">
            <w:pPr>
              <w:pStyle w:val="6"/>
              <w:spacing w:before="132" w:line="219" w:lineRule="auto"/>
              <w:ind w:left="158"/>
              <w:rPr>
                <w:sz w:val="22"/>
                <w:szCs w:val="22"/>
                <w:highlight w:val="none"/>
              </w:rPr>
            </w:pPr>
            <w:r>
              <w:rPr>
                <w:spacing w:val="2"/>
                <w:sz w:val="22"/>
                <w:szCs w:val="22"/>
                <w:highlight w:val="none"/>
              </w:rPr>
              <w:t>计划交货日期</w:t>
            </w:r>
          </w:p>
        </w:tc>
        <w:tc>
          <w:tcPr>
            <w:tcW w:w="984" w:type="dxa"/>
            <w:vAlign w:val="top"/>
          </w:tcPr>
          <w:p w14:paraId="6F329647">
            <w:pPr>
              <w:pStyle w:val="6"/>
              <w:spacing w:before="135" w:line="221" w:lineRule="auto"/>
              <w:ind w:left="289"/>
              <w:rPr>
                <w:sz w:val="22"/>
                <w:szCs w:val="22"/>
                <w:highlight w:val="none"/>
              </w:rPr>
            </w:pPr>
            <w:r>
              <w:rPr>
                <w:spacing w:val="5"/>
                <w:sz w:val="22"/>
                <w:szCs w:val="22"/>
                <w:highlight w:val="none"/>
              </w:rPr>
              <w:t>备注</w:t>
            </w:r>
          </w:p>
        </w:tc>
      </w:tr>
      <w:tr w14:paraId="28768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954" w:type="dxa"/>
            <w:vAlign w:val="top"/>
          </w:tcPr>
          <w:p w14:paraId="020EEF13">
            <w:pPr>
              <w:rPr>
                <w:rFonts w:ascii="Arial"/>
                <w:sz w:val="21"/>
                <w:highlight w:val="none"/>
              </w:rPr>
            </w:pPr>
          </w:p>
        </w:tc>
        <w:tc>
          <w:tcPr>
            <w:tcW w:w="1688" w:type="dxa"/>
            <w:vAlign w:val="top"/>
          </w:tcPr>
          <w:p w14:paraId="08A935AD">
            <w:pPr>
              <w:rPr>
                <w:rFonts w:ascii="Arial"/>
                <w:sz w:val="21"/>
                <w:highlight w:val="none"/>
              </w:rPr>
            </w:pPr>
          </w:p>
        </w:tc>
        <w:tc>
          <w:tcPr>
            <w:tcW w:w="1718" w:type="dxa"/>
            <w:vAlign w:val="top"/>
          </w:tcPr>
          <w:p w14:paraId="30217CF1">
            <w:pPr>
              <w:rPr>
                <w:rFonts w:ascii="Arial"/>
                <w:sz w:val="21"/>
                <w:highlight w:val="none"/>
              </w:rPr>
            </w:pPr>
          </w:p>
        </w:tc>
        <w:tc>
          <w:tcPr>
            <w:tcW w:w="1109" w:type="dxa"/>
            <w:vAlign w:val="top"/>
          </w:tcPr>
          <w:p w14:paraId="43764771">
            <w:pPr>
              <w:rPr>
                <w:rFonts w:ascii="Arial"/>
                <w:sz w:val="21"/>
                <w:highlight w:val="none"/>
              </w:rPr>
            </w:pPr>
          </w:p>
        </w:tc>
        <w:tc>
          <w:tcPr>
            <w:tcW w:w="1148" w:type="dxa"/>
            <w:vAlign w:val="top"/>
          </w:tcPr>
          <w:p w14:paraId="38E8950A">
            <w:pPr>
              <w:rPr>
                <w:rFonts w:ascii="Arial"/>
                <w:sz w:val="21"/>
                <w:highlight w:val="none"/>
              </w:rPr>
            </w:pPr>
          </w:p>
        </w:tc>
        <w:tc>
          <w:tcPr>
            <w:tcW w:w="1568" w:type="dxa"/>
            <w:vAlign w:val="top"/>
          </w:tcPr>
          <w:p w14:paraId="6DA59B76">
            <w:pPr>
              <w:rPr>
                <w:rFonts w:ascii="Arial"/>
                <w:sz w:val="21"/>
                <w:highlight w:val="none"/>
              </w:rPr>
            </w:pPr>
          </w:p>
        </w:tc>
        <w:tc>
          <w:tcPr>
            <w:tcW w:w="984" w:type="dxa"/>
            <w:vAlign w:val="top"/>
          </w:tcPr>
          <w:p w14:paraId="4A79A31A">
            <w:pPr>
              <w:rPr>
                <w:rFonts w:ascii="Arial"/>
                <w:sz w:val="21"/>
                <w:highlight w:val="none"/>
              </w:rPr>
            </w:pPr>
          </w:p>
        </w:tc>
      </w:tr>
      <w:tr w14:paraId="006E7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954" w:type="dxa"/>
            <w:vAlign w:val="top"/>
          </w:tcPr>
          <w:p w14:paraId="1DE57417">
            <w:pPr>
              <w:rPr>
                <w:rFonts w:ascii="Arial"/>
                <w:sz w:val="21"/>
                <w:highlight w:val="none"/>
              </w:rPr>
            </w:pPr>
          </w:p>
        </w:tc>
        <w:tc>
          <w:tcPr>
            <w:tcW w:w="1688" w:type="dxa"/>
            <w:vAlign w:val="top"/>
          </w:tcPr>
          <w:p w14:paraId="1C9123AB">
            <w:pPr>
              <w:rPr>
                <w:rFonts w:ascii="Arial"/>
                <w:sz w:val="21"/>
                <w:highlight w:val="none"/>
              </w:rPr>
            </w:pPr>
          </w:p>
        </w:tc>
        <w:tc>
          <w:tcPr>
            <w:tcW w:w="1718" w:type="dxa"/>
            <w:vAlign w:val="top"/>
          </w:tcPr>
          <w:p w14:paraId="21DFAE3F">
            <w:pPr>
              <w:rPr>
                <w:rFonts w:ascii="Arial"/>
                <w:sz w:val="21"/>
                <w:highlight w:val="none"/>
              </w:rPr>
            </w:pPr>
          </w:p>
        </w:tc>
        <w:tc>
          <w:tcPr>
            <w:tcW w:w="1109" w:type="dxa"/>
            <w:vAlign w:val="top"/>
          </w:tcPr>
          <w:p w14:paraId="0665BFD6">
            <w:pPr>
              <w:rPr>
                <w:rFonts w:ascii="Arial"/>
                <w:sz w:val="21"/>
                <w:highlight w:val="none"/>
              </w:rPr>
            </w:pPr>
          </w:p>
        </w:tc>
        <w:tc>
          <w:tcPr>
            <w:tcW w:w="1148" w:type="dxa"/>
            <w:vAlign w:val="top"/>
          </w:tcPr>
          <w:p w14:paraId="4E5CF344">
            <w:pPr>
              <w:rPr>
                <w:rFonts w:ascii="Arial"/>
                <w:sz w:val="21"/>
                <w:highlight w:val="none"/>
              </w:rPr>
            </w:pPr>
          </w:p>
        </w:tc>
        <w:tc>
          <w:tcPr>
            <w:tcW w:w="1568" w:type="dxa"/>
            <w:vAlign w:val="top"/>
          </w:tcPr>
          <w:p w14:paraId="517AB56B">
            <w:pPr>
              <w:rPr>
                <w:rFonts w:ascii="Arial"/>
                <w:sz w:val="21"/>
                <w:highlight w:val="none"/>
              </w:rPr>
            </w:pPr>
          </w:p>
        </w:tc>
        <w:tc>
          <w:tcPr>
            <w:tcW w:w="984" w:type="dxa"/>
            <w:vAlign w:val="top"/>
          </w:tcPr>
          <w:p w14:paraId="617B6A93">
            <w:pPr>
              <w:rPr>
                <w:rFonts w:ascii="Arial"/>
                <w:sz w:val="21"/>
                <w:highlight w:val="none"/>
              </w:rPr>
            </w:pPr>
          </w:p>
        </w:tc>
      </w:tr>
      <w:tr w14:paraId="5A6A3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954" w:type="dxa"/>
            <w:vAlign w:val="top"/>
          </w:tcPr>
          <w:p w14:paraId="2FF572E8">
            <w:pPr>
              <w:rPr>
                <w:rFonts w:ascii="Arial"/>
                <w:sz w:val="21"/>
                <w:highlight w:val="none"/>
              </w:rPr>
            </w:pPr>
          </w:p>
        </w:tc>
        <w:tc>
          <w:tcPr>
            <w:tcW w:w="1688" w:type="dxa"/>
            <w:vAlign w:val="top"/>
          </w:tcPr>
          <w:p w14:paraId="249B0962">
            <w:pPr>
              <w:rPr>
                <w:rFonts w:ascii="Arial"/>
                <w:sz w:val="21"/>
                <w:highlight w:val="none"/>
              </w:rPr>
            </w:pPr>
          </w:p>
        </w:tc>
        <w:tc>
          <w:tcPr>
            <w:tcW w:w="1718" w:type="dxa"/>
            <w:vAlign w:val="top"/>
          </w:tcPr>
          <w:p w14:paraId="421DC0EF">
            <w:pPr>
              <w:rPr>
                <w:rFonts w:ascii="Arial"/>
                <w:sz w:val="21"/>
                <w:highlight w:val="none"/>
              </w:rPr>
            </w:pPr>
          </w:p>
        </w:tc>
        <w:tc>
          <w:tcPr>
            <w:tcW w:w="1109" w:type="dxa"/>
            <w:vAlign w:val="top"/>
          </w:tcPr>
          <w:p w14:paraId="3DC18DBD">
            <w:pPr>
              <w:rPr>
                <w:rFonts w:ascii="Arial"/>
                <w:sz w:val="21"/>
                <w:highlight w:val="none"/>
              </w:rPr>
            </w:pPr>
          </w:p>
        </w:tc>
        <w:tc>
          <w:tcPr>
            <w:tcW w:w="1148" w:type="dxa"/>
            <w:vAlign w:val="top"/>
          </w:tcPr>
          <w:p w14:paraId="78877EEC">
            <w:pPr>
              <w:rPr>
                <w:rFonts w:ascii="Arial"/>
                <w:sz w:val="21"/>
                <w:highlight w:val="none"/>
              </w:rPr>
            </w:pPr>
          </w:p>
        </w:tc>
        <w:tc>
          <w:tcPr>
            <w:tcW w:w="1568" w:type="dxa"/>
            <w:vAlign w:val="top"/>
          </w:tcPr>
          <w:p w14:paraId="6F1846A5">
            <w:pPr>
              <w:rPr>
                <w:rFonts w:ascii="Arial"/>
                <w:sz w:val="21"/>
                <w:highlight w:val="none"/>
              </w:rPr>
            </w:pPr>
          </w:p>
        </w:tc>
        <w:tc>
          <w:tcPr>
            <w:tcW w:w="984" w:type="dxa"/>
            <w:vAlign w:val="top"/>
          </w:tcPr>
          <w:p w14:paraId="25D2368A">
            <w:pPr>
              <w:rPr>
                <w:rFonts w:ascii="Arial"/>
                <w:sz w:val="21"/>
                <w:highlight w:val="none"/>
              </w:rPr>
            </w:pPr>
          </w:p>
        </w:tc>
      </w:tr>
    </w:tbl>
    <w:p w14:paraId="6AEBC451">
      <w:pPr>
        <w:pStyle w:val="2"/>
        <w:spacing w:line="287" w:lineRule="auto"/>
        <w:rPr>
          <w:highlight w:val="none"/>
        </w:rPr>
      </w:pPr>
    </w:p>
    <w:p w14:paraId="67596959">
      <w:pPr>
        <w:pStyle w:val="2"/>
        <w:spacing w:line="287" w:lineRule="auto"/>
        <w:rPr>
          <w:highlight w:val="none"/>
        </w:rPr>
      </w:pPr>
    </w:p>
    <w:p w14:paraId="71FB5AB3">
      <w:pPr>
        <w:spacing w:before="72" w:line="219" w:lineRule="auto"/>
        <w:ind w:left="2468"/>
        <w:rPr>
          <w:rFonts w:ascii="宋体" w:hAnsi="宋体" w:eastAsia="宋体" w:cs="宋体"/>
          <w:sz w:val="22"/>
          <w:szCs w:val="22"/>
          <w:highlight w:val="none"/>
        </w:rPr>
      </w:pPr>
      <w:r>
        <w:rPr>
          <w:rFonts w:ascii="宋体" w:hAnsi="宋体" w:eastAsia="宋体" w:cs="宋体"/>
          <w:b/>
          <w:bCs/>
          <w:spacing w:val="-11"/>
          <w:sz w:val="22"/>
          <w:szCs w:val="22"/>
          <w:highlight w:val="none"/>
        </w:rPr>
        <w:t>发包人提供的主要设备表(参考格式)</w:t>
      </w:r>
    </w:p>
    <w:p w14:paraId="285E67D7">
      <w:pPr>
        <w:spacing w:line="90" w:lineRule="exact"/>
        <w:rPr>
          <w:highlight w:val="none"/>
        </w:rPr>
      </w:pPr>
    </w:p>
    <w:tbl>
      <w:tblPr>
        <w:tblStyle w:val="5"/>
        <w:tblW w:w="91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4"/>
        <w:gridCol w:w="1848"/>
        <w:gridCol w:w="1558"/>
        <w:gridCol w:w="979"/>
        <w:gridCol w:w="1148"/>
        <w:gridCol w:w="1698"/>
        <w:gridCol w:w="864"/>
      </w:tblGrid>
      <w:tr w14:paraId="49B8E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084" w:type="dxa"/>
            <w:vAlign w:val="top"/>
          </w:tcPr>
          <w:p w14:paraId="0DFF04F5">
            <w:pPr>
              <w:pStyle w:val="6"/>
              <w:spacing w:before="154" w:line="221" w:lineRule="auto"/>
              <w:ind w:left="295"/>
              <w:rPr>
                <w:highlight w:val="none"/>
              </w:rPr>
            </w:pPr>
            <w:r>
              <w:rPr>
                <w:spacing w:val="6"/>
                <w:highlight w:val="none"/>
              </w:rPr>
              <w:t>序号</w:t>
            </w:r>
          </w:p>
        </w:tc>
        <w:tc>
          <w:tcPr>
            <w:tcW w:w="1848" w:type="dxa"/>
            <w:vAlign w:val="top"/>
          </w:tcPr>
          <w:p w14:paraId="4B8F841A">
            <w:pPr>
              <w:pStyle w:val="6"/>
              <w:spacing w:before="154" w:line="220" w:lineRule="auto"/>
              <w:ind w:left="311"/>
              <w:rPr>
                <w:highlight w:val="none"/>
              </w:rPr>
            </w:pPr>
            <w:r>
              <w:rPr>
                <w:spacing w:val="1"/>
                <w:highlight w:val="none"/>
              </w:rPr>
              <w:t>工程设备名称</w:t>
            </w:r>
          </w:p>
        </w:tc>
        <w:tc>
          <w:tcPr>
            <w:tcW w:w="1558" w:type="dxa"/>
            <w:vAlign w:val="top"/>
          </w:tcPr>
          <w:p w14:paraId="0C310A30">
            <w:pPr>
              <w:pStyle w:val="6"/>
              <w:spacing w:before="153" w:line="219" w:lineRule="auto"/>
              <w:ind w:left="272"/>
              <w:rPr>
                <w:highlight w:val="none"/>
              </w:rPr>
            </w:pPr>
            <w:r>
              <w:rPr>
                <w:spacing w:val="1"/>
                <w:highlight w:val="none"/>
              </w:rPr>
              <w:t>型号及规格</w:t>
            </w:r>
          </w:p>
        </w:tc>
        <w:tc>
          <w:tcPr>
            <w:tcW w:w="979" w:type="dxa"/>
            <w:vAlign w:val="top"/>
          </w:tcPr>
          <w:p w14:paraId="4A810B7E">
            <w:pPr>
              <w:pStyle w:val="6"/>
              <w:spacing w:before="153" w:line="219" w:lineRule="auto"/>
              <w:ind w:left="294"/>
              <w:rPr>
                <w:highlight w:val="none"/>
              </w:rPr>
            </w:pPr>
            <w:r>
              <w:rPr>
                <w:spacing w:val="-3"/>
                <w:highlight w:val="none"/>
              </w:rPr>
              <w:t>数量</w:t>
            </w:r>
          </w:p>
        </w:tc>
        <w:tc>
          <w:tcPr>
            <w:tcW w:w="1148" w:type="dxa"/>
            <w:vAlign w:val="top"/>
          </w:tcPr>
          <w:p w14:paraId="4AC30FB6">
            <w:pPr>
              <w:pStyle w:val="6"/>
              <w:spacing w:before="152" w:line="219" w:lineRule="auto"/>
              <w:ind w:left="165"/>
              <w:rPr>
                <w:highlight w:val="none"/>
              </w:rPr>
            </w:pPr>
            <w:r>
              <w:rPr>
                <w:spacing w:val="4"/>
                <w:highlight w:val="none"/>
              </w:rPr>
              <w:t>交货地点</w:t>
            </w:r>
          </w:p>
        </w:tc>
        <w:tc>
          <w:tcPr>
            <w:tcW w:w="1698" w:type="dxa"/>
            <w:vAlign w:val="top"/>
          </w:tcPr>
          <w:p w14:paraId="672CE866">
            <w:pPr>
              <w:pStyle w:val="6"/>
              <w:spacing w:before="152" w:line="219" w:lineRule="auto"/>
              <w:ind w:left="237"/>
              <w:rPr>
                <w:highlight w:val="none"/>
              </w:rPr>
            </w:pPr>
            <w:r>
              <w:rPr>
                <w:spacing w:val="2"/>
                <w:highlight w:val="none"/>
              </w:rPr>
              <w:t>计划交货日期</w:t>
            </w:r>
          </w:p>
        </w:tc>
        <w:tc>
          <w:tcPr>
            <w:tcW w:w="864" w:type="dxa"/>
            <w:vAlign w:val="top"/>
          </w:tcPr>
          <w:p w14:paraId="2898BA45">
            <w:pPr>
              <w:pStyle w:val="6"/>
              <w:spacing w:before="154" w:line="221" w:lineRule="auto"/>
              <w:ind w:left="239"/>
              <w:rPr>
                <w:highlight w:val="none"/>
              </w:rPr>
            </w:pPr>
            <w:r>
              <w:rPr>
                <w:spacing w:val="5"/>
                <w:highlight w:val="none"/>
              </w:rPr>
              <w:t>备注</w:t>
            </w:r>
          </w:p>
        </w:tc>
      </w:tr>
      <w:tr w14:paraId="70D3B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084" w:type="dxa"/>
            <w:vAlign w:val="top"/>
          </w:tcPr>
          <w:p w14:paraId="745D3DCD">
            <w:pPr>
              <w:rPr>
                <w:rFonts w:ascii="Arial"/>
                <w:sz w:val="21"/>
                <w:highlight w:val="none"/>
              </w:rPr>
            </w:pPr>
          </w:p>
        </w:tc>
        <w:tc>
          <w:tcPr>
            <w:tcW w:w="1848" w:type="dxa"/>
            <w:vAlign w:val="top"/>
          </w:tcPr>
          <w:p w14:paraId="383D21F2">
            <w:pPr>
              <w:rPr>
                <w:rFonts w:ascii="Arial"/>
                <w:sz w:val="21"/>
                <w:highlight w:val="none"/>
              </w:rPr>
            </w:pPr>
          </w:p>
        </w:tc>
        <w:tc>
          <w:tcPr>
            <w:tcW w:w="1558" w:type="dxa"/>
            <w:vAlign w:val="top"/>
          </w:tcPr>
          <w:p w14:paraId="42AD1315">
            <w:pPr>
              <w:rPr>
                <w:rFonts w:ascii="Arial"/>
                <w:sz w:val="21"/>
                <w:highlight w:val="none"/>
              </w:rPr>
            </w:pPr>
          </w:p>
        </w:tc>
        <w:tc>
          <w:tcPr>
            <w:tcW w:w="979" w:type="dxa"/>
            <w:vAlign w:val="top"/>
          </w:tcPr>
          <w:p w14:paraId="5E485D50">
            <w:pPr>
              <w:rPr>
                <w:rFonts w:ascii="Arial"/>
                <w:sz w:val="21"/>
                <w:highlight w:val="none"/>
              </w:rPr>
            </w:pPr>
          </w:p>
        </w:tc>
        <w:tc>
          <w:tcPr>
            <w:tcW w:w="1148" w:type="dxa"/>
            <w:vAlign w:val="top"/>
          </w:tcPr>
          <w:p w14:paraId="62654A57">
            <w:pPr>
              <w:rPr>
                <w:rFonts w:ascii="Arial"/>
                <w:sz w:val="21"/>
                <w:highlight w:val="none"/>
              </w:rPr>
            </w:pPr>
          </w:p>
        </w:tc>
        <w:tc>
          <w:tcPr>
            <w:tcW w:w="1698" w:type="dxa"/>
            <w:vAlign w:val="top"/>
          </w:tcPr>
          <w:p w14:paraId="27AF4B5B">
            <w:pPr>
              <w:rPr>
                <w:rFonts w:ascii="Arial"/>
                <w:sz w:val="21"/>
                <w:highlight w:val="none"/>
              </w:rPr>
            </w:pPr>
          </w:p>
        </w:tc>
        <w:tc>
          <w:tcPr>
            <w:tcW w:w="864" w:type="dxa"/>
            <w:vAlign w:val="top"/>
          </w:tcPr>
          <w:p w14:paraId="361B0E4A">
            <w:pPr>
              <w:rPr>
                <w:rFonts w:ascii="Arial"/>
                <w:sz w:val="21"/>
                <w:highlight w:val="none"/>
              </w:rPr>
            </w:pPr>
          </w:p>
        </w:tc>
      </w:tr>
      <w:tr w14:paraId="15BF9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1084" w:type="dxa"/>
            <w:vAlign w:val="top"/>
          </w:tcPr>
          <w:p w14:paraId="01E20764">
            <w:pPr>
              <w:rPr>
                <w:rFonts w:ascii="Arial"/>
                <w:sz w:val="21"/>
                <w:highlight w:val="none"/>
              </w:rPr>
            </w:pPr>
          </w:p>
        </w:tc>
        <w:tc>
          <w:tcPr>
            <w:tcW w:w="1848" w:type="dxa"/>
            <w:vAlign w:val="top"/>
          </w:tcPr>
          <w:p w14:paraId="4D1D9696">
            <w:pPr>
              <w:rPr>
                <w:rFonts w:ascii="Arial"/>
                <w:sz w:val="21"/>
                <w:highlight w:val="none"/>
              </w:rPr>
            </w:pPr>
          </w:p>
        </w:tc>
        <w:tc>
          <w:tcPr>
            <w:tcW w:w="1558" w:type="dxa"/>
            <w:vAlign w:val="top"/>
          </w:tcPr>
          <w:p w14:paraId="09FC2C0C">
            <w:pPr>
              <w:rPr>
                <w:rFonts w:ascii="Arial"/>
                <w:sz w:val="21"/>
                <w:highlight w:val="none"/>
              </w:rPr>
            </w:pPr>
          </w:p>
        </w:tc>
        <w:tc>
          <w:tcPr>
            <w:tcW w:w="979" w:type="dxa"/>
            <w:vAlign w:val="top"/>
          </w:tcPr>
          <w:p w14:paraId="353BF0EC">
            <w:pPr>
              <w:rPr>
                <w:rFonts w:ascii="Arial"/>
                <w:sz w:val="21"/>
                <w:highlight w:val="none"/>
              </w:rPr>
            </w:pPr>
          </w:p>
        </w:tc>
        <w:tc>
          <w:tcPr>
            <w:tcW w:w="1148" w:type="dxa"/>
            <w:vAlign w:val="top"/>
          </w:tcPr>
          <w:p w14:paraId="31A974E4">
            <w:pPr>
              <w:rPr>
                <w:rFonts w:ascii="Arial"/>
                <w:sz w:val="21"/>
                <w:highlight w:val="none"/>
              </w:rPr>
            </w:pPr>
          </w:p>
        </w:tc>
        <w:tc>
          <w:tcPr>
            <w:tcW w:w="1698" w:type="dxa"/>
            <w:vAlign w:val="top"/>
          </w:tcPr>
          <w:p w14:paraId="2E81AD6B">
            <w:pPr>
              <w:rPr>
                <w:rFonts w:ascii="Arial"/>
                <w:sz w:val="21"/>
                <w:highlight w:val="none"/>
              </w:rPr>
            </w:pPr>
          </w:p>
        </w:tc>
        <w:tc>
          <w:tcPr>
            <w:tcW w:w="864" w:type="dxa"/>
            <w:vAlign w:val="top"/>
          </w:tcPr>
          <w:p w14:paraId="30B0021C">
            <w:pPr>
              <w:rPr>
                <w:rFonts w:ascii="Arial"/>
                <w:sz w:val="21"/>
                <w:highlight w:val="none"/>
              </w:rPr>
            </w:pPr>
          </w:p>
        </w:tc>
      </w:tr>
      <w:tr w14:paraId="32F9A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1084" w:type="dxa"/>
            <w:vAlign w:val="top"/>
          </w:tcPr>
          <w:p w14:paraId="47CDCDC3">
            <w:pPr>
              <w:rPr>
                <w:rFonts w:ascii="Arial"/>
                <w:sz w:val="21"/>
                <w:highlight w:val="none"/>
              </w:rPr>
            </w:pPr>
          </w:p>
        </w:tc>
        <w:tc>
          <w:tcPr>
            <w:tcW w:w="1848" w:type="dxa"/>
            <w:vAlign w:val="top"/>
          </w:tcPr>
          <w:p w14:paraId="401065AD">
            <w:pPr>
              <w:rPr>
                <w:rFonts w:ascii="Arial"/>
                <w:sz w:val="21"/>
                <w:highlight w:val="none"/>
              </w:rPr>
            </w:pPr>
          </w:p>
        </w:tc>
        <w:tc>
          <w:tcPr>
            <w:tcW w:w="1558" w:type="dxa"/>
            <w:vAlign w:val="top"/>
          </w:tcPr>
          <w:p w14:paraId="08DA3615">
            <w:pPr>
              <w:rPr>
                <w:rFonts w:ascii="Arial"/>
                <w:sz w:val="21"/>
                <w:highlight w:val="none"/>
              </w:rPr>
            </w:pPr>
          </w:p>
        </w:tc>
        <w:tc>
          <w:tcPr>
            <w:tcW w:w="979" w:type="dxa"/>
            <w:vAlign w:val="top"/>
          </w:tcPr>
          <w:p w14:paraId="022DA19C">
            <w:pPr>
              <w:rPr>
                <w:rFonts w:ascii="Arial"/>
                <w:sz w:val="21"/>
                <w:highlight w:val="none"/>
              </w:rPr>
            </w:pPr>
          </w:p>
        </w:tc>
        <w:tc>
          <w:tcPr>
            <w:tcW w:w="1148" w:type="dxa"/>
            <w:vAlign w:val="top"/>
          </w:tcPr>
          <w:p w14:paraId="2DDB75E6">
            <w:pPr>
              <w:rPr>
                <w:rFonts w:ascii="Arial"/>
                <w:sz w:val="21"/>
                <w:highlight w:val="none"/>
              </w:rPr>
            </w:pPr>
          </w:p>
        </w:tc>
        <w:tc>
          <w:tcPr>
            <w:tcW w:w="1698" w:type="dxa"/>
            <w:vAlign w:val="top"/>
          </w:tcPr>
          <w:p w14:paraId="44605F7A">
            <w:pPr>
              <w:rPr>
                <w:rFonts w:ascii="Arial"/>
                <w:sz w:val="21"/>
                <w:highlight w:val="none"/>
              </w:rPr>
            </w:pPr>
          </w:p>
        </w:tc>
        <w:tc>
          <w:tcPr>
            <w:tcW w:w="864" w:type="dxa"/>
            <w:vAlign w:val="top"/>
          </w:tcPr>
          <w:p w14:paraId="2CD28DA5">
            <w:pPr>
              <w:rPr>
                <w:rFonts w:ascii="Arial"/>
                <w:sz w:val="21"/>
                <w:highlight w:val="none"/>
              </w:rPr>
            </w:pPr>
          </w:p>
        </w:tc>
      </w:tr>
    </w:tbl>
    <w:p w14:paraId="0BA0489B">
      <w:pPr>
        <w:spacing w:before="142" w:line="219" w:lineRule="auto"/>
        <w:ind w:left="514"/>
        <w:rPr>
          <w:rFonts w:ascii="宋体" w:hAnsi="宋体" w:eastAsia="宋体" w:cs="宋体"/>
          <w:sz w:val="22"/>
          <w:szCs w:val="22"/>
          <w:highlight w:val="none"/>
        </w:rPr>
      </w:pPr>
      <w:r>
        <w:rPr>
          <w:rFonts w:ascii="宋体" w:hAnsi="宋体" w:eastAsia="宋体" w:cs="宋体"/>
          <w:spacing w:val="-6"/>
          <w:sz w:val="22"/>
          <w:szCs w:val="22"/>
          <w:highlight w:val="none"/>
        </w:rPr>
        <w:t>6.2.3发包人提供的材料和工程设备的验收：</w:t>
      </w:r>
      <w:r>
        <w:rPr>
          <w:rFonts w:ascii="宋体" w:hAnsi="宋体" w:eastAsia="宋体" w:cs="宋体"/>
          <w:spacing w:val="-6"/>
          <w:sz w:val="22"/>
          <w:szCs w:val="22"/>
          <w:highlight w:val="none"/>
          <w:u w:val="single" w:color="auto"/>
        </w:rPr>
        <w:t xml:space="preserve">                                    </w:t>
      </w:r>
    </w:p>
    <w:p w14:paraId="4290991F">
      <w:pPr>
        <w:spacing w:before="229" w:line="222" w:lineRule="auto"/>
        <w:ind w:left="94"/>
        <w:outlineLvl w:val="1"/>
        <w:rPr>
          <w:rFonts w:ascii="黑体" w:hAnsi="黑体" w:eastAsia="黑体" w:cs="黑体"/>
          <w:sz w:val="22"/>
          <w:szCs w:val="22"/>
          <w:highlight w:val="none"/>
        </w:rPr>
      </w:pPr>
      <w:bookmarkStart w:id="218" w:name="bookmark128"/>
      <w:bookmarkEnd w:id="218"/>
      <w:r>
        <w:rPr>
          <w:rFonts w:ascii="黑体" w:hAnsi="黑体" w:eastAsia="黑体" w:cs="黑体"/>
          <w:spacing w:val="15"/>
          <w:sz w:val="22"/>
          <w:szCs w:val="22"/>
          <w:highlight w:val="none"/>
        </w:rPr>
        <w:t>7. 施工设备和临时设施</w:t>
      </w:r>
    </w:p>
    <w:p w14:paraId="250319E3">
      <w:pPr>
        <w:spacing w:before="186" w:line="222" w:lineRule="auto"/>
        <w:ind w:left="94"/>
        <w:rPr>
          <w:rFonts w:ascii="黑体" w:hAnsi="黑体" w:eastAsia="黑体" w:cs="黑体"/>
          <w:sz w:val="22"/>
          <w:szCs w:val="22"/>
          <w:highlight w:val="none"/>
        </w:rPr>
      </w:pPr>
      <w:r>
        <w:rPr>
          <w:rFonts w:ascii="黑体" w:hAnsi="黑体" w:eastAsia="黑体" w:cs="黑体"/>
          <w:spacing w:val="-8"/>
          <w:sz w:val="22"/>
          <w:szCs w:val="22"/>
          <w:highlight w:val="none"/>
        </w:rPr>
        <w:t>7.1 承包人提供的施工设备和临时设施</w:t>
      </w:r>
    </w:p>
    <w:p w14:paraId="09C6FB5F">
      <w:pPr>
        <w:spacing w:before="137" w:line="219" w:lineRule="auto"/>
        <w:ind w:left="534"/>
        <w:rPr>
          <w:rFonts w:ascii="宋体" w:hAnsi="宋体" w:eastAsia="宋体" w:cs="宋体"/>
          <w:sz w:val="22"/>
          <w:szCs w:val="22"/>
          <w:highlight w:val="none"/>
        </w:rPr>
      </w:pPr>
      <w:r>
        <w:rPr>
          <w:rFonts w:ascii="宋体" w:hAnsi="宋体" w:eastAsia="宋体" w:cs="宋体"/>
          <w:spacing w:val="-7"/>
          <w:sz w:val="22"/>
          <w:szCs w:val="22"/>
          <w:highlight w:val="none"/>
        </w:rPr>
        <w:t>7.1.2修建临时设施的要求：</w:t>
      </w:r>
      <w:r>
        <w:rPr>
          <w:rFonts w:ascii="宋体" w:hAnsi="宋体" w:eastAsia="宋体" w:cs="宋体"/>
          <w:sz w:val="22"/>
          <w:szCs w:val="22"/>
          <w:highlight w:val="none"/>
          <w:u w:val="single" w:color="auto"/>
        </w:rPr>
        <w:t xml:space="preserve">                                                </w:t>
      </w:r>
    </w:p>
    <w:p w14:paraId="46627A0C">
      <w:pPr>
        <w:spacing w:before="287" w:line="221" w:lineRule="auto"/>
        <w:ind w:left="84"/>
        <w:rPr>
          <w:rFonts w:ascii="黑体" w:hAnsi="黑体" w:eastAsia="黑体" w:cs="黑体"/>
          <w:sz w:val="22"/>
          <w:szCs w:val="22"/>
          <w:highlight w:val="none"/>
        </w:rPr>
      </w:pPr>
      <w:r>
        <w:rPr>
          <w:rFonts w:ascii="黑体" w:hAnsi="黑体" w:eastAsia="黑体" w:cs="黑体"/>
          <w:spacing w:val="-8"/>
          <w:sz w:val="22"/>
          <w:szCs w:val="22"/>
          <w:highlight w:val="none"/>
        </w:rPr>
        <w:t>7.2 发包人提供的施工设备和临时设施</w:t>
      </w:r>
    </w:p>
    <w:p w14:paraId="5F827962">
      <w:pPr>
        <w:spacing w:before="148" w:line="236" w:lineRule="auto"/>
        <w:ind w:left="534"/>
        <w:rPr>
          <w:rFonts w:ascii="宋体" w:hAnsi="宋体" w:eastAsia="宋体" w:cs="宋体"/>
          <w:sz w:val="22"/>
          <w:szCs w:val="22"/>
          <w:highlight w:val="none"/>
        </w:rPr>
      </w:pPr>
      <w:r>
        <w:rPr>
          <w:rFonts w:ascii="宋体" w:hAnsi="宋体" w:eastAsia="宋体" w:cs="宋体"/>
          <w:spacing w:val="-11"/>
          <w:sz w:val="22"/>
          <w:szCs w:val="22"/>
          <w:highlight w:val="none"/>
        </w:rPr>
        <w:t>适用通用条款中的</w:t>
      </w:r>
      <w:r>
        <w:rPr>
          <w:rFonts w:ascii="宋体" w:hAnsi="宋体" w:eastAsia="宋体" w:cs="宋体"/>
          <w:spacing w:val="-88"/>
          <w:sz w:val="22"/>
          <w:szCs w:val="22"/>
          <w:highlight w:val="none"/>
        </w:rPr>
        <w:t xml:space="preserve"> </w:t>
      </w:r>
      <w:r>
        <w:rPr>
          <w:rFonts w:ascii="宋体" w:hAnsi="宋体" w:eastAsia="宋体" w:cs="宋体"/>
          <w:spacing w:val="-11"/>
          <w:sz w:val="22"/>
          <w:szCs w:val="22"/>
          <w:highlight w:val="none"/>
          <w:u w:val="single" w:color="auto"/>
        </w:rPr>
        <w:t xml:space="preserve">        </w:t>
      </w:r>
      <w:r>
        <w:rPr>
          <w:rFonts w:ascii="宋体" w:hAnsi="宋体" w:eastAsia="宋体" w:cs="宋体"/>
          <w:spacing w:val="-11"/>
          <w:sz w:val="22"/>
          <w:szCs w:val="22"/>
          <w:highlight w:val="none"/>
        </w:rPr>
        <w:t>条款，其他要求：</w:t>
      </w:r>
      <w:r>
        <w:rPr>
          <w:rFonts w:ascii="宋体" w:hAnsi="宋体" w:eastAsia="宋体" w:cs="宋体"/>
          <w:sz w:val="22"/>
          <w:szCs w:val="22"/>
          <w:highlight w:val="none"/>
          <w:u w:val="single" w:color="auto"/>
        </w:rPr>
        <w:t xml:space="preserve">                              </w:t>
      </w:r>
    </w:p>
    <w:p w14:paraId="0C819B14">
      <w:pPr>
        <w:spacing w:before="198" w:line="219" w:lineRule="auto"/>
        <w:ind w:left="634"/>
        <w:rPr>
          <w:rFonts w:ascii="宋体" w:hAnsi="宋体" w:eastAsia="宋体" w:cs="宋体"/>
          <w:sz w:val="22"/>
          <w:szCs w:val="22"/>
          <w:highlight w:val="none"/>
        </w:rPr>
      </w:pPr>
      <w:r>
        <w:rPr>
          <w:rFonts w:ascii="宋体" w:hAnsi="宋体" w:eastAsia="宋体" w:cs="宋体"/>
          <w:spacing w:val="-6"/>
          <w:sz w:val="22"/>
          <w:szCs w:val="22"/>
          <w:highlight w:val="none"/>
        </w:rPr>
        <w:t>(1)发包人提供的的施工设备见下表：</w:t>
      </w:r>
    </w:p>
    <w:p w14:paraId="00E051C2">
      <w:pPr>
        <w:pStyle w:val="2"/>
        <w:spacing w:line="315" w:lineRule="auto"/>
        <w:rPr>
          <w:highlight w:val="none"/>
        </w:rPr>
      </w:pPr>
    </w:p>
    <w:p w14:paraId="524DFDB0">
      <w:pPr>
        <w:pStyle w:val="2"/>
        <w:spacing w:line="315" w:lineRule="auto"/>
        <w:rPr>
          <w:highlight w:val="none"/>
        </w:rPr>
      </w:pPr>
    </w:p>
    <w:p w14:paraId="74EB4280">
      <w:pPr>
        <w:spacing w:before="72" w:line="219" w:lineRule="auto"/>
        <w:ind w:left="2478"/>
        <w:rPr>
          <w:rFonts w:ascii="宋体" w:hAnsi="宋体" w:eastAsia="宋体" w:cs="宋体"/>
          <w:sz w:val="22"/>
          <w:szCs w:val="22"/>
          <w:highlight w:val="none"/>
        </w:rPr>
      </w:pPr>
      <w:r>
        <w:rPr>
          <w:rFonts w:ascii="宋体" w:hAnsi="宋体" w:eastAsia="宋体" w:cs="宋体"/>
          <w:b/>
          <w:bCs/>
          <w:spacing w:val="-11"/>
          <w:sz w:val="22"/>
          <w:szCs w:val="22"/>
          <w:highlight w:val="none"/>
        </w:rPr>
        <w:t>发包人提供的施工设备表(参考格式)</w:t>
      </w:r>
    </w:p>
    <w:p w14:paraId="0ADDC713">
      <w:pPr>
        <w:spacing w:line="219" w:lineRule="auto"/>
        <w:rPr>
          <w:rFonts w:ascii="宋体" w:hAnsi="宋体" w:eastAsia="宋体" w:cs="宋体"/>
          <w:sz w:val="22"/>
          <w:szCs w:val="22"/>
          <w:highlight w:val="none"/>
        </w:rPr>
        <w:sectPr>
          <w:footerReference r:id="rId221" w:type="default"/>
          <w:pgSz w:w="11910" w:h="16840"/>
          <w:pgMar w:top="400" w:right="1034" w:bottom="1250" w:left="1685" w:header="0" w:footer="965" w:gutter="0"/>
          <w:cols w:space="720" w:num="1"/>
        </w:sectPr>
      </w:pPr>
    </w:p>
    <w:p w14:paraId="2DDE4B69">
      <w:pPr>
        <w:spacing w:before="20"/>
        <w:rPr>
          <w:highlight w:val="none"/>
        </w:rPr>
      </w:pPr>
    </w:p>
    <w:p w14:paraId="1BA5BB38">
      <w:pPr>
        <w:spacing w:before="20"/>
        <w:rPr>
          <w:highlight w:val="none"/>
        </w:rPr>
      </w:pPr>
    </w:p>
    <w:p w14:paraId="50E3C903">
      <w:pPr>
        <w:spacing w:before="20"/>
        <w:rPr>
          <w:highlight w:val="none"/>
        </w:rPr>
      </w:pPr>
    </w:p>
    <w:p w14:paraId="0B0F953C">
      <w:pPr>
        <w:spacing w:before="19"/>
        <w:rPr>
          <w:highlight w:val="none"/>
        </w:rPr>
      </w:pPr>
    </w:p>
    <w:tbl>
      <w:tblPr>
        <w:tblStyle w:val="5"/>
        <w:tblW w:w="91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4"/>
        <w:gridCol w:w="1838"/>
        <w:gridCol w:w="1568"/>
        <w:gridCol w:w="979"/>
        <w:gridCol w:w="1148"/>
        <w:gridCol w:w="1698"/>
        <w:gridCol w:w="864"/>
      </w:tblGrid>
      <w:tr w14:paraId="1AE79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1084" w:type="dxa"/>
            <w:vAlign w:val="top"/>
          </w:tcPr>
          <w:p w14:paraId="30190161">
            <w:pPr>
              <w:pStyle w:val="6"/>
              <w:spacing w:before="144" w:line="221" w:lineRule="auto"/>
              <w:ind w:left="305"/>
              <w:rPr>
                <w:highlight w:val="none"/>
              </w:rPr>
            </w:pPr>
            <w:r>
              <w:rPr>
                <w:spacing w:val="6"/>
                <w:highlight w:val="none"/>
              </w:rPr>
              <w:t>序号</w:t>
            </w:r>
          </w:p>
        </w:tc>
        <w:tc>
          <w:tcPr>
            <w:tcW w:w="1838" w:type="dxa"/>
            <w:vAlign w:val="top"/>
          </w:tcPr>
          <w:p w14:paraId="5507B890">
            <w:pPr>
              <w:pStyle w:val="6"/>
              <w:spacing w:before="144" w:line="221" w:lineRule="auto"/>
              <w:ind w:left="311"/>
              <w:rPr>
                <w:highlight w:val="none"/>
              </w:rPr>
            </w:pPr>
            <w:r>
              <w:rPr>
                <w:spacing w:val="-2"/>
                <w:highlight w:val="none"/>
              </w:rPr>
              <w:t>施工设备名称</w:t>
            </w:r>
          </w:p>
        </w:tc>
        <w:tc>
          <w:tcPr>
            <w:tcW w:w="1568" w:type="dxa"/>
            <w:vAlign w:val="top"/>
          </w:tcPr>
          <w:p w14:paraId="21130C83">
            <w:pPr>
              <w:pStyle w:val="6"/>
              <w:spacing w:before="143" w:line="219" w:lineRule="auto"/>
              <w:ind w:left="262"/>
              <w:rPr>
                <w:highlight w:val="none"/>
              </w:rPr>
            </w:pPr>
            <w:r>
              <w:rPr>
                <w:spacing w:val="1"/>
                <w:highlight w:val="none"/>
              </w:rPr>
              <w:t>型号及规格</w:t>
            </w:r>
          </w:p>
        </w:tc>
        <w:tc>
          <w:tcPr>
            <w:tcW w:w="979" w:type="dxa"/>
            <w:vAlign w:val="top"/>
          </w:tcPr>
          <w:p w14:paraId="12E52E0E">
            <w:pPr>
              <w:pStyle w:val="6"/>
              <w:spacing w:before="143" w:line="219" w:lineRule="auto"/>
              <w:ind w:left="304"/>
              <w:rPr>
                <w:highlight w:val="none"/>
              </w:rPr>
            </w:pPr>
            <w:r>
              <w:rPr>
                <w:spacing w:val="-3"/>
                <w:highlight w:val="none"/>
              </w:rPr>
              <w:t>数量</w:t>
            </w:r>
          </w:p>
        </w:tc>
        <w:tc>
          <w:tcPr>
            <w:tcW w:w="1148" w:type="dxa"/>
            <w:vAlign w:val="top"/>
          </w:tcPr>
          <w:p w14:paraId="5DEA9C39">
            <w:pPr>
              <w:pStyle w:val="6"/>
              <w:spacing w:before="142" w:line="219" w:lineRule="auto"/>
              <w:ind w:left="165"/>
              <w:rPr>
                <w:highlight w:val="none"/>
              </w:rPr>
            </w:pPr>
            <w:r>
              <w:rPr>
                <w:spacing w:val="4"/>
                <w:highlight w:val="none"/>
              </w:rPr>
              <w:t>交货地点</w:t>
            </w:r>
          </w:p>
        </w:tc>
        <w:tc>
          <w:tcPr>
            <w:tcW w:w="1698" w:type="dxa"/>
            <w:vAlign w:val="top"/>
          </w:tcPr>
          <w:p w14:paraId="6856175C">
            <w:pPr>
              <w:pStyle w:val="6"/>
              <w:spacing w:before="142" w:line="219" w:lineRule="auto"/>
              <w:ind w:left="217"/>
              <w:rPr>
                <w:highlight w:val="none"/>
              </w:rPr>
            </w:pPr>
            <w:r>
              <w:rPr>
                <w:spacing w:val="2"/>
                <w:highlight w:val="none"/>
              </w:rPr>
              <w:t>计划交货日期</w:t>
            </w:r>
          </w:p>
        </w:tc>
        <w:tc>
          <w:tcPr>
            <w:tcW w:w="864" w:type="dxa"/>
            <w:vAlign w:val="top"/>
          </w:tcPr>
          <w:p w14:paraId="0D8C4E94">
            <w:pPr>
              <w:pStyle w:val="6"/>
              <w:spacing w:before="144" w:line="221" w:lineRule="auto"/>
              <w:ind w:left="229"/>
              <w:rPr>
                <w:highlight w:val="none"/>
              </w:rPr>
            </w:pPr>
            <w:r>
              <w:rPr>
                <w:spacing w:val="5"/>
                <w:highlight w:val="none"/>
              </w:rPr>
              <w:t>备注</w:t>
            </w:r>
          </w:p>
        </w:tc>
      </w:tr>
      <w:tr w14:paraId="105A1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1084" w:type="dxa"/>
            <w:vAlign w:val="top"/>
          </w:tcPr>
          <w:p w14:paraId="36E7FB1E">
            <w:pPr>
              <w:rPr>
                <w:rFonts w:ascii="Arial"/>
                <w:sz w:val="21"/>
                <w:highlight w:val="none"/>
              </w:rPr>
            </w:pPr>
          </w:p>
        </w:tc>
        <w:tc>
          <w:tcPr>
            <w:tcW w:w="1838" w:type="dxa"/>
            <w:vAlign w:val="top"/>
          </w:tcPr>
          <w:p w14:paraId="744E42C3">
            <w:pPr>
              <w:rPr>
                <w:rFonts w:ascii="Arial"/>
                <w:sz w:val="21"/>
                <w:highlight w:val="none"/>
              </w:rPr>
            </w:pPr>
          </w:p>
        </w:tc>
        <w:tc>
          <w:tcPr>
            <w:tcW w:w="1568" w:type="dxa"/>
            <w:vAlign w:val="top"/>
          </w:tcPr>
          <w:p w14:paraId="5DA90B98">
            <w:pPr>
              <w:rPr>
                <w:rFonts w:ascii="Arial"/>
                <w:sz w:val="21"/>
                <w:highlight w:val="none"/>
              </w:rPr>
            </w:pPr>
          </w:p>
        </w:tc>
        <w:tc>
          <w:tcPr>
            <w:tcW w:w="979" w:type="dxa"/>
            <w:vAlign w:val="top"/>
          </w:tcPr>
          <w:p w14:paraId="730CE55B">
            <w:pPr>
              <w:rPr>
                <w:rFonts w:ascii="Arial"/>
                <w:sz w:val="21"/>
                <w:highlight w:val="none"/>
              </w:rPr>
            </w:pPr>
          </w:p>
        </w:tc>
        <w:tc>
          <w:tcPr>
            <w:tcW w:w="1148" w:type="dxa"/>
            <w:vAlign w:val="top"/>
          </w:tcPr>
          <w:p w14:paraId="3B1F4C87">
            <w:pPr>
              <w:rPr>
                <w:rFonts w:ascii="Arial"/>
                <w:sz w:val="21"/>
                <w:highlight w:val="none"/>
              </w:rPr>
            </w:pPr>
          </w:p>
        </w:tc>
        <w:tc>
          <w:tcPr>
            <w:tcW w:w="1698" w:type="dxa"/>
            <w:vAlign w:val="top"/>
          </w:tcPr>
          <w:p w14:paraId="2915E28B">
            <w:pPr>
              <w:rPr>
                <w:rFonts w:ascii="Arial"/>
                <w:sz w:val="21"/>
                <w:highlight w:val="none"/>
              </w:rPr>
            </w:pPr>
          </w:p>
        </w:tc>
        <w:tc>
          <w:tcPr>
            <w:tcW w:w="864" w:type="dxa"/>
            <w:vAlign w:val="top"/>
          </w:tcPr>
          <w:p w14:paraId="554156D3">
            <w:pPr>
              <w:rPr>
                <w:rFonts w:ascii="Arial"/>
                <w:sz w:val="21"/>
                <w:highlight w:val="none"/>
              </w:rPr>
            </w:pPr>
          </w:p>
        </w:tc>
      </w:tr>
      <w:tr w14:paraId="0CEA1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084" w:type="dxa"/>
            <w:vAlign w:val="top"/>
          </w:tcPr>
          <w:p w14:paraId="53D6E1C6">
            <w:pPr>
              <w:rPr>
                <w:rFonts w:ascii="Arial"/>
                <w:sz w:val="21"/>
                <w:highlight w:val="none"/>
              </w:rPr>
            </w:pPr>
          </w:p>
        </w:tc>
        <w:tc>
          <w:tcPr>
            <w:tcW w:w="1838" w:type="dxa"/>
            <w:vAlign w:val="top"/>
          </w:tcPr>
          <w:p w14:paraId="563ACC03">
            <w:pPr>
              <w:rPr>
                <w:rFonts w:ascii="Arial"/>
                <w:sz w:val="21"/>
                <w:highlight w:val="none"/>
              </w:rPr>
            </w:pPr>
          </w:p>
        </w:tc>
        <w:tc>
          <w:tcPr>
            <w:tcW w:w="1568" w:type="dxa"/>
            <w:vAlign w:val="top"/>
          </w:tcPr>
          <w:p w14:paraId="0BE926A8">
            <w:pPr>
              <w:rPr>
                <w:rFonts w:ascii="Arial"/>
                <w:sz w:val="21"/>
                <w:highlight w:val="none"/>
              </w:rPr>
            </w:pPr>
          </w:p>
        </w:tc>
        <w:tc>
          <w:tcPr>
            <w:tcW w:w="979" w:type="dxa"/>
            <w:vAlign w:val="top"/>
          </w:tcPr>
          <w:p w14:paraId="6266BE21">
            <w:pPr>
              <w:rPr>
                <w:rFonts w:ascii="Arial"/>
                <w:sz w:val="21"/>
                <w:highlight w:val="none"/>
              </w:rPr>
            </w:pPr>
          </w:p>
        </w:tc>
        <w:tc>
          <w:tcPr>
            <w:tcW w:w="1148" w:type="dxa"/>
            <w:vAlign w:val="top"/>
          </w:tcPr>
          <w:p w14:paraId="04A57E20">
            <w:pPr>
              <w:rPr>
                <w:rFonts w:ascii="Arial"/>
                <w:sz w:val="21"/>
                <w:highlight w:val="none"/>
              </w:rPr>
            </w:pPr>
          </w:p>
        </w:tc>
        <w:tc>
          <w:tcPr>
            <w:tcW w:w="1698" w:type="dxa"/>
            <w:vAlign w:val="top"/>
          </w:tcPr>
          <w:p w14:paraId="0ECE565D">
            <w:pPr>
              <w:rPr>
                <w:rFonts w:ascii="Arial"/>
                <w:sz w:val="21"/>
                <w:highlight w:val="none"/>
              </w:rPr>
            </w:pPr>
          </w:p>
        </w:tc>
        <w:tc>
          <w:tcPr>
            <w:tcW w:w="864" w:type="dxa"/>
            <w:vAlign w:val="top"/>
          </w:tcPr>
          <w:p w14:paraId="7A7C3703">
            <w:pPr>
              <w:rPr>
                <w:rFonts w:ascii="Arial"/>
                <w:sz w:val="21"/>
                <w:highlight w:val="none"/>
              </w:rPr>
            </w:pPr>
          </w:p>
        </w:tc>
      </w:tr>
      <w:tr w14:paraId="52B32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1084" w:type="dxa"/>
            <w:vAlign w:val="top"/>
          </w:tcPr>
          <w:p w14:paraId="1535B56C">
            <w:pPr>
              <w:rPr>
                <w:rFonts w:ascii="Arial"/>
                <w:sz w:val="21"/>
                <w:highlight w:val="none"/>
              </w:rPr>
            </w:pPr>
          </w:p>
        </w:tc>
        <w:tc>
          <w:tcPr>
            <w:tcW w:w="1838" w:type="dxa"/>
            <w:vAlign w:val="top"/>
          </w:tcPr>
          <w:p w14:paraId="2D1CF36F">
            <w:pPr>
              <w:rPr>
                <w:rFonts w:ascii="Arial"/>
                <w:sz w:val="21"/>
                <w:highlight w:val="none"/>
              </w:rPr>
            </w:pPr>
          </w:p>
        </w:tc>
        <w:tc>
          <w:tcPr>
            <w:tcW w:w="1568" w:type="dxa"/>
            <w:vAlign w:val="top"/>
          </w:tcPr>
          <w:p w14:paraId="5B808B58">
            <w:pPr>
              <w:rPr>
                <w:rFonts w:ascii="Arial"/>
                <w:sz w:val="21"/>
                <w:highlight w:val="none"/>
              </w:rPr>
            </w:pPr>
          </w:p>
        </w:tc>
        <w:tc>
          <w:tcPr>
            <w:tcW w:w="979" w:type="dxa"/>
            <w:vAlign w:val="top"/>
          </w:tcPr>
          <w:p w14:paraId="2386E1A4">
            <w:pPr>
              <w:rPr>
                <w:rFonts w:ascii="Arial"/>
                <w:sz w:val="21"/>
                <w:highlight w:val="none"/>
              </w:rPr>
            </w:pPr>
          </w:p>
        </w:tc>
        <w:tc>
          <w:tcPr>
            <w:tcW w:w="1148" w:type="dxa"/>
            <w:vAlign w:val="top"/>
          </w:tcPr>
          <w:p w14:paraId="2FB0B713">
            <w:pPr>
              <w:rPr>
                <w:rFonts w:ascii="Arial"/>
                <w:sz w:val="21"/>
                <w:highlight w:val="none"/>
              </w:rPr>
            </w:pPr>
          </w:p>
        </w:tc>
        <w:tc>
          <w:tcPr>
            <w:tcW w:w="1698" w:type="dxa"/>
            <w:vAlign w:val="top"/>
          </w:tcPr>
          <w:p w14:paraId="3EDAEC75">
            <w:pPr>
              <w:rPr>
                <w:rFonts w:ascii="Arial"/>
                <w:sz w:val="21"/>
                <w:highlight w:val="none"/>
              </w:rPr>
            </w:pPr>
          </w:p>
        </w:tc>
        <w:tc>
          <w:tcPr>
            <w:tcW w:w="864" w:type="dxa"/>
            <w:vAlign w:val="top"/>
          </w:tcPr>
          <w:p w14:paraId="6977887E">
            <w:pPr>
              <w:rPr>
                <w:rFonts w:ascii="Arial"/>
                <w:sz w:val="21"/>
                <w:highlight w:val="none"/>
              </w:rPr>
            </w:pPr>
          </w:p>
        </w:tc>
      </w:tr>
    </w:tbl>
    <w:p w14:paraId="6817A918">
      <w:pPr>
        <w:spacing w:before="172" w:line="219" w:lineRule="auto"/>
        <w:ind w:left="74"/>
        <w:rPr>
          <w:rFonts w:ascii="宋体" w:hAnsi="宋体" w:eastAsia="宋体" w:cs="宋体"/>
          <w:sz w:val="17"/>
          <w:szCs w:val="17"/>
          <w:highlight w:val="none"/>
        </w:rPr>
      </w:pPr>
      <w:r>
        <w:rPr>
          <w:rFonts w:ascii="宋体" w:hAnsi="宋体" w:eastAsia="宋体" w:cs="宋体"/>
          <w:spacing w:val="10"/>
          <w:sz w:val="17"/>
          <w:szCs w:val="17"/>
          <w:highlight w:val="none"/>
        </w:rPr>
        <w:t>注：设备状况栏内填写该设备的新旧程度、购进时间、已使用小时数和最近一</w:t>
      </w:r>
      <w:r>
        <w:rPr>
          <w:rFonts w:ascii="宋体" w:hAnsi="宋体" w:eastAsia="宋体" w:cs="宋体"/>
          <w:spacing w:val="9"/>
          <w:sz w:val="17"/>
          <w:szCs w:val="17"/>
          <w:highlight w:val="none"/>
        </w:rPr>
        <w:t>次的大修时间。</w:t>
      </w:r>
    </w:p>
    <w:p w14:paraId="5B5C3463">
      <w:pPr>
        <w:pStyle w:val="2"/>
        <w:spacing w:line="314" w:lineRule="auto"/>
        <w:rPr>
          <w:highlight w:val="none"/>
        </w:rPr>
      </w:pPr>
    </w:p>
    <w:p w14:paraId="55BF6CC9">
      <w:pPr>
        <w:spacing w:before="61" w:line="219" w:lineRule="auto"/>
        <w:ind w:left="575"/>
        <w:rPr>
          <w:rFonts w:ascii="宋体" w:hAnsi="宋体" w:eastAsia="宋体" w:cs="宋体"/>
          <w:sz w:val="19"/>
          <w:szCs w:val="19"/>
          <w:highlight w:val="none"/>
        </w:rPr>
      </w:pPr>
      <w:r>
        <w:rPr>
          <w:rFonts w:ascii="宋体" w:hAnsi="宋体" w:eastAsia="宋体" w:cs="宋体"/>
          <w:spacing w:val="13"/>
          <w:sz w:val="19"/>
          <w:szCs w:val="19"/>
          <w:highlight w:val="none"/>
        </w:rPr>
        <w:t>(2)发包人提供的临时设施：</w:t>
      </w:r>
      <w:r>
        <w:rPr>
          <w:rFonts w:ascii="宋体" w:hAnsi="宋体" w:eastAsia="宋体" w:cs="宋体"/>
          <w:spacing w:val="87"/>
          <w:sz w:val="19"/>
          <w:szCs w:val="19"/>
          <w:highlight w:val="none"/>
        </w:rPr>
        <w:t xml:space="preserve"> </w:t>
      </w:r>
      <w:r>
        <w:rPr>
          <w:rFonts w:ascii="宋体" w:hAnsi="宋体" w:eastAsia="宋体" w:cs="宋体"/>
          <w:sz w:val="19"/>
          <w:szCs w:val="19"/>
          <w:highlight w:val="none"/>
          <w:u w:val="single" w:color="auto"/>
        </w:rPr>
        <w:t xml:space="preserve">                                                   </w:t>
      </w:r>
    </w:p>
    <w:p w14:paraId="396A23A1">
      <w:pPr>
        <w:pStyle w:val="2"/>
        <w:spacing w:before="183" w:line="327" w:lineRule="exact"/>
        <w:ind w:left="74"/>
        <w:outlineLvl w:val="1"/>
        <w:rPr>
          <w:rFonts w:ascii="黑体" w:hAnsi="黑体" w:eastAsia="黑体" w:cs="黑体"/>
          <w:sz w:val="24"/>
          <w:szCs w:val="24"/>
          <w:highlight w:val="none"/>
        </w:rPr>
      </w:pPr>
      <w:bookmarkStart w:id="219" w:name="bookmark129"/>
      <w:bookmarkEnd w:id="219"/>
      <w:r>
        <w:rPr>
          <w:spacing w:val="-4"/>
          <w:position w:val="1"/>
          <w:sz w:val="24"/>
          <w:szCs w:val="24"/>
          <w:highlight w:val="none"/>
        </w:rPr>
        <w:t>8.</w:t>
      </w:r>
      <w:r>
        <w:rPr>
          <w:spacing w:val="55"/>
          <w:position w:val="1"/>
          <w:sz w:val="24"/>
          <w:szCs w:val="24"/>
          <w:highlight w:val="none"/>
        </w:rPr>
        <w:t xml:space="preserve"> </w:t>
      </w:r>
      <w:r>
        <w:rPr>
          <w:rFonts w:ascii="黑体" w:hAnsi="黑体" w:eastAsia="黑体" w:cs="黑体"/>
          <w:spacing w:val="-4"/>
          <w:position w:val="1"/>
          <w:sz w:val="24"/>
          <w:szCs w:val="24"/>
          <w:highlight w:val="none"/>
        </w:rPr>
        <w:t>交通运输</w:t>
      </w:r>
    </w:p>
    <w:p w14:paraId="34FA5E1E">
      <w:pPr>
        <w:pStyle w:val="2"/>
        <w:spacing w:before="155" w:line="300" w:lineRule="exact"/>
        <w:ind w:left="74"/>
        <w:rPr>
          <w:rFonts w:ascii="黑体" w:hAnsi="黑体" w:eastAsia="黑体" w:cs="黑体"/>
          <w:sz w:val="22"/>
          <w:szCs w:val="22"/>
          <w:highlight w:val="none"/>
        </w:rPr>
      </w:pPr>
      <w:r>
        <w:rPr>
          <w:spacing w:val="-6"/>
          <w:position w:val="1"/>
          <w:sz w:val="22"/>
          <w:szCs w:val="22"/>
          <w:highlight w:val="none"/>
        </w:rPr>
        <w:t xml:space="preserve">8.1  </w:t>
      </w:r>
      <w:r>
        <w:rPr>
          <w:rFonts w:ascii="黑体" w:hAnsi="黑体" w:eastAsia="黑体" w:cs="黑体"/>
          <w:spacing w:val="-6"/>
          <w:position w:val="1"/>
          <w:sz w:val="22"/>
          <w:szCs w:val="22"/>
          <w:highlight w:val="none"/>
        </w:rPr>
        <w:t>道路通行权和场外设施</w:t>
      </w:r>
    </w:p>
    <w:p w14:paraId="6A6323C9">
      <w:pPr>
        <w:spacing w:before="140" w:line="219" w:lineRule="auto"/>
        <w:ind w:left="514"/>
        <w:rPr>
          <w:rFonts w:ascii="宋体" w:hAnsi="宋体" w:eastAsia="宋体" w:cs="宋体"/>
          <w:sz w:val="21"/>
          <w:szCs w:val="21"/>
          <w:highlight w:val="none"/>
        </w:rPr>
      </w:pPr>
      <w:r>
        <w:rPr>
          <w:rFonts w:ascii="宋体" w:hAnsi="宋体" w:eastAsia="宋体" w:cs="宋体"/>
          <w:position w:val="2"/>
          <w:sz w:val="21"/>
          <w:szCs w:val="21"/>
          <w:highlight w:val="none"/>
        </w:rPr>
        <w:t>适用通用条款中的</w:t>
      </w:r>
      <w:r>
        <w:rPr>
          <w:rFonts w:ascii="宋体" w:hAnsi="宋体" w:eastAsia="宋体" w:cs="宋体"/>
          <w:position w:val="2"/>
          <w:sz w:val="21"/>
          <w:szCs w:val="21"/>
          <w:highlight w:val="none"/>
          <w:u w:val="single" w:color="auto"/>
        </w:rPr>
        <w:t xml:space="preserve">        </w:t>
      </w:r>
      <w:r>
        <w:rPr>
          <w:rFonts w:ascii="宋体" w:hAnsi="宋体" w:eastAsia="宋体" w:cs="宋体"/>
          <w:spacing w:val="-95"/>
          <w:position w:val="2"/>
          <w:sz w:val="21"/>
          <w:szCs w:val="21"/>
          <w:highlight w:val="none"/>
        </w:rPr>
        <w:t xml:space="preserve"> </w:t>
      </w:r>
      <w:r>
        <w:rPr>
          <w:rFonts w:ascii="宋体" w:hAnsi="宋体" w:eastAsia="宋体" w:cs="宋体"/>
          <w:position w:val="-2"/>
          <w:sz w:val="21"/>
          <w:szCs w:val="21"/>
          <w:highlight w:val="none"/>
        </w:rPr>
        <w:t>条款，其他要</w:t>
      </w:r>
      <w:r>
        <w:rPr>
          <w:rFonts w:ascii="宋体" w:hAnsi="宋体" w:eastAsia="宋体" w:cs="宋体"/>
          <w:spacing w:val="-1"/>
          <w:position w:val="-2"/>
          <w:sz w:val="21"/>
          <w:szCs w:val="21"/>
          <w:highlight w:val="none"/>
        </w:rPr>
        <w:t>求：</w:t>
      </w:r>
      <w:r>
        <w:rPr>
          <w:rFonts w:ascii="宋体" w:hAnsi="宋体" w:eastAsia="宋体" w:cs="宋体"/>
          <w:position w:val="-2"/>
          <w:sz w:val="21"/>
          <w:szCs w:val="21"/>
          <w:highlight w:val="none"/>
          <w:u w:val="single" w:color="auto"/>
        </w:rPr>
        <w:t xml:space="preserve">                               </w:t>
      </w:r>
    </w:p>
    <w:p w14:paraId="30D3D46A">
      <w:pPr>
        <w:spacing w:before="263" w:line="224" w:lineRule="auto"/>
        <w:ind w:left="74"/>
        <w:rPr>
          <w:rFonts w:ascii="黑体" w:hAnsi="黑体" w:eastAsia="黑体" w:cs="黑体"/>
          <w:sz w:val="22"/>
          <w:szCs w:val="22"/>
          <w:highlight w:val="none"/>
        </w:rPr>
      </w:pPr>
      <w:r>
        <w:rPr>
          <w:rFonts w:ascii="黑体" w:hAnsi="黑体" w:eastAsia="黑体" w:cs="黑体"/>
          <w:spacing w:val="2"/>
          <w:sz w:val="22"/>
          <w:szCs w:val="22"/>
          <w:highlight w:val="none"/>
        </w:rPr>
        <w:t>8.2场内施工道路</w:t>
      </w:r>
    </w:p>
    <w:p w14:paraId="17260C07">
      <w:pPr>
        <w:spacing w:before="121" w:line="219" w:lineRule="auto"/>
        <w:ind w:left="514"/>
        <w:outlineLvl w:val="0"/>
        <w:rPr>
          <w:rFonts w:ascii="宋体" w:hAnsi="宋体" w:eastAsia="宋体" w:cs="宋体"/>
          <w:sz w:val="20"/>
          <w:szCs w:val="20"/>
          <w:highlight w:val="none"/>
        </w:rPr>
      </w:pPr>
      <w:bookmarkStart w:id="220" w:name="bookmark131"/>
      <w:bookmarkEnd w:id="220"/>
      <w:r>
        <w:rPr>
          <w:rFonts w:ascii="Times New Roman" w:hAnsi="Times New Roman" w:eastAsia="Times New Roman" w:cs="Times New Roman"/>
          <w:spacing w:val="-3"/>
          <w:sz w:val="20"/>
          <w:szCs w:val="20"/>
          <w:highlight w:val="none"/>
        </w:rPr>
        <w:t>8.2.1</w:t>
      </w:r>
      <w:r>
        <w:rPr>
          <w:rFonts w:ascii="Times New Roman" w:hAnsi="Times New Roman" w:eastAsia="Times New Roman" w:cs="Times New Roman"/>
          <w:spacing w:val="8"/>
          <w:sz w:val="20"/>
          <w:szCs w:val="20"/>
          <w:highlight w:val="none"/>
        </w:rPr>
        <w:t xml:space="preserve">      </w:t>
      </w:r>
      <w:r>
        <w:rPr>
          <w:rFonts w:ascii="宋体" w:hAnsi="宋体" w:eastAsia="宋体" w:cs="宋体"/>
          <w:spacing w:val="-3"/>
          <w:sz w:val="20"/>
          <w:szCs w:val="20"/>
          <w:highlight w:val="none"/>
        </w:rPr>
        <w:t xml:space="preserve">场内施工道路的修建： </w:t>
      </w:r>
      <w:r>
        <w:rPr>
          <w:rFonts w:ascii="宋体" w:hAnsi="宋体" w:eastAsia="宋体" w:cs="宋体"/>
          <w:spacing w:val="-3"/>
          <w:sz w:val="20"/>
          <w:szCs w:val="20"/>
          <w:highlight w:val="none"/>
          <w:u w:val="single" w:color="auto"/>
        </w:rPr>
        <w:t xml:space="preserve">                                                    </w:t>
      </w:r>
    </w:p>
    <w:p w14:paraId="3E5C6BE2">
      <w:pPr>
        <w:spacing w:before="164" w:line="219" w:lineRule="auto"/>
        <w:ind w:left="514"/>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8.2.2</w:t>
      </w:r>
      <w:r>
        <w:rPr>
          <w:rFonts w:ascii="Times New Roman" w:hAnsi="Times New Roman" w:eastAsia="Times New Roman" w:cs="Times New Roman"/>
          <w:spacing w:val="6"/>
          <w:sz w:val="22"/>
          <w:szCs w:val="22"/>
          <w:highlight w:val="none"/>
        </w:rPr>
        <w:t xml:space="preserve">     </w:t>
      </w:r>
      <w:r>
        <w:rPr>
          <w:rFonts w:ascii="宋体" w:hAnsi="宋体" w:eastAsia="宋体" w:cs="宋体"/>
          <w:spacing w:val="-10"/>
          <w:sz w:val="22"/>
          <w:szCs w:val="22"/>
          <w:highlight w:val="none"/>
        </w:rPr>
        <w:t>场内施工道路的使用：</w:t>
      </w:r>
      <w:r>
        <w:rPr>
          <w:rFonts w:ascii="宋体" w:hAnsi="宋体" w:eastAsia="宋体" w:cs="宋体"/>
          <w:sz w:val="22"/>
          <w:szCs w:val="22"/>
          <w:highlight w:val="none"/>
          <w:u w:val="single" w:color="auto"/>
        </w:rPr>
        <w:t xml:space="preserve">                                              </w:t>
      </w:r>
    </w:p>
    <w:p w14:paraId="510B5A0F">
      <w:pPr>
        <w:pStyle w:val="2"/>
        <w:spacing w:before="258" w:line="300" w:lineRule="exact"/>
        <w:ind w:left="74"/>
        <w:rPr>
          <w:rFonts w:ascii="黑体" w:hAnsi="黑体" w:eastAsia="黑体" w:cs="黑体"/>
          <w:sz w:val="22"/>
          <w:szCs w:val="22"/>
          <w:highlight w:val="none"/>
        </w:rPr>
      </w:pPr>
      <w:r>
        <w:rPr>
          <w:spacing w:val="-7"/>
          <w:position w:val="1"/>
          <w:sz w:val="22"/>
          <w:szCs w:val="22"/>
          <w:highlight w:val="none"/>
        </w:rPr>
        <w:t xml:space="preserve">8.4  </w:t>
      </w:r>
      <w:r>
        <w:rPr>
          <w:rFonts w:ascii="黑体" w:hAnsi="黑体" w:eastAsia="黑体" w:cs="黑体"/>
          <w:spacing w:val="-7"/>
          <w:position w:val="1"/>
          <w:sz w:val="22"/>
          <w:szCs w:val="22"/>
          <w:highlight w:val="none"/>
        </w:rPr>
        <w:t>超大件和超重件的运输</w:t>
      </w:r>
    </w:p>
    <w:p w14:paraId="7B6A0F2D">
      <w:pPr>
        <w:spacing w:before="150" w:line="219" w:lineRule="auto"/>
        <w:ind w:left="575"/>
        <w:rPr>
          <w:rFonts w:ascii="宋体" w:hAnsi="宋体" w:eastAsia="宋体" w:cs="宋体"/>
          <w:sz w:val="21"/>
          <w:szCs w:val="21"/>
          <w:highlight w:val="none"/>
        </w:rPr>
      </w:pPr>
      <w:r>
        <w:rPr>
          <w:rFonts w:ascii="宋体" w:hAnsi="宋体" w:eastAsia="宋体" w:cs="宋体"/>
          <w:sz w:val="21"/>
          <w:szCs w:val="21"/>
          <w:highlight w:val="none"/>
        </w:rPr>
        <w:t>超大件和超重件运输的要求：</w:t>
      </w:r>
      <w:r>
        <w:rPr>
          <w:rFonts w:ascii="宋体" w:hAnsi="宋体" w:eastAsia="宋体" w:cs="宋体"/>
          <w:sz w:val="21"/>
          <w:szCs w:val="21"/>
          <w:highlight w:val="none"/>
          <w:u w:val="single" w:color="auto"/>
        </w:rPr>
        <w:t xml:space="preserve">                                               </w:t>
      </w:r>
    </w:p>
    <w:p w14:paraId="5D69924E">
      <w:pPr>
        <w:pStyle w:val="2"/>
        <w:spacing w:before="175" w:line="327" w:lineRule="exact"/>
        <w:ind w:left="74"/>
        <w:outlineLvl w:val="1"/>
        <w:rPr>
          <w:rFonts w:ascii="黑体" w:hAnsi="黑体" w:eastAsia="黑体" w:cs="黑体"/>
          <w:sz w:val="24"/>
          <w:szCs w:val="24"/>
          <w:highlight w:val="none"/>
        </w:rPr>
      </w:pPr>
      <w:bookmarkStart w:id="221" w:name="bookmark132"/>
      <w:bookmarkEnd w:id="221"/>
      <w:r>
        <w:rPr>
          <w:spacing w:val="-3"/>
          <w:position w:val="1"/>
          <w:sz w:val="24"/>
          <w:szCs w:val="24"/>
          <w:highlight w:val="none"/>
        </w:rPr>
        <w:t>9.</w:t>
      </w:r>
      <w:r>
        <w:rPr>
          <w:spacing w:val="44"/>
          <w:position w:val="1"/>
          <w:sz w:val="24"/>
          <w:szCs w:val="24"/>
          <w:highlight w:val="none"/>
        </w:rPr>
        <w:t xml:space="preserve"> </w:t>
      </w:r>
      <w:r>
        <w:rPr>
          <w:rFonts w:ascii="黑体" w:hAnsi="黑体" w:eastAsia="黑体" w:cs="黑体"/>
          <w:spacing w:val="-3"/>
          <w:position w:val="1"/>
          <w:sz w:val="24"/>
          <w:szCs w:val="24"/>
          <w:highlight w:val="none"/>
        </w:rPr>
        <w:t>测量放线</w:t>
      </w:r>
    </w:p>
    <w:p w14:paraId="09C0CAB9">
      <w:pPr>
        <w:pStyle w:val="2"/>
        <w:spacing w:before="130" w:line="300" w:lineRule="exact"/>
        <w:ind w:left="74"/>
        <w:rPr>
          <w:rFonts w:ascii="黑体" w:hAnsi="黑体" w:eastAsia="黑体" w:cs="黑体"/>
          <w:sz w:val="22"/>
          <w:szCs w:val="22"/>
          <w:highlight w:val="none"/>
        </w:rPr>
      </w:pPr>
      <w:r>
        <w:rPr>
          <w:spacing w:val="-2"/>
          <w:position w:val="1"/>
          <w:sz w:val="22"/>
          <w:szCs w:val="22"/>
          <w:highlight w:val="none"/>
        </w:rPr>
        <w:t>9.1</w:t>
      </w:r>
      <w:r>
        <w:rPr>
          <w:spacing w:val="52"/>
          <w:w w:val="101"/>
          <w:position w:val="1"/>
          <w:sz w:val="22"/>
          <w:szCs w:val="22"/>
          <w:highlight w:val="none"/>
        </w:rPr>
        <w:t xml:space="preserve"> </w:t>
      </w:r>
      <w:r>
        <w:rPr>
          <w:rFonts w:ascii="黑体" w:hAnsi="黑体" w:eastAsia="黑体" w:cs="黑体"/>
          <w:spacing w:val="-2"/>
          <w:position w:val="1"/>
          <w:sz w:val="22"/>
          <w:szCs w:val="22"/>
          <w:highlight w:val="none"/>
        </w:rPr>
        <w:t>施工控制网</w:t>
      </w:r>
    </w:p>
    <w:p w14:paraId="29120CD3">
      <w:pPr>
        <w:spacing w:before="199" w:line="220" w:lineRule="auto"/>
        <w:ind w:left="575"/>
        <w:rPr>
          <w:rFonts w:ascii="宋体" w:hAnsi="宋体" w:eastAsia="宋体" w:cs="宋体"/>
          <w:sz w:val="20"/>
          <w:szCs w:val="20"/>
          <w:highlight w:val="none"/>
        </w:rPr>
      </w:pPr>
      <w:r>
        <w:rPr>
          <w:rFonts w:ascii="宋体" w:hAnsi="宋体" w:eastAsia="宋体" w:cs="宋体"/>
          <w:spacing w:val="3"/>
          <w:sz w:val="20"/>
          <w:szCs w:val="20"/>
          <w:highlight w:val="none"/>
        </w:rPr>
        <w:t xml:space="preserve">9.1.1施工控制网的约定： </w:t>
      </w:r>
      <w:r>
        <w:rPr>
          <w:rFonts w:ascii="宋体" w:hAnsi="宋体" w:eastAsia="宋体" w:cs="宋体"/>
          <w:spacing w:val="3"/>
          <w:sz w:val="20"/>
          <w:szCs w:val="20"/>
          <w:highlight w:val="none"/>
          <w:u w:val="single" w:color="auto"/>
        </w:rPr>
        <w:t xml:space="preserve">                                            </w:t>
      </w:r>
      <w:r>
        <w:rPr>
          <w:rFonts w:ascii="宋体" w:hAnsi="宋体" w:eastAsia="宋体" w:cs="宋体"/>
          <w:spacing w:val="2"/>
          <w:sz w:val="20"/>
          <w:szCs w:val="20"/>
          <w:highlight w:val="none"/>
          <w:u w:val="single" w:color="auto"/>
        </w:rPr>
        <w:t xml:space="preserve">      </w:t>
      </w:r>
    </w:p>
    <w:p w14:paraId="3B211DBD">
      <w:pPr>
        <w:pStyle w:val="2"/>
        <w:spacing w:before="181" w:line="221" w:lineRule="auto"/>
        <w:ind w:left="74"/>
        <w:outlineLvl w:val="1"/>
        <w:rPr>
          <w:rFonts w:ascii="黑体" w:hAnsi="黑体" w:eastAsia="黑体" w:cs="黑体"/>
          <w:sz w:val="24"/>
          <w:szCs w:val="24"/>
          <w:highlight w:val="none"/>
        </w:rPr>
      </w:pPr>
      <w:bookmarkStart w:id="222" w:name="bookmark133"/>
      <w:bookmarkEnd w:id="222"/>
      <w:r>
        <w:rPr>
          <w:spacing w:val="-3"/>
          <w:sz w:val="24"/>
          <w:szCs w:val="24"/>
          <w:highlight w:val="none"/>
        </w:rPr>
        <w:t>11.</w:t>
      </w:r>
      <w:r>
        <w:rPr>
          <w:spacing w:val="33"/>
          <w:sz w:val="24"/>
          <w:szCs w:val="24"/>
          <w:highlight w:val="none"/>
        </w:rPr>
        <w:t xml:space="preserve"> </w:t>
      </w:r>
      <w:r>
        <w:rPr>
          <w:rFonts w:ascii="黑体" w:hAnsi="黑体" w:eastAsia="黑体" w:cs="黑体"/>
          <w:spacing w:val="-3"/>
          <w:sz w:val="24"/>
          <w:szCs w:val="24"/>
          <w:highlight w:val="none"/>
        </w:rPr>
        <w:t>开工和竣工</w:t>
      </w:r>
    </w:p>
    <w:p w14:paraId="18D223E1">
      <w:pPr>
        <w:pStyle w:val="2"/>
        <w:spacing w:before="215" w:line="224" w:lineRule="auto"/>
        <w:ind w:left="74"/>
        <w:rPr>
          <w:rFonts w:ascii="黑体" w:hAnsi="黑体" w:eastAsia="黑体" w:cs="黑体"/>
          <w:sz w:val="19"/>
          <w:szCs w:val="19"/>
          <w:highlight w:val="none"/>
        </w:rPr>
      </w:pPr>
      <w:r>
        <w:rPr>
          <w:spacing w:val="-6"/>
          <w:sz w:val="19"/>
          <w:szCs w:val="19"/>
          <w:highlight w:val="none"/>
        </w:rPr>
        <w:t>11.1</w:t>
      </w:r>
      <w:r>
        <w:rPr>
          <w:spacing w:val="24"/>
          <w:w w:val="101"/>
          <w:sz w:val="19"/>
          <w:szCs w:val="19"/>
          <w:highlight w:val="none"/>
        </w:rPr>
        <w:t xml:space="preserve">  </w:t>
      </w:r>
      <w:r>
        <w:rPr>
          <w:rFonts w:ascii="黑体" w:hAnsi="黑体" w:eastAsia="黑体" w:cs="黑体"/>
          <w:spacing w:val="-6"/>
          <w:sz w:val="19"/>
          <w:szCs w:val="19"/>
          <w:highlight w:val="none"/>
        </w:rPr>
        <w:t>开</w:t>
      </w:r>
      <w:r>
        <w:rPr>
          <w:rFonts w:ascii="黑体" w:hAnsi="黑体" w:eastAsia="黑体" w:cs="黑体"/>
          <w:spacing w:val="-39"/>
          <w:sz w:val="19"/>
          <w:szCs w:val="19"/>
          <w:highlight w:val="none"/>
        </w:rPr>
        <w:t xml:space="preserve"> </w:t>
      </w:r>
      <w:r>
        <w:rPr>
          <w:rFonts w:ascii="黑体" w:hAnsi="黑体" w:eastAsia="黑体" w:cs="黑体"/>
          <w:spacing w:val="-6"/>
          <w:sz w:val="19"/>
          <w:szCs w:val="19"/>
          <w:highlight w:val="none"/>
        </w:rPr>
        <w:t>工</w:t>
      </w:r>
    </w:p>
    <w:p w14:paraId="32717927">
      <w:pPr>
        <w:spacing w:before="168" w:line="219" w:lineRule="auto"/>
        <w:ind w:left="514"/>
        <w:rPr>
          <w:rFonts w:ascii="宋体" w:hAnsi="宋体" w:eastAsia="宋体" w:cs="宋体"/>
          <w:sz w:val="22"/>
          <w:szCs w:val="22"/>
          <w:highlight w:val="none"/>
        </w:rPr>
      </w:pPr>
      <w:r>
        <w:rPr>
          <w:rFonts w:ascii="宋体" w:hAnsi="宋体" w:eastAsia="宋体" w:cs="宋体"/>
          <w:spacing w:val="-4"/>
          <w:sz w:val="22"/>
          <w:szCs w:val="22"/>
          <w:highlight w:val="none"/>
        </w:rPr>
        <w:t>11.1.1开工条件的约定：</w:t>
      </w:r>
      <w:r>
        <w:rPr>
          <w:rFonts w:ascii="宋体" w:hAnsi="宋体" w:eastAsia="宋体" w:cs="宋体"/>
          <w:sz w:val="22"/>
          <w:szCs w:val="22"/>
          <w:highlight w:val="none"/>
          <w:u w:val="single" w:color="auto"/>
        </w:rPr>
        <w:t xml:space="preserve">                                                   </w:t>
      </w:r>
    </w:p>
    <w:p w14:paraId="64F4C3F7">
      <w:pPr>
        <w:spacing w:before="267" w:line="221" w:lineRule="auto"/>
        <w:ind w:left="74"/>
        <w:rPr>
          <w:rFonts w:ascii="黑体" w:hAnsi="黑体" w:eastAsia="黑体" w:cs="黑体"/>
          <w:sz w:val="22"/>
          <w:szCs w:val="22"/>
          <w:highlight w:val="none"/>
        </w:rPr>
      </w:pPr>
      <w:r>
        <w:rPr>
          <w:rFonts w:ascii="黑体" w:hAnsi="黑体" w:eastAsia="黑体" w:cs="黑体"/>
          <w:spacing w:val="-2"/>
          <w:sz w:val="22"/>
          <w:szCs w:val="22"/>
          <w:highlight w:val="none"/>
        </w:rPr>
        <w:t>11.4异常恶劣的气候条件</w:t>
      </w:r>
    </w:p>
    <w:p w14:paraId="190C27AA">
      <w:pPr>
        <w:spacing w:before="177" w:line="219" w:lineRule="auto"/>
        <w:ind w:left="575"/>
        <w:rPr>
          <w:rFonts w:ascii="宋体" w:hAnsi="宋体" w:eastAsia="宋体" w:cs="宋体"/>
          <w:sz w:val="20"/>
          <w:szCs w:val="20"/>
          <w:highlight w:val="none"/>
        </w:rPr>
      </w:pPr>
      <w:r>
        <w:rPr>
          <w:rFonts w:ascii="宋体" w:hAnsi="宋体" w:eastAsia="宋体" w:cs="宋体"/>
          <w:spacing w:val="2"/>
          <w:sz w:val="20"/>
          <w:szCs w:val="20"/>
          <w:highlight w:val="none"/>
        </w:rPr>
        <w:t xml:space="preserve">本合同工程界定异常恶劣气候条件的范围为： </w:t>
      </w:r>
      <w:r>
        <w:rPr>
          <w:rFonts w:ascii="宋体" w:hAnsi="宋体" w:eastAsia="宋体" w:cs="宋体"/>
          <w:spacing w:val="2"/>
          <w:sz w:val="20"/>
          <w:szCs w:val="20"/>
          <w:highlight w:val="none"/>
          <w:u w:val="single" w:color="auto"/>
        </w:rPr>
        <w:t xml:space="preserve">             </w:t>
      </w:r>
      <w:r>
        <w:rPr>
          <w:rFonts w:ascii="宋体" w:hAnsi="宋体" w:eastAsia="宋体" w:cs="宋体"/>
          <w:spacing w:val="1"/>
          <w:sz w:val="20"/>
          <w:szCs w:val="20"/>
          <w:highlight w:val="none"/>
          <w:u w:val="single" w:color="auto"/>
        </w:rPr>
        <w:t xml:space="preserve">                     </w:t>
      </w:r>
    </w:p>
    <w:p w14:paraId="61BB72D1">
      <w:pPr>
        <w:spacing w:before="283" w:line="222" w:lineRule="auto"/>
        <w:ind w:left="74"/>
        <w:rPr>
          <w:rFonts w:ascii="黑体" w:hAnsi="黑体" w:eastAsia="黑体" w:cs="黑体"/>
          <w:sz w:val="22"/>
          <w:szCs w:val="22"/>
          <w:highlight w:val="none"/>
        </w:rPr>
      </w:pPr>
      <w:r>
        <w:rPr>
          <w:rFonts w:ascii="黑体" w:hAnsi="黑体" w:eastAsia="黑体" w:cs="黑体"/>
          <w:spacing w:val="-2"/>
          <w:sz w:val="22"/>
          <w:szCs w:val="22"/>
          <w:highlight w:val="none"/>
        </w:rPr>
        <w:t>11.5承包人工期延误</w:t>
      </w:r>
    </w:p>
    <w:p w14:paraId="390AE56E">
      <w:pPr>
        <w:spacing w:before="157" w:line="219" w:lineRule="auto"/>
        <w:ind w:left="575"/>
        <w:rPr>
          <w:rFonts w:ascii="宋体" w:hAnsi="宋体" w:eastAsia="宋体" w:cs="宋体"/>
          <w:sz w:val="22"/>
          <w:szCs w:val="22"/>
          <w:highlight w:val="none"/>
        </w:rPr>
      </w:pPr>
      <w:r>
        <w:rPr>
          <w:rFonts w:ascii="宋体" w:hAnsi="宋体" w:eastAsia="宋体" w:cs="宋体"/>
          <w:spacing w:val="-1"/>
          <w:sz w:val="22"/>
          <w:szCs w:val="22"/>
          <w:highlight w:val="none"/>
        </w:rPr>
        <w:t>(1)逾期竣工违约金的计算：</w:t>
      </w:r>
      <w:r>
        <w:rPr>
          <w:rFonts w:ascii="宋体" w:hAnsi="宋体" w:eastAsia="宋体" w:cs="宋体"/>
          <w:spacing w:val="-1"/>
          <w:sz w:val="22"/>
          <w:szCs w:val="22"/>
          <w:highlight w:val="none"/>
          <w:u w:val="single" w:color="auto"/>
        </w:rPr>
        <w:t xml:space="preserve">                                            </w:t>
      </w:r>
    </w:p>
    <w:p w14:paraId="1B22F67E">
      <w:pPr>
        <w:spacing w:before="248" w:line="219" w:lineRule="auto"/>
        <w:ind w:left="575"/>
        <w:rPr>
          <w:rFonts w:ascii="宋体" w:hAnsi="宋体" w:eastAsia="宋体" w:cs="宋体"/>
          <w:sz w:val="20"/>
          <w:szCs w:val="20"/>
          <w:highlight w:val="none"/>
        </w:rPr>
      </w:pPr>
      <w:r>
        <w:rPr>
          <w:rFonts w:ascii="宋体" w:hAnsi="宋体" w:eastAsia="宋体" w:cs="宋体"/>
          <w:spacing w:val="7"/>
          <w:sz w:val="20"/>
          <w:szCs w:val="20"/>
          <w:highlight w:val="none"/>
        </w:rPr>
        <w:t>(2)逾期竣工违约金的最高限额为：</w:t>
      </w:r>
      <w:r>
        <w:rPr>
          <w:rFonts w:ascii="宋体" w:hAnsi="宋体" w:eastAsia="宋体" w:cs="宋体"/>
          <w:spacing w:val="49"/>
          <w:sz w:val="20"/>
          <w:szCs w:val="20"/>
          <w:highlight w:val="none"/>
        </w:rPr>
        <w:t xml:space="preserve"> </w:t>
      </w:r>
      <w:r>
        <w:rPr>
          <w:rFonts w:ascii="宋体" w:hAnsi="宋体" w:eastAsia="宋体" w:cs="宋体"/>
          <w:sz w:val="20"/>
          <w:szCs w:val="20"/>
          <w:highlight w:val="none"/>
          <w:u w:val="single" w:color="auto"/>
        </w:rPr>
        <w:t xml:space="preserve">                                          </w:t>
      </w:r>
    </w:p>
    <w:p w14:paraId="16625423">
      <w:pPr>
        <w:spacing w:before="303" w:line="222" w:lineRule="auto"/>
        <w:ind w:left="74"/>
        <w:rPr>
          <w:rFonts w:ascii="黑体" w:hAnsi="黑体" w:eastAsia="黑体" w:cs="黑体"/>
          <w:sz w:val="19"/>
          <w:szCs w:val="19"/>
          <w:highlight w:val="none"/>
        </w:rPr>
      </w:pPr>
      <w:r>
        <w:rPr>
          <w:rFonts w:ascii="黑体" w:hAnsi="黑体" w:eastAsia="黑体" w:cs="黑体"/>
          <w:spacing w:val="15"/>
          <w:sz w:val="19"/>
          <w:szCs w:val="19"/>
          <w:highlight w:val="none"/>
        </w:rPr>
        <w:t>11</w:t>
      </w:r>
      <w:r>
        <w:rPr>
          <w:rFonts w:ascii="黑体" w:hAnsi="黑体" w:eastAsia="黑体" w:cs="黑体"/>
          <w:spacing w:val="-48"/>
          <w:sz w:val="19"/>
          <w:szCs w:val="19"/>
          <w:highlight w:val="none"/>
        </w:rPr>
        <w:t xml:space="preserve"> </w:t>
      </w:r>
      <w:r>
        <w:rPr>
          <w:rFonts w:ascii="黑体" w:hAnsi="黑体" w:eastAsia="黑体" w:cs="黑体"/>
          <w:spacing w:val="15"/>
          <w:sz w:val="19"/>
          <w:szCs w:val="19"/>
          <w:highlight w:val="none"/>
        </w:rPr>
        <w:t>.</w:t>
      </w:r>
      <w:r>
        <w:rPr>
          <w:rFonts w:ascii="黑体" w:hAnsi="黑体" w:eastAsia="黑体" w:cs="黑体"/>
          <w:spacing w:val="-57"/>
          <w:sz w:val="19"/>
          <w:szCs w:val="19"/>
          <w:highlight w:val="none"/>
        </w:rPr>
        <w:t xml:space="preserve"> </w:t>
      </w:r>
      <w:r>
        <w:rPr>
          <w:rFonts w:ascii="黑体" w:hAnsi="黑体" w:eastAsia="黑体" w:cs="黑体"/>
          <w:spacing w:val="15"/>
          <w:sz w:val="19"/>
          <w:szCs w:val="19"/>
          <w:highlight w:val="none"/>
        </w:rPr>
        <w:t>6工期提前</w:t>
      </w:r>
    </w:p>
    <w:p w14:paraId="0123CD78">
      <w:pPr>
        <w:spacing w:before="182" w:line="220" w:lineRule="auto"/>
        <w:ind w:left="514"/>
        <w:rPr>
          <w:rFonts w:ascii="宋体" w:hAnsi="宋体" w:eastAsia="宋体" w:cs="宋体"/>
          <w:sz w:val="20"/>
          <w:szCs w:val="20"/>
          <w:highlight w:val="none"/>
        </w:rPr>
      </w:pPr>
      <w:r>
        <w:rPr>
          <w:rFonts w:ascii="宋体" w:hAnsi="宋体" w:eastAsia="宋体" w:cs="宋体"/>
          <w:spacing w:val="-2"/>
          <w:sz w:val="20"/>
          <w:szCs w:val="20"/>
          <w:highlight w:val="none"/>
        </w:rPr>
        <w:t>工期提前的约定：</w:t>
      </w:r>
      <w:r>
        <w:rPr>
          <w:rFonts w:ascii="宋体" w:hAnsi="宋体" w:eastAsia="宋体" w:cs="宋体"/>
          <w:spacing w:val="-2"/>
          <w:sz w:val="20"/>
          <w:szCs w:val="20"/>
          <w:highlight w:val="none"/>
          <w:u w:val="single" w:color="auto"/>
        </w:rPr>
        <w:t xml:space="preserve">                                                   </w:t>
      </w:r>
      <w:r>
        <w:rPr>
          <w:rFonts w:ascii="宋体" w:hAnsi="宋体" w:eastAsia="宋体" w:cs="宋体"/>
          <w:spacing w:val="-3"/>
          <w:sz w:val="20"/>
          <w:szCs w:val="20"/>
          <w:highlight w:val="none"/>
          <w:u w:val="single" w:color="auto"/>
        </w:rPr>
        <w:t xml:space="preserve">           </w:t>
      </w:r>
    </w:p>
    <w:p w14:paraId="65D06EC2">
      <w:pPr>
        <w:spacing w:line="220" w:lineRule="auto"/>
        <w:rPr>
          <w:rFonts w:ascii="宋体" w:hAnsi="宋体" w:eastAsia="宋体" w:cs="宋体"/>
          <w:sz w:val="20"/>
          <w:szCs w:val="20"/>
          <w:highlight w:val="none"/>
        </w:rPr>
        <w:sectPr>
          <w:footerReference r:id="rId222" w:type="default"/>
          <w:pgSz w:w="11910" w:h="16840"/>
          <w:pgMar w:top="400" w:right="1034" w:bottom="1184" w:left="1685" w:header="0" w:footer="1024" w:gutter="0"/>
          <w:cols w:space="720" w:num="1"/>
        </w:sectPr>
      </w:pPr>
    </w:p>
    <w:p w14:paraId="4FE13967">
      <w:pPr>
        <w:pStyle w:val="2"/>
        <w:spacing w:line="249" w:lineRule="auto"/>
        <w:rPr>
          <w:highlight w:val="none"/>
        </w:rPr>
      </w:pPr>
    </w:p>
    <w:p w14:paraId="0EA5A1BD">
      <w:pPr>
        <w:pStyle w:val="2"/>
        <w:spacing w:line="249" w:lineRule="auto"/>
        <w:rPr>
          <w:highlight w:val="none"/>
        </w:rPr>
      </w:pPr>
    </w:p>
    <w:p w14:paraId="39FA3606">
      <w:pPr>
        <w:pStyle w:val="2"/>
        <w:spacing w:line="249" w:lineRule="auto"/>
        <w:rPr>
          <w:highlight w:val="none"/>
        </w:rPr>
      </w:pPr>
    </w:p>
    <w:p w14:paraId="4E519216">
      <w:pPr>
        <w:pStyle w:val="2"/>
        <w:spacing w:line="249" w:lineRule="auto"/>
        <w:rPr>
          <w:highlight w:val="none"/>
        </w:rPr>
      </w:pPr>
    </w:p>
    <w:p w14:paraId="58C766D5">
      <w:pPr>
        <w:pStyle w:val="2"/>
        <w:spacing w:before="78" w:line="223" w:lineRule="auto"/>
        <w:ind w:left="3"/>
        <w:outlineLvl w:val="1"/>
        <w:rPr>
          <w:rFonts w:ascii="黑体" w:hAnsi="黑体" w:eastAsia="黑体" w:cs="黑体"/>
          <w:sz w:val="24"/>
          <w:szCs w:val="24"/>
          <w:highlight w:val="none"/>
        </w:rPr>
      </w:pPr>
      <w:bookmarkStart w:id="223" w:name="bookmark134"/>
      <w:bookmarkEnd w:id="223"/>
      <w:r>
        <w:rPr>
          <w:spacing w:val="-6"/>
          <w:sz w:val="24"/>
          <w:szCs w:val="24"/>
          <w:highlight w:val="none"/>
        </w:rPr>
        <w:t>12.</w:t>
      </w:r>
      <w:r>
        <w:rPr>
          <w:spacing w:val="47"/>
          <w:sz w:val="24"/>
          <w:szCs w:val="24"/>
          <w:highlight w:val="none"/>
        </w:rPr>
        <w:t xml:space="preserve"> </w:t>
      </w:r>
      <w:r>
        <w:rPr>
          <w:rFonts w:ascii="黑体" w:hAnsi="黑体" w:eastAsia="黑体" w:cs="黑体"/>
          <w:spacing w:val="-6"/>
          <w:sz w:val="24"/>
          <w:szCs w:val="24"/>
          <w:highlight w:val="none"/>
        </w:rPr>
        <w:t>暂停施工</w:t>
      </w:r>
    </w:p>
    <w:p w14:paraId="3EB6146B">
      <w:pPr>
        <w:pStyle w:val="2"/>
        <w:spacing w:before="166" w:line="221" w:lineRule="auto"/>
        <w:ind w:left="3"/>
        <w:rPr>
          <w:rFonts w:ascii="黑体" w:hAnsi="黑体" w:eastAsia="黑体" w:cs="黑体"/>
          <w:sz w:val="22"/>
          <w:szCs w:val="22"/>
          <w:highlight w:val="none"/>
        </w:rPr>
      </w:pPr>
      <w:r>
        <w:rPr>
          <w:spacing w:val="-7"/>
          <w:sz w:val="22"/>
          <w:szCs w:val="22"/>
          <w:highlight w:val="none"/>
        </w:rPr>
        <w:t>12.1</w:t>
      </w:r>
      <w:r>
        <w:rPr>
          <w:spacing w:val="47"/>
          <w:sz w:val="22"/>
          <w:szCs w:val="22"/>
          <w:highlight w:val="none"/>
        </w:rPr>
        <w:t xml:space="preserve"> </w:t>
      </w:r>
      <w:r>
        <w:rPr>
          <w:rFonts w:ascii="黑体" w:hAnsi="黑体" w:eastAsia="黑体" w:cs="黑体"/>
          <w:spacing w:val="-7"/>
          <w:sz w:val="22"/>
          <w:szCs w:val="22"/>
          <w:highlight w:val="none"/>
        </w:rPr>
        <w:t>承包人暂停施工的责任</w:t>
      </w:r>
    </w:p>
    <w:p w14:paraId="45302167">
      <w:pPr>
        <w:spacing w:before="148" w:line="219" w:lineRule="auto"/>
        <w:ind w:left="493"/>
        <w:rPr>
          <w:rFonts w:ascii="Times New Roman" w:hAnsi="Times New Roman" w:eastAsia="Times New Roman" w:cs="Times New Roman"/>
          <w:sz w:val="7"/>
          <w:szCs w:val="7"/>
          <w:highlight w:val="none"/>
        </w:rPr>
      </w:pPr>
      <w:r>
        <w:rPr>
          <w:rFonts w:ascii="Times New Roman" w:hAnsi="Times New Roman" w:eastAsia="Times New Roman" w:cs="Times New Roman"/>
          <w:spacing w:val="-5"/>
          <w:sz w:val="22"/>
          <w:szCs w:val="22"/>
          <w:highlight w:val="none"/>
        </w:rPr>
        <w:t xml:space="preserve">12.1.2   </w:t>
      </w:r>
      <w:r>
        <w:rPr>
          <w:rFonts w:ascii="宋体" w:hAnsi="宋体" w:eastAsia="宋体" w:cs="宋体"/>
          <w:spacing w:val="-5"/>
          <w:sz w:val="22"/>
          <w:szCs w:val="22"/>
          <w:highlight w:val="none"/>
        </w:rPr>
        <w:t>承包人承担暂停施工责任的其它情形：</w:t>
      </w:r>
      <w:r>
        <w:rPr>
          <w:rFonts w:ascii="宋体" w:hAnsi="宋体" w:eastAsia="宋体" w:cs="宋体"/>
          <w:spacing w:val="-5"/>
          <w:sz w:val="22"/>
          <w:szCs w:val="22"/>
          <w:highlight w:val="none"/>
          <w:u w:val="single" w:color="auto"/>
        </w:rPr>
        <w:t xml:space="preserve">                       </w:t>
      </w:r>
      <w:r>
        <w:rPr>
          <w:rFonts w:ascii="宋体" w:hAnsi="宋体" w:eastAsia="宋体" w:cs="宋体"/>
          <w:spacing w:val="-6"/>
          <w:sz w:val="22"/>
          <w:szCs w:val="22"/>
          <w:highlight w:val="none"/>
          <w:u w:val="single" w:color="auto"/>
        </w:rPr>
        <w:t xml:space="preserve">     </w:t>
      </w:r>
      <w:r>
        <w:rPr>
          <w:rFonts w:ascii="宋体" w:hAnsi="宋体" w:eastAsia="宋体" w:cs="宋体"/>
          <w:spacing w:val="-6"/>
          <w:sz w:val="22"/>
          <w:szCs w:val="22"/>
          <w:highlight w:val="none"/>
        </w:rPr>
        <w:t xml:space="preserve"> </w:t>
      </w:r>
      <w:r>
        <w:rPr>
          <w:rFonts w:ascii="Times New Roman" w:hAnsi="Times New Roman" w:eastAsia="Times New Roman" w:cs="Times New Roman"/>
          <w:spacing w:val="-6"/>
          <w:sz w:val="7"/>
          <w:szCs w:val="7"/>
          <w:highlight w:val="none"/>
        </w:rPr>
        <w:t>0</w:t>
      </w:r>
    </w:p>
    <w:p w14:paraId="1101C8C8">
      <w:pPr>
        <w:pStyle w:val="2"/>
        <w:spacing w:before="165" w:line="327" w:lineRule="exact"/>
        <w:ind w:left="3"/>
        <w:outlineLvl w:val="1"/>
        <w:rPr>
          <w:rFonts w:ascii="黑体" w:hAnsi="黑体" w:eastAsia="黑体" w:cs="黑体"/>
          <w:sz w:val="24"/>
          <w:szCs w:val="24"/>
          <w:highlight w:val="none"/>
        </w:rPr>
      </w:pPr>
      <w:bookmarkStart w:id="224" w:name="bookmark135"/>
      <w:bookmarkEnd w:id="224"/>
      <w:r>
        <w:rPr>
          <w:spacing w:val="-7"/>
          <w:position w:val="1"/>
          <w:sz w:val="24"/>
          <w:szCs w:val="24"/>
          <w:highlight w:val="none"/>
        </w:rPr>
        <w:t>15.</w:t>
      </w:r>
      <w:r>
        <w:rPr>
          <w:spacing w:val="56"/>
          <w:w w:val="101"/>
          <w:position w:val="1"/>
          <w:sz w:val="24"/>
          <w:szCs w:val="24"/>
          <w:highlight w:val="none"/>
        </w:rPr>
        <w:t xml:space="preserve"> </w:t>
      </w:r>
      <w:r>
        <w:rPr>
          <w:rFonts w:ascii="黑体" w:hAnsi="黑体" w:eastAsia="黑体" w:cs="黑体"/>
          <w:spacing w:val="-7"/>
          <w:position w:val="1"/>
          <w:sz w:val="24"/>
          <w:szCs w:val="24"/>
          <w:highlight w:val="none"/>
        </w:rPr>
        <w:t>变更</w:t>
      </w:r>
    </w:p>
    <w:p w14:paraId="06075882">
      <w:pPr>
        <w:pStyle w:val="2"/>
        <w:spacing w:before="136" w:line="299" w:lineRule="exact"/>
        <w:ind w:left="3"/>
        <w:rPr>
          <w:rFonts w:ascii="黑体" w:hAnsi="黑体" w:eastAsia="黑体" w:cs="黑体"/>
          <w:sz w:val="22"/>
          <w:szCs w:val="22"/>
          <w:highlight w:val="none"/>
        </w:rPr>
      </w:pPr>
      <w:r>
        <w:rPr>
          <w:spacing w:val="-9"/>
          <w:position w:val="1"/>
          <w:sz w:val="22"/>
          <w:szCs w:val="22"/>
          <w:highlight w:val="none"/>
        </w:rPr>
        <w:t>15.2</w:t>
      </w:r>
      <w:r>
        <w:rPr>
          <w:spacing w:val="55"/>
          <w:w w:val="101"/>
          <w:position w:val="1"/>
          <w:sz w:val="22"/>
          <w:szCs w:val="22"/>
          <w:highlight w:val="none"/>
        </w:rPr>
        <w:t xml:space="preserve"> </w:t>
      </w:r>
      <w:r>
        <w:rPr>
          <w:rFonts w:ascii="黑体" w:hAnsi="黑体" w:eastAsia="黑体" w:cs="黑体"/>
          <w:spacing w:val="-9"/>
          <w:position w:val="1"/>
          <w:sz w:val="22"/>
          <w:szCs w:val="22"/>
          <w:highlight w:val="none"/>
        </w:rPr>
        <w:t>承包人的合理化建议</w:t>
      </w:r>
    </w:p>
    <w:p w14:paraId="7745CCFB">
      <w:pPr>
        <w:spacing w:before="141" w:line="184" w:lineRule="auto"/>
        <w:ind w:left="413"/>
        <w:rPr>
          <w:rFonts w:ascii="宋体" w:hAnsi="宋体" w:eastAsia="宋体" w:cs="宋体"/>
          <w:sz w:val="22"/>
          <w:szCs w:val="22"/>
          <w:highlight w:val="none"/>
        </w:rPr>
      </w:pPr>
      <w:r>
        <w:rPr>
          <w:highlight w:val="none"/>
        </w:rPr>
        <w:pict>
          <v:shape id="_x0000_s1059" o:spid="_x0000_s1059" o:spt="202" type="#_x0000_t202" style="position:absolute;left:0pt;margin-left:235.65pt;margin-top:12.45pt;height:7.7pt;width:119.55pt;z-index:251698176;mso-width-relative:page;mso-height-relative:page;" filled="f" stroked="f" coordsize="21600,21600">
            <v:path/>
            <v:fill on="f" focussize="0,0"/>
            <v:stroke on="f"/>
            <v:imagedata o:title=""/>
            <o:lock v:ext="edit" aspectratio="f"/>
            <v:textbox inset="0mm,0mm,0mm,0mm">
              <w:txbxContent>
                <w:p w14:paraId="18B1955A">
                  <w:pPr>
                    <w:pStyle w:val="2"/>
                    <w:tabs>
                      <w:tab w:val="left" w:pos="2338"/>
                    </w:tabs>
                    <w:spacing w:before="20" w:line="326" w:lineRule="auto"/>
                    <w:ind w:left="20"/>
                    <w:rPr>
                      <w:sz w:val="6"/>
                      <w:szCs w:val="6"/>
                    </w:rPr>
                  </w:pPr>
                  <w:r>
                    <w:rPr>
                      <w:sz w:val="6"/>
                      <w:szCs w:val="6"/>
                      <w:u w:val="single" w:color="auto"/>
                    </w:rPr>
                    <w:tab/>
                  </w:r>
                  <w:r>
                    <w:rPr>
                      <w:sz w:val="6"/>
                      <w:szCs w:val="6"/>
                    </w:rPr>
                    <w:t>9</w:t>
                  </w:r>
                </w:p>
              </w:txbxContent>
            </v:textbox>
          </v:shape>
        </w:pict>
      </w:r>
      <w:r>
        <w:rPr>
          <w:rFonts w:ascii="Times New Roman" w:hAnsi="Times New Roman" w:eastAsia="Times New Roman" w:cs="Times New Roman"/>
          <w:spacing w:val="-7"/>
          <w:sz w:val="22"/>
          <w:szCs w:val="22"/>
          <w:highlight w:val="none"/>
        </w:rPr>
        <w:t xml:space="preserve">15.2.2   </w:t>
      </w:r>
      <w:r>
        <w:rPr>
          <w:rFonts w:ascii="宋体" w:hAnsi="宋体" w:eastAsia="宋体" w:cs="宋体"/>
          <w:spacing w:val="-7"/>
          <w:sz w:val="22"/>
          <w:szCs w:val="22"/>
          <w:highlight w:val="none"/>
        </w:rPr>
        <w:t>承包人实现合理化建议的奖励</w:t>
      </w:r>
      <w:r>
        <w:rPr>
          <w:rFonts w:ascii="宋体" w:hAnsi="宋体" w:eastAsia="宋体" w:cs="宋体"/>
          <w:spacing w:val="-8"/>
          <w:sz w:val="22"/>
          <w:szCs w:val="22"/>
          <w:highlight w:val="none"/>
        </w:rPr>
        <w:t>金额为：</w:t>
      </w:r>
    </w:p>
    <w:p w14:paraId="26FE4D41">
      <w:pPr>
        <w:spacing w:before="272" w:line="221" w:lineRule="auto"/>
        <w:ind w:left="3"/>
        <w:rPr>
          <w:rFonts w:ascii="宋体" w:hAnsi="宋体" w:eastAsia="宋体" w:cs="宋体"/>
          <w:sz w:val="22"/>
          <w:szCs w:val="22"/>
          <w:highlight w:val="none"/>
        </w:rPr>
      </w:pPr>
      <w:r>
        <w:rPr>
          <w:rFonts w:ascii="宋体" w:hAnsi="宋体" w:eastAsia="宋体" w:cs="宋体"/>
          <w:spacing w:val="-4"/>
          <w:sz w:val="22"/>
          <w:szCs w:val="22"/>
          <w:highlight w:val="none"/>
        </w:rPr>
        <w:t>15.5计日工</w:t>
      </w:r>
    </w:p>
    <w:p w14:paraId="103B2649">
      <w:pPr>
        <w:spacing w:before="235" w:line="219" w:lineRule="auto"/>
        <w:ind w:left="413"/>
        <w:rPr>
          <w:rFonts w:ascii="宋体" w:hAnsi="宋体" w:eastAsia="宋体" w:cs="宋体"/>
          <w:sz w:val="20"/>
          <w:szCs w:val="20"/>
          <w:highlight w:val="none"/>
        </w:rPr>
      </w:pPr>
      <w:r>
        <w:rPr>
          <w:rFonts w:ascii="宋体" w:hAnsi="宋体" w:eastAsia="宋体" w:cs="宋体"/>
          <w:spacing w:val="3"/>
          <w:sz w:val="20"/>
          <w:szCs w:val="20"/>
          <w:highlight w:val="none"/>
        </w:rPr>
        <w:t>适用通用条款中的</w:t>
      </w:r>
      <w:r>
        <w:rPr>
          <w:rFonts w:ascii="宋体" w:hAnsi="宋体" w:eastAsia="宋体" w:cs="宋体"/>
          <w:spacing w:val="3"/>
          <w:sz w:val="20"/>
          <w:szCs w:val="20"/>
          <w:highlight w:val="none"/>
          <w:u w:val="single" w:color="auto"/>
        </w:rPr>
        <w:t xml:space="preserve">        </w:t>
      </w:r>
      <w:r>
        <w:rPr>
          <w:rFonts w:ascii="宋体" w:hAnsi="宋体" w:eastAsia="宋体" w:cs="宋体"/>
          <w:spacing w:val="3"/>
          <w:sz w:val="20"/>
          <w:szCs w:val="20"/>
          <w:highlight w:val="none"/>
        </w:rPr>
        <w:t xml:space="preserve">条款，其他要求： </w:t>
      </w:r>
      <w:r>
        <w:rPr>
          <w:rFonts w:ascii="宋体" w:hAnsi="宋体" w:eastAsia="宋体" w:cs="宋体"/>
          <w:spacing w:val="3"/>
          <w:sz w:val="20"/>
          <w:szCs w:val="20"/>
          <w:highlight w:val="none"/>
          <w:u w:val="single" w:color="auto"/>
        </w:rPr>
        <w:t xml:space="preserve">                      </w:t>
      </w:r>
      <w:r>
        <w:rPr>
          <w:rFonts w:ascii="宋体" w:hAnsi="宋体" w:eastAsia="宋体" w:cs="宋体"/>
          <w:spacing w:val="2"/>
          <w:sz w:val="20"/>
          <w:szCs w:val="20"/>
          <w:highlight w:val="none"/>
          <w:u w:val="single" w:color="auto"/>
        </w:rPr>
        <w:t xml:space="preserve">         </w:t>
      </w:r>
    </w:p>
    <w:p w14:paraId="4B77405F">
      <w:pPr>
        <w:pStyle w:val="2"/>
        <w:spacing w:line="257" w:lineRule="auto"/>
        <w:rPr>
          <w:highlight w:val="none"/>
        </w:rPr>
      </w:pPr>
    </w:p>
    <w:p w14:paraId="7D5B3582">
      <w:pPr>
        <w:spacing w:before="62" w:line="222" w:lineRule="auto"/>
        <w:ind w:left="3"/>
        <w:rPr>
          <w:rFonts w:ascii="黑体" w:hAnsi="黑体" w:eastAsia="黑体" w:cs="黑体"/>
          <w:sz w:val="19"/>
          <w:szCs w:val="19"/>
          <w:highlight w:val="none"/>
        </w:rPr>
      </w:pPr>
      <w:r>
        <w:rPr>
          <w:rFonts w:ascii="黑体" w:hAnsi="黑体" w:eastAsia="黑体" w:cs="黑体"/>
          <w:spacing w:val="13"/>
          <w:sz w:val="19"/>
          <w:szCs w:val="19"/>
          <w:highlight w:val="none"/>
        </w:rPr>
        <w:t>15</w:t>
      </w:r>
      <w:r>
        <w:rPr>
          <w:rFonts w:ascii="黑体" w:hAnsi="黑体" w:eastAsia="黑体" w:cs="黑体"/>
          <w:spacing w:val="-41"/>
          <w:sz w:val="19"/>
          <w:szCs w:val="19"/>
          <w:highlight w:val="none"/>
        </w:rPr>
        <w:t xml:space="preserve"> </w:t>
      </w:r>
      <w:r>
        <w:rPr>
          <w:rFonts w:ascii="黑体" w:hAnsi="黑体" w:eastAsia="黑体" w:cs="黑体"/>
          <w:spacing w:val="13"/>
          <w:sz w:val="19"/>
          <w:szCs w:val="19"/>
          <w:highlight w:val="none"/>
        </w:rPr>
        <w:t>.</w:t>
      </w:r>
      <w:r>
        <w:rPr>
          <w:rFonts w:ascii="黑体" w:hAnsi="黑体" w:eastAsia="黑体" w:cs="黑体"/>
          <w:spacing w:val="-54"/>
          <w:sz w:val="19"/>
          <w:szCs w:val="19"/>
          <w:highlight w:val="none"/>
        </w:rPr>
        <w:t xml:space="preserve"> </w:t>
      </w:r>
      <w:r>
        <w:rPr>
          <w:rFonts w:ascii="黑体" w:hAnsi="黑体" w:eastAsia="黑体" w:cs="黑体"/>
          <w:spacing w:val="13"/>
          <w:sz w:val="19"/>
          <w:szCs w:val="19"/>
          <w:highlight w:val="none"/>
        </w:rPr>
        <w:t>6暂估价</w:t>
      </w:r>
    </w:p>
    <w:p w14:paraId="3DB07666">
      <w:pPr>
        <w:spacing w:before="174" w:line="219" w:lineRule="auto"/>
        <w:ind w:left="413"/>
        <w:rPr>
          <w:rFonts w:ascii="宋体" w:hAnsi="宋体" w:eastAsia="宋体" w:cs="宋体"/>
          <w:sz w:val="20"/>
          <w:szCs w:val="20"/>
          <w:highlight w:val="none"/>
        </w:rPr>
      </w:pPr>
      <w:r>
        <w:rPr>
          <w:rFonts w:ascii="宋体" w:hAnsi="宋体" w:eastAsia="宋体" w:cs="宋体"/>
          <w:spacing w:val="5"/>
          <w:sz w:val="20"/>
          <w:szCs w:val="20"/>
          <w:highlight w:val="none"/>
        </w:rPr>
        <w:t>适用通用条款中的</w:t>
      </w:r>
      <w:r>
        <w:rPr>
          <w:rFonts w:ascii="宋体" w:hAnsi="宋体" w:eastAsia="宋体" w:cs="宋体"/>
          <w:spacing w:val="5"/>
          <w:sz w:val="20"/>
          <w:szCs w:val="20"/>
          <w:highlight w:val="none"/>
          <w:u w:val="single" w:color="auto"/>
        </w:rPr>
        <w:t xml:space="preserve">        </w:t>
      </w:r>
      <w:r>
        <w:rPr>
          <w:rFonts w:ascii="宋体" w:hAnsi="宋体" w:eastAsia="宋体" w:cs="宋体"/>
          <w:spacing w:val="5"/>
          <w:sz w:val="20"/>
          <w:szCs w:val="20"/>
          <w:highlight w:val="none"/>
        </w:rPr>
        <w:t>条款，其他要求：</w:t>
      </w:r>
      <w:r>
        <w:rPr>
          <w:rFonts w:ascii="宋体" w:hAnsi="宋体" w:eastAsia="宋体" w:cs="宋体"/>
          <w:spacing w:val="-21"/>
          <w:sz w:val="20"/>
          <w:szCs w:val="20"/>
          <w:highlight w:val="none"/>
        </w:rPr>
        <w:t xml:space="preserve"> </w:t>
      </w:r>
      <w:r>
        <w:rPr>
          <w:rFonts w:ascii="宋体" w:hAnsi="宋体" w:eastAsia="宋体" w:cs="宋体"/>
          <w:sz w:val="20"/>
          <w:szCs w:val="20"/>
          <w:highlight w:val="none"/>
          <w:u w:val="single" w:color="auto"/>
        </w:rPr>
        <w:t xml:space="preserve">                                </w:t>
      </w:r>
    </w:p>
    <w:p w14:paraId="77F19479">
      <w:pPr>
        <w:pStyle w:val="2"/>
        <w:spacing w:before="153" w:line="299" w:lineRule="exact"/>
        <w:ind w:left="3"/>
        <w:outlineLvl w:val="1"/>
        <w:rPr>
          <w:rFonts w:ascii="黑体" w:hAnsi="黑体" w:eastAsia="黑体" w:cs="黑体"/>
          <w:sz w:val="22"/>
          <w:szCs w:val="22"/>
          <w:highlight w:val="none"/>
        </w:rPr>
      </w:pPr>
      <w:bookmarkStart w:id="225" w:name="bookmark136"/>
      <w:bookmarkEnd w:id="225"/>
      <w:r>
        <w:rPr>
          <w:spacing w:val="10"/>
          <w:position w:val="1"/>
          <w:sz w:val="22"/>
          <w:szCs w:val="22"/>
          <w:highlight w:val="none"/>
        </w:rPr>
        <w:t>16.</w:t>
      </w:r>
      <w:r>
        <w:rPr>
          <w:spacing w:val="62"/>
          <w:position w:val="1"/>
          <w:sz w:val="22"/>
          <w:szCs w:val="22"/>
          <w:highlight w:val="none"/>
        </w:rPr>
        <w:t xml:space="preserve"> </w:t>
      </w:r>
      <w:r>
        <w:rPr>
          <w:rFonts w:ascii="黑体" w:hAnsi="黑体" w:eastAsia="黑体" w:cs="黑体"/>
          <w:spacing w:val="10"/>
          <w:position w:val="1"/>
          <w:sz w:val="22"/>
          <w:szCs w:val="22"/>
          <w:highlight w:val="none"/>
        </w:rPr>
        <w:t>价格调整</w:t>
      </w:r>
    </w:p>
    <w:p w14:paraId="43CE6E70">
      <w:pPr>
        <w:spacing w:before="141" w:line="219" w:lineRule="auto"/>
        <w:ind w:left="413"/>
        <w:rPr>
          <w:rFonts w:ascii="宋体" w:hAnsi="宋体" w:eastAsia="宋体" w:cs="宋体"/>
          <w:sz w:val="22"/>
          <w:szCs w:val="22"/>
          <w:highlight w:val="none"/>
        </w:rPr>
      </w:pPr>
      <w:r>
        <w:rPr>
          <w:rFonts w:ascii="宋体" w:hAnsi="宋体" w:eastAsia="宋体" w:cs="宋体"/>
          <w:spacing w:val="-6"/>
          <w:sz w:val="22"/>
          <w:szCs w:val="22"/>
          <w:highlight w:val="none"/>
        </w:rPr>
        <w:t>适用通用条款中的</w:t>
      </w:r>
      <w:r>
        <w:rPr>
          <w:rFonts w:ascii="宋体" w:hAnsi="宋体" w:eastAsia="宋体" w:cs="宋体"/>
          <w:spacing w:val="-6"/>
          <w:sz w:val="22"/>
          <w:szCs w:val="22"/>
          <w:highlight w:val="none"/>
          <w:u w:val="single" w:color="auto"/>
        </w:rPr>
        <w:t xml:space="preserve">        </w:t>
      </w:r>
      <w:r>
        <w:rPr>
          <w:rFonts w:ascii="宋体" w:hAnsi="宋体" w:eastAsia="宋体" w:cs="宋体"/>
          <w:spacing w:val="-6"/>
          <w:sz w:val="22"/>
          <w:szCs w:val="22"/>
          <w:highlight w:val="none"/>
        </w:rPr>
        <w:t>条款，其他要求：</w:t>
      </w:r>
      <w:r>
        <w:rPr>
          <w:rFonts w:ascii="宋体" w:hAnsi="宋体" w:eastAsia="宋体" w:cs="宋体"/>
          <w:spacing w:val="-6"/>
          <w:sz w:val="22"/>
          <w:szCs w:val="22"/>
          <w:highlight w:val="none"/>
          <w:u w:val="single" w:color="auto"/>
        </w:rPr>
        <w:t xml:space="preserve">             </w:t>
      </w:r>
      <w:r>
        <w:rPr>
          <w:rFonts w:ascii="宋体" w:hAnsi="宋体" w:eastAsia="宋体" w:cs="宋体"/>
          <w:spacing w:val="-7"/>
          <w:sz w:val="22"/>
          <w:szCs w:val="22"/>
          <w:highlight w:val="none"/>
          <w:u w:val="single" w:color="auto"/>
        </w:rPr>
        <w:t xml:space="preserve">                 </w:t>
      </w:r>
    </w:p>
    <w:p w14:paraId="004F498C">
      <w:pPr>
        <w:spacing w:before="201" w:line="224" w:lineRule="auto"/>
        <w:ind w:left="3"/>
        <w:outlineLvl w:val="1"/>
        <w:rPr>
          <w:rFonts w:ascii="黑体" w:hAnsi="黑体" w:eastAsia="黑体" w:cs="黑体"/>
          <w:sz w:val="24"/>
          <w:szCs w:val="24"/>
          <w:highlight w:val="none"/>
        </w:rPr>
      </w:pPr>
      <w:bookmarkStart w:id="226" w:name="bookmark137"/>
      <w:bookmarkEnd w:id="226"/>
      <w:r>
        <w:rPr>
          <w:rFonts w:ascii="黑体" w:hAnsi="黑体" w:eastAsia="黑体" w:cs="黑体"/>
          <w:spacing w:val="9"/>
          <w:sz w:val="24"/>
          <w:szCs w:val="24"/>
          <w:highlight w:val="none"/>
        </w:rPr>
        <w:t>17.计量与支付</w:t>
      </w:r>
    </w:p>
    <w:p w14:paraId="7A30163F">
      <w:pPr>
        <w:spacing w:before="185" w:line="222" w:lineRule="auto"/>
        <w:ind w:left="3"/>
        <w:rPr>
          <w:rFonts w:ascii="黑体" w:hAnsi="黑体" w:eastAsia="黑体" w:cs="黑体"/>
          <w:sz w:val="22"/>
          <w:szCs w:val="22"/>
          <w:highlight w:val="none"/>
        </w:rPr>
      </w:pPr>
      <w:r>
        <w:rPr>
          <w:rFonts w:ascii="黑体" w:hAnsi="黑体" w:eastAsia="黑体" w:cs="黑体"/>
          <w:spacing w:val="-2"/>
          <w:sz w:val="22"/>
          <w:szCs w:val="22"/>
          <w:highlight w:val="none"/>
        </w:rPr>
        <w:t>17.1合同价格</w:t>
      </w:r>
    </w:p>
    <w:p w14:paraId="30BE21D5">
      <w:pPr>
        <w:spacing w:before="175" w:line="218" w:lineRule="auto"/>
        <w:ind w:left="413"/>
        <w:rPr>
          <w:rFonts w:ascii="宋体" w:hAnsi="宋体" w:eastAsia="宋体" w:cs="宋体"/>
          <w:sz w:val="20"/>
          <w:szCs w:val="20"/>
          <w:highlight w:val="none"/>
        </w:rPr>
      </w:pPr>
      <w:r>
        <w:rPr>
          <w:rFonts w:ascii="宋体" w:hAnsi="宋体" w:eastAsia="宋体" w:cs="宋体"/>
          <w:sz w:val="20"/>
          <w:szCs w:val="20"/>
          <w:highlight w:val="none"/>
        </w:rPr>
        <w:t>合同价格的约定：</w:t>
      </w:r>
      <w:r>
        <w:rPr>
          <w:rFonts w:ascii="宋体" w:hAnsi="宋体" w:eastAsia="宋体" w:cs="宋体"/>
          <w:spacing w:val="-60"/>
          <w:sz w:val="20"/>
          <w:szCs w:val="20"/>
          <w:highlight w:val="none"/>
        </w:rPr>
        <w:t xml:space="preserve"> </w:t>
      </w:r>
      <w:r>
        <w:rPr>
          <w:rFonts w:ascii="宋体" w:hAnsi="宋体" w:eastAsia="宋体" w:cs="宋体"/>
          <w:sz w:val="20"/>
          <w:szCs w:val="20"/>
          <w:highlight w:val="none"/>
          <w:u w:val="single" w:color="auto"/>
        </w:rPr>
        <w:t xml:space="preserve">                                                               </w:t>
      </w:r>
    </w:p>
    <w:p w14:paraId="78BCD9C7">
      <w:pPr>
        <w:pStyle w:val="2"/>
        <w:spacing w:before="294" w:line="222" w:lineRule="auto"/>
        <w:ind w:left="3"/>
        <w:rPr>
          <w:rFonts w:ascii="黑体" w:hAnsi="黑体" w:eastAsia="黑体" w:cs="黑体"/>
          <w:sz w:val="19"/>
          <w:szCs w:val="19"/>
          <w:highlight w:val="none"/>
        </w:rPr>
      </w:pPr>
      <w:r>
        <w:rPr>
          <w:spacing w:val="4"/>
          <w:sz w:val="19"/>
          <w:szCs w:val="19"/>
          <w:highlight w:val="none"/>
        </w:rPr>
        <w:t>17.2</w:t>
      </w:r>
      <w:r>
        <w:rPr>
          <w:spacing w:val="2"/>
          <w:sz w:val="19"/>
          <w:szCs w:val="19"/>
          <w:highlight w:val="none"/>
        </w:rPr>
        <w:t xml:space="preserve">   </w:t>
      </w:r>
      <w:r>
        <w:rPr>
          <w:rFonts w:ascii="黑体" w:hAnsi="黑体" w:eastAsia="黑体" w:cs="黑体"/>
          <w:spacing w:val="4"/>
          <w:sz w:val="19"/>
          <w:szCs w:val="19"/>
          <w:highlight w:val="none"/>
        </w:rPr>
        <w:t>预付款</w:t>
      </w:r>
    </w:p>
    <w:p w14:paraId="22AD4344">
      <w:pPr>
        <w:spacing w:before="173" w:line="219" w:lineRule="auto"/>
        <w:ind w:left="413"/>
        <w:rPr>
          <w:rFonts w:ascii="宋体" w:hAnsi="宋体" w:eastAsia="宋体" w:cs="宋体"/>
          <w:sz w:val="20"/>
          <w:szCs w:val="20"/>
          <w:highlight w:val="none"/>
        </w:rPr>
      </w:pPr>
      <w:r>
        <w:rPr>
          <w:rFonts w:ascii="宋体" w:hAnsi="宋体" w:eastAsia="宋体" w:cs="宋体"/>
          <w:spacing w:val="2"/>
          <w:sz w:val="20"/>
          <w:szCs w:val="20"/>
          <w:highlight w:val="none"/>
        </w:rPr>
        <w:t>17.2.1</w:t>
      </w:r>
      <w:r>
        <w:rPr>
          <w:rFonts w:ascii="宋体" w:hAnsi="宋体" w:eastAsia="宋体" w:cs="宋体"/>
          <w:spacing w:val="-11"/>
          <w:sz w:val="20"/>
          <w:szCs w:val="20"/>
          <w:highlight w:val="none"/>
        </w:rPr>
        <w:t xml:space="preserve"> </w:t>
      </w:r>
      <w:r>
        <w:rPr>
          <w:rFonts w:ascii="宋体" w:hAnsi="宋体" w:eastAsia="宋体" w:cs="宋体"/>
          <w:spacing w:val="2"/>
          <w:sz w:val="20"/>
          <w:szCs w:val="20"/>
          <w:highlight w:val="none"/>
        </w:rPr>
        <w:t>预付款</w:t>
      </w:r>
    </w:p>
    <w:p w14:paraId="504D6D81">
      <w:pPr>
        <w:spacing w:before="240" w:line="216" w:lineRule="auto"/>
        <w:ind w:left="493"/>
        <w:rPr>
          <w:rFonts w:ascii="宋体" w:hAnsi="宋体" w:eastAsia="宋体" w:cs="宋体"/>
          <w:sz w:val="21"/>
          <w:szCs w:val="21"/>
          <w:highlight w:val="none"/>
        </w:rPr>
      </w:pPr>
      <w:r>
        <w:rPr>
          <w:rFonts w:ascii="宋体" w:hAnsi="宋体" w:eastAsia="宋体" w:cs="宋体"/>
          <w:spacing w:val="2"/>
          <w:sz w:val="21"/>
          <w:szCs w:val="21"/>
          <w:highlight w:val="none"/>
        </w:rPr>
        <w:t>(1)工程预付款的总金额为签约合同价的</w:t>
      </w:r>
      <w:r>
        <w:rPr>
          <w:rFonts w:ascii="宋体" w:hAnsi="宋体" w:eastAsia="宋体" w:cs="宋体"/>
          <w:spacing w:val="2"/>
          <w:sz w:val="21"/>
          <w:szCs w:val="21"/>
          <w:highlight w:val="none"/>
          <w:u w:val="single" w:color="auto"/>
        </w:rPr>
        <w:t xml:space="preserve">   </w:t>
      </w:r>
      <w:r>
        <w:rPr>
          <w:rFonts w:ascii="宋体" w:hAnsi="宋体" w:eastAsia="宋体" w:cs="宋体"/>
          <w:spacing w:val="-79"/>
          <w:sz w:val="21"/>
          <w:szCs w:val="21"/>
          <w:highlight w:val="none"/>
        </w:rPr>
        <w:t xml:space="preserve"> </w:t>
      </w:r>
      <w:r>
        <w:rPr>
          <w:rFonts w:ascii="宋体" w:hAnsi="宋体" w:eastAsia="宋体" w:cs="宋体"/>
          <w:spacing w:val="2"/>
          <w:sz w:val="21"/>
          <w:szCs w:val="21"/>
          <w:highlight w:val="none"/>
        </w:rPr>
        <w:t>%,分</w:t>
      </w:r>
      <w:r>
        <w:rPr>
          <w:rFonts w:ascii="宋体" w:hAnsi="宋体" w:eastAsia="宋体" w:cs="宋体"/>
          <w:spacing w:val="-94"/>
          <w:sz w:val="21"/>
          <w:szCs w:val="21"/>
          <w:highlight w:val="none"/>
        </w:rPr>
        <w:t xml:space="preserve"> </w:t>
      </w:r>
      <w:r>
        <w:rPr>
          <w:rFonts w:ascii="宋体" w:hAnsi="宋体" w:eastAsia="宋体" w:cs="宋体"/>
          <w:spacing w:val="21"/>
          <w:sz w:val="21"/>
          <w:szCs w:val="21"/>
          <w:highlight w:val="none"/>
          <w:u w:val="single" w:color="auto"/>
        </w:rPr>
        <w:t xml:space="preserve">   </w:t>
      </w:r>
      <w:r>
        <w:rPr>
          <w:rFonts w:ascii="宋体" w:hAnsi="宋体" w:eastAsia="宋体" w:cs="宋体"/>
          <w:spacing w:val="2"/>
          <w:sz w:val="21"/>
          <w:szCs w:val="21"/>
          <w:highlight w:val="none"/>
        </w:rPr>
        <w:t>次支付给承包人。</w:t>
      </w:r>
    </w:p>
    <w:p w14:paraId="10821105">
      <w:pPr>
        <w:spacing w:before="267" w:line="219" w:lineRule="auto"/>
        <w:ind w:left="413"/>
        <w:rPr>
          <w:rFonts w:ascii="宋体" w:hAnsi="宋体" w:eastAsia="宋体" w:cs="宋体"/>
          <w:sz w:val="21"/>
          <w:szCs w:val="21"/>
          <w:highlight w:val="none"/>
        </w:rPr>
      </w:pPr>
      <w:r>
        <w:rPr>
          <w:rFonts w:ascii="宋体" w:hAnsi="宋体" w:eastAsia="宋体" w:cs="宋体"/>
          <w:sz w:val="21"/>
          <w:szCs w:val="21"/>
          <w:highlight w:val="none"/>
        </w:rPr>
        <w:t>各次预付款的支付额度和付款时间为：</w:t>
      </w:r>
      <w:r>
        <w:rPr>
          <w:rFonts w:ascii="宋体" w:hAnsi="宋体" w:eastAsia="宋体" w:cs="宋体"/>
          <w:sz w:val="21"/>
          <w:szCs w:val="21"/>
          <w:highlight w:val="none"/>
          <w:u w:val="single" w:color="auto"/>
        </w:rPr>
        <w:t xml:space="preserve">                                          </w:t>
      </w:r>
    </w:p>
    <w:p w14:paraId="7F7C89EB">
      <w:pPr>
        <w:spacing w:before="209" w:line="219" w:lineRule="auto"/>
        <w:ind w:left="493"/>
        <w:rPr>
          <w:rFonts w:ascii="宋体" w:hAnsi="宋体" w:eastAsia="宋体" w:cs="宋体"/>
          <w:sz w:val="20"/>
          <w:szCs w:val="20"/>
          <w:highlight w:val="none"/>
        </w:rPr>
      </w:pPr>
      <w:r>
        <w:rPr>
          <w:rFonts w:ascii="宋体" w:hAnsi="宋体" w:eastAsia="宋体" w:cs="宋体"/>
          <w:spacing w:val="5"/>
          <w:sz w:val="20"/>
          <w:szCs w:val="20"/>
          <w:highlight w:val="none"/>
        </w:rPr>
        <w:t xml:space="preserve">(2)工程材料预付款的额度和预付办法约定为： </w:t>
      </w:r>
      <w:r>
        <w:rPr>
          <w:rFonts w:ascii="宋体" w:hAnsi="宋体" w:eastAsia="宋体" w:cs="宋体"/>
          <w:spacing w:val="5"/>
          <w:sz w:val="20"/>
          <w:szCs w:val="20"/>
          <w:highlight w:val="none"/>
          <w:u w:val="single" w:color="auto"/>
        </w:rPr>
        <w:t xml:space="preserve">                                 </w:t>
      </w:r>
    </w:p>
    <w:p w14:paraId="42ECEA86">
      <w:pPr>
        <w:spacing w:before="165" w:line="219" w:lineRule="auto"/>
        <w:ind w:left="413"/>
        <w:outlineLvl w:val="0"/>
        <w:rPr>
          <w:rFonts w:ascii="宋体" w:hAnsi="宋体" w:eastAsia="宋体" w:cs="宋体"/>
          <w:sz w:val="22"/>
          <w:szCs w:val="22"/>
          <w:highlight w:val="none"/>
        </w:rPr>
      </w:pPr>
      <w:bookmarkStart w:id="227" w:name="bookmark138"/>
      <w:bookmarkEnd w:id="227"/>
      <w:r>
        <w:rPr>
          <w:rFonts w:ascii="Times New Roman" w:hAnsi="Times New Roman" w:eastAsia="Times New Roman" w:cs="Times New Roman"/>
          <w:spacing w:val="-6"/>
          <w:sz w:val="22"/>
          <w:szCs w:val="22"/>
          <w:highlight w:val="none"/>
        </w:rPr>
        <w:t>17.2.2</w:t>
      </w:r>
      <w:r>
        <w:rPr>
          <w:rFonts w:ascii="Times New Roman" w:hAnsi="Times New Roman" w:eastAsia="Times New Roman" w:cs="Times New Roman"/>
          <w:spacing w:val="13"/>
          <w:sz w:val="22"/>
          <w:szCs w:val="22"/>
          <w:highlight w:val="none"/>
        </w:rPr>
        <w:t xml:space="preserve">   </w:t>
      </w:r>
      <w:r>
        <w:rPr>
          <w:rFonts w:ascii="宋体" w:hAnsi="宋体" w:eastAsia="宋体" w:cs="宋体"/>
          <w:spacing w:val="-6"/>
          <w:sz w:val="22"/>
          <w:szCs w:val="22"/>
          <w:highlight w:val="none"/>
        </w:rPr>
        <w:t>预付款保函</w:t>
      </w:r>
    </w:p>
    <w:p w14:paraId="736E828C">
      <w:pPr>
        <w:spacing w:before="237" w:line="219" w:lineRule="auto"/>
        <w:ind w:left="413"/>
        <w:rPr>
          <w:rFonts w:ascii="宋体" w:hAnsi="宋体" w:eastAsia="宋体" w:cs="宋体"/>
          <w:sz w:val="20"/>
          <w:szCs w:val="20"/>
          <w:highlight w:val="none"/>
        </w:rPr>
      </w:pPr>
      <w:r>
        <w:rPr>
          <w:rFonts w:ascii="宋体" w:hAnsi="宋体" w:eastAsia="宋体" w:cs="宋体"/>
          <w:sz w:val="20"/>
          <w:szCs w:val="20"/>
          <w:highlight w:val="none"/>
        </w:rPr>
        <w:t xml:space="preserve">工程材料预付款的担保约定为： </w:t>
      </w:r>
      <w:r>
        <w:rPr>
          <w:rFonts w:ascii="宋体" w:hAnsi="宋体" w:eastAsia="宋体" w:cs="宋体"/>
          <w:sz w:val="20"/>
          <w:szCs w:val="20"/>
          <w:highlight w:val="none"/>
          <w:u w:val="single" w:color="auto"/>
        </w:rPr>
        <w:t xml:space="preserve">                             </w:t>
      </w:r>
      <w:r>
        <w:rPr>
          <w:rFonts w:ascii="宋体" w:hAnsi="宋体" w:eastAsia="宋体" w:cs="宋体"/>
          <w:spacing w:val="-1"/>
          <w:sz w:val="20"/>
          <w:szCs w:val="20"/>
          <w:highlight w:val="none"/>
          <w:u w:val="single" w:color="auto"/>
        </w:rPr>
        <w:t xml:space="preserve">                     </w:t>
      </w:r>
    </w:p>
    <w:p w14:paraId="5B2113F6">
      <w:pPr>
        <w:spacing w:before="164" w:line="219" w:lineRule="auto"/>
        <w:ind w:left="413"/>
        <w:rPr>
          <w:rFonts w:ascii="宋体" w:hAnsi="宋体" w:eastAsia="宋体" w:cs="宋体"/>
          <w:sz w:val="20"/>
          <w:szCs w:val="20"/>
          <w:highlight w:val="none"/>
        </w:rPr>
      </w:pPr>
      <w:r>
        <w:rPr>
          <w:rFonts w:ascii="宋体" w:hAnsi="宋体" w:eastAsia="宋体" w:cs="宋体"/>
          <w:spacing w:val="14"/>
          <w:sz w:val="20"/>
          <w:szCs w:val="20"/>
          <w:highlight w:val="none"/>
        </w:rPr>
        <w:t>17.2.3预付款的扣回与还清</w:t>
      </w:r>
    </w:p>
    <w:p w14:paraId="58372614">
      <w:pPr>
        <w:spacing w:before="224" w:line="219" w:lineRule="auto"/>
        <w:ind w:left="413"/>
        <w:rPr>
          <w:rFonts w:ascii="宋体" w:hAnsi="宋体" w:eastAsia="宋体" w:cs="宋体"/>
          <w:sz w:val="22"/>
          <w:szCs w:val="22"/>
          <w:highlight w:val="none"/>
        </w:rPr>
      </w:pPr>
      <w:r>
        <w:rPr>
          <w:rFonts w:ascii="宋体" w:hAnsi="宋体" w:eastAsia="宋体" w:cs="宋体"/>
          <w:spacing w:val="-4"/>
          <w:sz w:val="22"/>
          <w:szCs w:val="22"/>
          <w:highlight w:val="none"/>
        </w:rPr>
        <w:t>工程预付款的扣回方式：</w:t>
      </w:r>
      <w:r>
        <w:rPr>
          <w:rFonts w:ascii="宋体" w:hAnsi="宋体" w:eastAsia="宋体" w:cs="宋体"/>
          <w:spacing w:val="-4"/>
          <w:sz w:val="22"/>
          <w:szCs w:val="22"/>
          <w:highlight w:val="none"/>
          <w:u w:val="single" w:color="auto"/>
        </w:rPr>
        <w:t xml:space="preserve">                                            </w:t>
      </w:r>
      <w:r>
        <w:rPr>
          <w:rFonts w:ascii="宋体" w:hAnsi="宋体" w:eastAsia="宋体" w:cs="宋体"/>
          <w:spacing w:val="-5"/>
          <w:sz w:val="22"/>
          <w:szCs w:val="22"/>
          <w:highlight w:val="none"/>
          <w:u w:val="single" w:color="auto"/>
        </w:rPr>
        <w:t xml:space="preserve">        </w:t>
      </w:r>
    </w:p>
    <w:p w14:paraId="69DDFDBB">
      <w:pPr>
        <w:pStyle w:val="2"/>
        <w:spacing w:before="228" w:line="300" w:lineRule="exact"/>
        <w:ind w:left="3"/>
        <w:rPr>
          <w:rFonts w:ascii="黑体" w:hAnsi="黑体" w:eastAsia="黑体" w:cs="黑体"/>
          <w:sz w:val="22"/>
          <w:szCs w:val="22"/>
          <w:highlight w:val="none"/>
        </w:rPr>
      </w:pPr>
      <w:r>
        <w:rPr>
          <w:spacing w:val="-7"/>
          <w:position w:val="1"/>
          <w:sz w:val="22"/>
          <w:szCs w:val="22"/>
          <w:highlight w:val="none"/>
        </w:rPr>
        <w:t>17.3</w:t>
      </w:r>
      <w:r>
        <w:rPr>
          <w:spacing w:val="43"/>
          <w:w w:val="101"/>
          <w:position w:val="1"/>
          <w:sz w:val="22"/>
          <w:szCs w:val="22"/>
          <w:highlight w:val="none"/>
        </w:rPr>
        <w:t xml:space="preserve"> </w:t>
      </w:r>
      <w:r>
        <w:rPr>
          <w:rFonts w:ascii="黑体" w:hAnsi="黑体" w:eastAsia="黑体" w:cs="黑体"/>
          <w:spacing w:val="-7"/>
          <w:position w:val="1"/>
          <w:sz w:val="22"/>
          <w:szCs w:val="22"/>
          <w:highlight w:val="none"/>
        </w:rPr>
        <w:t>工程进度付款</w:t>
      </w:r>
    </w:p>
    <w:p w14:paraId="0714A7CA">
      <w:pPr>
        <w:spacing w:before="151" w:line="219" w:lineRule="auto"/>
        <w:ind w:left="493"/>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17.3.1</w:t>
      </w:r>
      <w:r>
        <w:rPr>
          <w:rFonts w:ascii="Times New Roman" w:hAnsi="Times New Roman" w:eastAsia="Times New Roman" w:cs="Times New Roman"/>
          <w:spacing w:val="12"/>
          <w:sz w:val="22"/>
          <w:szCs w:val="22"/>
          <w:highlight w:val="none"/>
        </w:rPr>
        <w:t xml:space="preserve">   </w:t>
      </w:r>
      <w:r>
        <w:rPr>
          <w:rFonts w:ascii="宋体" w:hAnsi="宋体" w:eastAsia="宋体" w:cs="宋体"/>
          <w:spacing w:val="-7"/>
          <w:sz w:val="22"/>
          <w:szCs w:val="22"/>
          <w:highlight w:val="none"/>
        </w:rPr>
        <w:t>付款时间</w:t>
      </w:r>
    </w:p>
    <w:p w14:paraId="4C85389B">
      <w:pPr>
        <w:spacing w:before="229" w:line="219" w:lineRule="auto"/>
        <w:ind w:left="413"/>
        <w:rPr>
          <w:rFonts w:ascii="宋体" w:hAnsi="宋体" w:eastAsia="宋体" w:cs="宋体"/>
          <w:sz w:val="22"/>
          <w:szCs w:val="22"/>
          <w:highlight w:val="none"/>
        </w:rPr>
      </w:pPr>
      <w:r>
        <w:rPr>
          <w:rFonts w:ascii="宋体" w:hAnsi="宋体" w:eastAsia="宋体" w:cs="宋体"/>
          <w:spacing w:val="-17"/>
          <w:sz w:val="22"/>
          <w:szCs w:val="22"/>
          <w:highlight w:val="none"/>
        </w:rPr>
        <w:t>付款时间的约定：</w:t>
      </w:r>
      <w:r>
        <w:rPr>
          <w:rFonts w:ascii="宋体" w:hAnsi="宋体" w:eastAsia="宋体" w:cs="宋体"/>
          <w:sz w:val="22"/>
          <w:szCs w:val="22"/>
          <w:highlight w:val="none"/>
          <w:u w:val="single" w:color="auto"/>
        </w:rPr>
        <w:t xml:space="preserve">                                                       </w:t>
      </w:r>
    </w:p>
    <w:p w14:paraId="49D250A8">
      <w:pPr>
        <w:spacing w:before="209" w:line="219" w:lineRule="auto"/>
        <w:ind w:left="493"/>
        <w:rPr>
          <w:rFonts w:ascii="宋体" w:hAnsi="宋体" w:eastAsia="宋体" w:cs="宋体"/>
          <w:sz w:val="22"/>
          <w:szCs w:val="22"/>
          <w:highlight w:val="none"/>
        </w:rPr>
      </w:pPr>
      <w:r>
        <w:rPr>
          <w:rFonts w:ascii="宋体" w:hAnsi="宋体" w:eastAsia="宋体" w:cs="宋体"/>
          <w:spacing w:val="-3"/>
          <w:sz w:val="22"/>
          <w:szCs w:val="22"/>
          <w:highlight w:val="none"/>
        </w:rPr>
        <w:t>17.3.2支付分解表</w:t>
      </w:r>
    </w:p>
    <w:p w14:paraId="4054B5B5">
      <w:pPr>
        <w:spacing w:before="199" w:line="219" w:lineRule="auto"/>
        <w:ind w:left="413"/>
        <w:rPr>
          <w:rFonts w:ascii="宋体" w:hAnsi="宋体" w:eastAsia="宋体" w:cs="宋体"/>
          <w:sz w:val="22"/>
          <w:szCs w:val="22"/>
          <w:highlight w:val="none"/>
        </w:rPr>
      </w:pPr>
      <w:r>
        <w:rPr>
          <w:rFonts w:ascii="宋体" w:hAnsi="宋体" w:eastAsia="宋体" w:cs="宋体"/>
          <w:spacing w:val="-10"/>
          <w:sz w:val="22"/>
          <w:szCs w:val="22"/>
          <w:highlight w:val="none"/>
        </w:rPr>
        <w:t>支付分解表的有关约定：</w:t>
      </w:r>
      <w:r>
        <w:rPr>
          <w:rFonts w:ascii="宋体" w:hAnsi="宋体" w:eastAsia="宋体" w:cs="宋体"/>
          <w:sz w:val="22"/>
          <w:szCs w:val="22"/>
          <w:highlight w:val="none"/>
          <w:u w:val="single" w:color="auto"/>
        </w:rPr>
        <w:t xml:space="preserve">                                                 </w:t>
      </w:r>
    </w:p>
    <w:p w14:paraId="7E61A2AB">
      <w:pPr>
        <w:spacing w:before="219" w:line="219" w:lineRule="auto"/>
        <w:ind w:left="413"/>
        <w:rPr>
          <w:rFonts w:ascii="宋体" w:hAnsi="宋体" w:eastAsia="宋体" w:cs="宋体"/>
          <w:sz w:val="22"/>
          <w:szCs w:val="22"/>
          <w:highlight w:val="none"/>
        </w:rPr>
      </w:pPr>
      <w:r>
        <w:rPr>
          <w:rFonts w:ascii="宋体" w:hAnsi="宋体" w:eastAsia="宋体" w:cs="宋体"/>
          <w:spacing w:val="-2"/>
          <w:sz w:val="22"/>
          <w:szCs w:val="22"/>
          <w:highlight w:val="none"/>
        </w:rPr>
        <w:t>17.3.3进度付款申请单</w:t>
      </w:r>
    </w:p>
    <w:p w14:paraId="3461272F">
      <w:pPr>
        <w:spacing w:line="219" w:lineRule="auto"/>
        <w:rPr>
          <w:rFonts w:ascii="宋体" w:hAnsi="宋体" w:eastAsia="宋体" w:cs="宋体"/>
          <w:sz w:val="22"/>
          <w:szCs w:val="22"/>
          <w:highlight w:val="none"/>
        </w:rPr>
        <w:sectPr>
          <w:footerReference r:id="rId223" w:type="default"/>
          <w:pgSz w:w="11910" w:h="16840"/>
          <w:pgMar w:top="400" w:right="1786" w:bottom="1217" w:left="1786" w:header="0" w:footer="1013" w:gutter="0"/>
          <w:cols w:space="720" w:num="1"/>
        </w:sectPr>
      </w:pPr>
    </w:p>
    <w:p w14:paraId="4424EF9F">
      <w:pPr>
        <w:pStyle w:val="2"/>
        <w:spacing w:line="281" w:lineRule="auto"/>
        <w:rPr>
          <w:highlight w:val="none"/>
        </w:rPr>
      </w:pPr>
    </w:p>
    <w:p w14:paraId="5D548795">
      <w:pPr>
        <w:pStyle w:val="2"/>
        <w:spacing w:line="281" w:lineRule="auto"/>
        <w:rPr>
          <w:highlight w:val="none"/>
        </w:rPr>
      </w:pPr>
    </w:p>
    <w:p w14:paraId="7C6167CC">
      <w:pPr>
        <w:pStyle w:val="2"/>
        <w:spacing w:line="282" w:lineRule="auto"/>
        <w:rPr>
          <w:highlight w:val="none"/>
        </w:rPr>
      </w:pPr>
    </w:p>
    <w:p w14:paraId="1975BC34">
      <w:pPr>
        <w:pStyle w:val="2"/>
        <w:spacing w:line="282" w:lineRule="auto"/>
        <w:rPr>
          <w:highlight w:val="none"/>
        </w:rPr>
      </w:pPr>
    </w:p>
    <w:p w14:paraId="3CF486FB">
      <w:pPr>
        <w:spacing w:before="65" w:line="219" w:lineRule="auto"/>
        <w:ind w:left="430"/>
        <w:rPr>
          <w:rFonts w:ascii="宋体" w:hAnsi="宋体" w:eastAsia="宋体" w:cs="宋体"/>
          <w:sz w:val="20"/>
          <w:szCs w:val="20"/>
          <w:highlight w:val="none"/>
        </w:rPr>
      </w:pPr>
      <w:r>
        <w:rPr>
          <w:rFonts w:ascii="宋体" w:hAnsi="宋体" w:eastAsia="宋体" w:cs="宋体"/>
          <w:sz w:val="20"/>
          <w:szCs w:val="20"/>
          <w:highlight w:val="none"/>
        </w:rPr>
        <w:t>进度付款申请单的格式及份数：</w:t>
      </w:r>
      <w:r>
        <w:rPr>
          <w:rFonts w:ascii="宋体" w:hAnsi="宋体" w:eastAsia="宋体" w:cs="宋体"/>
          <w:spacing w:val="38"/>
          <w:sz w:val="20"/>
          <w:szCs w:val="20"/>
          <w:highlight w:val="none"/>
        </w:rPr>
        <w:t xml:space="preserve"> </w:t>
      </w:r>
      <w:r>
        <w:rPr>
          <w:rFonts w:ascii="宋体" w:hAnsi="宋体" w:eastAsia="宋体" w:cs="宋体"/>
          <w:sz w:val="20"/>
          <w:szCs w:val="20"/>
          <w:highlight w:val="none"/>
          <w:u w:val="single" w:color="auto"/>
        </w:rPr>
        <w:t xml:space="preserve">                                               </w:t>
      </w:r>
    </w:p>
    <w:p w14:paraId="6F4307B8">
      <w:pPr>
        <w:pStyle w:val="2"/>
        <w:spacing w:before="263" w:line="222" w:lineRule="auto"/>
        <w:rPr>
          <w:rFonts w:ascii="黑体" w:hAnsi="黑体" w:eastAsia="黑体" w:cs="黑体"/>
          <w:sz w:val="22"/>
          <w:szCs w:val="22"/>
          <w:highlight w:val="none"/>
        </w:rPr>
      </w:pPr>
      <w:r>
        <w:rPr>
          <w:spacing w:val="-8"/>
          <w:sz w:val="22"/>
          <w:szCs w:val="22"/>
          <w:highlight w:val="none"/>
        </w:rPr>
        <w:t xml:space="preserve">17.4  </w:t>
      </w:r>
      <w:r>
        <w:rPr>
          <w:rFonts w:ascii="黑体" w:hAnsi="黑体" w:eastAsia="黑体" w:cs="黑体"/>
          <w:spacing w:val="-8"/>
          <w:sz w:val="22"/>
          <w:szCs w:val="22"/>
          <w:highlight w:val="none"/>
        </w:rPr>
        <w:t>质量保证金</w:t>
      </w:r>
    </w:p>
    <w:p w14:paraId="20F01161">
      <w:pPr>
        <w:spacing w:before="166" w:line="220" w:lineRule="auto"/>
        <w:ind w:left="430"/>
        <w:rPr>
          <w:rFonts w:ascii="宋体" w:hAnsi="宋体" w:eastAsia="宋体" w:cs="宋体"/>
          <w:sz w:val="22"/>
          <w:szCs w:val="22"/>
          <w:highlight w:val="none"/>
        </w:rPr>
      </w:pPr>
      <w:r>
        <w:rPr>
          <w:rFonts w:ascii="宋体" w:hAnsi="宋体" w:eastAsia="宋体" w:cs="宋体"/>
          <w:spacing w:val="-4"/>
          <w:sz w:val="22"/>
          <w:szCs w:val="22"/>
          <w:highlight w:val="none"/>
        </w:rPr>
        <w:t>17.4.1质量保证金的扣留方式：</w:t>
      </w:r>
      <w:r>
        <w:rPr>
          <w:rFonts w:ascii="宋体" w:hAnsi="宋体" w:eastAsia="宋体" w:cs="宋体"/>
          <w:spacing w:val="-4"/>
          <w:sz w:val="22"/>
          <w:szCs w:val="22"/>
          <w:highlight w:val="none"/>
          <w:u w:val="single" w:color="auto"/>
        </w:rPr>
        <w:t xml:space="preserve">                           </w:t>
      </w:r>
      <w:r>
        <w:rPr>
          <w:rFonts w:ascii="宋体" w:hAnsi="宋体" w:eastAsia="宋体" w:cs="宋体"/>
          <w:spacing w:val="-5"/>
          <w:sz w:val="22"/>
          <w:szCs w:val="22"/>
          <w:highlight w:val="none"/>
          <w:u w:val="single" w:color="auto"/>
        </w:rPr>
        <w:t xml:space="preserve">                 </w:t>
      </w:r>
    </w:p>
    <w:p w14:paraId="2B1BD07A">
      <w:pPr>
        <w:pStyle w:val="2"/>
        <w:spacing w:before="235" w:line="300" w:lineRule="exact"/>
        <w:rPr>
          <w:rFonts w:ascii="黑体" w:hAnsi="黑体" w:eastAsia="黑体" w:cs="黑体"/>
          <w:sz w:val="22"/>
          <w:szCs w:val="22"/>
          <w:highlight w:val="none"/>
        </w:rPr>
      </w:pPr>
      <w:r>
        <w:rPr>
          <w:spacing w:val="-7"/>
          <w:position w:val="1"/>
          <w:sz w:val="22"/>
          <w:szCs w:val="22"/>
          <w:highlight w:val="none"/>
        </w:rPr>
        <w:t>17.5</w:t>
      </w:r>
      <w:r>
        <w:rPr>
          <w:spacing w:val="51"/>
          <w:w w:val="101"/>
          <w:position w:val="1"/>
          <w:sz w:val="22"/>
          <w:szCs w:val="22"/>
          <w:highlight w:val="none"/>
        </w:rPr>
        <w:t xml:space="preserve"> </w:t>
      </w:r>
      <w:r>
        <w:rPr>
          <w:rFonts w:ascii="黑体" w:hAnsi="黑体" w:eastAsia="黑体" w:cs="黑体"/>
          <w:spacing w:val="-7"/>
          <w:position w:val="1"/>
          <w:sz w:val="22"/>
          <w:szCs w:val="22"/>
          <w:highlight w:val="none"/>
        </w:rPr>
        <w:t>竣工结算</w:t>
      </w:r>
    </w:p>
    <w:p w14:paraId="5C9A6E37">
      <w:pPr>
        <w:spacing w:before="221" w:line="219" w:lineRule="auto"/>
        <w:ind w:left="43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17.5.1</w:t>
      </w:r>
      <w:r>
        <w:rPr>
          <w:rFonts w:ascii="Times New Roman" w:hAnsi="Times New Roman" w:eastAsia="Times New Roman" w:cs="Times New Roman"/>
          <w:spacing w:val="7"/>
          <w:sz w:val="22"/>
          <w:szCs w:val="22"/>
          <w:highlight w:val="none"/>
        </w:rPr>
        <w:t xml:space="preserve">     </w:t>
      </w:r>
      <w:r>
        <w:rPr>
          <w:rFonts w:ascii="宋体" w:hAnsi="宋体" w:eastAsia="宋体" w:cs="宋体"/>
          <w:spacing w:val="-6"/>
          <w:sz w:val="22"/>
          <w:szCs w:val="22"/>
          <w:highlight w:val="none"/>
        </w:rPr>
        <w:t>竣工付款申请单</w:t>
      </w:r>
    </w:p>
    <w:p w14:paraId="2809D39A">
      <w:pPr>
        <w:spacing w:before="140" w:line="219" w:lineRule="auto"/>
        <w:ind w:left="430"/>
        <w:rPr>
          <w:rFonts w:ascii="宋体" w:hAnsi="宋体" w:eastAsia="宋体" w:cs="宋体"/>
          <w:sz w:val="24"/>
          <w:szCs w:val="24"/>
          <w:highlight w:val="none"/>
        </w:rPr>
      </w:pPr>
      <w:r>
        <w:rPr>
          <w:rFonts w:ascii="宋体" w:hAnsi="宋体" w:eastAsia="宋体" w:cs="宋体"/>
          <w:spacing w:val="-25"/>
          <w:w w:val="97"/>
          <w:sz w:val="24"/>
          <w:szCs w:val="24"/>
          <w:highlight w:val="none"/>
        </w:rPr>
        <w:t>竣工付款申请单提交的份数及期限：</w:t>
      </w:r>
      <w:r>
        <w:rPr>
          <w:rFonts w:ascii="宋体" w:hAnsi="宋体" w:eastAsia="宋体" w:cs="宋体"/>
          <w:sz w:val="24"/>
          <w:szCs w:val="24"/>
          <w:highlight w:val="none"/>
          <w:u w:val="single" w:color="auto"/>
        </w:rPr>
        <w:t xml:space="preserve">                                    </w:t>
      </w:r>
    </w:p>
    <w:p w14:paraId="092D5199">
      <w:pPr>
        <w:spacing w:before="214" w:line="219" w:lineRule="auto"/>
        <w:ind w:left="430"/>
        <w:rPr>
          <w:rFonts w:ascii="宋体" w:hAnsi="宋体" w:eastAsia="宋体" w:cs="宋体"/>
          <w:sz w:val="22"/>
          <w:szCs w:val="22"/>
          <w:highlight w:val="none"/>
        </w:rPr>
      </w:pPr>
      <w:r>
        <w:rPr>
          <w:rFonts w:ascii="宋体" w:hAnsi="宋体" w:eastAsia="宋体" w:cs="宋体"/>
          <w:spacing w:val="-11"/>
          <w:sz w:val="22"/>
          <w:szCs w:val="22"/>
          <w:highlight w:val="none"/>
        </w:rPr>
        <w:t>竣工付款申请单的内容：</w:t>
      </w:r>
      <w:r>
        <w:rPr>
          <w:rFonts w:ascii="宋体" w:hAnsi="宋体" w:eastAsia="宋体" w:cs="宋体"/>
          <w:sz w:val="22"/>
          <w:szCs w:val="22"/>
          <w:highlight w:val="none"/>
          <w:u w:val="single" w:color="auto"/>
        </w:rPr>
        <w:t xml:space="preserve">                                                 </w:t>
      </w:r>
    </w:p>
    <w:p w14:paraId="064918BC">
      <w:pPr>
        <w:spacing w:before="270" w:line="223" w:lineRule="auto"/>
        <w:rPr>
          <w:rFonts w:ascii="黑体" w:hAnsi="黑体" w:eastAsia="黑体" w:cs="黑体"/>
          <w:sz w:val="22"/>
          <w:szCs w:val="22"/>
          <w:highlight w:val="none"/>
        </w:rPr>
      </w:pPr>
      <w:r>
        <w:rPr>
          <w:rFonts w:ascii="黑体" w:hAnsi="黑体" w:eastAsia="黑体" w:cs="黑体"/>
          <w:spacing w:val="5"/>
          <w:sz w:val="22"/>
          <w:szCs w:val="22"/>
          <w:highlight w:val="none"/>
        </w:rPr>
        <w:t>17.6最终结清</w:t>
      </w:r>
    </w:p>
    <w:p w14:paraId="7507F1C0">
      <w:pPr>
        <w:spacing w:before="142" w:line="219" w:lineRule="auto"/>
        <w:ind w:left="430"/>
        <w:rPr>
          <w:rFonts w:ascii="宋体" w:hAnsi="宋体" w:eastAsia="宋体" w:cs="宋体"/>
          <w:sz w:val="20"/>
          <w:szCs w:val="20"/>
          <w:highlight w:val="none"/>
        </w:rPr>
      </w:pPr>
      <w:r>
        <w:rPr>
          <w:rFonts w:ascii="Times New Roman" w:hAnsi="Times New Roman" w:eastAsia="Times New Roman" w:cs="Times New Roman"/>
          <w:spacing w:val="4"/>
          <w:sz w:val="20"/>
          <w:szCs w:val="20"/>
          <w:highlight w:val="none"/>
        </w:rPr>
        <w:t xml:space="preserve">17.6.1        </w:t>
      </w:r>
      <w:r>
        <w:rPr>
          <w:rFonts w:ascii="宋体" w:hAnsi="宋体" w:eastAsia="宋体" w:cs="宋体"/>
          <w:spacing w:val="4"/>
          <w:sz w:val="20"/>
          <w:szCs w:val="20"/>
          <w:highlight w:val="none"/>
        </w:rPr>
        <w:t>最终结清申请单</w:t>
      </w:r>
    </w:p>
    <w:p w14:paraId="5BB85078">
      <w:pPr>
        <w:spacing w:before="283" w:line="219" w:lineRule="auto"/>
        <w:ind w:left="430"/>
        <w:rPr>
          <w:rFonts w:ascii="宋体" w:hAnsi="宋体" w:eastAsia="宋体" w:cs="宋体"/>
          <w:sz w:val="20"/>
          <w:szCs w:val="20"/>
          <w:highlight w:val="none"/>
        </w:rPr>
      </w:pPr>
      <w:r>
        <w:rPr>
          <w:rFonts w:ascii="宋体" w:hAnsi="宋体" w:eastAsia="宋体" w:cs="宋体"/>
          <w:spacing w:val="1"/>
          <w:sz w:val="20"/>
          <w:szCs w:val="20"/>
          <w:highlight w:val="none"/>
        </w:rPr>
        <w:t xml:space="preserve">最终结清申请单提交的份数及期限： </w:t>
      </w:r>
      <w:r>
        <w:rPr>
          <w:rFonts w:ascii="宋体" w:hAnsi="宋体" w:eastAsia="宋体" w:cs="宋体"/>
          <w:spacing w:val="1"/>
          <w:sz w:val="20"/>
          <w:szCs w:val="20"/>
          <w:highlight w:val="none"/>
          <w:u w:val="single" w:color="auto"/>
        </w:rPr>
        <w:t xml:space="preserve">                                          </w:t>
      </w:r>
    </w:p>
    <w:p w14:paraId="01D459D1">
      <w:pPr>
        <w:pStyle w:val="2"/>
        <w:spacing w:before="139" w:line="328" w:lineRule="exact"/>
        <w:outlineLvl w:val="1"/>
        <w:rPr>
          <w:rFonts w:ascii="黑体" w:hAnsi="黑体" w:eastAsia="黑体" w:cs="黑体"/>
          <w:sz w:val="24"/>
          <w:szCs w:val="24"/>
          <w:highlight w:val="none"/>
        </w:rPr>
      </w:pPr>
      <w:bookmarkStart w:id="228" w:name="bookmark139"/>
      <w:bookmarkEnd w:id="228"/>
      <w:r>
        <w:rPr>
          <w:spacing w:val="2"/>
          <w:position w:val="1"/>
          <w:sz w:val="24"/>
          <w:szCs w:val="24"/>
          <w:highlight w:val="none"/>
        </w:rPr>
        <w:t xml:space="preserve">18. </w:t>
      </w:r>
      <w:r>
        <w:rPr>
          <w:rFonts w:ascii="黑体" w:hAnsi="黑体" w:eastAsia="黑体" w:cs="黑体"/>
          <w:spacing w:val="2"/>
          <w:position w:val="1"/>
          <w:sz w:val="24"/>
          <w:szCs w:val="24"/>
          <w:highlight w:val="none"/>
        </w:rPr>
        <w:t>竣工试验和竣工验收</w:t>
      </w:r>
    </w:p>
    <w:p w14:paraId="49B0AE02">
      <w:pPr>
        <w:pStyle w:val="2"/>
        <w:spacing w:before="135" w:line="300" w:lineRule="exact"/>
        <w:rPr>
          <w:rFonts w:ascii="黑体" w:hAnsi="黑体" w:eastAsia="黑体" w:cs="黑体"/>
          <w:sz w:val="22"/>
          <w:szCs w:val="22"/>
          <w:highlight w:val="none"/>
        </w:rPr>
      </w:pPr>
      <w:r>
        <w:rPr>
          <w:spacing w:val="-7"/>
          <w:position w:val="1"/>
          <w:sz w:val="22"/>
          <w:szCs w:val="22"/>
          <w:highlight w:val="none"/>
        </w:rPr>
        <w:t>18.1</w:t>
      </w:r>
      <w:r>
        <w:rPr>
          <w:spacing w:val="51"/>
          <w:w w:val="101"/>
          <w:position w:val="1"/>
          <w:sz w:val="22"/>
          <w:szCs w:val="22"/>
          <w:highlight w:val="none"/>
        </w:rPr>
        <w:t xml:space="preserve"> </w:t>
      </w:r>
      <w:r>
        <w:rPr>
          <w:rFonts w:ascii="黑体" w:hAnsi="黑体" w:eastAsia="黑体" w:cs="黑体"/>
          <w:spacing w:val="-7"/>
          <w:position w:val="1"/>
          <w:sz w:val="22"/>
          <w:szCs w:val="22"/>
          <w:highlight w:val="none"/>
        </w:rPr>
        <w:t>竣工试验</w:t>
      </w:r>
    </w:p>
    <w:p w14:paraId="1712270F">
      <w:pPr>
        <w:spacing w:before="171" w:line="219" w:lineRule="auto"/>
        <w:ind w:left="430"/>
        <w:rPr>
          <w:rFonts w:ascii="宋体" w:hAnsi="宋体" w:eastAsia="宋体" w:cs="宋体"/>
          <w:sz w:val="20"/>
          <w:szCs w:val="20"/>
          <w:highlight w:val="none"/>
        </w:rPr>
      </w:pPr>
      <w:r>
        <w:rPr>
          <w:rFonts w:ascii="宋体" w:hAnsi="宋体" w:eastAsia="宋体" w:cs="宋体"/>
          <w:spacing w:val="4"/>
          <w:sz w:val="20"/>
          <w:szCs w:val="20"/>
          <w:highlight w:val="none"/>
        </w:rPr>
        <w:t>18.1.2竣工试验的约定：</w:t>
      </w:r>
      <w:r>
        <w:rPr>
          <w:rFonts w:ascii="宋体" w:hAnsi="宋体" w:eastAsia="宋体" w:cs="宋体"/>
          <w:spacing w:val="-28"/>
          <w:sz w:val="20"/>
          <w:szCs w:val="20"/>
          <w:highlight w:val="none"/>
        </w:rPr>
        <w:t xml:space="preserve"> </w:t>
      </w:r>
      <w:r>
        <w:rPr>
          <w:rFonts w:ascii="宋体" w:hAnsi="宋体" w:eastAsia="宋体" w:cs="宋体"/>
          <w:sz w:val="20"/>
          <w:szCs w:val="20"/>
          <w:highlight w:val="none"/>
          <w:u w:val="single" w:color="auto"/>
        </w:rPr>
        <w:t xml:space="preserve">                                                     </w:t>
      </w:r>
    </w:p>
    <w:p w14:paraId="348A7DD9">
      <w:pPr>
        <w:pStyle w:val="2"/>
        <w:spacing w:before="252" w:line="300" w:lineRule="exact"/>
        <w:rPr>
          <w:rFonts w:ascii="黑体" w:hAnsi="黑体" w:eastAsia="黑体" w:cs="黑体"/>
          <w:sz w:val="22"/>
          <w:szCs w:val="22"/>
          <w:highlight w:val="none"/>
        </w:rPr>
      </w:pPr>
      <w:r>
        <w:rPr>
          <w:spacing w:val="-4"/>
          <w:position w:val="1"/>
          <w:sz w:val="22"/>
          <w:szCs w:val="22"/>
          <w:highlight w:val="none"/>
        </w:rPr>
        <w:t>18.3</w:t>
      </w:r>
      <w:r>
        <w:rPr>
          <w:spacing w:val="36"/>
          <w:w w:val="101"/>
          <w:position w:val="1"/>
          <w:sz w:val="22"/>
          <w:szCs w:val="22"/>
          <w:highlight w:val="none"/>
        </w:rPr>
        <w:t xml:space="preserve"> </w:t>
      </w:r>
      <w:r>
        <w:rPr>
          <w:rFonts w:ascii="黑体" w:hAnsi="黑体" w:eastAsia="黑体" w:cs="黑体"/>
          <w:spacing w:val="-4"/>
          <w:position w:val="1"/>
          <w:sz w:val="22"/>
          <w:szCs w:val="22"/>
          <w:highlight w:val="none"/>
        </w:rPr>
        <w:t>竣工验收</w:t>
      </w:r>
    </w:p>
    <w:p w14:paraId="2D5D333B">
      <w:pPr>
        <w:spacing w:before="132" w:line="219" w:lineRule="auto"/>
        <w:ind w:left="430"/>
        <w:rPr>
          <w:rFonts w:ascii="宋体" w:hAnsi="宋体" w:eastAsia="宋体" w:cs="宋体"/>
          <w:sz w:val="22"/>
          <w:szCs w:val="22"/>
          <w:highlight w:val="none"/>
        </w:rPr>
      </w:pPr>
      <w:r>
        <w:rPr>
          <w:rFonts w:ascii="Times New Roman" w:hAnsi="Times New Roman" w:eastAsia="Times New Roman" w:cs="Times New Roman"/>
          <w:spacing w:val="-16"/>
          <w:sz w:val="22"/>
          <w:szCs w:val="22"/>
          <w:highlight w:val="none"/>
        </w:rPr>
        <w:t>18.3.5</w:t>
      </w:r>
      <w:r>
        <w:rPr>
          <w:rFonts w:ascii="Times New Roman" w:hAnsi="Times New Roman" w:eastAsia="Times New Roman" w:cs="Times New Roman"/>
          <w:spacing w:val="10"/>
          <w:sz w:val="22"/>
          <w:szCs w:val="22"/>
          <w:highlight w:val="none"/>
        </w:rPr>
        <w:t xml:space="preserve">   </w:t>
      </w:r>
      <w:r>
        <w:rPr>
          <w:rFonts w:ascii="宋体" w:hAnsi="宋体" w:eastAsia="宋体" w:cs="宋体"/>
          <w:spacing w:val="-16"/>
          <w:sz w:val="22"/>
          <w:szCs w:val="22"/>
          <w:highlight w:val="none"/>
        </w:rPr>
        <w:t>实际竣工日期：</w:t>
      </w:r>
      <w:r>
        <w:rPr>
          <w:rFonts w:ascii="宋体" w:hAnsi="宋体" w:eastAsia="宋体" w:cs="宋体"/>
          <w:sz w:val="22"/>
          <w:szCs w:val="22"/>
          <w:highlight w:val="none"/>
          <w:u w:val="single" w:color="auto"/>
        </w:rPr>
        <w:t xml:space="preserve">                                                   </w:t>
      </w:r>
    </w:p>
    <w:p w14:paraId="7615DDC7">
      <w:pPr>
        <w:spacing w:before="237" w:line="222" w:lineRule="auto"/>
        <w:rPr>
          <w:rFonts w:ascii="黑体" w:hAnsi="黑体" w:eastAsia="黑体" w:cs="黑体"/>
          <w:sz w:val="22"/>
          <w:szCs w:val="22"/>
          <w:highlight w:val="none"/>
        </w:rPr>
      </w:pPr>
      <w:r>
        <w:rPr>
          <w:rFonts w:ascii="黑体" w:hAnsi="黑体" w:eastAsia="黑体" w:cs="黑体"/>
          <w:sz w:val="22"/>
          <w:szCs w:val="22"/>
          <w:highlight w:val="none"/>
        </w:rPr>
        <w:t>18.6施工期运行</w:t>
      </w:r>
    </w:p>
    <w:p w14:paraId="6450FEAC">
      <w:pPr>
        <w:spacing w:before="148" w:line="220" w:lineRule="auto"/>
        <w:ind w:left="430"/>
        <w:rPr>
          <w:rFonts w:ascii="宋体" w:hAnsi="宋体" w:eastAsia="宋体" w:cs="宋体"/>
          <w:sz w:val="22"/>
          <w:szCs w:val="22"/>
          <w:highlight w:val="none"/>
        </w:rPr>
      </w:pPr>
      <w:r>
        <w:rPr>
          <w:rFonts w:ascii="宋体" w:hAnsi="宋体" w:eastAsia="宋体" w:cs="宋体"/>
          <w:spacing w:val="-5"/>
          <w:sz w:val="22"/>
          <w:szCs w:val="22"/>
          <w:highlight w:val="none"/>
        </w:rPr>
        <w:t>18.6.1需要在施工期运行的单位工程或工程设备为：</w:t>
      </w:r>
      <w:r>
        <w:rPr>
          <w:rFonts w:ascii="宋体" w:hAnsi="宋体" w:eastAsia="宋体" w:cs="宋体"/>
          <w:spacing w:val="-5"/>
          <w:sz w:val="22"/>
          <w:szCs w:val="22"/>
          <w:highlight w:val="none"/>
          <w:u w:val="single" w:color="auto"/>
        </w:rPr>
        <w:t xml:space="preserve">                          </w:t>
      </w:r>
    </w:p>
    <w:p w14:paraId="52BEC6D2">
      <w:pPr>
        <w:spacing w:before="275" w:line="221" w:lineRule="auto"/>
        <w:rPr>
          <w:rFonts w:ascii="黑体" w:hAnsi="黑体" w:eastAsia="黑体" w:cs="黑体"/>
          <w:sz w:val="22"/>
          <w:szCs w:val="22"/>
          <w:highlight w:val="none"/>
        </w:rPr>
      </w:pPr>
      <w:r>
        <w:rPr>
          <w:rFonts w:ascii="黑体" w:hAnsi="黑体" w:eastAsia="黑体" w:cs="黑体"/>
          <w:sz w:val="22"/>
          <w:szCs w:val="22"/>
          <w:highlight w:val="none"/>
        </w:rPr>
        <w:t>18.9竣工后试验</w:t>
      </w:r>
    </w:p>
    <w:p w14:paraId="00E5D9C0">
      <w:pPr>
        <w:spacing w:before="137" w:line="229" w:lineRule="auto"/>
        <w:ind w:left="430"/>
        <w:rPr>
          <w:rFonts w:ascii="宋体" w:hAnsi="宋体" w:eastAsia="宋体" w:cs="宋体"/>
          <w:sz w:val="20"/>
          <w:szCs w:val="20"/>
          <w:highlight w:val="none"/>
        </w:rPr>
      </w:pPr>
      <w:r>
        <w:rPr>
          <w:rFonts w:ascii="宋体" w:hAnsi="宋体" w:eastAsia="宋体" w:cs="宋体"/>
          <w:position w:val="1"/>
          <w:sz w:val="21"/>
          <w:szCs w:val="21"/>
          <w:highlight w:val="none"/>
        </w:rPr>
        <w:t>适用通用条款中的</w:t>
      </w:r>
      <w:r>
        <w:rPr>
          <w:rFonts w:ascii="宋体" w:hAnsi="宋体" w:eastAsia="宋体" w:cs="宋体"/>
          <w:position w:val="1"/>
          <w:sz w:val="21"/>
          <w:szCs w:val="21"/>
          <w:highlight w:val="none"/>
          <w:u w:val="single" w:color="auto"/>
        </w:rPr>
        <w:t xml:space="preserve">        </w:t>
      </w:r>
      <w:r>
        <w:rPr>
          <w:rFonts w:ascii="宋体" w:hAnsi="宋体" w:eastAsia="宋体" w:cs="宋体"/>
          <w:spacing w:val="-95"/>
          <w:position w:val="1"/>
          <w:sz w:val="21"/>
          <w:szCs w:val="21"/>
          <w:highlight w:val="none"/>
        </w:rPr>
        <w:t xml:space="preserve"> </w:t>
      </w:r>
      <w:r>
        <w:rPr>
          <w:rFonts w:ascii="宋体" w:hAnsi="宋体" w:eastAsia="宋体" w:cs="宋体"/>
          <w:position w:val="-2"/>
          <w:sz w:val="20"/>
          <w:szCs w:val="20"/>
          <w:highlight w:val="none"/>
        </w:rPr>
        <w:t>条款，其他要求：</w:t>
      </w:r>
      <w:r>
        <w:rPr>
          <w:rFonts w:ascii="宋体" w:hAnsi="宋体" w:eastAsia="宋体" w:cs="宋体"/>
          <w:spacing w:val="-21"/>
          <w:position w:val="-2"/>
          <w:sz w:val="20"/>
          <w:szCs w:val="20"/>
          <w:highlight w:val="none"/>
        </w:rPr>
        <w:t xml:space="preserve"> </w:t>
      </w:r>
      <w:r>
        <w:rPr>
          <w:rFonts w:ascii="宋体" w:hAnsi="宋体" w:eastAsia="宋体" w:cs="宋体"/>
          <w:position w:val="-2"/>
          <w:sz w:val="20"/>
          <w:szCs w:val="20"/>
          <w:highlight w:val="none"/>
          <w:u w:val="single" w:color="auto"/>
        </w:rPr>
        <w:t xml:space="preserve">                                </w:t>
      </w:r>
    </w:p>
    <w:p w14:paraId="416E46AB">
      <w:pPr>
        <w:pStyle w:val="2"/>
        <w:spacing w:before="120" w:line="327" w:lineRule="exact"/>
        <w:outlineLvl w:val="1"/>
        <w:rPr>
          <w:rFonts w:ascii="黑体" w:hAnsi="黑体" w:eastAsia="黑体" w:cs="黑体"/>
          <w:sz w:val="24"/>
          <w:szCs w:val="24"/>
          <w:highlight w:val="none"/>
        </w:rPr>
      </w:pPr>
      <w:bookmarkStart w:id="229" w:name="bookmark140"/>
      <w:bookmarkEnd w:id="229"/>
      <w:r>
        <w:rPr>
          <w:spacing w:val="-1"/>
          <w:position w:val="1"/>
          <w:sz w:val="24"/>
          <w:szCs w:val="24"/>
          <w:highlight w:val="none"/>
        </w:rPr>
        <w:t>19.</w:t>
      </w:r>
      <w:r>
        <w:rPr>
          <w:spacing w:val="43"/>
          <w:w w:val="101"/>
          <w:position w:val="1"/>
          <w:sz w:val="24"/>
          <w:szCs w:val="24"/>
          <w:highlight w:val="none"/>
        </w:rPr>
        <w:t xml:space="preserve"> </w:t>
      </w:r>
      <w:r>
        <w:rPr>
          <w:rFonts w:ascii="黑体" w:hAnsi="黑体" w:eastAsia="黑体" w:cs="黑体"/>
          <w:spacing w:val="-1"/>
          <w:position w:val="1"/>
          <w:sz w:val="24"/>
          <w:szCs w:val="24"/>
          <w:highlight w:val="none"/>
        </w:rPr>
        <w:t>缺陷责任与保修责任</w:t>
      </w:r>
    </w:p>
    <w:p w14:paraId="3DD197D6">
      <w:pPr>
        <w:spacing w:before="205" w:line="221" w:lineRule="auto"/>
        <w:rPr>
          <w:rFonts w:ascii="黑体" w:hAnsi="黑体" w:eastAsia="黑体" w:cs="黑体"/>
          <w:sz w:val="22"/>
          <w:szCs w:val="22"/>
          <w:highlight w:val="none"/>
        </w:rPr>
      </w:pPr>
      <w:r>
        <w:rPr>
          <w:rFonts w:ascii="黑体" w:hAnsi="黑体" w:eastAsia="黑体" w:cs="黑体"/>
          <w:spacing w:val="5"/>
          <w:sz w:val="22"/>
          <w:szCs w:val="22"/>
          <w:highlight w:val="none"/>
        </w:rPr>
        <w:t>19.7保修责任</w:t>
      </w:r>
    </w:p>
    <w:p w14:paraId="6F340C43">
      <w:pPr>
        <w:spacing w:before="168" w:line="219" w:lineRule="auto"/>
        <w:ind w:left="430"/>
        <w:rPr>
          <w:rFonts w:ascii="宋体" w:hAnsi="宋体" w:eastAsia="宋体" w:cs="宋体"/>
          <w:sz w:val="20"/>
          <w:szCs w:val="20"/>
          <w:highlight w:val="none"/>
        </w:rPr>
      </w:pPr>
      <w:r>
        <w:rPr>
          <w:rFonts w:ascii="宋体" w:hAnsi="宋体" w:eastAsia="宋体" w:cs="宋体"/>
          <w:spacing w:val="-1"/>
          <w:sz w:val="20"/>
          <w:szCs w:val="20"/>
          <w:highlight w:val="none"/>
        </w:rPr>
        <w:t>(1)工程质量保修范围：</w:t>
      </w:r>
      <w:r>
        <w:rPr>
          <w:rFonts w:ascii="宋体" w:hAnsi="宋体" w:eastAsia="宋体" w:cs="宋体"/>
          <w:spacing w:val="31"/>
          <w:sz w:val="20"/>
          <w:szCs w:val="20"/>
          <w:highlight w:val="none"/>
        </w:rPr>
        <w:t xml:space="preserve"> </w:t>
      </w:r>
      <w:r>
        <w:rPr>
          <w:rFonts w:ascii="宋体" w:hAnsi="宋体" w:eastAsia="宋体" w:cs="宋体"/>
          <w:sz w:val="20"/>
          <w:szCs w:val="20"/>
          <w:highlight w:val="none"/>
          <w:u w:val="single" w:color="auto"/>
        </w:rPr>
        <w:t xml:space="preserve">                                                         </w:t>
      </w:r>
    </w:p>
    <w:p w14:paraId="328045C8">
      <w:pPr>
        <w:spacing w:before="214" w:line="219" w:lineRule="auto"/>
        <w:ind w:left="430"/>
        <w:rPr>
          <w:rFonts w:ascii="宋体" w:hAnsi="宋体" w:eastAsia="宋体" w:cs="宋体"/>
          <w:sz w:val="23"/>
          <w:szCs w:val="23"/>
          <w:highlight w:val="none"/>
        </w:rPr>
      </w:pPr>
      <w:r>
        <w:rPr>
          <w:rFonts w:ascii="宋体" w:hAnsi="宋体" w:eastAsia="宋体" w:cs="宋体"/>
          <w:spacing w:val="-22"/>
          <w:w w:val="98"/>
          <w:sz w:val="23"/>
          <w:szCs w:val="23"/>
          <w:highlight w:val="none"/>
        </w:rPr>
        <w:t>(2)工程质量保修期限：</w:t>
      </w:r>
      <w:r>
        <w:rPr>
          <w:rFonts w:ascii="宋体" w:hAnsi="宋体" w:eastAsia="宋体" w:cs="宋体"/>
          <w:sz w:val="23"/>
          <w:szCs w:val="23"/>
          <w:highlight w:val="none"/>
          <w:u w:val="single" w:color="auto"/>
        </w:rPr>
        <w:t xml:space="preserve">                                                   </w:t>
      </w:r>
    </w:p>
    <w:p w14:paraId="56306969">
      <w:pPr>
        <w:spacing w:before="226" w:line="297" w:lineRule="auto"/>
        <w:ind w:left="430" w:right="4"/>
        <w:rPr>
          <w:rFonts w:ascii="宋体" w:hAnsi="宋体" w:eastAsia="宋体" w:cs="宋体"/>
          <w:sz w:val="22"/>
          <w:szCs w:val="22"/>
          <w:highlight w:val="none"/>
        </w:rPr>
      </w:pPr>
      <w:r>
        <w:rPr>
          <w:rFonts w:ascii="宋体" w:hAnsi="宋体" w:eastAsia="宋体" w:cs="宋体"/>
          <w:spacing w:val="-12"/>
          <w:sz w:val="22"/>
          <w:szCs w:val="22"/>
          <w:highlight w:val="none"/>
        </w:rPr>
        <w:t>(3)工程质量保修责任：</w:t>
      </w:r>
      <w:r>
        <w:rPr>
          <w:rFonts w:ascii="宋体" w:hAnsi="宋体" w:eastAsia="宋体" w:cs="宋体"/>
          <w:spacing w:val="2"/>
          <w:sz w:val="22"/>
          <w:szCs w:val="22"/>
          <w:highlight w:val="none"/>
          <w:u w:val="single" w:color="auto"/>
        </w:rPr>
        <w:t xml:space="preserve">                    </w:t>
      </w:r>
      <w:r>
        <w:rPr>
          <w:rFonts w:ascii="宋体" w:hAnsi="宋体" w:eastAsia="宋体" w:cs="宋体"/>
          <w:spacing w:val="1"/>
          <w:sz w:val="22"/>
          <w:szCs w:val="22"/>
          <w:highlight w:val="none"/>
          <w:u w:val="single" w:color="auto"/>
        </w:rPr>
        <w:t xml:space="preserve">                               </w:t>
      </w:r>
      <w:r>
        <w:rPr>
          <w:rFonts w:ascii="宋体" w:hAnsi="宋体" w:eastAsia="宋体" w:cs="宋体"/>
          <w:spacing w:val="1"/>
          <w:sz w:val="22"/>
          <w:szCs w:val="22"/>
          <w:highlight w:val="none"/>
        </w:rPr>
        <w:t xml:space="preserve"> </w:t>
      </w:r>
      <w:r>
        <w:rPr>
          <w:rFonts w:ascii="宋体" w:hAnsi="宋体" w:eastAsia="宋体" w:cs="宋体"/>
          <w:spacing w:val="-12"/>
          <w:sz w:val="22"/>
          <w:szCs w:val="22"/>
          <w:highlight w:val="none"/>
        </w:rPr>
        <w:t>质量保修书是竣工验收申请报告的组成内容。承包人应当按照有关法律法规规定和合同</w:t>
      </w:r>
    </w:p>
    <w:p w14:paraId="48235551">
      <w:pPr>
        <w:spacing w:before="221" w:line="377" w:lineRule="auto"/>
        <w:ind w:right="34"/>
        <w:rPr>
          <w:rFonts w:ascii="宋体" w:hAnsi="宋体" w:eastAsia="宋体" w:cs="宋体"/>
          <w:sz w:val="22"/>
          <w:szCs w:val="22"/>
          <w:highlight w:val="none"/>
        </w:rPr>
      </w:pPr>
      <w:r>
        <w:rPr>
          <w:rFonts w:ascii="宋体" w:hAnsi="宋体" w:eastAsia="宋体" w:cs="宋体"/>
          <w:spacing w:val="-12"/>
          <w:sz w:val="22"/>
          <w:szCs w:val="22"/>
          <w:highlight w:val="none"/>
        </w:rPr>
        <w:t>所附的格式出具质量保修书，质量保修书的主要内容应当与本款上述约定内容一致。承</w:t>
      </w:r>
      <w:r>
        <w:rPr>
          <w:rFonts w:ascii="宋体" w:hAnsi="宋体" w:eastAsia="宋体" w:cs="宋体"/>
          <w:spacing w:val="-13"/>
          <w:sz w:val="22"/>
          <w:szCs w:val="22"/>
          <w:highlight w:val="none"/>
        </w:rPr>
        <w:t>包人</w:t>
      </w:r>
      <w:r>
        <w:rPr>
          <w:rFonts w:ascii="宋体" w:hAnsi="宋体" w:eastAsia="宋体" w:cs="宋体"/>
          <w:sz w:val="22"/>
          <w:szCs w:val="22"/>
          <w:highlight w:val="none"/>
        </w:rPr>
        <w:t xml:space="preserve"> </w:t>
      </w:r>
      <w:r>
        <w:rPr>
          <w:rFonts w:ascii="宋体" w:hAnsi="宋体" w:eastAsia="宋体" w:cs="宋体"/>
          <w:spacing w:val="-6"/>
          <w:sz w:val="22"/>
          <w:szCs w:val="22"/>
          <w:highlight w:val="none"/>
        </w:rPr>
        <w:t>在递交合同条款第18.2款约定的竣工验收报告的同时，将质</w:t>
      </w:r>
      <w:r>
        <w:rPr>
          <w:rFonts w:ascii="宋体" w:hAnsi="宋体" w:eastAsia="宋体" w:cs="宋体"/>
          <w:spacing w:val="-7"/>
          <w:sz w:val="22"/>
          <w:szCs w:val="22"/>
          <w:highlight w:val="none"/>
        </w:rPr>
        <w:t>量保修书一并报送监理人。</w:t>
      </w:r>
    </w:p>
    <w:p w14:paraId="0328EAF4">
      <w:pPr>
        <w:pStyle w:val="2"/>
        <w:spacing w:line="328" w:lineRule="exact"/>
        <w:outlineLvl w:val="1"/>
        <w:rPr>
          <w:rFonts w:ascii="黑体" w:hAnsi="黑体" w:eastAsia="黑体" w:cs="黑体"/>
          <w:sz w:val="24"/>
          <w:szCs w:val="24"/>
          <w:highlight w:val="none"/>
        </w:rPr>
      </w:pPr>
      <w:bookmarkStart w:id="230" w:name="bookmark141"/>
      <w:bookmarkEnd w:id="230"/>
      <w:r>
        <w:rPr>
          <w:spacing w:val="2"/>
          <w:position w:val="1"/>
          <w:sz w:val="24"/>
          <w:szCs w:val="24"/>
          <w:highlight w:val="none"/>
        </w:rPr>
        <w:t>20.</w:t>
      </w:r>
      <w:r>
        <w:rPr>
          <w:spacing w:val="46"/>
          <w:w w:val="101"/>
          <w:position w:val="1"/>
          <w:sz w:val="24"/>
          <w:szCs w:val="24"/>
          <w:highlight w:val="none"/>
        </w:rPr>
        <w:t xml:space="preserve"> </w:t>
      </w:r>
      <w:r>
        <w:rPr>
          <w:rFonts w:ascii="黑体" w:hAnsi="黑体" w:eastAsia="黑体" w:cs="黑体"/>
          <w:spacing w:val="2"/>
          <w:position w:val="1"/>
          <w:sz w:val="24"/>
          <w:szCs w:val="24"/>
          <w:highlight w:val="none"/>
        </w:rPr>
        <w:t>保险</w:t>
      </w:r>
    </w:p>
    <w:p w14:paraId="79B7C3BD">
      <w:pPr>
        <w:pStyle w:val="2"/>
        <w:spacing w:before="155" w:line="299" w:lineRule="exact"/>
        <w:rPr>
          <w:rFonts w:ascii="黑体" w:hAnsi="黑体" w:eastAsia="黑体" w:cs="黑体"/>
          <w:sz w:val="22"/>
          <w:szCs w:val="22"/>
          <w:highlight w:val="none"/>
        </w:rPr>
      </w:pPr>
      <w:r>
        <w:rPr>
          <w:spacing w:val="-8"/>
          <w:position w:val="1"/>
          <w:sz w:val="22"/>
          <w:szCs w:val="22"/>
          <w:highlight w:val="none"/>
        </w:rPr>
        <w:t xml:space="preserve">20.1  </w:t>
      </w:r>
      <w:r>
        <w:rPr>
          <w:rFonts w:ascii="黑体" w:hAnsi="黑体" w:eastAsia="黑体" w:cs="黑体"/>
          <w:spacing w:val="-8"/>
          <w:position w:val="1"/>
          <w:sz w:val="22"/>
          <w:szCs w:val="22"/>
          <w:highlight w:val="none"/>
        </w:rPr>
        <w:t>设计和工程保险</w:t>
      </w:r>
    </w:p>
    <w:p w14:paraId="28BF9D4E">
      <w:pPr>
        <w:spacing w:before="141" w:line="219" w:lineRule="auto"/>
        <w:ind w:left="430"/>
        <w:rPr>
          <w:rFonts w:ascii="宋体" w:hAnsi="宋体" w:eastAsia="宋体" w:cs="宋体"/>
          <w:sz w:val="21"/>
          <w:szCs w:val="21"/>
          <w:highlight w:val="none"/>
        </w:rPr>
      </w:pPr>
      <w:r>
        <w:rPr>
          <w:rFonts w:ascii="宋体" w:hAnsi="宋体" w:eastAsia="宋体" w:cs="宋体"/>
          <w:spacing w:val="6"/>
          <w:sz w:val="21"/>
          <w:szCs w:val="21"/>
          <w:highlight w:val="none"/>
        </w:rPr>
        <w:t>20.1.1建设工程设计责任险、建筑工</w:t>
      </w:r>
      <w:r>
        <w:rPr>
          <w:rFonts w:ascii="宋体" w:hAnsi="宋体" w:eastAsia="宋体" w:cs="宋体"/>
          <w:spacing w:val="5"/>
          <w:sz w:val="21"/>
          <w:szCs w:val="21"/>
          <w:highlight w:val="none"/>
        </w:rPr>
        <w:t>程一切险和(或)安装工程一切险投保人：</w:t>
      </w:r>
      <w:r>
        <w:rPr>
          <w:rFonts w:ascii="宋体" w:hAnsi="宋体" w:eastAsia="宋体" w:cs="宋体"/>
          <w:spacing w:val="5"/>
          <w:sz w:val="21"/>
          <w:szCs w:val="21"/>
          <w:highlight w:val="none"/>
          <w:u w:val="single" w:color="auto"/>
        </w:rPr>
        <w:t xml:space="preserve">     </w:t>
      </w:r>
    </w:p>
    <w:p w14:paraId="377CA5A9">
      <w:pPr>
        <w:spacing w:line="219" w:lineRule="auto"/>
        <w:rPr>
          <w:rFonts w:ascii="宋体" w:hAnsi="宋体" w:eastAsia="宋体" w:cs="宋体"/>
          <w:sz w:val="21"/>
          <w:szCs w:val="21"/>
          <w:highlight w:val="none"/>
        </w:rPr>
        <w:sectPr>
          <w:footerReference r:id="rId224" w:type="default"/>
          <w:pgSz w:w="11910" w:h="16840"/>
          <w:pgMar w:top="400" w:right="1786" w:bottom="1217" w:left="1769" w:header="0" w:footer="1013" w:gutter="0"/>
          <w:cols w:space="720" w:num="1"/>
        </w:sectPr>
      </w:pPr>
    </w:p>
    <w:p w14:paraId="59D02B42">
      <w:pPr>
        <w:pStyle w:val="2"/>
        <w:spacing w:line="276" w:lineRule="auto"/>
        <w:rPr>
          <w:highlight w:val="none"/>
        </w:rPr>
      </w:pPr>
    </w:p>
    <w:p w14:paraId="7A85C5AF">
      <w:pPr>
        <w:pStyle w:val="2"/>
        <w:spacing w:line="276" w:lineRule="auto"/>
        <w:rPr>
          <w:highlight w:val="none"/>
        </w:rPr>
      </w:pPr>
    </w:p>
    <w:p w14:paraId="4CA021EC">
      <w:pPr>
        <w:pStyle w:val="2"/>
        <w:spacing w:line="277" w:lineRule="auto"/>
        <w:rPr>
          <w:highlight w:val="none"/>
        </w:rPr>
      </w:pPr>
    </w:p>
    <w:p w14:paraId="4FAB7582">
      <w:pPr>
        <w:pStyle w:val="2"/>
        <w:spacing w:line="277" w:lineRule="auto"/>
        <w:rPr>
          <w:highlight w:val="none"/>
        </w:rPr>
      </w:pPr>
    </w:p>
    <w:p w14:paraId="00CE8096">
      <w:pPr>
        <w:spacing w:before="65" w:line="219" w:lineRule="auto"/>
        <w:ind w:left="430"/>
        <w:rPr>
          <w:rFonts w:ascii="宋体" w:hAnsi="宋体" w:eastAsia="宋体" w:cs="宋体"/>
          <w:sz w:val="20"/>
          <w:szCs w:val="20"/>
          <w:highlight w:val="none"/>
        </w:rPr>
      </w:pPr>
      <w:r>
        <w:rPr>
          <w:rFonts w:ascii="宋体" w:hAnsi="宋体" w:eastAsia="宋体" w:cs="宋体"/>
          <w:sz w:val="20"/>
          <w:szCs w:val="20"/>
          <w:highlight w:val="none"/>
        </w:rPr>
        <w:t>投保内容：</w:t>
      </w:r>
      <w:r>
        <w:rPr>
          <w:rFonts w:ascii="宋体" w:hAnsi="宋体" w:eastAsia="宋体" w:cs="宋体"/>
          <w:spacing w:val="-61"/>
          <w:sz w:val="20"/>
          <w:szCs w:val="20"/>
          <w:highlight w:val="none"/>
        </w:rPr>
        <w:t xml:space="preserve"> </w:t>
      </w:r>
      <w:r>
        <w:rPr>
          <w:rFonts w:ascii="宋体" w:hAnsi="宋体" w:eastAsia="宋体" w:cs="宋体"/>
          <w:sz w:val="20"/>
          <w:szCs w:val="20"/>
          <w:highlight w:val="none"/>
          <w:u w:val="single" w:color="auto"/>
        </w:rPr>
        <w:t xml:space="preserve">                                                                     </w:t>
      </w:r>
    </w:p>
    <w:p w14:paraId="28DC0C6A">
      <w:pPr>
        <w:spacing w:before="223" w:line="219" w:lineRule="auto"/>
        <w:ind w:left="430"/>
        <w:rPr>
          <w:rFonts w:ascii="宋体" w:hAnsi="宋体" w:eastAsia="宋体" w:cs="宋体"/>
          <w:sz w:val="21"/>
          <w:szCs w:val="21"/>
          <w:highlight w:val="none"/>
        </w:rPr>
      </w:pPr>
      <w:r>
        <w:rPr>
          <w:rFonts w:ascii="宋体" w:hAnsi="宋体" w:eastAsia="宋体" w:cs="宋体"/>
          <w:spacing w:val="-1"/>
          <w:sz w:val="21"/>
          <w:szCs w:val="21"/>
          <w:highlight w:val="none"/>
        </w:rPr>
        <w:t>保险金额、保险费率和保险期限：</w:t>
      </w:r>
      <w:r>
        <w:rPr>
          <w:rFonts w:ascii="宋体" w:hAnsi="宋体" w:eastAsia="宋体" w:cs="宋体"/>
          <w:spacing w:val="-1"/>
          <w:sz w:val="21"/>
          <w:szCs w:val="21"/>
          <w:highlight w:val="none"/>
          <w:u w:val="single" w:color="auto"/>
        </w:rPr>
        <w:t xml:space="preserve">                                              </w:t>
      </w:r>
    </w:p>
    <w:p w14:paraId="0D51CF39">
      <w:pPr>
        <w:spacing w:before="301" w:line="222" w:lineRule="auto"/>
        <w:rPr>
          <w:rFonts w:ascii="黑体" w:hAnsi="黑体" w:eastAsia="黑体" w:cs="黑体"/>
          <w:sz w:val="22"/>
          <w:szCs w:val="22"/>
          <w:highlight w:val="none"/>
        </w:rPr>
      </w:pPr>
      <w:r>
        <w:rPr>
          <w:rFonts w:ascii="黑体" w:hAnsi="黑体" w:eastAsia="黑体" w:cs="黑体"/>
          <w:spacing w:val="-7"/>
          <w:sz w:val="22"/>
          <w:szCs w:val="22"/>
          <w:highlight w:val="none"/>
        </w:rPr>
        <w:t>20.4 其他保险</w:t>
      </w:r>
    </w:p>
    <w:p w14:paraId="7A775AFD">
      <w:pPr>
        <w:spacing w:before="145" w:line="219" w:lineRule="auto"/>
        <w:ind w:left="430"/>
        <w:rPr>
          <w:rFonts w:ascii="宋体" w:hAnsi="宋体" w:eastAsia="宋体" w:cs="宋体"/>
          <w:sz w:val="22"/>
          <w:szCs w:val="22"/>
          <w:highlight w:val="none"/>
        </w:rPr>
      </w:pPr>
      <w:r>
        <w:rPr>
          <w:rFonts w:ascii="宋体" w:hAnsi="宋体" w:eastAsia="宋体" w:cs="宋体"/>
          <w:spacing w:val="-14"/>
          <w:sz w:val="22"/>
          <w:szCs w:val="22"/>
          <w:highlight w:val="none"/>
        </w:rPr>
        <w:t>需要投保的其他内容：</w:t>
      </w:r>
    </w:p>
    <w:p w14:paraId="6E13878A">
      <w:pPr>
        <w:spacing w:before="209"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保险金额、保险费率和保险期限：</w:t>
      </w:r>
      <w:r>
        <w:rPr>
          <w:rFonts w:ascii="宋体" w:hAnsi="宋体" w:eastAsia="宋体" w:cs="宋体"/>
          <w:spacing w:val="-22"/>
          <w:sz w:val="22"/>
          <w:szCs w:val="22"/>
          <w:highlight w:val="none"/>
        </w:rPr>
        <w:t xml:space="preserve"> </w:t>
      </w:r>
      <w:r>
        <w:rPr>
          <w:rFonts w:ascii="宋体" w:hAnsi="宋体" w:eastAsia="宋体" w:cs="宋体"/>
          <w:sz w:val="22"/>
          <w:szCs w:val="22"/>
          <w:highlight w:val="none"/>
          <w:u w:val="single" w:color="auto"/>
        </w:rPr>
        <w:t xml:space="preserve">                                    </w:t>
      </w:r>
    </w:p>
    <w:p w14:paraId="489BD5F3">
      <w:pPr>
        <w:spacing w:before="276" w:line="221" w:lineRule="auto"/>
        <w:rPr>
          <w:rFonts w:ascii="黑体" w:hAnsi="黑体" w:eastAsia="黑体" w:cs="黑体"/>
          <w:sz w:val="22"/>
          <w:szCs w:val="22"/>
          <w:highlight w:val="none"/>
        </w:rPr>
      </w:pPr>
      <w:r>
        <w:rPr>
          <w:rFonts w:ascii="黑体" w:hAnsi="黑体" w:eastAsia="黑体" w:cs="黑体"/>
          <w:spacing w:val="-7"/>
          <w:sz w:val="22"/>
          <w:szCs w:val="22"/>
          <w:highlight w:val="none"/>
        </w:rPr>
        <w:t>21.1 不可抗力的确认</w:t>
      </w:r>
    </w:p>
    <w:p w14:paraId="37C6AE3F">
      <w:pPr>
        <w:spacing w:before="179" w:line="219" w:lineRule="auto"/>
        <w:ind w:left="430"/>
        <w:rPr>
          <w:rFonts w:ascii="宋体" w:hAnsi="宋体" w:eastAsia="宋体" w:cs="宋体"/>
          <w:sz w:val="22"/>
          <w:szCs w:val="22"/>
          <w:highlight w:val="none"/>
        </w:rPr>
      </w:pPr>
      <w:r>
        <w:rPr>
          <w:rFonts w:ascii="宋体" w:hAnsi="宋体" w:eastAsia="宋体" w:cs="宋体"/>
          <w:spacing w:val="-5"/>
          <w:sz w:val="22"/>
          <w:szCs w:val="22"/>
          <w:highlight w:val="none"/>
        </w:rPr>
        <w:t>21.1.1不可抗力的其他情形：</w:t>
      </w:r>
      <w:r>
        <w:rPr>
          <w:rFonts w:ascii="宋体" w:hAnsi="宋体" w:eastAsia="宋体" w:cs="宋体"/>
          <w:sz w:val="22"/>
          <w:szCs w:val="22"/>
          <w:highlight w:val="none"/>
          <w:u w:val="single" w:color="auto"/>
        </w:rPr>
        <w:t xml:space="preserve">                                             </w:t>
      </w:r>
    </w:p>
    <w:p w14:paraId="20C00C22">
      <w:pPr>
        <w:spacing w:before="266" w:line="221" w:lineRule="auto"/>
        <w:rPr>
          <w:rFonts w:ascii="黑体" w:hAnsi="黑体" w:eastAsia="黑体" w:cs="黑体"/>
          <w:sz w:val="22"/>
          <w:szCs w:val="22"/>
          <w:highlight w:val="none"/>
        </w:rPr>
      </w:pPr>
      <w:r>
        <w:rPr>
          <w:rFonts w:ascii="黑体" w:hAnsi="黑体" w:eastAsia="黑体" w:cs="黑体"/>
          <w:spacing w:val="-8"/>
          <w:sz w:val="22"/>
          <w:szCs w:val="22"/>
          <w:highlight w:val="none"/>
        </w:rPr>
        <w:t>21.3 不可抗力后果及其处理</w:t>
      </w:r>
    </w:p>
    <w:p w14:paraId="7EC3E7BB">
      <w:pPr>
        <w:spacing w:before="169" w:line="219" w:lineRule="auto"/>
        <w:ind w:left="430"/>
        <w:rPr>
          <w:rFonts w:ascii="宋体" w:hAnsi="宋体" w:eastAsia="宋体" w:cs="宋体"/>
          <w:sz w:val="22"/>
          <w:szCs w:val="22"/>
          <w:highlight w:val="none"/>
        </w:rPr>
      </w:pPr>
      <w:r>
        <w:rPr>
          <w:rFonts w:ascii="宋体" w:hAnsi="宋体" w:eastAsia="宋体" w:cs="宋体"/>
          <w:spacing w:val="-5"/>
          <w:sz w:val="22"/>
          <w:szCs w:val="22"/>
          <w:highlight w:val="none"/>
        </w:rPr>
        <w:t>21.3.1不可抗力处理的原则：</w:t>
      </w:r>
      <w:r>
        <w:rPr>
          <w:rFonts w:ascii="宋体" w:hAnsi="宋体" w:eastAsia="宋体" w:cs="宋体"/>
          <w:sz w:val="22"/>
          <w:szCs w:val="22"/>
          <w:highlight w:val="none"/>
          <w:u w:val="single" w:color="auto"/>
        </w:rPr>
        <w:t xml:space="preserve">                                            </w:t>
      </w:r>
    </w:p>
    <w:p w14:paraId="4E6F18E5">
      <w:pPr>
        <w:spacing w:before="296" w:line="221" w:lineRule="auto"/>
        <w:rPr>
          <w:rFonts w:ascii="黑体" w:hAnsi="黑体" w:eastAsia="黑体" w:cs="黑体"/>
          <w:sz w:val="19"/>
          <w:szCs w:val="19"/>
          <w:highlight w:val="none"/>
        </w:rPr>
      </w:pPr>
      <w:r>
        <w:rPr>
          <w:rFonts w:ascii="黑体" w:hAnsi="黑体" w:eastAsia="黑体" w:cs="黑体"/>
          <w:spacing w:val="15"/>
          <w:sz w:val="19"/>
          <w:szCs w:val="19"/>
          <w:highlight w:val="none"/>
        </w:rPr>
        <w:t>20.5</w:t>
      </w:r>
      <w:r>
        <w:rPr>
          <w:rFonts w:ascii="黑体" w:hAnsi="黑体" w:eastAsia="黑体" w:cs="黑体"/>
          <w:spacing w:val="44"/>
          <w:sz w:val="19"/>
          <w:szCs w:val="19"/>
          <w:highlight w:val="none"/>
        </w:rPr>
        <w:t xml:space="preserve"> </w:t>
      </w:r>
      <w:r>
        <w:rPr>
          <w:rFonts w:ascii="黑体" w:hAnsi="黑体" w:eastAsia="黑体" w:cs="黑体"/>
          <w:spacing w:val="15"/>
          <w:sz w:val="19"/>
          <w:szCs w:val="19"/>
          <w:highlight w:val="none"/>
        </w:rPr>
        <w:t>对各项保险的一般要求</w:t>
      </w:r>
    </w:p>
    <w:p w14:paraId="68581544">
      <w:pPr>
        <w:spacing w:before="226" w:line="219" w:lineRule="auto"/>
        <w:ind w:left="430"/>
        <w:rPr>
          <w:rFonts w:ascii="宋体" w:hAnsi="宋体" w:eastAsia="宋体" w:cs="宋体"/>
          <w:sz w:val="22"/>
          <w:szCs w:val="22"/>
          <w:highlight w:val="none"/>
        </w:rPr>
      </w:pPr>
      <w:r>
        <w:rPr>
          <w:rFonts w:ascii="宋体" w:hAnsi="宋体" w:eastAsia="宋体" w:cs="宋体"/>
          <w:spacing w:val="-1"/>
          <w:sz w:val="22"/>
          <w:szCs w:val="22"/>
          <w:highlight w:val="none"/>
        </w:rPr>
        <w:t>20.5.1</w:t>
      </w:r>
      <w:r>
        <w:rPr>
          <w:rFonts w:ascii="宋体" w:hAnsi="宋体" w:eastAsia="宋体" w:cs="宋体"/>
          <w:spacing w:val="48"/>
          <w:sz w:val="22"/>
          <w:szCs w:val="22"/>
          <w:highlight w:val="none"/>
        </w:rPr>
        <w:t xml:space="preserve"> </w:t>
      </w:r>
      <w:r>
        <w:rPr>
          <w:rFonts w:ascii="宋体" w:hAnsi="宋体" w:eastAsia="宋体" w:cs="宋体"/>
          <w:spacing w:val="-1"/>
          <w:sz w:val="22"/>
          <w:szCs w:val="22"/>
          <w:highlight w:val="none"/>
        </w:rPr>
        <w:t>保险凭证</w:t>
      </w:r>
    </w:p>
    <w:p w14:paraId="28670580">
      <w:pPr>
        <w:spacing w:before="129" w:line="219" w:lineRule="auto"/>
        <w:ind w:left="430"/>
        <w:rPr>
          <w:rFonts w:ascii="宋体" w:hAnsi="宋体" w:eastAsia="宋体" w:cs="宋体"/>
          <w:sz w:val="22"/>
          <w:szCs w:val="22"/>
          <w:highlight w:val="none"/>
        </w:rPr>
      </w:pPr>
      <w:r>
        <w:rPr>
          <w:rFonts w:ascii="宋体" w:hAnsi="宋体" w:eastAsia="宋体" w:cs="宋体"/>
          <w:spacing w:val="-10"/>
          <w:sz w:val="22"/>
          <w:szCs w:val="22"/>
          <w:highlight w:val="none"/>
        </w:rPr>
        <w:t>承包人提交保险凭证的期限：</w:t>
      </w:r>
      <w:r>
        <w:rPr>
          <w:rFonts w:ascii="宋体" w:hAnsi="宋体" w:eastAsia="宋体" w:cs="宋体"/>
          <w:sz w:val="22"/>
          <w:szCs w:val="22"/>
          <w:highlight w:val="none"/>
          <w:u w:val="single" w:color="auto"/>
        </w:rPr>
        <w:t xml:space="preserve">                                            </w:t>
      </w:r>
    </w:p>
    <w:p w14:paraId="7F6537A4">
      <w:pPr>
        <w:spacing w:before="229" w:line="219" w:lineRule="auto"/>
        <w:ind w:left="430"/>
        <w:rPr>
          <w:rFonts w:ascii="宋体" w:hAnsi="宋体" w:eastAsia="宋体" w:cs="宋体"/>
          <w:sz w:val="22"/>
          <w:szCs w:val="22"/>
          <w:highlight w:val="none"/>
        </w:rPr>
      </w:pPr>
      <w:r>
        <w:rPr>
          <w:rFonts w:ascii="宋体" w:hAnsi="宋体" w:eastAsia="宋体" w:cs="宋体"/>
          <w:spacing w:val="-21"/>
          <w:sz w:val="22"/>
          <w:szCs w:val="22"/>
          <w:highlight w:val="none"/>
        </w:rPr>
        <w:t>保险条件：</w:t>
      </w:r>
      <w:r>
        <w:rPr>
          <w:rFonts w:ascii="宋体" w:hAnsi="宋体" w:eastAsia="宋体" w:cs="宋体"/>
          <w:sz w:val="22"/>
          <w:szCs w:val="22"/>
          <w:highlight w:val="none"/>
          <w:u w:val="single" w:color="auto"/>
        </w:rPr>
        <w:t xml:space="preserve">                                                            </w:t>
      </w:r>
    </w:p>
    <w:p w14:paraId="4F5B724B">
      <w:pPr>
        <w:spacing w:before="229" w:line="220" w:lineRule="auto"/>
        <w:ind w:left="430"/>
        <w:rPr>
          <w:rFonts w:ascii="宋体" w:hAnsi="宋体" w:eastAsia="宋体" w:cs="宋体"/>
          <w:sz w:val="21"/>
          <w:szCs w:val="21"/>
          <w:highlight w:val="none"/>
        </w:rPr>
      </w:pPr>
      <w:r>
        <w:rPr>
          <w:rFonts w:ascii="宋体" w:hAnsi="宋体" w:eastAsia="宋体" w:cs="宋体"/>
          <w:spacing w:val="6"/>
          <w:sz w:val="21"/>
          <w:szCs w:val="21"/>
          <w:highlight w:val="none"/>
        </w:rPr>
        <w:t>20.6.4</w:t>
      </w:r>
      <w:r>
        <w:rPr>
          <w:rFonts w:ascii="宋体" w:hAnsi="宋体" w:eastAsia="宋体" w:cs="宋体"/>
          <w:spacing w:val="30"/>
          <w:sz w:val="21"/>
          <w:szCs w:val="21"/>
          <w:highlight w:val="none"/>
        </w:rPr>
        <w:t xml:space="preserve"> </w:t>
      </w:r>
      <w:r>
        <w:rPr>
          <w:rFonts w:ascii="宋体" w:hAnsi="宋体" w:eastAsia="宋体" w:cs="宋体"/>
          <w:spacing w:val="6"/>
          <w:sz w:val="21"/>
          <w:szCs w:val="21"/>
          <w:highlight w:val="none"/>
        </w:rPr>
        <w:t>保险金不足的补偿</w:t>
      </w:r>
    </w:p>
    <w:p w14:paraId="0EB4D588">
      <w:pPr>
        <w:spacing w:before="219" w:line="219" w:lineRule="auto"/>
        <w:ind w:left="430"/>
        <w:rPr>
          <w:rFonts w:ascii="宋体" w:hAnsi="宋体" w:eastAsia="宋体" w:cs="宋体"/>
          <w:sz w:val="21"/>
          <w:szCs w:val="21"/>
          <w:highlight w:val="none"/>
        </w:rPr>
      </w:pPr>
      <w:r>
        <w:rPr>
          <w:rFonts w:ascii="宋体" w:hAnsi="宋体" w:eastAsia="宋体" w:cs="宋体"/>
          <w:spacing w:val="-2"/>
          <w:sz w:val="21"/>
          <w:szCs w:val="21"/>
          <w:highlight w:val="none"/>
        </w:rPr>
        <w:t>承包人负责补偿的范围与金额：</w:t>
      </w:r>
      <w:r>
        <w:rPr>
          <w:rFonts w:ascii="宋体" w:hAnsi="宋体" w:eastAsia="宋体" w:cs="宋体"/>
          <w:spacing w:val="-2"/>
          <w:sz w:val="21"/>
          <w:szCs w:val="21"/>
          <w:highlight w:val="none"/>
          <w:u w:val="single" w:color="auto"/>
        </w:rPr>
        <w:t xml:space="preserve">                                               </w:t>
      </w:r>
    </w:p>
    <w:p w14:paraId="3FF02BC9">
      <w:pPr>
        <w:spacing w:before="211" w:line="219" w:lineRule="auto"/>
        <w:ind w:left="430"/>
        <w:rPr>
          <w:rFonts w:ascii="宋体" w:hAnsi="宋体" w:eastAsia="宋体" w:cs="宋体"/>
          <w:sz w:val="21"/>
          <w:szCs w:val="21"/>
          <w:highlight w:val="none"/>
        </w:rPr>
      </w:pPr>
      <w:r>
        <w:rPr>
          <w:rFonts w:ascii="宋体" w:hAnsi="宋体" w:eastAsia="宋体" w:cs="宋体"/>
          <w:spacing w:val="-1"/>
          <w:sz w:val="21"/>
          <w:szCs w:val="21"/>
          <w:highlight w:val="none"/>
        </w:rPr>
        <w:t>发包人负责补偿的范围与金额：</w:t>
      </w:r>
      <w:r>
        <w:rPr>
          <w:rFonts w:ascii="宋体" w:hAnsi="宋体" w:eastAsia="宋体" w:cs="宋体"/>
          <w:spacing w:val="-83"/>
          <w:sz w:val="21"/>
          <w:szCs w:val="21"/>
          <w:highlight w:val="none"/>
        </w:rPr>
        <w:t xml:space="preserve"> </w:t>
      </w:r>
      <w:r>
        <w:rPr>
          <w:rFonts w:ascii="宋体" w:hAnsi="宋体" w:eastAsia="宋体" w:cs="宋体"/>
          <w:sz w:val="21"/>
          <w:szCs w:val="21"/>
          <w:highlight w:val="none"/>
          <w:u w:val="single" w:color="auto"/>
        </w:rPr>
        <w:t xml:space="preserve">                                               </w:t>
      </w:r>
    </w:p>
    <w:p w14:paraId="3F70A440">
      <w:pPr>
        <w:pStyle w:val="2"/>
        <w:spacing w:before="220" w:line="221" w:lineRule="auto"/>
        <w:rPr>
          <w:rFonts w:ascii="黑体" w:hAnsi="黑体" w:eastAsia="黑体" w:cs="黑体"/>
          <w:sz w:val="24"/>
          <w:szCs w:val="24"/>
          <w:highlight w:val="none"/>
        </w:rPr>
      </w:pPr>
      <w:r>
        <w:rPr>
          <w:spacing w:val="2"/>
          <w:sz w:val="24"/>
          <w:szCs w:val="24"/>
          <w:highlight w:val="none"/>
        </w:rPr>
        <w:t>21.</w:t>
      </w:r>
      <w:r>
        <w:rPr>
          <w:spacing w:val="36"/>
          <w:w w:val="101"/>
          <w:sz w:val="24"/>
          <w:szCs w:val="24"/>
          <w:highlight w:val="none"/>
        </w:rPr>
        <w:t xml:space="preserve"> </w:t>
      </w:r>
      <w:r>
        <w:rPr>
          <w:rFonts w:ascii="黑体" w:hAnsi="黑体" w:eastAsia="黑体" w:cs="黑体"/>
          <w:spacing w:val="2"/>
          <w:sz w:val="24"/>
          <w:szCs w:val="24"/>
          <w:highlight w:val="none"/>
        </w:rPr>
        <w:t>不可抗力</w:t>
      </w:r>
    </w:p>
    <w:p w14:paraId="2B3B479B">
      <w:pPr>
        <w:pStyle w:val="2"/>
        <w:spacing w:before="93" w:line="222" w:lineRule="auto"/>
        <w:rPr>
          <w:rFonts w:ascii="黑体" w:hAnsi="黑体" w:eastAsia="黑体" w:cs="黑体"/>
          <w:sz w:val="24"/>
          <w:szCs w:val="24"/>
          <w:highlight w:val="none"/>
        </w:rPr>
      </w:pPr>
      <w:r>
        <w:rPr>
          <w:sz w:val="24"/>
          <w:szCs w:val="24"/>
          <w:highlight w:val="none"/>
        </w:rPr>
        <w:t>24.</w:t>
      </w:r>
      <w:r>
        <w:rPr>
          <w:spacing w:val="56"/>
          <w:w w:val="101"/>
          <w:sz w:val="24"/>
          <w:szCs w:val="24"/>
          <w:highlight w:val="none"/>
        </w:rPr>
        <w:t xml:space="preserve"> </w:t>
      </w:r>
      <w:r>
        <w:rPr>
          <w:rFonts w:ascii="黑体" w:hAnsi="黑体" w:eastAsia="黑体" w:cs="黑体"/>
          <w:sz w:val="24"/>
          <w:szCs w:val="24"/>
          <w:highlight w:val="none"/>
        </w:rPr>
        <w:t>争议的解决</w:t>
      </w:r>
    </w:p>
    <w:p w14:paraId="24B9A7B5">
      <w:pPr>
        <w:spacing w:before="190" w:line="221" w:lineRule="auto"/>
        <w:rPr>
          <w:rFonts w:ascii="黑体" w:hAnsi="黑体" w:eastAsia="黑体" w:cs="黑体"/>
          <w:sz w:val="22"/>
          <w:szCs w:val="22"/>
          <w:highlight w:val="none"/>
        </w:rPr>
      </w:pPr>
      <w:r>
        <w:rPr>
          <w:rFonts w:ascii="黑体" w:hAnsi="黑体" w:eastAsia="黑体" w:cs="黑体"/>
          <w:spacing w:val="-7"/>
          <w:sz w:val="22"/>
          <w:szCs w:val="22"/>
          <w:highlight w:val="none"/>
        </w:rPr>
        <w:t>24.1 争议的解决方式</w:t>
      </w:r>
    </w:p>
    <w:p w14:paraId="540877F9">
      <w:pPr>
        <w:spacing w:before="148" w:line="422" w:lineRule="auto"/>
        <w:ind w:left="150" w:right="274" w:firstLine="419"/>
        <w:rPr>
          <w:rFonts w:ascii="宋体" w:hAnsi="宋体" w:eastAsia="宋体" w:cs="宋体"/>
          <w:sz w:val="22"/>
          <w:szCs w:val="22"/>
          <w:highlight w:val="none"/>
        </w:rPr>
      </w:pPr>
      <w:r>
        <w:rPr>
          <w:rFonts w:ascii="宋体" w:hAnsi="宋体" w:eastAsia="宋体" w:cs="宋体"/>
          <w:spacing w:val="-11"/>
          <w:sz w:val="22"/>
          <w:szCs w:val="22"/>
          <w:highlight w:val="none"/>
        </w:rPr>
        <w:t>合同当事人友好协商解决不成、不愿提请争</w:t>
      </w:r>
      <w:r>
        <w:rPr>
          <w:rFonts w:ascii="宋体" w:hAnsi="宋体" w:eastAsia="宋体" w:cs="宋体"/>
          <w:spacing w:val="-12"/>
          <w:sz w:val="22"/>
          <w:szCs w:val="22"/>
          <w:highlight w:val="none"/>
        </w:rPr>
        <w:t>议评审或不接受争议评审组意见的，约</w:t>
      </w:r>
      <w:r>
        <w:rPr>
          <w:rFonts w:ascii="宋体" w:hAnsi="宋体" w:eastAsia="宋体" w:cs="宋体"/>
          <w:sz w:val="22"/>
          <w:szCs w:val="22"/>
          <w:highlight w:val="none"/>
        </w:rPr>
        <w:t xml:space="preserve"> </w:t>
      </w:r>
      <w:r>
        <w:rPr>
          <w:rFonts w:ascii="宋体" w:hAnsi="宋体" w:eastAsia="宋体" w:cs="宋体"/>
          <w:spacing w:val="-1"/>
          <w:sz w:val="22"/>
          <w:szCs w:val="22"/>
          <w:highlight w:val="none"/>
        </w:rPr>
        <w:t>定的合同争议解决方式：</w:t>
      </w:r>
      <w:r>
        <w:rPr>
          <w:rFonts w:ascii="宋体" w:hAnsi="宋体" w:eastAsia="宋体" w:cs="宋体"/>
          <w:sz w:val="22"/>
          <w:szCs w:val="22"/>
          <w:highlight w:val="none"/>
          <w:u w:val="single" w:color="auto"/>
        </w:rPr>
        <w:t xml:space="preserve">                                      </w:t>
      </w:r>
    </w:p>
    <w:p w14:paraId="02CD51FF">
      <w:pPr>
        <w:spacing w:before="24" w:line="222" w:lineRule="auto"/>
        <w:rPr>
          <w:rFonts w:ascii="黑体" w:hAnsi="黑体" w:eastAsia="黑体" w:cs="黑体"/>
          <w:sz w:val="22"/>
          <w:szCs w:val="22"/>
          <w:highlight w:val="none"/>
        </w:rPr>
      </w:pPr>
      <w:r>
        <w:rPr>
          <w:rFonts w:ascii="黑体" w:hAnsi="黑体" w:eastAsia="黑体" w:cs="黑体"/>
          <w:spacing w:val="5"/>
          <w:sz w:val="22"/>
          <w:szCs w:val="22"/>
          <w:highlight w:val="none"/>
        </w:rPr>
        <w:t>24.3争议评审</w:t>
      </w:r>
    </w:p>
    <w:p w14:paraId="0226E470">
      <w:pPr>
        <w:spacing w:before="145" w:line="219" w:lineRule="auto"/>
        <w:ind w:left="430"/>
        <w:rPr>
          <w:rFonts w:ascii="宋体" w:hAnsi="宋体" w:eastAsia="宋体" w:cs="宋体"/>
          <w:sz w:val="21"/>
          <w:szCs w:val="21"/>
          <w:highlight w:val="none"/>
        </w:rPr>
      </w:pPr>
      <w:r>
        <w:rPr>
          <w:rFonts w:ascii="宋体" w:hAnsi="宋体" w:eastAsia="宋体" w:cs="宋体"/>
          <w:spacing w:val="2"/>
          <w:sz w:val="21"/>
          <w:szCs w:val="21"/>
          <w:highlight w:val="none"/>
        </w:rPr>
        <w:t>24.3.4调查会的约定：</w:t>
      </w:r>
      <w:r>
        <w:rPr>
          <w:rFonts w:ascii="宋体" w:hAnsi="宋体" w:eastAsia="宋体" w:cs="宋体"/>
          <w:spacing w:val="-73"/>
          <w:sz w:val="21"/>
          <w:szCs w:val="21"/>
          <w:highlight w:val="none"/>
        </w:rPr>
        <w:t xml:space="preserve"> </w:t>
      </w:r>
      <w:r>
        <w:rPr>
          <w:rFonts w:ascii="宋体" w:hAnsi="宋体" w:eastAsia="宋体" w:cs="宋体"/>
          <w:sz w:val="21"/>
          <w:szCs w:val="21"/>
          <w:highlight w:val="none"/>
          <w:u w:val="single" w:color="auto"/>
        </w:rPr>
        <w:t xml:space="preserve">                                                       </w:t>
      </w:r>
    </w:p>
    <w:p w14:paraId="0B8CD516">
      <w:pPr>
        <w:spacing w:before="182" w:line="219" w:lineRule="auto"/>
        <w:ind w:left="430"/>
        <w:rPr>
          <w:rFonts w:ascii="宋体" w:hAnsi="宋体" w:eastAsia="宋体" w:cs="宋体"/>
          <w:sz w:val="21"/>
          <w:szCs w:val="21"/>
          <w:highlight w:val="none"/>
        </w:rPr>
      </w:pPr>
      <w:r>
        <w:rPr>
          <w:rFonts w:ascii="宋体" w:hAnsi="宋体" w:eastAsia="宋体" w:cs="宋体"/>
          <w:sz w:val="21"/>
          <w:szCs w:val="21"/>
          <w:highlight w:val="none"/>
        </w:rPr>
        <w:t>24.3.5 评审意见的约定：</w:t>
      </w:r>
      <w:r>
        <w:rPr>
          <w:rFonts w:ascii="宋体" w:hAnsi="宋体" w:eastAsia="宋体" w:cs="宋体"/>
          <w:sz w:val="21"/>
          <w:szCs w:val="21"/>
          <w:highlight w:val="none"/>
          <w:u w:val="single" w:color="auto"/>
        </w:rPr>
        <w:t xml:space="preserve">                                                     </w:t>
      </w:r>
    </w:p>
    <w:p w14:paraId="63FCB3E8">
      <w:pPr>
        <w:spacing w:line="219" w:lineRule="auto"/>
        <w:rPr>
          <w:rFonts w:ascii="宋体" w:hAnsi="宋体" w:eastAsia="宋体" w:cs="宋体"/>
          <w:sz w:val="21"/>
          <w:szCs w:val="21"/>
          <w:highlight w:val="none"/>
        </w:rPr>
        <w:sectPr>
          <w:footerReference r:id="rId225" w:type="default"/>
          <w:pgSz w:w="11910" w:h="16840"/>
          <w:pgMar w:top="400" w:right="1786" w:bottom="1228" w:left="1769" w:header="0" w:footer="1009" w:gutter="0"/>
          <w:cols w:space="720" w:num="1"/>
        </w:sectPr>
      </w:pPr>
    </w:p>
    <w:p w14:paraId="5B5A0EED">
      <w:pPr>
        <w:pStyle w:val="2"/>
        <w:spacing w:line="261" w:lineRule="auto"/>
        <w:rPr>
          <w:highlight w:val="none"/>
        </w:rPr>
      </w:pPr>
    </w:p>
    <w:p w14:paraId="1F5B50CD">
      <w:pPr>
        <w:pStyle w:val="2"/>
        <w:spacing w:line="261" w:lineRule="auto"/>
        <w:rPr>
          <w:highlight w:val="none"/>
        </w:rPr>
      </w:pPr>
    </w:p>
    <w:p w14:paraId="3B55F5EF">
      <w:pPr>
        <w:pStyle w:val="2"/>
        <w:spacing w:line="261" w:lineRule="auto"/>
        <w:rPr>
          <w:highlight w:val="none"/>
        </w:rPr>
      </w:pPr>
    </w:p>
    <w:p w14:paraId="13B43001">
      <w:pPr>
        <w:pStyle w:val="2"/>
        <w:spacing w:line="261" w:lineRule="auto"/>
        <w:rPr>
          <w:highlight w:val="none"/>
        </w:rPr>
      </w:pPr>
    </w:p>
    <w:p w14:paraId="5108D277">
      <w:pPr>
        <w:pStyle w:val="2"/>
        <w:spacing w:line="262" w:lineRule="auto"/>
        <w:rPr>
          <w:highlight w:val="none"/>
        </w:rPr>
      </w:pPr>
    </w:p>
    <w:p w14:paraId="2B560B22">
      <w:pPr>
        <w:pStyle w:val="2"/>
        <w:spacing w:line="262" w:lineRule="auto"/>
        <w:rPr>
          <w:highlight w:val="none"/>
        </w:rPr>
      </w:pPr>
    </w:p>
    <w:p w14:paraId="19CE94DA">
      <w:pPr>
        <w:spacing w:before="91" w:line="222" w:lineRule="auto"/>
        <w:ind w:left="2820"/>
        <w:rPr>
          <w:rFonts w:ascii="黑体" w:hAnsi="黑体" w:eastAsia="黑体" w:cs="黑体"/>
          <w:sz w:val="28"/>
          <w:szCs w:val="28"/>
          <w:highlight w:val="none"/>
        </w:rPr>
      </w:pPr>
      <w:r>
        <w:rPr>
          <w:rFonts w:ascii="黑体" w:hAnsi="黑体" w:eastAsia="黑体" w:cs="黑体"/>
          <w:spacing w:val="20"/>
          <w:sz w:val="28"/>
          <w:szCs w:val="28"/>
          <w:highlight w:val="none"/>
        </w:rPr>
        <w:t>第三节合同附件格式</w:t>
      </w:r>
    </w:p>
    <w:p w14:paraId="02D1E73F">
      <w:pPr>
        <w:spacing w:before="301" w:line="222" w:lineRule="auto"/>
        <w:rPr>
          <w:rFonts w:ascii="黑体" w:hAnsi="黑体" w:eastAsia="黑体" w:cs="黑体"/>
          <w:sz w:val="24"/>
          <w:szCs w:val="24"/>
          <w:highlight w:val="none"/>
        </w:rPr>
      </w:pPr>
      <w:r>
        <w:rPr>
          <w:rFonts w:ascii="黑体" w:hAnsi="黑体" w:eastAsia="黑体" w:cs="黑体"/>
          <w:spacing w:val="-3"/>
          <w:sz w:val="24"/>
          <w:szCs w:val="24"/>
          <w:highlight w:val="none"/>
        </w:rPr>
        <w:t>附件一：合同协议书</w:t>
      </w:r>
    </w:p>
    <w:p w14:paraId="14C34B86">
      <w:pPr>
        <w:pStyle w:val="2"/>
        <w:spacing w:line="429" w:lineRule="auto"/>
        <w:rPr>
          <w:highlight w:val="none"/>
        </w:rPr>
      </w:pPr>
    </w:p>
    <w:p w14:paraId="4075DA00">
      <w:pPr>
        <w:spacing w:before="91" w:line="222" w:lineRule="auto"/>
        <w:ind w:left="3440"/>
        <w:rPr>
          <w:rFonts w:ascii="黑体" w:hAnsi="黑体" w:eastAsia="黑体" w:cs="黑体"/>
          <w:sz w:val="28"/>
          <w:szCs w:val="28"/>
          <w:highlight w:val="none"/>
        </w:rPr>
      </w:pPr>
      <w:r>
        <w:rPr>
          <w:rFonts w:ascii="黑体" w:hAnsi="黑体" w:eastAsia="黑体" w:cs="黑体"/>
          <w:spacing w:val="9"/>
          <w:sz w:val="28"/>
          <w:szCs w:val="28"/>
          <w:highlight w:val="none"/>
        </w:rPr>
        <w:t>合同协议书</w:t>
      </w:r>
    </w:p>
    <w:p w14:paraId="2512C5C5">
      <w:pPr>
        <w:pStyle w:val="2"/>
        <w:spacing w:line="274" w:lineRule="auto"/>
        <w:rPr>
          <w:highlight w:val="none"/>
        </w:rPr>
      </w:pPr>
    </w:p>
    <w:p w14:paraId="3425D9B4">
      <w:pPr>
        <w:pStyle w:val="2"/>
        <w:spacing w:line="274" w:lineRule="auto"/>
        <w:rPr>
          <w:highlight w:val="none"/>
        </w:rPr>
      </w:pPr>
    </w:p>
    <w:p w14:paraId="4B9EC94B">
      <w:pPr>
        <w:tabs>
          <w:tab w:val="left" w:pos="2410"/>
        </w:tabs>
        <w:spacing w:before="69" w:line="380" w:lineRule="auto"/>
        <w:ind w:right="87" w:firstLine="350"/>
        <w:jc w:val="both"/>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3"/>
          <w:sz w:val="21"/>
          <w:szCs w:val="21"/>
          <w:highlight w:val="none"/>
        </w:rPr>
        <w:t xml:space="preserve"> </w:t>
      </w:r>
      <w:r>
        <w:rPr>
          <w:rFonts w:ascii="宋体" w:hAnsi="宋体" w:eastAsia="宋体" w:cs="宋体"/>
          <w:spacing w:val="-13"/>
          <w:sz w:val="21"/>
          <w:szCs w:val="21"/>
          <w:highlight w:val="none"/>
        </w:rPr>
        <w:t>(发包人名称，以下简称“发包人”)为实施</w:t>
      </w:r>
      <w:r>
        <w:rPr>
          <w:rFonts w:ascii="宋体" w:hAnsi="宋体" w:eastAsia="宋体" w:cs="宋体"/>
          <w:spacing w:val="-64"/>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51"/>
          <w:sz w:val="21"/>
          <w:szCs w:val="21"/>
          <w:highlight w:val="none"/>
        </w:rPr>
        <w:t xml:space="preserve"> </w:t>
      </w:r>
      <w:r>
        <w:rPr>
          <w:rFonts w:ascii="宋体" w:hAnsi="宋体" w:eastAsia="宋体" w:cs="宋体"/>
          <w:spacing w:val="-13"/>
          <w:sz w:val="21"/>
          <w:szCs w:val="21"/>
          <w:highlight w:val="none"/>
        </w:rPr>
        <w:t>(项</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目名称),已接受</w:t>
      </w:r>
      <w:r>
        <w:rPr>
          <w:rFonts w:ascii="宋体" w:hAnsi="宋体" w:eastAsia="宋体" w:cs="宋体"/>
          <w:spacing w:val="-54"/>
          <w:sz w:val="21"/>
          <w:szCs w:val="21"/>
          <w:highlight w:val="none"/>
        </w:rPr>
        <w:t xml:space="preserve"> </w:t>
      </w:r>
      <w:r>
        <w:rPr>
          <w:rFonts w:ascii="宋体" w:hAnsi="宋体" w:eastAsia="宋体" w:cs="宋体"/>
          <w:spacing w:val="2"/>
          <w:sz w:val="21"/>
          <w:szCs w:val="21"/>
          <w:highlight w:val="none"/>
          <w:u w:val="single" w:color="auto"/>
        </w:rPr>
        <w:t xml:space="preserve">                    </w:t>
      </w:r>
      <w:r>
        <w:rPr>
          <w:rFonts w:ascii="宋体" w:hAnsi="宋体" w:eastAsia="宋体" w:cs="宋体"/>
          <w:spacing w:val="-25"/>
          <w:sz w:val="21"/>
          <w:szCs w:val="21"/>
          <w:highlight w:val="none"/>
        </w:rPr>
        <w:t xml:space="preserve"> </w:t>
      </w:r>
      <w:r>
        <w:rPr>
          <w:rFonts w:ascii="宋体" w:hAnsi="宋体" w:eastAsia="宋体" w:cs="宋体"/>
          <w:spacing w:val="-2"/>
          <w:sz w:val="21"/>
          <w:szCs w:val="21"/>
          <w:highlight w:val="none"/>
        </w:rPr>
        <w:t>(承包人名称，以下简称“承包人”)对该项</w:t>
      </w:r>
      <w:r>
        <w:rPr>
          <w:rFonts w:ascii="宋体" w:hAnsi="宋体" w:eastAsia="宋体" w:cs="宋体"/>
          <w:spacing w:val="-3"/>
          <w:sz w:val="21"/>
          <w:szCs w:val="21"/>
          <w:highlight w:val="none"/>
        </w:rPr>
        <w:t>目工程</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总承包投标。发包人和承包人共同达成如下协议。</w:t>
      </w:r>
    </w:p>
    <w:p w14:paraId="52309879">
      <w:pPr>
        <w:spacing w:before="14" w:line="219" w:lineRule="auto"/>
        <w:ind w:left="36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 xml:space="preserve">1.  </w:t>
      </w:r>
      <w:r>
        <w:rPr>
          <w:rFonts w:ascii="宋体" w:hAnsi="宋体" w:eastAsia="宋体" w:cs="宋体"/>
          <w:spacing w:val="-10"/>
          <w:sz w:val="22"/>
          <w:szCs w:val="22"/>
          <w:highlight w:val="none"/>
        </w:rPr>
        <w:t>本协议书与下列文件一起构成合同文件：</w:t>
      </w:r>
    </w:p>
    <w:p w14:paraId="0EE24667">
      <w:pPr>
        <w:spacing w:before="159" w:line="219" w:lineRule="auto"/>
        <w:ind w:left="830"/>
        <w:rPr>
          <w:rFonts w:ascii="宋体" w:hAnsi="宋体" w:eastAsia="宋体" w:cs="宋体"/>
          <w:sz w:val="22"/>
          <w:szCs w:val="22"/>
          <w:highlight w:val="none"/>
        </w:rPr>
      </w:pPr>
      <w:r>
        <w:rPr>
          <w:rFonts w:ascii="宋体" w:hAnsi="宋体" w:eastAsia="宋体" w:cs="宋体"/>
          <w:spacing w:val="-2"/>
          <w:sz w:val="22"/>
          <w:szCs w:val="22"/>
          <w:highlight w:val="none"/>
        </w:rPr>
        <w:t>(1)中标通知书；</w:t>
      </w:r>
    </w:p>
    <w:p w14:paraId="7CC33C62">
      <w:pPr>
        <w:spacing w:before="208" w:line="219" w:lineRule="auto"/>
        <w:ind w:left="830"/>
        <w:rPr>
          <w:rFonts w:ascii="宋体" w:hAnsi="宋体" w:eastAsia="宋体" w:cs="宋体"/>
          <w:sz w:val="20"/>
          <w:szCs w:val="20"/>
          <w:highlight w:val="none"/>
        </w:rPr>
      </w:pPr>
      <w:r>
        <w:rPr>
          <w:rFonts w:ascii="宋体" w:hAnsi="宋体" w:eastAsia="宋体" w:cs="宋体"/>
          <w:spacing w:val="13"/>
          <w:sz w:val="20"/>
          <w:szCs w:val="20"/>
          <w:highlight w:val="none"/>
        </w:rPr>
        <w:t>(2)投标函及投标函附录；</w:t>
      </w:r>
    </w:p>
    <w:p w14:paraId="3CECFB59">
      <w:pPr>
        <w:spacing w:before="195" w:line="219" w:lineRule="auto"/>
        <w:ind w:left="830"/>
        <w:rPr>
          <w:rFonts w:ascii="宋体" w:hAnsi="宋体" w:eastAsia="宋体" w:cs="宋体"/>
          <w:sz w:val="22"/>
          <w:szCs w:val="22"/>
          <w:highlight w:val="none"/>
        </w:rPr>
      </w:pPr>
      <w:r>
        <w:rPr>
          <w:rFonts w:ascii="宋体" w:hAnsi="宋体" w:eastAsia="宋体" w:cs="宋体"/>
          <w:spacing w:val="-2"/>
          <w:sz w:val="22"/>
          <w:szCs w:val="22"/>
          <w:highlight w:val="none"/>
        </w:rPr>
        <w:t>(3)专用合同条款：</w:t>
      </w:r>
    </w:p>
    <w:p w14:paraId="4C9003DC">
      <w:pPr>
        <w:spacing w:before="178" w:line="219" w:lineRule="auto"/>
        <w:ind w:left="830"/>
        <w:rPr>
          <w:rFonts w:ascii="宋体" w:hAnsi="宋体" w:eastAsia="宋体" w:cs="宋体"/>
          <w:sz w:val="20"/>
          <w:szCs w:val="20"/>
          <w:highlight w:val="none"/>
        </w:rPr>
      </w:pPr>
      <w:r>
        <w:rPr>
          <w:rFonts w:ascii="宋体" w:hAnsi="宋体" w:eastAsia="宋体" w:cs="宋体"/>
          <w:spacing w:val="14"/>
          <w:sz w:val="20"/>
          <w:szCs w:val="20"/>
          <w:highlight w:val="none"/>
        </w:rPr>
        <w:t>(4)通用合同条款；</w:t>
      </w:r>
    </w:p>
    <w:p w14:paraId="36E63DE8">
      <w:pPr>
        <w:spacing w:before="194" w:line="220" w:lineRule="auto"/>
        <w:ind w:left="830"/>
        <w:rPr>
          <w:rFonts w:ascii="宋体" w:hAnsi="宋体" w:eastAsia="宋体" w:cs="宋体"/>
          <w:sz w:val="22"/>
          <w:szCs w:val="22"/>
          <w:highlight w:val="none"/>
        </w:rPr>
      </w:pPr>
      <w:r>
        <w:rPr>
          <w:rFonts w:ascii="宋体" w:hAnsi="宋体" w:eastAsia="宋体" w:cs="宋体"/>
          <w:spacing w:val="-2"/>
          <w:sz w:val="22"/>
          <w:szCs w:val="22"/>
          <w:highlight w:val="none"/>
        </w:rPr>
        <w:t>(5)发包人要求；</w:t>
      </w:r>
    </w:p>
    <w:p w14:paraId="23DE07C1">
      <w:pPr>
        <w:spacing w:before="186" w:line="218" w:lineRule="auto"/>
        <w:ind w:left="830"/>
        <w:rPr>
          <w:rFonts w:ascii="宋体" w:hAnsi="宋体" w:eastAsia="宋体" w:cs="宋体"/>
          <w:sz w:val="22"/>
          <w:szCs w:val="22"/>
          <w:highlight w:val="none"/>
        </w:rPr>
      </w:pPr>
      <w:r>
        <w:rPr>
          <w:rFonts w:ascii="宋体" w:hAnsi="宋体" w:eastAsia="宋体" w:cs="宋体"/>
          <w:spacing w:val="-2"/>
          <w:sz w:val="22"/>
          <w:szCs w:val="22"/>
          <w:highlight w:val="none"/>
        </w:rPr>
        <w:t>(6)价格清单；</w:t>
      </w:r>
    </w:p>
    <w:p w14:paraId="05660A38">
      <w:pPr>
        <w:spacing w:before="182" w:line="219" w:lineRule="auto"/>
        <w:ind w:left="830"/>
        <w:rPr>
          <w:rFonts w:ascii="宋体" w:hAnsi="宋体" w:eastAsia="宋体" w:cs="宋体"/>
          <w:sz w:val="22"/>
          <w:szCs w:val="22"/>
          <w:highlight w:val="none"/>
        </w:rPr>
      </w:pPr>
      <w:r>
        <w:rPr>
          <w:rFonts w:ascii="宋体" w:hAnsi="宋体" w:eastAsia="宋体" w:cs="宋体"/>
          <w:spacing w:val="-2"/>
          <w:sz w:val="22"/>
          <w:szCs w:val="22"/>
          <w:highlight w:val="none"/>
        </w:rPr>
        <w:t>(7)承包人建议；</w:t>
      </w:r>
    </w:p>
    <w:p w14:paraId="4461A6A6">
      <w:pPr>
        <w:spacing w:before="169" w:line="219" w:lineRule="auto"/>
        <w:ind w:left="830"/>
        <w:rPr>
          <w:rFonts w:ascii="宋体" w:hAnsi="宋体" w:eastAsia="宋体" w:cs="宋体"/>
          <w:sz w:val="22"/>
          <w:szCs w:val="22"/>
          <w:highlight w:val="none"/>
        </w:rPr>
      </w:pPr>
      <w:r>
        <w:rPr>
          <w:rFonts w:ascii="宋体" w:hAnsi="宋体" w:eastAsia="宋体" w:cs="宋体"/>
          <w:spacing w:val="-1"/>
          <w:sz w:val="22"/>
          <w:szCs w:val="22"/>
          <w:highlight w:val="none"/>
        </w:rPr>
        <w:t>(8)其他合同文件。</w:t>
      </w:r>
    </w:p>
    <w:p w14:paraId="00DBB2B9">
      <w:pPr>
        <w:spacing w:before="198" w:line="219" w:lineRule="auto"/>
        <w:jc w:val="right"/>
        <w:rPr>
          <w:rFonts w:ascii="宋体" w:hAnsi="宋体" w:eastAsia="宋体" w:cs="宋体"/>
          <w:sz w:val="20"/>
          <w:szCs w:val="20"/>
          <w:highlight w:val="none"/>
        </w:rPr>
      </w:pPr>
      <w:r>
        <w:rPr>
          <w:rFonts w:ascii="Times New Roman" w:hAnsi="Times New Roman" w:eastAsia="Times New Roman" w:cs="Times New Roman"/>
          <w:spacing w:val="10"/>
          <w:sz w:val="20"/>
          <w:szCs w:val="20"/>
          <w:highlight w:val="none"/>
        </w:rPr>
        <w:t>2.</w:t>
      </w:r>
      <w:r>
        <w:rPr>
          <w:rFonts w:ascii="Times New Roman" w:hAnsi="Times New Roman" w:eastAsia="Times New Roman" w:cs="Times New Roman"/>
          <w:spacing w:val="4"/>
          <w:sz w:val="20"/>
          <w:szCs w:val="20"/>
          <w:highlight w:val="none"/>
        </w:rPr>
        <w:t xml:space="preserve">  </w:t>
      </w:r>
      <w:r>
        <w:rPr>
          <w:rFonts w:ascii="宋体" w:hAnsi="宋体" w:eastAsia="宋体" w:cs="宋体"/>
          <w:spacing w:val="10"/>
          <w:sz w:val="20"/>
          <w:szCs w:val="20"/>
          <w:highlight w:val="none"/>
        </w:rPr>
        <w:t>上述文件互相补充和解释，如有不明确或不一致之处，以合同约定次序在先者为准。</w:t>
      </w:r>
    </w:p>
    <w:p w14:paraId="335103A2">
      <w:pPr>
        <w:spacing w:before="192" w:line="218" w:lineRule="auto"/>
        <w:ind w:left="36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3.</w:t>
      </w:r>
      <w:r>
        <w:rPr>
          <w:rFonts w:ascii="Times New Roman" w:hAnsi="Times New Roman" w:eastAsia="Times New Roman" w:cs="Times New Roman"/>
          <w:spacing w:val="51"/>
          <w:sz w:val="22"/>
          <w:szCs w:val="22"/>
          <w:highlight w:val="none"/>
        </w:rPr>
        <w:t xml:space="preserve"> </w:t>
      </w:r>
      <w:r>
        <w:rPr>
          <w:rFonts w:ascii="宋体" w:hAnsi="宋体" w:eastAsia="宋体" w:cs="宋体"/>
          <w:spacing w:val="3"/>
          <w:sz w:val="22"/>
          <w:szCs w:val="22"/>
          <w:highlight w:val="none"/>
        </w:rPr>
        <w:t>签约合同价：人民币(大写)</w:t>
      </w:r>
      <w:r>
        <w:rPr>
          <w:rFonts w:ascii="宋体" w:hAnsi="宋体" w:eastAsia="宋体" w:cs="宋体"/>
          <w:spacing w:val="3"/>
          <w:sz w:val="22"/>
          <w:szCs w:val="22"/>
          <w:highlight w:val="none"/>
          <w:u w:val="single" w:color="auto"/>
        </w:rPr>
        <w:t xml:space="preserve">         </w:t>
      </w:r>
      <w:r>
        <w:rPr>
          <w:rFonts w:ascii="宋体" w:hAnsi="宋体" w:eastAsia="宋体" w:cs="宋体"/>
          <w:spacing w:val="3"/>
          <w:sz w:val="22"/>
          <w:szCs w:val="22"/>
          <w:highlight w:val="none"/>
        </w:rPr>
        <w:t xml:space="preserve"> (¥</w:t>
      </w:r>
      <w:r>
        <w:rPr>
          <w:rFonts w:ascii="宋体" w:hAnsi="宋体" w:eastAsia="宋体" w:cs="宋体"/>
          <w:spacing w:val="-63"/>
          <w:sz w:val="22"/>
          <w:szCs w:val="22"/>
          <w:highlight w:val="none"/>
        </w:rPr>
        <w:t xml:space="preserve"> </w:t>
      </w:r>
      <w:r>
        <w:rPr>
          <w:rFonts w:ascii="宋体" w:hAnsi="宋体" w:eastAsia="宋体" w:cs="宋体"/>
          <w:spacing w:val="7"/>
          <w:sz w:val="22"/>
          <w:szCs w:val="22"/>
          <w:highlight w:val="none"/>
          <w:u w:val="single" w:color="auto"/>
        </w:rPr>
        <w:t xml:space="preserve">        </w:t>
      </w:r>
      <w:r>
        <w:rPr>
          <w:rFonts w:ascii="宋体" w:hAnsi="宋体" w:eastAsia="宋体" w:cs="宋体"/>
          <w:spacing w:val="3"/>
          <w:sz w:val="22"/>
          <w:szCs w:val="22"/>
          <w:highlight w:val="none"/>
        </w:rPr>
        <w:t>)。</w:t>
      </w:r>
    </w:p>
    <w:p w14:paraId="67C718E7">
      <w:pPr>
        <w:spacing w:before="201" w:line="218" w:lineRule="auto"/>
        <w:ind w:left="360"/>
        <w:rPr>
          <w:rFonts w:ascii="宋体" w:hAnsi="宋体" w:eastAsia="宋体" w:cs="宋体"/>
          <w:sz w:val="10"/>
          <w:szCs w:val="10"/>
          <w:highlight w:val="none"/>
        </w:rPr>
      </w:pPr>
      <w:r>
        <w:rPr>
          <w:rFonts w:ascii="Times New Roman" w:hAnsi="Times New Roman" w:eastAsia="Times New Roman" w:cs="Times New Roman"/>
          <w:spacing w:val="3"/>
          <w:sz w:val="20"/>
          <w:szCs w:val="20"/>
          <w:highlight w:val="none"/>
        </w:rPr>
        <w:t xml:space="preserve">4.  </w:t>
      </w:r>
      <w:r>
        <w:rPr>
          <w:rFonts w:ascii="宋体" w:hAnsi="宋体" w:eastAsia="宋体" w:cs="宋体"/>
          <w:spacing w:val="3"/>
          <w:sz w:val="20"/>
          <w:szCs w:val="20"/>
          <w:highlight w:val="none"/>
        </w:rPr>
        <w:t>承包人项目经理：</w:t>
      </w:r>
      <w:r>
        <w:rPr>
          <w:rFonts w:ascii="宋体" w:hAnsi="宋体" w:eastAsia="宋体" w:cs="宋体"/>
          <w:spacing w:val="6"/>
          <w:sz w:val="20"/>
          <w:szCs w:val="20"/>
          <w:highlight w:val="none"/>
          <w:u w:val="single" w:color="auto"/>
        </w:rPr>
        <w:t xml:space="preserve">          </w:t>
      </w:r>
      <w:r>
        <w:rPr>
          <w:rFonts w:ascii="宋体" w:hAnsi="宋体" w:eastAsia="宋体" w:cs="宋体"/>
          <w:spacing w:val="-83"/>
          <w:sz w:val="20"/>
          <w:szCs w:val="20"/>
          <w:highlight w:val="none"/>
        </w:rPr>
        <w:t xml:space="preserve"> </w:t>
      </w:r>
      <w:r>
        <w:rPr>
          <w:rFonts w:ascii="宋体" w:hAnsi="宋体" w:eastAsia="宋体" w:cs="宋体"/>
          <w:spacing w:val="3"/>
          <w:sz w:val="20"/>
          <w:szCs w:val="20"/>
          <w:highlight w:val="none"/>
        </w:rPr>
        <w:t>;设计负责人：</w:t>
      </w:r>
      <w:r>
        <w:rPr>
          <w:rFonts w:ascii="宋体" w:hAnsi="宋体" w:eastAsia="宋体" w:cs="宋体"/>
          <w:spacing w:val="41"/>
          <w:sz w:val="20"/>
          <w:szCs w:val="20"/>
          <w:highlight w:val="none"/>
        </w:rPr>
        <w:t xml:space="preserve"> </w:t>
      </w:r>
      <w:r>
        <w:rPr>
          <w:rFonts w:ascii="宋体" w:hAnsi="宋体" w:eastAsia="宋体" w:cs="宋体"/>
          <w:spacing w:val="7"/>
          <w:sz w:val="20"/>
          <w:szCs w:val="20"/>
          <w:highlight w:val="none"/>
          <w:u w:val="single" w:color="auto"/>
        </w:rPr>
        <w:t xml:space="preserve">          </w:t>
      </w:r>
      <w:r>
        <w:rPr>
          <w:rFonts w:ascii="宋体" w:hAnsi="宋体" w:eastAsia="宋体" w:cs="宋体"/>
          <w:spacing w:val="-90"/>
          <w:sz w:val="20"/>
          <w:szCs w:val="20"/>
          <w:highlight w:val="none"/>
        </w:rPr>
        <w:t xml:space="preserve"> </w:t>
      </w:r>
      <w:r>
        <w:rPr>
          <w:rFonts w:ascii="宋体" w:hAnsi="宋体" w:eastAsia="宋体" w:cs="宋体"/>
          <w:spacing w:val="3"/>
          <w:sz w:val="20"/>
          <w:szCs w:val="20"/>
          <w:highlight w:val="none"/>
        </w:rPr>
        <w:t>;施工负责人：</w:t>
      </w:r>
      <w:r>
        <w:rPr>
          <w:rFonts w:ascii="宋体" w:hAnsi="宋体" w:eastAsia="宋体" w:cs="宋体"/>
          <w:spacing w:val="3"/>
          <w:sz w:val="20"/>
          <w:szCs w:val="20"/>
          <w:highlight w:val="none"/>
          <w:u w:val="single" w:color="auto"/>
        </w:rPr>
        <w:t xml:space="preserve">          </w:t>
      </w:r>
      <w:r>
        <w:rPr>
          <w:rFonts w:ascii="宋体" w:hAnsi="宋体" w:eastAsia="宋体" w:cs="宋体"/>
          <w:spacing w:val="-90"/>
          <w:sz w:val="20"/>
          <w:szCs w:val="20"/>
          <w:highlight w:val="none"/>
        </w:rPr>
        <w:t xml:space="preserve"> </w:t>
      </w:r>
      <w:r>
        <w:rPr>
          <w:rFonts w:ascii="宋体" w:hAnsi="宋体" w:eastAsia="宋体" w:cs="宋体"/>
          <w:spacing w:val="3"/>
          <w:position w:val="-1"/>
          <w:sz w:val="10"/>
          <w:szCs w:val="10"/>
          <w:highlight w:val="none"/>
        </w:rPr>
        <w:t>_</w:t>
      </w:r>
    </w:p>
    <w:p w14:paraId="3CB8C39C">
      <w:pPr>
        <w:spacing w:before="194" w:line="219" w:lineRule="auto"/>
        <w:ind w:left="360"/>
        <w:rPr>
          <w:rFonts w:ascii="宋体" w:hAnsi="宋体" w:eastAsia="宋体" w:cs="宋体"/>
          <w:sz w:val="20"/>
          <w:szCs w:val="20"/>
          <w:highlight w:val="none"/>
        </w:rPr>
      </w:pPr>
      <w:r>
        <w:rPr>
          <w:rFonts w:ascii="Times New Roman" w:hAnsi="Times New Roman" w:eastAsia="Times New Roman" w:cs="Times New Roman"/>
          <w:sz w:val="20"/>
          <w:szCs w:val="20"/>
          <w:highlight w:val="none"/>
        </w:rPr>
        <w:t xml:space="preserve">5.  </w:t>
      </w:r>
      <w:r>
        <w:rPr>
          <w:rFonts w:ascii="宋体" w:hAnsi="宋体" w:eastAsia="宋体" w:cs="宋体"/>
          <w:sz w:val="20"/>
          <w:szCs w:val="20"/>
          <w:highlight w:val="none"/>
        </w:rPr>
        <w:t>工程质量符合的标准和要求：</w:t>
      </w:r>
      <w:r>
        <w:rPr>
          <w:rFonts w:ascii="宋体" w:hAnsi="宋体" w:eastAsia="宋体" w:cs="宋体"/>
          <w:spacing w:val="49"/>
          <w:sz w:val="20"/>
          <w:szCs w:val="20"/>
          <w:highlight w:val="none"/>
        </w:rPr>
        <w:t xml:space="preserve"> </w:t>
      </w:r>
      <w:r>
        <w:rPr>
          <w:rFonts w:ascii="宋体" w:hAnsi="宋体" w:eastAsia="宋体" w:cs="宋体"/>
          <w:sz w:val="20"/>
          <w:szCs w:val="20"/>
          <w:highlight w:val="none"/>
          <w:u w:val="single" w:color="auto"/>
        </w:rPr>
        <w:t xml:space="preserve">                         </w:t>
      </w:r>
    </w:p>
    <w:p w14:paraId="3DBFC23D">
      <w:pPr>
        <w:spacing w:before="203" w:line="219" w:lineRule="auto"/>
        <w:ind w:left="36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6.</w:t>
      </w:r>
      <w:r>
        <w:rPr>
          <w:rFonts w:ascii="Times New Roman" w:hAnsi="Times New Roman" w:eastAsia="Times New Roman" w:cs="Times New Roman"/>
          <w:spacing w:val="65"/>
          <w:sz w:val="21"/>
          <w:szCs w:val="21"/>
          <w:highlight w:val="none"/>
        </w:rPr>
        <w:t xml:space="preserve"> </w:t>
      </w:r>
      <w:r>
        <w:rPr>
          <w:rFonts w:ascii="宋体" w:hAnsi="宋体" w:eastAsia="宋体" w:cs="宋体"/>
          <w:spacing w:val="-1"/>
          <w:sz w:val="21"/>
          <w:szCs w:val="21"/>
          <w:highlight w:val="none"/>
        </w:rPr>
        <w:t>承包人承诺按合同约定承担工程的设计、实施、竣工及缺陷修复。</w:t>
      </w:r>
    </w:p>
    <w:p w14:paraId="0D015C2A">
      <w:pPr>
        <w:spacing w:before="159" w:line="218" w:lineRule="auto"/>
        <w:ind w:left="36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7.</w:t>
      </w:r>
      <w:r>
        <w:rPr>
          <w:rFonts w:ascii="Times New Roman" w:hAnsi="Times New Roman" w:eastAsia="Times New Roman" w:cs="Times New Roman"/>
          <w:spacing w:val="48"/>
          <w:w w:val="101"/>
          <w:sz w:val="22"/>
          <w:szCs w:val="22"/>
          <w:highlight w:val="none"/>
        </w:rPr>
        <w:t xml:space="preserve"> </w:t>
      </w:r>
      <w:r>
        <w:rPr>
          <w:rFonts w:ascii="宋体" w:hAnsi="宋体" w:eastAsia="宋体" w:cs="宋体"/>
          <w:spacing w:val="-9"/>
          <w:sz w:val="22"/>
          <w:szCs w:val="22"/>
          <w:highlight w:val="none"/>
        </w:rPr>
        <w:t>发包人承诺按合同约定的条件、时间和方</w:t>
      </w:r>
      <w:r>
        <w:rPr>
          <w:rFonts w:ascii="宋体" w:hAnsi="宋体" w:eastAsia="宋体" w:cs="宋体"/>
          <w:spacing w:val="-10"/>
          <w:sz w:val="22"/>
          <w:szCs w:val="22"/>
          <w:highlight w:val="none"/>
        </w:rPr>
        <w:t>式向承包人支付合同价款。</w:t>
      </w:r>
    </w:p>
    <w:p w14:paraId="77810E43">
      <w:pPr>
        <w:spacing w:before="200" w:line="304" w:lineRule="auto"/>
        <w:ind w:right="58" w:firstLine="36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8.  </w:t>
      </w:r>
      <w:r>
        <w:rPr>
          <w:rFonts w:ascii="宋体" w:hAnsi="宋体" w:eastAsia="宋体" w:cs="宋体"/>
          <w:spacing w:val="1"/>
          <w:sz w:val="21"/>
          <w:szCs w:val="21"/>
          <w:highlight w:val="none"/>
        </w:rPr>
        <w:t>承包人计划开始工作时间：</w:t>
      </w:r>
      <w:r>
        <w:rPr>
          <w:rFonts w:ascii="宋体" w:hAnsi="宋体" w:eastAsia="宋体" w:cs="宋体"/>
          <w:spacing w:val="1"/>
          <w:sz w:val="21"/>
          <w:szCs w:val="21"/>
          <w:highlight w:val="none"/>
          <w:u w:val="single" w:color="auto"/>
        </w:rPr>
        <w:t xml:space="preserve">                </w:t>
      </w:r>
      <w:r>
        <w:rPr>
          <w:rFonts w:ascii="宋体" w:hAnsi="宋体" w:eastAsia="宋体" w:cs="宋体"/>
          <w:spacing w:val="-91"/>
          <w:sz w:val="21"/>
          <w:szCs w:val="21"/>
          <w:highlight w:val="none"/>
        </w:rPr>
        <w:t xml:space="preserve"> </w:t>
      </w:r>
      <w:r>
        <w:rPr>
          <w:rFonts w:ascii="宋体" w:hAnsi="宋体" w:eastAsia="宋体" w:cs="宋体"/>
          <w:spacing w:val="1"/>
          <w:sz w:val="21"/>
          <w:szCs w:val="21"/>
          <w:highlight w:val="none"/>
        </w:rPr>
        <w:t>,实际开始工作时间按照监理人开始工</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作通知中载明的开始工作时间为准。工期为</w:t>
      </w:r>
      <w:r>
        <w:rPr>
          <w:rFonts w:ascii="宋体" w:hAnsi="宋体" w:eastAsia="宋体" w:cs="宋体"/>
          <w:spacing w:val="20"/>
          <w:sz w:val="21"/>
          <w:szCs w:val="21"/>
          <w:highlight w:val="none"/>
          <w:u w:val="single" w:color="auto"/>
        </w:rPr>
        <w:t xml:space="preserve">    </w:t>
      </w:r>
      <w:r>
        <w:rPr>
          <w:rFonts w:ascii="宋体" w:hAnsi="宋体" w:eastAsia="宋体" w:cs="宋体"/>
          <w:spacing w:val="-95"/>
          <w:sz w:val="21"/>
          <w:szCs w:val="21"/>
          <w:highlight w:val="none"/>
        </w:rPr>
        <w:t xml:space="preserve"> </w:t>
      </w:r>
      <w:r>
        <w:rPr>
          <w:rFonts w:ascii="宋体" w:hAnsi="宋体" w:eastAsia="宋体" w:cs="宋体"/>
          <w:spacing w:val="-3"/>
          <w:sz w:val="21"/>
          <w:szCs w:val="21"/>
          <w:highlight w:val="none"/>
        </w:rPr>
        <w:t>天。</w:t>
      </w:r>
    </w:p>
    <w:p w14:paraId="6981C62C">
      <w:pPr>
        <w:spacing w:before="170" w:line="219" w:lineRule="auto"/>
        <w:ind w:left="360"/>
        <w:rPr>
          <w:rFonts w:ascii="宋体" w:hAnsi="宋体" w:eastAsia="宋体" w:cs="宋体"/>
          <w:sz w:val="22"/>
          <w:szCs w:val="22"/>
          <w:highlight w:val="none"/>
        </w:rPr>
      </w:pPr>
      <w:r>
        <w:rPr>
          <w:rFonts w:ascii="Times New Roman" w:hAnsi="Times New Roman" w:eastAsia="Times New Roman" w:cs="Times New Roman"/>
          <w:spacing w:val="-12"/>
          <w:sz w:val="22"/>
          <w:szCs w:val="22"/>
          <w:highlight w:val="none"/>
        </w:rPr>
        <w:t xml:space="preserve">9.  </w:t>
      </w:r>
      <w:r>
        <w:rPr>
          <w:rFonts w:ascii="宋体" w:hAnsi="宋体" w:eastAsia="宋体" w:cs="宋体"/>
          <w:spacing w:val="-12"/>
          <w:sz w:val="22"/>
          <w:szCs w:val="22"/>
          <w:highlight w:val="none"/>
        </w:rPr>
        <w:t>本协议书一式</w:t>
      </w:r>
      <w:r>
        <w:rPr>
          <w:rFonts w:ascii="宋体" w:hAnsi="宋体" w:eastAsia="宋体" w:cs="宋体"/>
          <w:spacing w:val="-80"/>
          <w:sz w:val="22"/>
          <w:szCs w:val="22"/>
          <w:highlight w:val="none"/>
        </w:rPr>
        <w:t xml:space="preserve"> </w:t>
      </w:r>
      <w:r>
        <w:rPr>
          <w:rFonts w:ascii="宋体" w:hAnsi="宋体" w:eastAsia="宋体" w:cs="宋体"/>
          <w:spacing w:val="6"/>
          <w:sz w:val="22"/>
          <w:szCs w:val="22"/>
          <w:highlight w:val="none"/>
          <w:u w:val="single" w:color="auto"/>
        </w:rPr>
        <w:t xml:space="preserve">     </w:t>
      </w:r>
      <w:r>
        <w:rPr>
          <w:rFonts w:ascii="宋体" w:hAnsi="宋体" w:eastAsia="宋体" w:cs="宋体"/>
          <w:spacing w:val="-12"/>
          <w:sz w:val="22"/>
          <w:szCs w:val="22"/>
          <w:highlight w:val="none"/>
        </w:rPr>
        <w:t>份，合同双方各执一份。</w:t>
      </w:r>
    </w:p>
    <w:p w14:paraId="5CE65AA3">
      <w:pPr>
        <w:spacing w:before="199" w:line="219" w:lineRule="auto"/>
        <w:ind w:left="360"/>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10.</w:t>
      </w:r>
      <w:r>
        <w:rPr>
          <w:rFonts w:ascii="Times New Roman" w:hAnsi="Times New Roman" w:eastAsia="Times New Roman" w:cs="Times New Roman"/>
          <w:spacing w:val="44"/>
          <w:sz w:val="20"/>
          <w:szCs w:val="20"/>
          <w:highlight w:val="none"/>
        </w:rPr>
        <w:t xml:space="preserve"> </w:t>
      </w:r>
      <w:r>
        <w:rPr>
          <w:rFonts w:ascii="宋体" w:hAnsi="宋体" w:eastAsia="宋体" w:cs="宋体"/>
          <w:spacing w:val="9"/>
          <w:sz w:val="20"/>
          <w:szCs w:val="20"/>
          <w:highlight w:val="none"/>
        </w:rPr>
        <w:t>合同未尽事宜，双方另行签订补充协议。补充</w:t>
      </w:r>
      <w:r>
        <w:rPr>
          <w:rFonts w:ascii="宋体" w:hAnsi="宋体" w:eastAsia="宋体" w:cs="宋体"/>
          <w:spacing w:val="8"/>
          <w:sz w:val="20"/>
          <w:szCs w:val="20"/>
          <w:highlight w:val="none"/>
        </w:rPr>
        <w:t>协议是合同的组成部分。</w:t>
      </w:r>
    </w:p>
    <w:p w14:paraId="3601EE0D">
      <w:pPr>
        <w:spacing w:before="212" w:line="219" w:lineRule="auto"/>
        <w:rPr>
          <w:rFonts w:ascii="宋体" w:hAnsi="宋体" w:eastAsia="宋体" w:cs="宋体"/>
          <w:sz w:val="20"/>
          <w:szCs w:val="20"/>
          <w:highlight w:val="none"/>
        </w:rPr>
      </w:pPr>
      <w:r>
        <w:rPr>
          <w:rFonts w:ascii="宋体" w:hAnsi="宋体" w:eastAsia="宋体" w:cs="宋体"/>
          <w:spacing w:val="4"/>
          <w:sz w:val="20"/>
          <w:szCs w:val="20"/>
          <w:highlight w:val="none"/>
        </w:rPr>
        <w:t>发包人：</w:t>
      </w:r>
      <w:r>
        <w:rPr>
          <w:rFonts w:ascii="宋体" w:hAnsi="宋体" w:eastAsia="宋体" w:cs="宋体"/>
          <w:spacing w:val="5"/>
          <w:sz w:val="20"/>
          <w:szCs w:val="20"/>
          <w:highlight w:val="none"/>
          <w:u w:val="single" w:color="auto"/>
        </w:rPr>
        <w:t xml:space="preserve">                 </w:t>
      </w:r>
      <w:r>
        <w:rPr>
          <w:rFonts w:ascii="宋体" w:hAnsi="宋体" w:eastAsia="宋体" w:cs="宋体"/>
          <w:spacing w:val="4"/>
          <w:sz w:val="20"/>
          <w:szCs w:val="20"/>
          <w:highlight w:val="none"/>
        </w:rPr>
        <w:t xml:space="preserve"> (盖单位章)</w:t>
      </w:r>
      <w:r>
        <w:rPr>
          <w:rFonts w:ascii="宋体" w:hAnsi="宋体" w:eastAsia="宋体" w:cs="宋体"/>
          <w:spacing w:val="3"/>
          <w:sz w:val="20"/>
          <w:szCs w:val="20"/>
          <w:highlight w:val="none"/>
        </w:rPr>
        <w:t xml:space="preserve">      </w:t>
      </w:r>
      <w:r>
        <w:rPr>
          <w:rFonts w:ascii="宋体" w:hAnsi="宋体" w:eastAsia="宋体" w:cs="宋体"/>
          <w:spacing w:val="4"/>
          <w:sz w:val="20"/>
          <w:szCs w:val="20"/>
          <w:highlight w:val="none"/>
        </w:rPr>
        <w:t>承包人：</w:t>
      </w:r>
      <w:r>
        <w:rPr>
          <w:rFonts w:ascii="宋体" w:hAnsi="宋体" w:eastAsia="宋体" w:cs="宋体"/>
          <w:spacing w:val="4"/>
          <w:sz w:val="20"/>
          <w:szCs w:val="20"/>
          <w:highlight w:val="none"/>
          <w:u w:val="single" w:color="auto"/>
        </w:rPr>
        <w:t xml:space="preserve">     </w:t>
      </w:r>
      <w:r>
        <w:rPr>
          <w:rFonts w:ascii="宋体" w:hAnsi="宋体" w:eastAsia="宋体" w:cs="宋体"/>
          <w:spacing w:val="3"/>
          <w:sz w:val="20"/>
          <w:szCs w:val="20"/>
          <w:highlight w:val="none"/>
          <w:u w:val="single" w:color="auto"/>
        </w:rPr>
        <w:t xml:space="preserve">               </w:t>
      </w:r>
      <w:r>
        <w:rPr>
          <w:rFonts w:ascii="宋体" w:hAnsi="宋体" w:eastAsia="宋体" w:cs="宋体"/>
          <w:spacing w:val="3"/>
          <w:sz w:val="20"/>
          <w:szCs w:val="20"/>
          <w:highlight w:val="none"/>
        </w:rPr>
        <w:t xml:space="preserve"> (盖单位章)</w:t>
      </w:r>
    </w:p>
    <w:p w14:paraId="370AB43A">
      <w:pPr>
        <w:spacing w:before="214" w:line="219" w:lineRule="auto"/>
        <w:rPr>
          <w:rFonts w:ascii="宋体" w:hAnsi="宋体" w:eastAsia="宋体" w:cs="宋体"/>
          <w:sz w:val="20"/>
          <w:szCs w:val="20"/>
          <w:highlight w:val="none"/>
        </w:rPr>
      </w:pPr>
      <w:r>
        <w:rPr>
          <w:rFonts w:ascii="宋体" w:hAnsi="宋体" w:eastAsia="宋体" w:cs="宋体"/>
          <w:spacing w:val="7"/>
          <w:sz w:val="20"/>
          <w:szCs w:val="20"/>
          <w:highlight w:val="none"/>
        </w:rPr>
        <w:t>法定代表人或其委托代理人：</w:t>
      </w:r>
      <w:r>
        <w:rPr>
          <w:rFonts w:ascii="宋体" w:hAnsi="宋体" w:eastAsia="宋体" w:cs="宋体"/>
          <w:spacing w:val="-23"/>
          <w:sz w:val="20"/>
          <w:szCs w:val="20"/>
          <w:highlight w:val="none"/>
        </w:rPr>
        <w:t xml:space="preserve"> </w:t>
      </w:r>
      <w:r>
        <w:rPr>
          <w:rFonts w:ascii="宋体" w:hAnsi="宋体" w:eastAsia="宋体" w:cs="宋体"/>
          <w:spacing w:val="22"/>
          <w:sz w:val="20"/>
          <w:szCs w:val="20"/>
          <w:highlight w:val="none"/>
          <w:u w:val="single" w:color="auto"/>
        </w:rPr>
        <w:t xml:space="preserve">    </w:t>
      </w:r>
      <w:r>
        <w:rPr>
          <w:rFonts w:ascii="宋体" w:hAnsi="宋体" w:eastAsia="宋体" w:cs="宋体"/>
          <w:spacing w:val="-58"/>
          <w:sz w:val="20"/>
          <w:szCs w:val="20"/>
          <w:highlight w:val="none"/>
        </w:rPr>
        <w:t xml:space="preserve"> </w:t>
      </w:r>
      <w:r>
        <w:rPr>
          <w:rFonts w:ascii="宋体" w:hAnsi="宋体" w:eastAsia="宋体" w:cs="宋体"/>
          <w:spacing w:val="7"/>
          <w:sz w:val="20"/>
          <w:szCs w:val="20"/>
          <w:highlight w:val="none"/>
        </w:rPr>
        <w:t>(签字)    法定代表人或其委托代理人：</w:t>
      </w:r>
      <w:r>
        <w:rPr>
          <w:rFonts w:ascii="宋体" w:hAnsi="宋体" w:eastAsia="宋体" w:cs="宋体"/>
          <w:spacing w:val="8"/>
          <w:sz w:val="20"/>
          <w:szCs w:val="20"/>
          <w:highlight w:val="none"/>
          <w:u w:val="single" w:color="auto"/>
        </w:rPr>
        <w:t xml:space="preserve">      </w:t>
      </w:r>
      <w:r>
        <w:rPr>
          <w:rFonts w:ascii="宋体" w:hAnsi="宋体" w:eastAsia="宋体" w:cs="宋体"/>
          <w:spacing w:val="-69"/>
          <w:sz w:val="20"/>
          <w:szCs w:val="20"/>
          <w:highlight w:val="none"/>
        </w:rPr>
        <w:t xml:space="preserve"> </w:t>
      </w:r>
      <w:r>
        <w:rPr>
          <w:rFonts w:ascii="宋体" w:hAnsi="宋体" w:eastAsia="宋体" w:cs="宋体"/>
          <w:spacing w:val="7"/>
          <w:sz w:val="20"/>
          <w:szCs w:val="20"/>
          <w:highlight w:val="none"/>
        </w:rPr>
        <w:t>(签字)</w:t>
      </w:r>
    </w:p>
    <w:p w14:paraId="4690609E">
      <w:pPr>
        <w:tabs>
          <w:tab w:val="left" w:pos="950"/>
        </w:tabs>
        <w:spacing w:before="212" w:line="219" w:lineRule="auto"/>
        <w:rPr>
          <w:rFonts w:ascii="宋体" w:hAnsi="宋体" w:eastAsia="宋体" w:cs="宋体"/>
          <w:sz w:val="20"/>
          <w:szCs w:val="20"/>
          <w:highlight w:val="none"/>
        </w:rPr>
      </w:pPr>
      <w:r>
        <w:rPr>
          <w:rFonts w:ascii="宋体" w:hAnsi="宋体" w:eastAsia="宋体" w:cs="宋体"/>
          <w:sz w:val="20"/>
          <w:szCs w:val="20"/>
          <w:highlight w:val="none"/>
          <w:u w:val="single" w:color="auto"/>
        </w:rPr>
        <w:tab/>
      </w:r>
      <w:r>
        <w:rPr>
          <w:rFonts w:ascii="宋体" w:hAnsi="宋体" w:eastAsia="宋体" w:cs="宋体"/>
          <w:spacing w:val="-29"/>
          <w:sz w:val="20"/>
          <w:szCs w:val="20"/>
          <w:highlight w:val="none"/>
        </w:rPr>
        <w:t>年</w:t>
      </w:r>
      <w:r>
        <w:rPr>
          <w:rFonts w:ascii="宋体" w:hAnsi="宋体" w:eastAsia="宋体" w:cs="宋体"/>
          <w:spacing w:val="-84"/>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99"/>
          <w:sz w:val="20"/>
          <w:szCs w:val="20"/>
          <w:highlight w:val="none"/>
        </w:rPr>
        <w:t xml:space="preserve"> </w:t>
      </w:r>
      <w:r>
        <w:rPr>
          <w:rFonts w:ascii="宋体" w:hAnsi="宋体" w:eastAsia="宋体" w:cs="宋体"/>
          <w:spacing w:val="-29"/>
          <w:sz w:val="20"/>
          <w:szCs w:val="20"/>
          <w:highlight w:val="none"/>
        </w:rPr>
        <w:t>月</w:t>
      </w:r>
      <w:r>
        <w:rPr>
          <w:rFonts w:ascii="宋体" w:hAnsi="宋体" w:eastAsia="宋体" w:cs="宋体"/>
          <w:spacing w:val="12"/>
          <w:sz w:val="20"/>
          <w:szCs w:val="20"/>
          <w:highlight w:val="none"/>
        </w:rPr>
        <w:t xml:space="preserve"> </w:t>
      </w:r>
      <w:r>
        <w:rPr>
          <w:rFonts w:ascii="宋体" w:hAnsi="宋体" w:eastAsia="宋体" w:cs="宋体"/>
          <w:spacing w:val="8"/>
          <w:sz w:val="20"/>
          <w:szCs w:val="20"/>
          <w:highlight w:val="none"/>
          <w:u w:val="single" w:color="auto"/>
        </w:rPr>
        <w:t xml:space="preserve">       </w:t>
      </w:r>
      <w:r>
        <w:rPr>
          <w:rFonts w:ascii="宋体" w:hAnsi="宋体" w:eastAsia="宋体" w:cs="宋体"/>
          <w:spacing w:val="14"/>
          <w:sz w:val="20"/>
          <w:szCs w:val="20"/>
          <w:highlight w:val="none"/>
        </w:rPr>
        <w:t xml:space="preserve"> </w:t>
      </w:r>
      <w:r>
        <w:rPr>
          <w:rFonts w:ascii="宋体" w:hAnsi="宋体" w:eastAsia="宋体" w:cs="宋体"/>
          <w:spacing w:val="-29"/>
          <w:sz w:val="20"/>
          <w:szCs w:val="20"/>
          <w:highlight w:val="none"/>
        </w:rPr>
        <w:t>日</w:t>
      </w:r>
      <w:r>
        <w:rPr>
          <w:rFonts w:ascii="宋体" w:hAnsi="宋体" w:eastAsia="宋体" w:cs="宋体"/>
          <w:spacing w:val="8"/>
          <w:sz w:val="20"/>
          <w:szCs w:val="20"/>
          <w:highlight w:val="none"/>
        </w:rPr>
        <w:t xml:space="preserve">          </w:t>
      </w:r>
      <w:r>
        <w:rPr>
          <w:rFonts w:ascii="宋体" w:hAnsi="宋体" w:eastAsia="宋体" w:cs="宋体"/>
          <w:spacing w:val="6"/>
          <w:sz w:val="20"/>
          <w:szCs w:val="20"/>
          <w:highlight w:val="none"/>
          <w:u w:val="single" w:color="auto"/>
        </w:rPr>
        <w:t xml:space="preserve">        </w:t>
      </w:r>
      <w:r>
        <w:rPr>
          <w:rFonts w:ascii="宋体" w:hAnsi="宋体" w:eastAsia="宋体" w:cs="宋体"/>
          <w:spacing w:val="-76"/>
          <w:sz w:val="20"/>
          <w:szCs w:val="20"/>
          <w:highlight w:val="none"/>
        </w:rPr>
        <w:t xml:space="preserve"> </w:t>
      </w:r>
      <w:r>
        <w:rPr>
          <w:rFonts w:ascii="宋体" w:hAnsi="宋体" w:eastAsia="宋体" w:cs="宋体"/>
          <w:spacing w:val="-29"/>
          <w:sz w:val="20"/>
          <w:szCs w:val="20"/>
          <w:highlight w:val="none"/>
        </w:rPr>
        <w:t>年</w:t>
      </w:r>
      <w:r>
        <w:rPr>
          <w:rFonts w:ascii="宋体" w:hAnsi="宋体" w:eastAsia="宋体" w:cs="宋体"/>
          <w:spacing w:val="4"/>
          <w:sz w:val="20"/>
          <w:szCs w:val="20"/>
          <w:highlight w:val="none"/>
          <w:u w:val="single" w:color="auto"/>
        </w:rPr>
        <w:t xml:space="preserve">         </w:t>
      </w:r>
      <w:r>
        <w:rPr>
          <w:rFonts w:ascii="宋体" w:hAnsi="宋体" w:eastAsia="宋体" w:cs="宋体"/>
          <w:spacing w:val="-29"/>
          <w:sz w:val="20"/>
          <w:szCs w:val="20"/>
          <w:highlight w:val="none"/>
        </w:rPr>
        <w:t>月</w:t>
      </w:r>
      <w:r>
        <w:rPr>
          <w:rFonts w:ascii="宋体" w:hAnsi="宋体" w:eastAsia="宋体" w:cs="宋体"/>
          <w:spacing w:val="16"/>
          <w:sz w:val="20"/>
          <w:szCs w:val="20"/>
          <w:highlight w:val="none"/>
        </w:rPr>
        <w:t xml:space="preserve"> </w:t>
      </w:r>
      <w:r>
        <w:rPr>
          <w:rFonts w:ascii="宋体" w:hAnsi="宋体" w:eastAsia="宋体" w:cs="宋体"/>
          <w:spacing w:val="7"/>
          <w:sz w:val="20"/>
          <w:szCs w:val="20"/>
          <w:highlight w:val="none"/>
          <w:u w:val="single" w:color="auto"/>
        </w:rPr>
        <w:t xml:space="preserve">         </w:t>
      </w:r>
      <w:r>
        <w:rPr>
          <w:rFonts w:ascii="宋体" w:hAnsi="宋体" w:eastAsia="宋体" w:cs="宋体"/>
          <w:spacing w:val="-63"/>
          <w:sz w:val="20"/>
          <w:szCs w:val="20"/>
          <w:highlight w:val="none"/>
        </w:rPr>
        <w:t xml:space="preserve"> </w:t>
      </w:r>
      <w:r>
        <w:rPr>
          <w:rFonts w:ascii="宋体" w:hAnsi="宋体" w:eastAsia="宋体" w:cs="宋体"/>
          <w:spacing w:val="-29"/>
          <w:sz w:val="20"/>
          <w:szCs w:val="20"/>
          <w:highlight w:val="none"/>
        </w:rPr>
        <w:t>日</w:t>
      </w:r>
    </w:p>
    <w:p w14:paraId="5A416B27">
      <w:pPr>
        <w:spacing w:line="219" w:lineRule="auto"/>
        <w:rPr>
          <w:rFonts w:ascii="宋体" w:hAnsi="宋体" w:eastAsia="宋体" w:cs="宋体"/>
          <w:sz w:val="20"/>
          <w:szCs w:val="20"/>
          <w:highlight w:val="none"/>
        </w:rPr>
        <w:sectPr>
          <w:footerReference r:id="rId226" w:type="default"/>
          <w:pgSz w:w="11910" w:h="16840"/>
          <w:pgMar w:top="400" w:right="1719" w:bottom="1176" w:left="1779" w:header="0" w:footer="1026" w:gutter="0"/>
          <w:cols w:space="720" w:num="1"/>
        </w:sectPr>
      </w:pPr>
    </w:p>
    <w:p w14:paraId="707A2828">
      <w:pPr>
        <w:pStyle w:val="2"/>
        <w:spacing w:line="260" w:lineRule="auto"/>
        <w:rPr>
          <w:highlight w:val="none"/>
        </w:rPr>
      </w:pPr>
    </w:p>
    <w:p w14:paraId="5DD14CCD">
      <w:pPr>
        <w:pStyle w:val="2"/>
        <w:spacing w:line="260" w:lineRule="auto"/>
        <w:rPr>
          <w:highlight w:val="none"/>
        </w:rPr>
      </w:pPr>
    </w:p>
    <w:p w14:paraId="042536DA">
      <w:pPr>
        <w:pStyle w:val="2"/>
        <w:spacing w:line="260" w:lineRule="auto"/>
        <w:rPr>
          <w:highlight w:val="none"/>
        </w:rPr>
      </w:pPr>
    </w:p>
    <w:p w14:paraId="171C8494">
      <w:pPr>
        <w:pStyle w:val="2"/>
        <w:spacing w:line="260" w:lineRule="auto"/>
        <w:rPr>
          <w:highlight w:val="none"/>
        </w:rPr>
      </w:pPr>
    </w:p>
    <w:p w14:paraId="04EA99ED">
      <w:pPr>
        <w:pStyle w:val="2"/>
        <w:spacing w:line="260" w:lineRule="auto"/>
        <w:rPr>
          <w:highlight w:val="none"/>
        </w:rPr>
      </w:pPr>
    </w:p>
    <w:p w14:paraId="6C961CD6">
      <w:pPr>
        <w:pStyle w:val="2"/>
        <w:spacing w:line="260" w:lineRule="auto"/>
        <w:rPr>
          <w:highlight w:val="none"/>
        </w:rPr>
      </w:pPr>
    </w:p>
    <w:p w14:paraId="6DD6D073">
      <w:pPr>
        <w:spacing w:before="78" w:line="222" w:lineRule="auto"/>
        <w:rPr>
          <w:rFonts w:ascii="黑体" w:hAnsi="黑体" w:eastAsia="黑体" w:cs="黑体"/>
          <w:sz w:val="24"/>
          <w:szCs w:val="24"/>
          <w:highlight w:val="none"/>
        </w:rPr>
      </w:pPr>
      <w:r>
        <w:rPr>
          <w:rFonts w:ascii="黑体" w:hAnsi="黑体" w:eastAsia="黑体" w:cs="黑体"/>
          <w:spacing w:val="-3"/>
          <w:sz w:val="24"/>
          <w:szCs w:val="24"/>
          <w:highlight w:val="none"/>
        </w:rPr>
        <w:t>附件二：履约担保格式</w:t>
      </w:r>
    </w:p>
    <w:p w14:paraId="2639ED5A">
      <w:pPr>
        <w:pStyle w:val="2"/>
        <w:spacing w:line="439" w:lineRule="auto"/>
        <w:rPr>
          <w:highlight w:val="none"/>
        </w:rPr>
      </w:pPr>
    </w:p>
    <w:p w14:paraId="6D98C5DA">
      <w:pPr>
        <w:spacing w:before="91" w:line="222" w:lineRule="auto"/>
        <w:ind w:left="3590"/>
        <w:rPr>
          <w:rFonts w:ascii="黑体" w:hAnsi="黑体" w:eastAsia="黑体" w:cs="黑体"/>
          <w:sz w:val="28"/>
          <w:szCs w:val="28"/>
          <w:highlight w:val="none"/>
        </w:rPr>
      </w:pPr>
      <w:r>
        <w:rPr>
          <w:rFonts w:ascii="黑体" w:hAnsi="黑体" w:eastAsia="黑体" w:cs="黑体"/>
          <w:spacing w:val="9"/>
          <w:sz w:val="28"/>
          <w:szCs w:val="28"/>
          <w:highlight w:val="none"/>
        </w:rPr>
        <w:t>履约担保</w:t>
      </w:r>
    </w:p>
    <w:p w14:paraId="788096FC">
      <w:pPr>
        <w:pStyle w:val="2"/>
        <w:spacing w:line="265" w:lineRule="auto"/>
        <w:rPr>
          <w:highlight w:val="none"/>
        </w:rPr>
      </w:pPr>
    </w:p>
    <w:p w14:paraId="76046959">
      <w:pPr>
        <w:pStyle w:val="2"/>
        <w:spacing w:line="266" w:lineRule="auto"/>
        <w:rPr>
          <w:highlight w:val="none"/>
        </w:rPr>
      </w:pPr>
    </w:p>
    <w:p w14:paraId="4A309109">
      <w:pPr>
        <w:tabs>
          <w:tab w:val="left" w:pos="2250"/>
        </w:tabs>
        <w:spacing w:before="68" w:line="220" w:lineRule="auto"/>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25"/>
          <w:sz w:val="21"/>
          <w:szCs w:val="21"/>
          <w:highlight w:val="none"/>
        </w:rPr>
        <w:t xml:space="preserve"> </w:t>
      </w:r>
      <w:r>
        <w:rPr>
          <w:rFonts w:ascii="宋体" w:hAnsi="宋体" w:eastAsia="宋体" w:cs="宋体"/>
          <w:spacing w:val="2"/>
          <w:sz w:val="21"/>
          <w:szCs w:val="21"/>
          <w:highlight w:val="none"/>
        </w:rPr>
        <w:t>(发包人名称):</w:t>
      </w:r>
    </w:p>
    <w:p w14:paraId="6F702703">
      <w:pPr>
        <w:pStyle w:val="2"/>
        <w:spacing w:line="267" w:lineRule="auto"/>
        <w:rPr>
          <w:highlight w:val="none"/>
        </w:rPr>
      </w:pPr>
    </w:p>
    <w:p w14:paraId="144B7660">
      <w:pPr>
        <w:pStyle w:val="2"/>
        <w:spacing w:line="268" w:lineRule="auto"/>
        <w:rPr>
          <w:highlight w:val="none"/>
        </w:rPr>
      </w:pPr>
    </w:p>
    <w:p w14:paraId="6AFD4D18">
      <w:pPr>
        <w:spacing w:before="71" w:line="370" w:lineRule="auto"/>
        <w:ind w:firstLine="430"/>
        <w:jc w:val="both"/>
        <w:rPr>
          <w:rFonts w:ascii="宋体" w:hAnsi="宋体" w:eastAsia="宋体" w:cs="宋体"/>
          <w:sz w:val="22"/>
          <w:szCs w:val="22"/>
          <w:highlight w:val="none"/>
        </w:rPr>
      </w:pPr>
      <w:r>
        <w:rPr>
          <w:rFonts w:ascii="宋体" w:hAnsi="宋体" w:eastAsia="宋体" w:cs="宋体"/>
          <w:spacing w:val="-12"/>
          <w:sz w:val="22"/>
          <w:szCs w:val="22"/>
          <w:highlight w:val="none"/>
        </w:rPr>
        <w:t>鉴于</w:t>
      </w:r>
      <w:r>
        <w:rPr>
          <w:rFonts w:ascii="宋体" w:hAnsi="宋体" w:eastAsia="宋体" w:cs="宋体"/>
          <w:spacing w:val="-99"/>
          <w:sz w:val="22"/>
          <w:szCs w:val="22"/>
          <w:highlight w:val="none"/>
        </w:rPr>
        <w:t xml:space="preserve"> </w:t>
      </w:r>
      <w:r>
        <w:rPr>
          <w:rFonts w:ascii="宋体" w:hAnsi="宋体" w:eastAsia="宋体" w:cs="宋体"/>
          <w:spacing w:val="2"/>
          <w:sz w:val="22"/>
          <w:szCs w:val="22"/>
          <w:highlight w:val="none"/>
          <w:u w:val="single" w:color="auto"/>
        </w:rPr>
        <w:t xml:space="preserve">               </w:t>
      </w:r>
      <w:r>
        <w:rPr>
          <w:rFonts w:ascii="宋体" w:hAnsi="宋体" w:eastAsia="宋体" w:cs="宋体"/>
          <w:spacing w:val="-20"/>
          <w:sz w:val="22"/>
          <w:szCs w:val="22"/>
          <w:highlight w:val="none"/>
        </w:rPr>
        <w:t xml:space="preserve"> </w:t>
      </w:r>
      <w:r>
        <w:rPr>
          <w:rFonts w:ascii="宋体" w:hAnsi="宋体" w:eastAsia="宋体" w:cs="宋体"/>
          <w:spacing w:val="-12"/>
          <w:sz w:val="22"/>
          <w:szCs w:val="22"/>
          <w:highlight w:val="none"/>
        </w:rPr>
        <w:t xml:space="preserve">(发包人名称，以下简称“发包人”)接受 </w:t>
      </w:r>
      <w:r>
        <w:rPr>
          <w:rFonts w:ascii="宋体" w:hAnsi="宋体" w:eastAsia="宋体" w:cs="宋体"/>
          <w:spacing w:val="-12"/>
          <w:sz w:val="22"/>
          <w:szCs w:val="22"/>
          <w:highlight w:val="none"/>
          <w:u w:val="single" w:color="auto"/>
        </w:rPr>
        <w:t xml:space="preserve">      </w:t>
      </w:r>
      <w:r>
        <w:rPr>
          <w:rFonts w:ascii="宋体" w:hAnsi="宋体" w:eastAsia="宋体" w:cs="宋体"/>
          <w:spacing w:val="-40"/>
          <w:sz w:val="22"/>
          <w:szCs w:val="22"/>
          <w:highlight w:val="none"/>
        </w:rPr>
        <w:t xml:space="preserve"> </w:t>
      </w:r>
      <w:r>
        <w:rPr>
          <w:rFonts w:ascii="宋体" w:hAnsi="宋体" w:eastAsia="宋体" w:cs="宋体"/>
          <w:spacing w:val="-12"/>
          <w:sz w:val="22"/>
          <w:szCs w:val="22"/>
          <w:highlight w:val="none"/>
        </w:rPr>
        <w:t>(承包人名称，</w:t>
      </w:r>
      <w:r>
        <w:rPr>
          <w:rFonts w:ascii="宋体" w:hAnsi="宋体" w:eastAsia="宋体" w:cs="宋体"/>
          <w:sz w:val="22"/>
          <w:szCs w:val="22"/>
          <w:highlight w:val="none"/>
        </w:rPr>
        <w:t xml:space="preserve"> </w:t>
      </w:r>
      <w:r>
        <w:rPr>
          <w:rFonts w:ascii="宋体" w:hAnsi="宋体" w:eastAsia="宋体" w:cs="宋体"/>
          <w:spacing w:val="-19"/>
          <w:sz w:val="22"/>
          <w:szCs w:val="22"/>
          <w:highlight w:val="none"/>
        </w:rPr>
        <w:t>以下称“承包人”)</w:t>
      </w:r>
      <w:r>
        <w:rPr>
          <w:rFonts w:ascii="宋体" w:hAnsi="宋体" w:eastAsia="宋体" w:cs="宋体"/>
          <w:spacing w:val="-18"/>
          <w:sz w:val="22"/>
          <w:szCs w:val="22"/>
          <w:highlight w:val="none"/>
        </w:rPr>
        <w:t>于</w:t>
      </w:r>
      <w:r>
        <w:rPr>
          <w:rFonts w:ascii="宋体" w:hAnsi="宋体" w:eastAsia="宋体" w:cs="宋体"/>
          <w:spacing w:val="-41"/>
          <w:sz w:val="22"/>
          <w:szCs w:val="22"/>
          <w:highlight w:val="none"/>
        </w:rPr>
        <w:t xml:space="preserve"> </w:t>
      </w:r>
      <w:r>
        <w:rPr>
          <w:rFonts w:ascii="宋体" w:hAnsi="宋体" w:eastAsia="宋体" w:cs="宋体"/>
          <w:spacing w:val="20"/>
          <w:sz w:val="22"/>
          <w:szCs w:val="22"/>
          <w:highlight w:val="none"/>
          <w:u w:val="single" w:color="auto"/>
        </w:rPr>
        <w:t xml:space="preserve">    </w:t>
      </w:r>
      <w:r>
        <w:rPr>
          <w:rFonts w:ascii="宋体" w:hAnsi="宋体" w:eastAsia="宋体" w:cs="宋体"/>
          <w:spacing w:val="-90"/>
          <w:sz w:val="22"/>
          <w:szCs w:val="22"/>
          <w:highlight w:val="none"/>
        </w:rPr>
        <w:t xml:space="preserve"> </w:t>
      </w:r>
      <w:r>
        <w:rPr>
          <w:rFonts w:ascii="宋体" w:hAnsi="宋体" w:eastAsia="宋体" w:cs="宋体"/>
          <w:spacing w:val="-18"/>
          <w:sz w:val="22"/>
          <w:szCs w:val="22"/>
          <w:highlight w:val="none"/>
        </w:rPr>
        <w:t>年</w:t>
      </w:r>
      <w:r>
        <w:rPr>
          <w:rFonts w:ascii="宋体" w:hAnsi="宋体" w:eastAsia="宋体" w:cs="宋体"/>
          <w:spacing w:val="-95"/>
          <w:sz w:val="22"/>
          <w:szCs w:val="22"/>
          <w:highlight w:val="none"/>
        </w:rPr>
        <w:t xml:space="preserve"> </w:t>
      </w:r>
      <w:r>
        <w:rPr>
          <w:rFonts w:ascii="宋体" w:hAnsi="宋体" w:eastAsia="宋体" w:cs="宋体"/>
          <w:spacing w:val="15"/>
          <w:sz w:val="22"/>
          <w:szCs w:val="22"/>
          <w:highlight w:val="none"/>
          <w:u w:val="single" w:color="auto"/>
        </w:rPr>
        <w:t xml:space="preserve">    </w:t>
      </w:r>
      <w:r>
        <w:rPr>
          <w:rFonts w:ascii="宋体" w:hAnsi="宋体" w:eastAsia="宋体" w:cs="宋体"/>
          <w:spacing w:val="-90"/>
          <w:sz w:val="22"/>
          <w:szCs w:val="22"/>
          <w:highlight w:val="none"/>
        </w:rPr>
        <w:t xml:space="preserve"> </w:t>
      </w:r>
      <w:r>
        <w:rPr>
          <w:rFonts w:ascii="宋体" w:hAnsi="宋体" w:eastAsia="宋体" w:cs="宋体"/>
          <w:spacing w:val="-18"/>
          <w:sz w:val="22"/>
          <w:szCs w:val="22"/>
          <w:highlight w:val="none"/>
        </w:rPr>
        <w:t>月</w:t>
      </w:r>
      <w:r>
        <w:rPr>
          <w:rFonts w:ascii="宋体" w:hAnsi="宋体" w:eastAsia="宋体" w:cs="宋体"/>
          <w:spacing w:val="-18"/>
          <w:sz w:val="22"/>
          <w:szCs w:val="22"/>
          <w:highlight w:val="none"/>
          <w:u w:val="single" w:color="auto"/>
        </w:rPr>
        <w:t xml:space="preserve">   </w:t>
      </w:r>
      <w:r>
        <w:rPr>
          <w:rFonts w:ascii="宋体" w:hAnsi="宋体" w:eastAsia="宋体" w:cs="宋体"/>
          <w:spacing w:val="-90"/>
          <w:sz w:val="22"/>
          <w:szCs w:val="22"/>
          <w:highlight w:val="none"/>
        </w:rPr>
        <w:t xml:space="preserve"> </w:t>
      </w:r>
      <w:r>
        <w:rPr>
          <w:rFonts w:ascii="宋体" w:hAnsi="宋体" w:eastAsia="宋体" w:cs="宋体"/>
          <w:spacing w:val="-18"/>
          <w:sz w:val="22"/>
          <w:szCs w:val="22"/>
          <w:highlight w:val="none"/>
        </w:rPr>
        <w:t>日参加</w:t>
      </w:r>
      <w:r>
        <w:rPr>
          <w:rFonts w:ascii="宋体" w:hAnsi="宋体" w:eastAsia="宋体" w:cs="宋体"/>
          <w:spacing w:val="-104"/>
          <w:sz w:val="22"/>
          <w:szCs w:val="22"/>
          <w:highlight w:val="none"/>
        </w:rPr>
        <w:t xml:space="preserve"> </w:t>
      </w:r>
      <w:r>
        <w:rPr>
          <w:rFonts w:ascii="宋体" w:hAnsi="宋体" w:eastAsia="宋体" w:cs="宋体"/>
          <w:spacing w:val="8"/>
          <w:sz w:val="22"/>
          <w:szCs w:val="22"/>
          <w:highlight w:val="none"/>
          <w:u w:val="single" w:color="auto"/>
        </w:rPr>
        <w:t xml:space="preserve">         </w:t>
      </w:r>
      <w:r>
        <w:rPr>
          <w:rFonts w:ascii="宋体" w:hAnsi="宋体" w:eastAsia="宋体" w:cs="宋体"/>
          <w:spacing w:val="-82"/>
          <w:sz w:val="22"/>
          <w:szCs w:val="22"/>
          <w:highlight w:val="none"/>
        </w:rPr>
        <w:t xml:space="preserve"> </w:t>
      </w:r>
      <w:r>
        <w:rPr>
          <w:rFonts w:ascii="宋体" w:hAnsi="宋体" w:eastAsia="宋体" w:cs="宋体"/>
          <w:spacing w:val="-18"/>
          <w:sz w:val="22"/>
          <w:szCs w:val="22"/>
          <w:highlight w:val="none"/>
        </w:rPr>
        <w:t>(项目名称)的投标</w:t>
      </w:r>
      <w:r>
        <w:rPr>
          <w:rFonts w:ascii="宋体" w:hAnsi="宋体" w:eastAsia="宋体" w:cs="宋体"/>
          <w:spacing w:val="-19"/>
          <w:sz w:val="22"/>
          <w:szCs w:val="22"/>
          <w:highlight w:val="none"/>
        </w:rPr>
        <w:t>。我方愿意无</w:t>
      </w:r>
      <w:r>
        <w:rPr>
          <w:rFonts w:ascii="宋体" w:hAnsi="宋体" w:eastAsia="宋体" w:cs="宋体"/>
          <w:spacing w:val="-10"/>
          <w:sz w:val="22"/>
          <w:szCs w:val="22"/>
          <w:highlight w:val="none"/>
        </w:rPr>
        <w:t>条</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件地、不可撤销地就承包人履行与你方订立的</w:t>
      </w:r>
      <w:r>
        <w:rPr>
          <w:rFonts w:ascii="宋体" w:hAnsi="宋体" w:eastAsia="宋体" w:cs="宋体"/>
          <w:spacing w:val="-11"/>
          <w:sz w:val="22"/>
          <w:szCs w:val="22"/>
          <w:highlight w:val="none"/>
        </w:rPr>
        <w:t>合同，向你方提供担保。</w:t>
      </w:r>
    </w:p>
    <w:p w14:paraId="1C67B014">
      <w:pPr>
        <w:spacing w:before="34" w:line="219" w:lineRule="auto"/>
        <w:ind w:left="430"/>
        <w:rPr>
          <w:rFonts w:ascii="宋体" w:hAnsi="宋体" w:eastAsia="宋体" w:cs="宋体"/>
          <w:sz w:val="20"/>
          <w:szCs w:val="20"/>
          <w:highlight w:val="none"/>
        </w:rPr>
      </w:pPr>
      <w:r>
        <w:rPr>
          <w:rFonts w:ascii="Times New Roman" w:hAnsi="Times New Roman" w:eastAsia="Times New Roman" w:cs="Times New Roman"/>
          <w:spacing w:val="12"/>
          <w:sz w:val="20"/>
          <w:szCs w:val="20"/>
          <w:highlight w:val="none"/>
        </w:rPr>
        <w:t>1.</w:t>
      </w:r>
      <w:r>
        <w:rPr>
          <w:rFonts w:ascii="Times New Roman" w:hAnsi="Times New Roman" w:eastAsia="Times New Roman" w:cs="Times New Roman"/>
          <w:spacing w:val="1"/>
          <w:sz w:val="20"/>
          <w:szCs w:val="20"/>
          <w:highlight w:val="none"/>
        </w:rPr>
        <w:t xml:space="preserve">  </w:t>
      </w:r>
      <w:r>
        <w:rPr>
          <w:rFonts w:ascii="宋体" w:hAnsi="宋体" w:eastAsia="宋体" w:cs="宋体"/>
          <w:spacing w:val="12"/>
          <w:sz w:val="20"/>
          <w:szCs w:val="20"/>
          <w:highlight w:val="none"/>
        </w:rPr>
        <w:t>担保金额人民币(大写)</w:t>
      </w:r>
      <w:r>
        <w:rPr>
          <w:rFonts w:ascii="宋体" w:hAnsi="宋体" w:eastAsia="宋体" w:cs="宋体"/>
          <w:spacing w:val="-53"/>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45"/>
          <w:sz w:val="20"/>
          <w:szCs w:val="20"/>
          <w:highlight w:val="none"/>
        </w:rPr>
        <w:t xml:space="preserve"> </w:t>
      </w:r>
      <w:r>
        <w:rPr>
          <w:rFonts w:ascii="宋体" w:hAnsi="宋体" w:eastAsia="宋体" w:cs="宋体"/>
          <w:spacing w:val="12"/>
          <w:sz w:val="20"/>
          <w:szCs w:val="20"/>
          <w:highlight w:val="none"/>
        </w:rPr>
        <w:t>(¥</w:t>
      </w:r>
      <w:r>
        <w:rPr>
          <w:rFonts w:ascii="宋体" w:hAnsi="宋体" w:eastAsia="宋体" w:cs="宋体"/>
          <w:spacing w:val="-47"/>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85"/>
          <w:sz w:val="20"/>
          <w:szCs w:val="20"/>
          <w:highlight w:val="none"/>
        </w:rPr>
        <w:t xml:space="preserve"> </w:t>
      </w:r>
      <w:r>
        <w:rPr>
          <w:rFonts w:ascii="宋体" w:hAnsi="宋体" w:eastAsia="宋体" w:cs="宋体"/>
          <w:spacing w:val="12"/>
          <w:sz w:val="20"/>
          <w:szCs w:val="20"/>
          <w:highlight w:val="none"/>
        </w:rPr>
        <w:t>)。</w:t>
      </w:r>
    </w:p>
    <w:p w14:paraId="3093C2FC">
      <w:pPr>
        <w:spacing w:before="173" w:line="300" w:lineRule="auto"/>
        <w:ind w:right="164" w:firstLine="4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 xml:space="preserve">2.  </w:t>
      </w:r>
      <w:r>
        <w:rPr>
          <w:rFonts w:ascii="宋体" w:hAnsi="宋体" w:eastAsia="宋体" w:cs="宋体"/>
          <w:spacing w:val="-8"/>
          <w:sz w:val="22"/>
          <w:szCs w:val="22"/>
          <w:highlight w:val="none"/>
        </w:rPr>
        <w:t>担保有效期自发包人与承包人签订的合同生效之日起至发包人签</w:t>
      </w:r>
      <w:r>
        <w:rPr>
          <w:rFonts w:ascii="宋体" w:hAnsi="宋体" w:eastAsia="宋体" w:cs="宋体"/>
          <w:spacing w:val="-9"/>
          <w:sz w:val="22"/>
          <w:szCs w:val="22"/>
          <w:highlight w:val="none"/>
        </w:rPr>
        <w:t>发工程接收证书之</w:t>
      </w:r>
      <w:r>
        <w:rPr>
          <w:rFonts w:ascii="宋体" w:hAnsi="宋体" w:eastAsia="宋体" w:cs="宋体"/>
          <w:sz w:val="22"/>
          <w:szCs w:val="22"/>
          <w:highlight w:val="none"/>
        </w:rPr>
        <w:t xml:space="preserve"> </w:t>
      </w:r>
      <w:r>
        <w:rPr>
          <w:rFonts w:ascii="宋体" w:hAnsi="宋体" w:eastAsia="宋体" w:cs="宋体"/>
          <w:spacing w:val="-18"/>
          <w:sz w:val="22"/>
          <w:szCs w:val="22"/>
          <w:highlight w:val="none"/>
        </w:rPr>
        <w:t>日止。</w:t>
      </w:r>
    </w:p>
    <w:p w14:paraId="4E6FF36F">
      <w:pPr>
        <w:spacing w:before="175" w:line="323" w:lineRule="auto"/>
        <w:ind w:right="136" w:firstLine="430"/>
        <w:rPr>
          <w:rFonts w:ascii="宋体" w:hAnsi="宋体" w:eastAsia="宋体" w:cs="宋体"/>
          <w:sz w:val="20"/>
          <w:szCs w:val="20"/>
          <w:highlight w:val="none"/>
        </w:rPr>
      </w:pPr>
      <w:r>
        <w:rPr>
          <w:rFonts w:ascii="Times New Roman" w:hAnsi="Times New Roman" w:eastAsia="Times New Roman" w:cs="Times New Roman"/>
          <w:spacing w:val="11"/>
          <w:sz w:val="20"/>
          <w:szCs w:val="20"/>
          <w:highlight w:val="none"/>
        </w:rPr>
        <w:t>3.</w:t>
      </w:r>
      <w:r>
        <w:rPr>
          <w:rFonts w:ascii="Times New Roman" w:hAnsi="Times New Roman" w:eastAsia="Times New Roman" w:cs="Times New Roman"/>
          <w:spacing w:val="19"/>
          <w:sz w:val="20"/>
          <w:szCs w:val="20"/>
          <w:highlight w:val="none"/>
        </w:rPr>
        <w:t xml:space="preserve">  </w:t>
      </w:r>
      <w:r>
        <w:rPr>
          <w:rFonts w:ascii="宋体" w:hAnsi="宋体" w:eastAsia="宋体" w:cs="宋体"/>
          <w:spacing w:val="11"/>
          <w:sz w:val="20"/>
          <w:szCs w:val="20"/>
          <w:highlight w:val="none"/>
        </w:rPr>
        <w:t>担保有效期自发包人与承包人签订的合同生效之日起至承</w:t>
      </w:r>
      <w:r>
        <w:rPr>
          <w:rFonts w:ascii="宋体" w:hAnsi="宋体" w:eastAsia="宋体" w:cs="宋体"/>
          <w:spacing w:val="10"/>
          <w:sz w:val="20"/>
          <w:szCs w:val="20"/>
          <w:highlight w:val="none"/>
        </w:rPr>
        <w:t>包人通过竣工后试验之日</w:t>
      </w:r>
      <w:r>
        <w:rPr>
          <w:rFonts w:ascii="宋体" w:hAnsi="宋体" w:eastAsia="宋体" w:cs="宋体"/>
          <w:sz w:val="20"/>
          <w:szCs w:val="20"/>
          <w:highlight w:val="none"/>
        </w:rPr>
        <w:t xml:space="preserve"> 止。</w:t>
      </w:r>
    </w:p>
    <w:p w14:paraId="60A8B5C0">
      <w:pPr>
        <w:spacing w:before="161" w:line="294" w:lineRule="auto"/>
        <w:ind w:right="141" w:firstLine="4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4.</w:t>
      </w:r>
      <w:r>
        <w:rPr>
          <w:rFonts w:ascii="Times New Roman" w:hAnsi="Times New Roman" w:eastAsia="Times New Roman" w:cs="Times New Roman"/>
          <w:spacing w:val="54"/>
          <w:w w:val="101"/>
          <w:sz w:val="22"/>
          <w:szCs w:val="22"/>
          <w:highlight w:val="none"/>
        </w:rPr>
        <w:t xml:space="preserve"> </w:t>
      </w:r>
      <w:r>
        <w:rPr>
          <w:rFonts w:ascii="宋体" w:hAnsi="宋体" w:eastAsia="宋体" w:cs="宋体"/>
          <w:spacing w:val="-8"/>
          <w:sz w:val="22"/>
          <w:szCs w:val="22"/>
          <w:highlight w:val="none"/>
        </w:rPr>
        <w:t>在本担保有效期内，因承包人违反合同约定的义务给你方造成经济损失时，我方在</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收到你方以书面形式提出的在担保金额内的赔偿要求后，在7天内支付。</w:t>
      </w:r>
    </w:p>
    <w:p w14:paraId="6900FF97">
      <w:pPr>
        <w:spacing w:before="200" w:line="303" w:lineRule="auto"/>
        <w:ind w:right="112" w:firstLine="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5.  </w:t>
      </w:r>
      <w:r>
        <w:rPr>
          <w:rFonts w:ascii="宋体" w:hAnsi="宋体" w:eastAsia="宋体" w:cs="宋体"/>
          <w:spacing w:val="2"/>
          <w:sz w:val="21"/>
          <w:szCs w:val="21"/>
          <w:highlight w:val="none"/>
        </w:rPr>
        <w:t>发包人和承包人按《通用合同条款》第15条变更合同时，我方承担本担保规定的义</w:t>
      </w:r>
      <w:r>
        <w:rPr>
          <w:rFonts w:ascii="宋体" w:hAnsi="宋体" w:eastAsia="宋体" w:cs="宋体"/>
          <w:spacing w:val="15"/>
          <w:sz w:val="21"/>
          <w:szCs w:val="21"/>
          <w:highlight w:val="none"/>
        </w:rPr>
        <w:t xml:space="preserve"> </w:t>
      </w:r>
      <w:r>
        <w:rPr>
          <w:rFonts w:ascii="宋体" w:hAnsi="宋体" w:eastAsia="宋体" w:cs="宋体"/>
          <w:spacing w:val="-8"/>
          <w:sz w:val="21"/>
          <w:szCs w:val="21"/>
          <w:highlight w:val="none"/>
        </w:rPr>
        <w:t>务不变。</w:t>
      </w:r>
    </w:p>
    <w:p w14:paraId="7F284815">
      <w:pPr>
        <w:pStyle w:val="2"/>
        <w:spacing w:line="343" w:lineRule="auto"/>
        <w:rPr>
          <w:highlight w:val="none"/>
        </w:rPr>
      </w:pPr>
    </w:p>
    <w:p w14:paraId="11B9BC76">
      <w:pPr>
        <w:pStyle w:val="2"/>
        <w:spacing w:line="344" w:lineRule="auto"/>
        <w:rPr>
          <w:highlight w:val="none"/>
        </w:rPr>
      </w:pPr>
    </w:p>
    <w:p w14:paraId="4FC47612">
      <w:pPr>
        <w:spacing w:before="68" w:line="219" w:lineRule="auto"/>
        <w:ind w:left="3440"/>
        <w:rPr>
          <w:rFonts w:ascii="宋体" w:hAnsi="宋体" w:eastAsia="宋体" w:cs="宋体"/>
          <w:sz w:val="21"/>
          <w:szCs w:val="21"/>
          <w:highlight w:val="none"/>
        </w:rPr>
      </w:pPr>
      <w:r>
        <w:rPr>
          <w:rFonts w:ascii="宋体" w:hAnsi="宋体" w:eastAsia="宋体" w:cs="宋体"/>
          <w:spacing w:val="-3"/>
          <w:sz w:val="21"/>
          <w:szCs w:val="21"/>
          <w:highlight w:val="none"/>
        </w:rPr>
        <w:t>担</w:t>
      </w:r>
      <w:r>
        <w:rPr>
          <w:rFonts w:ascii="宋体" w:hAnsi="宋体" w:eastAsia="宋体" w:cs="宋体"/>
          <w:spacing w:val="-19"/>
          <w:sz w:val="21"/>
          <w:szCs w:val="21"/>
          <w:highlight w:val="none"/>
        </w:rPr>
        <w:t xml:space="preserve"> </w:t>
      </w:r>
      <w:r>
        <w:rPr>
          <w:rFonts w:ascii="宋体" w:hAnsi="宋体" w:eastAsia="宋体" w:cs="宋体"/>
          <w:spacing w:val="-3"/>
          <w:sz w:val="21"/>
          <w:szCs w:val="21"/>
          <w:highlight w:val="none"/>
        </w:rPr>
        <w:t>保 人</w:t>
      </w:r>
      <w:r>
        <w:rPr>
          <w:rFonts w:ascii="宋体" w:hAnsi="宋体" w:eastAsia="宋体" w:cs="宋体"/>
          <w:spacing w:val="-28"/>
          <w:sz w:val="21"/>
          <w:szCs w:val="21"/>
          <w:highlight w:val="none"/>
        </w:rPr>
        <w:t xml:space="preserve"> </w:t>
      </w:r>
      <w:r>
        <w:rPr>
          <w:rFonts w:ascii="宋体" w:hAnsi="宋体" w:eastAsia="宋体" w:cs="宋体"/>
          <w:spacing w:val="-3"/>
          <w:sz w:val="21"/>
          <w:szCs w:val="21"/>
          <w:highlight w:val="none"/>
        </w:rPr>
        <w:t>：</w:t>
      </w:r>
      <w:r>
        <w:rPr>
          <w:rFonts w:ascii="宋体" w:hAnsi="宋体" w:eastAsia="宋体" w:cs="宋体"/>
          <w:spacing w:val="-3"/>
          <w:sz w:val="21"/>
          <w:szCs w:val="21"/>
          <w:highlight w:val="none"/>
          <w:u w:val="single" w:color="auto"/>
        </w:rPr>
        <w:t xml:space="preserve">                         </w:t>
      </w:r>
      <w:r>
        <w:rPr>
          <w:rFonts w:ascii="宋体" w:hAnsi="宋体" w:eastAsia="宋体" w:cs="宋体"/>
          <w:spacing w:val="-3"/>
          <w:sz w:val="21"/>
          <w:szCs w:val="21"/>
          <w:highlight w:val="none"/>
        </w:rPr>
        <w:t xml:space="preserve"> (盖单</w:t>
      </w:r>
      <w:r>
        <w:rPr>
          <w:rFonts w:ascii="宋体" w:hAnsi="宋体" w:eastAsia="宋体" w:cs="宋体"/>
          <w:spacing w:val="-4"/>
          <w:sz w:val="21"/>
          <w:szCs w:val="21"/>
          <w:highlight w:val="none"/>
        </w:rPr>
        <w:t>位章)</w:t>
      </w:r>
    </w:p>
    <w:p w14:paraId="36DB635D">
      <w:pPr>
        <w:pStyle w:val="2"/>
        <w:spacing w:line="282" w:lineRule="auto"/>
        <w:rPr>
          <w:highlight w:val="none"/>
        </w:rPr>
      </w:pPr>
    </w:p>
    <w:p w14:paraId="54E30FBC">
      <w:pPr>
        <w:spacing w:before="69" w:line="219" w:lineRule="auto"/>
        <w:ind w:left="3440"/>
        <w:rPr>
          <w:rFonts w:ascii="宋体" w:hAnsi="宋体" w:eastAsia="宋体" w:cs="宋体"/>
          <w:sz w:val="21"/>
          <w:szCs w:val="21"/>
          <w:highlight w:val="none"/>
        </w:rPr>
      </w:pPr>
      <w:r>
        <w:rPr>
          <w:rFonts w:ascii="宋体" w:hAnsi="宋体" w:eastAsia="宋体" w:cs="宋体"/>
          <w:spacing w:val="1"/>
          <w:sz w:val="21"/>
          <w:szCs w:val="21"/>
          <w:highlight w:val="none"/>
        </w:rPr>
        <w:t>法定代表人或其委托代理人：</w:t>
      </w:r>
      <w:r>
        <w:rPr>
          <w:rFonts w:ascii="宋体" w:hAnsi="宋体" w:eastAsia="宋体" w:cs="宋体"/>
          <w:spacing w:val="-85"/>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 xml:space="preserve"> (签字)</w:t>
      </w:r>
    </w:p>
    <w:p w14:paraId="237B3B91">
      <w:pPr>
        <w:pStyle w:val="2"/>
        <w:spacing w:line="290" w:lineRule="auto"/>
        <w:rPr>
          <w:highlight w:val="none"/>
        </w:rPr>
      </w:pPr>
    </w:p>
    <w:p w14:paraId="5250D6CC">
      <w:pPr>
        <w:spacing w:before="69" w:line="229" w:lineRule="auto"/>
        <w:ind w:left="3440"/>
        <w:rPr>
          <w:rFonts w:ascii="宋体" w:hAnsi="宋体" w:eastAsia="宋体" w:cs="宋体"/>
          <w:sz w:val="21"/>
          <w:szCs w:val="21"/>
          <w:highlight w:val="none"/>
        </w:rPr>
      </w:pPr>
      <w:r>
        <w:rPr>
          <w:rFonts w:ascii="宋体" w:hAnsi="宋体" w:eastAsia="宋体" w:cs="宋体"/>
          <w:spacing w:val="-10"/>
          <w:sz w:val="21"/>
          <w:szCs w:val="21"/>
          <w:highlight w:val="none"/>
        </w:rPr>
        <w:t>地</w:t>
      </w:r>
      <w:r>
        <w:rPr>
          <w:rFonts w:ascii="宋体" w:hAnsi="宋体" w:eastAsia="宋体" w:cs="宋体"/>
          <w:spacing w:val="4"/>
          <w:sz w:val="21"/>
          <w:szCs w:val="21"/>
          <w:highlight w:val="none"/>
        </w:rPr>
        <w:t xml:space="preserve">    </w:t>
      </w:r>
      <w:r>
        <w:rPr>
          <w:rFonts w:ascii="宋体" w:hAnsi="宋体" w:eastAsia="宋体" w:cs="宋体"/>
          <w:spacing w:val="-10"/>
          <w:sz w:val="21"/>
          <w:szCs w:val="21"/>
          <w:highlight w:val="none"/>
        </w:rPr>
        <w:t>址：</w:t>
      </w:r>
      <w:r>
        <w:rPr>
          <w:rFonts w:ascii="宋体" w:hAnsi="宋体" w:eastAsia="宋体" w:cs="宋体"/>
          <w:sz w:val="21"/>
          <w:szCs w:val="21"/>
          <w:highlight w:val="none"/>
          <w:u w:val="single" w:color="auto"/>
        </w:rPr>
        <w:t xml:space="preserve">                                     </w:t>
      </w:r>
    </w:p>
    <w:p w14:paraId="50C2D581">
      <w:pPr>
        <w:pStyle w:val="2"/>
        <w:spacing w:line="259" w:lineRule="auto"/>
        <w:rPr>
          <w:highlight w:val="none"/>
        </w:rPr>
      </w:pPr>
    </w:p>
    <w:p w14:paraId="0DDE4CC6">
      <w:pPr>
        <w:spacing w:before="69" w:line="219" w:lineRule="auto"/>
        <w:ind w:left="3440"/>
        <w:rPr>
          <w:rFonts w:ascii="宋体" w:hAnsi="宋体" w:eastAsia="宋体" w:cs="宋体"/>
          <w:sz w:val="21"/>
          <w:szCs w:val="21"/>
          <w:highlight w:val="none"/>
        </w:rPr>
      </w:pPr>
      <w:r>
        <w:rPr>
          <w:rFonts w:ascii="宋体" w:hAnsi="宋体" w:eastAsia="宋体" w:cs="宋体"/>
          <w:spacing w:val="-1"/>
          <w:sz w:val="21"/>
          <w:szCs w:val="21"/>
          <w:highlight w:val="none"/>
        </w:rPr>
        <w:t>邮政编码：</w:t>
      </w:r>
      <w:r>
        <w:rPr>
          <w:rFonts w:ascii="宋体" w:hAnsi="宋体" w:eastAsia="宋体" w:cs="宋体"/>
          <w:spacing w:val="-1"/>
          <w:sz w:val="21"/>
          <w:szCs w:val="21"/>
          <w:highlight w:val="none"/>
          <w:u w:val="single" w:color="auto"/>
        </w:rPr>
        <w:t xml:space="preserve">                                    </w:t>
      </w:r>
    </w:p>
    <w:p w14:paraId="3CF49FF2">
      <w:pPr>
        <w:pStyle w:val="2"/>
        <w:spacing w:line="293" w:lineRule="auto"/>
        <w:rPr>
          <w:highlight w:val="none"/>
        </w:rPr>
      </w:pPr>
    </w:p>
    <w:p w14:paraId="583BB2AB">
      <w:pPr>
        <w:spacing w:before="69" w:line="221" w:lineRule="auto"/>
        <w:ind w:left="3440"/>
        <w:rPr>
          <w:rFonts w:ascii="宋体" w:hAnsi="宋体" w:eastAsia="宋体" w:cs="宋体"/>
          <w:sz w:val="21"/>
          <w:szCs w:val="21"/>
          <w:highlight w:val="none"/>
        </w:rPr>
      </w:pPr>
      <w:r>
        <w:rPr>
          <w:rFonts w:ascii="宋体" w:hAnsi="宋体" w:eastAsia="宋体" w:cs="宋体"/>
          <w:spacing w:val="-8"/>
          <w:sz w:val="21"/>
          <w:szCs w:val="21"/>
          <w:highlight w:val="none"/>
        </w:rPr>
        <w:t>电</w:t>
      </w:r>
      <w:r>
        <w:rPr>
          <w:rFonts w:ascii="宋体" w:hAnsi="宋体" w:eastAsia="宋体" w:cs="宋体"/>
          <w:spacing w:val="5"/>
          <w:sz w:val="21"/>
          <w:szCs w:val="21"/>
          <w:highlight w:val="none"/>
        </w:rPr>
        <w:t xml:space="preserve">    </w:t>
      </w:r>
      <w:r>
        <w:rPr>
          <w:rFonts w:ascii="宋体" w:hAnsi="宋体" w:eastAsia="宋体" w:cs="宋体"/>
          <w:spacing w:val="-8"/>
          <w:sz w:val="21"/>
          <w:szCs w:val="21"/>
          <w:highlight w:val="none"/>
        </w:rPr>
        <w:t>话：</w:t>
      </w:r>
      <w:r>
        <w:rPr>
          <w:rFonts w:ascii="宋体" w:hAnsi="宋体" w:eastAsia="宋体" w:cs="宋体"/>
          <w:sz w:val="21"/>
          <w:szCs w:val="21"/>
          <w:highlight w:val="none"/>
          <w:u w:val="single" w:color="auto"/>
        </w:rPr>
        <w:t xml:space="preserve">                                    </w:t>
      </w:r>
    </w:p>
    <w:p w14:paraId="5091CCEE">
      <w:pPr>
        <w:pStyle w:val="2"/>
        <w:spacing w:line="251" w:lineRule="auto"/>
        <w:rPr>
          <w:highlight w:val="none"/>
        </w:rPr>
      </w:pPr>
    </w:p>
    <w:p w14:paraId="73CF1293">
      <w:pPr>
        <w:tabs>
          <w:tab w:val="left" w:pos="5460"/>
        </w:tabs>
        <w:spacing w:before="75" w:line="213" w:lineRule="auto"/>
        <w:ind w:left="4400"/>
        <w:rPr>
          <w:rFonts w:ascii="宋体" w:hAnsi="宋体" w:eastAsia="宋体" w:cs="宋体"/>
          <w:sz w:val="23"/>
          <w:szCs w:val="23"/>
          <w:highlight w:val="none"/>
        </w:rPr>
      </w:pPr>
      <w:r>
        <w:rPr>
          <w:rFonts w:ascii="宋体" w:hAnsi="宋体" w:eastAsia="宋体" w:cs="宋体"/>
          <w:sz w:val="23"/>
          <w:szCs w:val="23"/>
          <w:highlight w:val="none"/>
          <w:u w:val="single" w:color="auto"/>
        </w:rPr>
        <w:tab/>
      </w:r>
      <w:r>
        <w:rPr>
          <w:rFonts w:ascii="宋体" w:hAnsi="宋体" w:eastAsia="宋体" w:cs="宋体"/>
          <w:spacing w:val="-8"/>
          <w:w w:val="54"/>
          <w:sz w:val="23"/>
          <w:szCs w:val="23"/>
          <w:highlight w:val="none"/>
          <w:u w:val="single" w:color="auto"/>
        </w:rPr>
        <w:t>年</w:t>
      </w:r>
      <w:r>
        <w:rPr>
          <w:rFonts w:ascii="宋体" w:hAnsi="宋体" w:eastAsia="宋体" w:cs="宋体"/>
          <w:spacing w:val="5"/>
          <w:sz w:val="23"/>
          <w:szCs w:val="23"/>
          <w:highlight w:val="none"/>
          <w:u w:val="single" w:color="auto"/>
        </w:rPr>
        <w:t xml:space="preserve">        </w:t>
      </w:r>
      <w:r>
        <w:rPr>
          <w:rFonts w:ascii="宋体" w:hAnsi="宋体" w:eastAsia="宋体" w:cs="宋体"/>
          <w:spacing w:val="-8"/>
          <w:w w:val="54"/>
          <w:sz w:val="23"/>
          <w:szCs w:val="23"/>
          <w:highlight w:val="none"/>
        </w:rPr>
        <w:t>_月</w:t>
      </w:r>
      <w:r>
        <w:rPr>
          <w:rFonts w:ascii="宋体" w:hAnsi="宋体" w:eastAsia="宋体" w:cs="宋体"/>
          <w:spacing w:val="7"/>
          <w:sz w:val="23"/>
          <w:szCs w:val="23"/>
          <w:highlight w:val="none"/>
          <w:u w:val="single" w:color="auto"/>
        </w:rPr>
        <w:t xml:space="preserve">       </w:t>
      </w:r>
      <w:r>
        <w:rPr>
          <w:rFonts w:ascii="宋体" w:hAnsi="宋体" w:eastAsia="宋体" w:cs="宋体"/>
          <w:spacing w:val="-100"/>
          <w:sz w:val="23"/>
          <w:szCs w:val="23"/>
          <w:highlight w:val="none"/>
        </w:rPr>
        <w:t xml:space="preserve"> </w:t>
      </w:r>
      <w:r>
        <w:rPr>
          <w:rFonts w:ascii="宋体" w:hAnsi="宋体" w:eastAsia="宋体" w:cs="宋体"/>
          <w:spacing w:val="3"/>
          <w:sz w:val="23"/>
          <w:szCs w:val="23"/>
          <w:highlight w:val="none"/>
        </w:rPr>
        <w:t>日</w:t>
      </w:r>
    </w:p>
    <w:p w14:paraId="2B814F85">
      <w:pPr>
        <w:spacing w:before="231" w:line="219" w:lineRule="auto"/>
        <w:rPr>
          <w:rFonts w:ascii="宋体" w:hAnsi="宋体" w:eastAsia="宋体" w:cs="宋体"/>
          <w:sz w:val="20"/>
          <w:szCs w:val="20"/>
          <w:highlight w:val="none"/>
        </w:rPr>
      </w:pPr>
      <w:r>
        <w:rPr>
          <w:rFonts w:ascii="宋体" w:hAnsi="宋体" w:eastAsia="宋体" w:cs="宋体"/>
          <w:spacing w:val="8"/>
          <w:sz w:val="20"/>
          <w:szCs w:val="20"/>
          <w:highlight w:val="none"/>
        </w:rPr>
        <w:t>注：委托代理人应附授权委托书。</w:t>
      </w:r>
    </w:p>
    <w:p w14:paraId="08284A21">
      <w:pPr>
        <w:spacing w:line="219" w:lineRule="auto"/>
        <w:rPr>
          <w:rFonts w:ascii="宋体" w:hAnsi="宋体" w:eastAsia="宋体" w:cs="宋体"/>
          <w:sz w:val="20"/>
          <w:szCs w:val="20"/>
          <w:highlight w:val="none"/>
        </w:rPr>
        <w:sectPr>
          <w:footerReference r:id="rId227" w:type="default"/>
          <w:pgSz w:w="11910" w:h="16840"/>
          <w:pgMar w:top="400" w:right="1687" w:bottom="1184" w:left="1759" w:header="0" w:footer="1024" w:gutter="0"/>
          <w:cols w:space="720" w:num="1"/>
        </w:sectPr>
      </w:pPr>
    </w:p>
    <w:p w14:paraId="78869467">
      <w:pPr>
        <w:pStyle w:val="2"/>
        <w:spacing w:line="258" w:lineRule="auto"/>
        <w:rPr>
          <w:highlight w:val="none"/>
        </w:rPr>
      </w:pPr>
    </w:p>
    <w:p w14:paraId="086EA0F5">
      <w:pPr>
        <w:pStyle w:val="2"/>
        <w:spacing w:line="258" w:lineRule="auto"/>
        <w:rPr>
          <w:highlight w:val="none"/>
        </w:rPr>
      </w:pPr>
    </w:p>
    <w:p w14:paraId="095BCC2E">
      <w:pPr>
        <w:pStyle w:val="2"/>
        <w:spacing w:line="258" w:lineRule="auto"/>
        <w:rPr>
          <w:highlight w:val="none"/>
        </w:rPr>
      </w:pPr>
    </w:p>
    <w:p w14:paraId="0986D4FF">
      <w:pPr>
        <w:pStyle w:val="2"/>
        <w:spacing w:line="258" w:lineRule="auto"/>
        <w:rPr>
          <w:highlight w:val="none"/>
        </w:rPr>
      </w:pPr>
    </w:p>
    <w:p w14:paraId="4D68C99C">
      <w:pPr>
        <w:pStyle w:val="2"/>
        <w:spacing w:line="258" w:lineRule="auto"/>
        <w:rPr>
          <w:highlight w:val="none"/>
        </w:rPr>
      </w:pPr>
    </w:p>
    <w:p w14:paraId="4EA37A8A">
      <w:pPr>
        <w:pStyle w:val="2"/>
        <w:spacing w:line="259" w:lineRule="auto"/>
        <w:rPr>
          <w:highlight w:val="none"/>
        </w:rPr>
      </w:pPr>
    </w:p>
    <w:p w14:paraId="3FC57938">
      <w:pPr>
        <w:pStyle w:val="2"/>
        <w:spacing w:line="259" w:lineRule="auto"/>
        <w:rPr>
          <w:highlight w:val="none"/>
        </w:rPr>
      </w:pPr>
    </w:p>
    <w:p w14:paraId="0BAA89CA">
      <w:pPr>
        <w:pStyle w:val="2"/>
        <w:spacing w:line="259" w:lineRule="auto"/>
        <w:rPr>
          <w:highlight w:val="none"/>
        </w:rPr>
      </w:pPr>
    </w:p>
    <w:p w14:paraId="15EA08B4">
      <w:pPr>
        <w:pStyle w:val="2"/>
        <w:spacing w:line="259" w:lineRule="auto"/>
        <w:rPr>
          <w:highlight w:val="none"/>
        </w:rPr>
      </w:pPr>
    </w:p>
    <w:p w14:paraId="73FAD523">
      <w:pPr>
        <w:spacing w:before="78" w:line="222" w:lineRule="auto"/>
        <w:ind w:left="10"/>
        <w:rPr>
          <w:rFonts w:ascii="黑体" w:hAnsi="黑体" w:eastAsia="黑体" w:cs="黑体"/>
          <w:sz w:val="24"/>
          <w:szCs w:val="24"/>
          <w:highlight w:val="none"/>
        </w:rPr>
      </w:pPr>
      <w:r>
        <w:rPr>
          <w:rFonts w:ascii="黑体" w:hAnsi="黑体" w:eastAsia="黑体" w:cs="黑体"/>
          <w:spacing w:val="-2"/>
          <w:sz w:val="24"/>
          <w:szCs w:val="24"/>
          <w:highlight w:val="none"/>
        </w:rPr>
        <w:t>附件三：预付款担保格式</w:t>
      </w:r>
    </w:p>
    <w:p w14:paraId="193BFA9D">
      <w:pPr>
        <w:pStyle w:val="2"/>
        <w:spacing w:line="419" w:lineRule="auto"/>
        <w:rPr>
          <w:highlight w:val="none"/>
        </w:rPr>
      </w:pPr>
    </w:p>
    <w:p w14:paraId="56370610">
      <w:pPr>
        <w:spacing w:before="91" w:line="222" w:lineRule="auto"/>
        <w:ind w:left="3450"/>
        <w:rPr>
          <w:rFonts w:ascii="黑体" w:hAnsi="黑体" w:eastAsia="黑体" w:cs="黑体"/>
          <w:sz w:val="28"/>
          <w:szCs w:val="28"/>
          <w:highlight w:val="none"/>
        </w:rPr>
      </w:pPr>
      <w:r>
        <w:rPr>
          <w:rFonts w:ascii="黑体" w:hAnsi="黑体" w:eastAsia="黑体" w:cs="黑体"/>
          <w:spacing w:val="7"/>
          <w:sz w:val="28"/>
          <w:szCs w:val="28"/>
          <w:highlight w:val="none"/>
        </w:rPr>
        <w:t>预付款担保</w:t>
      </w:r>
    </w:p>
    <w:p w14:paraId="2CB7973E">
      <w:pPr>
        <w:pStyle w:val="2"/>
        <w:spacing w:line="272" w:lineRule="auto"/>
        <w:rPr>
          <w:highlight w:val="none"/>
        </w:rPr>
      </w:pPr>
    </w:p>
    <w:p w14:paraId="5DAD2224">
      <w:pPr>
        <w:pStyle w:val="2"/>
        <w:spacing w:line="272" w:lineRule="auto"/>
        <w:rPr>
          <w:highlight w:val="none"/>
        </w:rPr>
      </w:pPr>
    </w:p>
    <w:p w14:paraId="3A2C6EAC">
      <w:pPr>
        <w:tabs>
          <w:tab w:val="left" w:pos="2240"/>
        </w:tabs>
        <w:spacing w:before="65" w:line="220" w:lineRule="auto"/>
        <w:rPr>
          <w:rFonts w:ascii="宋体" w:hAnsi="宋体" w:eastAsia="宋体" w:cs="宋体"/>
          <w:sz w:val="20"/>
          <w:szCs w:val="20"/>
          <w:highlight w:val="none"/>
        </w:rPr>
      </w:pPr>
      <w:r>
        <w:rPr>
          <w:rFonts w:ascii="宋体" w:hAnsi="宋体" w:eastAsia="宋体" w:cs="宋体"/>
          <w:sz w:val="20"/>
          <w:szCs w:val="20"/>
          <w:highlight w:val="none"/>
          <w:u w:val="single" w:color="auto"/>
        </w:rPr>
        <w:tab/>
      </w:r>
      <w:r>
        <w:rPr>
          <w:rFonts w:ascii="宋体" w:hAnsi="宋体" w:eastAsia="宋体" w:cs="宋体"/>
          <w:spacing w:val="7"/>
          <w:sz w:val="20"/>
          <w:szCs w:val="20"/>
          <w:highlight w:val="none"/>
        </w:rPr>
        <w:t xml:space="preserve">  </w:t>
      </w:r>
      <w:r>
        <w:rPr>
          <w:rFonts w:ascii="宋体" w:hAnsi="宋体" w:eastAsia="宋体" w:cs="宋体"/>
          <w:spacing w:val="8"/>
          <w:sz w:val="20"/>
          <w:szCs w:val="20"/>
          <w:highlight w:val="none"/>
        </w:rPr>
        <w:t>(发包人名称):</w:t>
      </w:r>
    </w:p>
    <w:p w14:paraId="37F7FD8D">
      <w:pPr>
        <w:pStyle w:val="2"/>
        <w:spacing w:line="273" w:lineRule="auto"/>
        <w:rPr>
          <w:highlight w:val="none"/>
        </w:rPr>
      </w:pPr>
    </w:p>
    <w:p w14:paraId="10643D33">
      <w:pPr>
        <w:pStyle w:val="2"/>
        <w:spacing w:line="273" w:lineRule="auto"/>
        <w:rPr>
          <w:highlight w:val="none"/>
        </w:rPr>
      </w:pPr>
    </w:p>
    <w:p w14:paraId="2E52A701">
      <w:pPr>
        <w:tabs>
          <w:tab w:val="left" w:pos="120"/>
        </w:tabs>
        <w:spacing w:before="71" w:line="370" w:lineRule="auto"/>
        <w:ind w:left="10" w:firstLine="410"/>
        <w:jc w:val="both"/>
        <w:rPr>
          <w:rFonts w:ascii="宋体" w:hAnsi="宋体" w:eastAsia="宋体" w:cs="宋体"/>
          <w:sz w:val="22"/>
          <w:szCs w:val="22"/>
          <w:highlight w:val="none"/>
        </w:rPr>
      </w:pPr>
      <w:r>
        <w:rPr>
          <w:rFonts w:ascii="宋体" w:hAnsi="宋体" w:eastAsia="宋体" w:cs="宋体"/>
          <w:spacing w:val="-7"/>
          <w:sz w:val="22"/>
          <w:szCs w:val="22"/>
          <w:highlight w:val="none"/>
        </w:rPr>
        <w:t>根据</w:t>
      </w:r>
      <w:r>
        <w:rPr>
          <w:rFonts w:ascii="宋体" w:hAnsi="宋体" w:eastAsia="宋体" w:cs="宋体"/>
          <w:spacing w:val="-7"/>
          <w:sz w:val="22"/>
          <w:szCs w:val="22"/>
          <w:highlight w:val="none"/>
          <w:u w:val="single" w:color="auto"/>
        </w:rPr>
        <w:t xml:space="preserve">         </w:t>
      </w:r>
      <w:r>
        <w:rPr>
          <w:rFonts w:ascii="宋体" w:hAnsi="宋体" w:eastAsia="宋体" w:cs="宋体"/>
          <w:spacing w:val="-7"/>
          <w:sz w:val="22"/>
          <w:szCs w:val="22"/>
          <w:highlight w:val="none"/>
        </w:rPr>
        <w:t xml:space="preserve"> (承包人名称)(以下称“承包人”)与</w:t>
      </w:r>
      <w:r>
        <w:rPr>
          <w:rFonts w:ascii="宋体" w:hAnsi="宋体" w:eastAsia="宋体" w:cs="宋体"/>
          <w:spacing w:val="-84"/>
          <w:sz w:val="22"/>
          <w:szCs w:val="22"/>
          <w:highlight w:val="none"/>
        </w:rPr>
        <w:t xml:space="preserve"> </w:t>
      </w:r>
      <w:r>
        <w:rPr>
          <w:rFonts w:ascii="宋体" w:hAnsi="宋体" w:eastAsia="宋体" w:cs="宋体"/>
          <w:spacing w:val="4"/>
          <w:sz w:val="22"/>
          <w:szCs w:val="22"/>
          <w:highlight w:val="none"/>
          <w:u w:val="single" w:color="auto"/>
        </w:rPr>
        <w:t xml:space="preserve">               </w:t>
      </w:r>
      <w:r>
        <w:rPr>
          <w:rFonts w:ascii="宋体" w:hAnsi="宋体" w:eastAsia="宋体" w:cs="宋体"/>
          <w:spacing w:val="-20"/>
          <w:sz w:val="22"/>
          <w:szCs w:val="22"/>
          <w:highlight w:val="none"/>
        </w:rPr>
        <w:t xml:space="preserve"> </w:t>
      </w:r>
      <w:r>
        <w:rPr>
          <w:rFonts w:ascii="宋体" w:hAnsi="宋体" w:eastAsia="宋体" w:cs="宋体"/>
          <w:spacing w:val="-7"/>
          <w:sz w:val="22"/>
          <w:szCs w:val="22"/>
          <w:highlight w:val="none"/>
        </w:rPr>
        <w:t>(发包人名称)</w:t>
      </w:r>
      <w:r>
        <w:rPr>
          <w:rFonts w:ascii="宋体" w:hAnsi="宋体" w:eastAsia="宋体" w:cs="宋体"/>
          <w:sz w:val="22"/>
          <w:szCs w:val="22"/>
          <w:highlight w:val="none"/>
        </w:rPr>
        <w:t xml:space="preserve"> </w:t>
      </w:r>
      <w:r>
        <w:rPr>
          <w:rFonts w:ascii="宋体" w:hAnsi="宋体" w:eastAsia="宋体" w:cs="宋体"/>
          <w:sz w:val="22"/>
          <w:szCs w:val="22"/>
          <w:highlight w:val="none"/>
        </w:rPr>
        <w:tab/>
      </w:r>
      <w:r>
        <w:rPr>
          <w:rFonts w:ascii="宋体" w:hAnsi="宋体" w:eastAsia="宋体" w:cs="宋体"/>
          <w:spacing w:val="-26"/>
          <w:sz w:val="22"/>
          <w:szCs w:val="22"/>
          <w:highlight w:val="none"/>
        </w:rPr>
        <w:t>(以下简称“发包人”)于</w:t>
      </w:r>
      <w:r>
        <w:rPr>
          <w:rFonts w:ascii="宋体" w:hAnsi="宋体" w:eastAsia="宋体" w:cs="宋体"/>
          <w:spacing w:val="-101"/>
          <w:sz w:val="22"/>
          <w:szCs w:val="22"/>
          <w:highlight w:val="none"/>
        </w:rPr>
        <w:t xml:space="preserve"> </w:t>
      </w:r>
      <w:r>
        <w:rPr>
          <w:rFonts w:ascii="宋体" w:hAnsi="宋体" w:eastAsia="宋体" w:cs="宋体"/>
          <w:spacing w:val="8"/>
          <w:sz w:val="22"/>
          <w:szCs w:val="22"/>
          <w:highlight w:val="none"/>
          <w:u w:val="single" w:color="auto"/>
        </w:rPr>
        <w:t xml:space="preserve">     </w:t>
      </w:r>
      <w:r>
        <w:rPr>
          <w:rFonts w:ascii="宋体" w:hAnsi="宋体" w:eastAsia="宋体" w:cs="宋体"/>
          <w:spacing w:val="-30"/>
          <w:sz w:val="22"/>
          <w:szCs w:val="22"/>
          <w:highlight w:val="none"/>
        </w:rPr>
        <w:t xml:space="preserve"> </w:t>
      </w:r>
      <w:r>
        <w:rPr>
          <w:rFonts w:ascii="宋体" w:hAnsi="宋体" w:eastAsia="宋体" w:cs="宋体"/>
          <w:spacing w:val="-26"/>
          <w:sz w:val="22"/>
          <w:szCs w:val="22"/>
          <w:highlight w:val="none"/>
        </w:rPr>
        <w:t>年</w:t>
      </w:r>
      <w:r>
        <w:rPr>
          <w:rFonts w:ascii="宋体" w:hAnsi="宋体" w:eastAsia="宋体" w:cs="宋体"/>
          <w:spacing w:val="-88"/>
          <w:sz w:val="22"/>
          <w:szCs w:val="22"/>
          <w:highlight w:val="none"/>
        </w:rPr>
        <w:t xml:space="preserve"> </w:t>
      </w:r>
      <w:r>
        <w:rPr>
          <w:position w:val="-3"/>
          <w:sz w:val="22"/>
          <w:szCs w:val="22"/>
          <w:highlight w:val="none"/>
        </w:rPr>
        <w:drawing>
          <wp:inline distT="0" distB="0" distL="0" distR="0">
            <wp:extent cx="793115" cy="635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327"/>
                    <a:stretch>
                      <a:fillRect/>
                    </a:stretch>
                  </pic:blipFill>
                  <pic:spPr>
                    <a:xfrm>
                      <a:off x="0" y="0"/>
                      <a:ext cx="793722" cy="6984"/>
                    </a:xfrm>
                    <a:prstGeom prst="rect">
                      <a:avLst/>
                    </a:prstGeom>
                  </pic:spPr>
                </pic:pic>
              </a:graphicData>
            </a:graphic>
          </wp:inline>
        </w:drawing>
      </w:r>
      <w:r>
        <w:rPr>
          <w:rFonts w:ascii="宋体" w:hAnsi="宋体" w:eastAsia="宋体" w:cs="宋体"/>
          <w:spacing w:val="-26"/>
          <w:sz w:val="22"/>
          <w:szCs w:val="22"/>
          <w:highlight w:val="none"/>
        </w:rPr>
        <w:t>月日</w:t>
      </w:r>
      <w:r>
        <w:rPr>
          <w:rFonts w:ascii="宋体" w:hAnsi="宋体" w:eastAsia="宋体" w:cs="宋体"/>
          <w:spacing w:val="-25"/>
          <w:sz w:val="22"/>
          <w:szCs w:val="22"/>
          <w:highlight w:val="none"/>
        </w:rPr>
        <w:t>签订的</w:t>
      </w:r>
      <w:r>
        <w:rPr>
          <w:rFonts w:ascii="宋体" w:hAnsi="宋体" w:eastAsia="宋体" w:cs="宋体"/>
          <w:spacing w:val="-104"/>
          <w:sz w:val="22"/>
          <w:szCs w:val="22"/>
          <w:highlight w:val="none"/>
        </w:rPr>
        <w:t xml:space="preserve"> </w:t>
      </w:r>
      <w:r>
        <w:rPr>
          <w:rFonts w:ascii="宋体" w:hAnsi="宋体" w:eastAsia="宋体" w:cs="宋体"/>
          <w:spacing w:val="8"/>
          <w:sz w:val="22"/>
          <w:szCs w:val="22"/>
          <w:highlight w:val="none"/>
          <w:u w:val="single" w:color="auto"/>
        </w:rPr>
        <w:t xml:space="preserve">         </w:t>
      </w:r>
      <w:r>
        <w:rPr>
          <w:rFonts w:ascii="宋体" w:hAnsi="宋体" w:eastAsia="宋体" w:cs="宋体"/>
          <w:spacing w:val="-82"/>
          <w:sz w:val="22"/>
          <w:szCs w:val="22"/>
          <w:highlight w:val="none"/>
        </w:rPr>
        <w:t xml:space="preserve"> </w:t>
      </w:r>
      <w:r>
        <w:rPr>
          <w:rFonts w:ascii="宋体" w:hAnsi="宋体" w:eastAsia="宋体" w:cs="宋体"/>
          <w:spacing w:val="-25"/>
          <w:sz w:val="22"/>
          <w:szCs w:val="22"/>
          <w:highlight w:val="none"/>
        </w:rPr>
        <w:t>(项目名称)工程</w:t>
      </w:r>
      <w:r>
        <w:rPr>
          <w:rFonts w:ascii="宋体" w:hAnsi="宋体" w:eastAsia="宋体" w:cs="宋体"/>
          <w:spacing w:val="-26"/>
          <w:sz w:val="22"/>
          <w:szCs w:val="22"/>
          <w:highlight w:val="none"/>
        </w:rPr>
        <w:t>总承</w:t>
      </w:r>
      <w:r>
        <w:rPr>
          <w:rFonts w:ascii="宋体" w:hAnsi="宋体" w:eastAsia="宋体" w:cs="宋体"/>
          <w:spacing w:val="-11"/>
          <w:sz w:val="22"/>
          <w:szCs w:val="22"/>
          <w:highlight w:val="none"/>
        </w:rPr>
        <w:t>包</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合同，承包人按约定的金额向发包人提交一份预付款担保，即有权得到发包人支付相</w:t>
      </w:r>
      <w:r>
        <w:rPr>
          <w:rFonts w:ascii="宋体" w:hAnsi="宋体" w:eastAsia="宋体" w:cs="宋体"/>
          <w:spacing w:val="-13"/>
          <w:sz w:val="22"/>
          <w:szCs w:val="22"/>
          <w:highlight w:val="none"/>
        </w:rPr>
        <w:t>等金额</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的预付款。我方愿意就你方提供给承包人的预付款提供担保。</w:t>
      </w:r>
    </w:p>
    <w:p w14:paraId="57450D31">
      <w:pPr>
        <w:spacing w:before="35" w:line="219" w:lineRule="auto"/>
        <w:ind w:left="420"/>
        <w:rPr>
          <w:rFonts w:ascii="宋体" w:hAnsi="宋体" w:eastAsia="宋体" w:cs="宋体"/>
          <w:sz w:val="20"/>
          <w:szCs w:val="20"/>
          <w:highlight w:val="none"/>
        </w:rPr>
      </w:pPr>
      <w:r>
        <w:rPr>
          <w:rFonts w:ascii="Times New Roman" w:hAnsi="Times New Roman" w:eastAsia="Times New Roman" w:cs="Times New Roman"/>
          <w:spacing w:val="12"/>
          <w:sz w:val="20"/>
          <w:szCs w:val="20"/>
          <w:highlight w:val="none"/>
        </w:rPr>
        <w:t xml:space="preserve">1.  </w:t>
      </w:r>
      <w:r>
        <w:rPr>
          <w:rFonts w:ascii="宋体" w:hAnsi="宋体" w:eastAsia="宋体" w:cs="宋体"/>
          <w:spacing w:val="12"/>
          <w:sz w:val="20"/>
          <w:szCs w:val="20"/>
          <w:highlight w:val="none"/>
        </w:rPr>
        <w:t>担保金额人民币(大写)</w:t>
      </w:r>
      <w:r>
        <w:rPr>
          <w:rFonts w:ascii="宋体" w:hAnsi="宋体" w:eastAsia="宋体" w:cs="宋体"/>
          <w:spacing w:val="5"/>
          <w:sz w:val="20"/>
          <w:szCs w:val="20"/>
          <w:highlight w:val="none"/>
          <w:u w:val="single" w:color="auto"/>
        </w:rPr>
        <w:t xml:space="preserve">                </w:t>
      </w:r>
      <w:r>
        <w:rPr>
          <w:rFonts w:ascii="宋体" w:hAnsi="宋体" w:eastAsia="宋体" w:cs="宋体"/>
          <w:spacing w:val="6"/>
          <w:sz w:val="20"/>
          <w:szCs w:val="20"/>
          <w:highlight w:val="none"/>
        </w:rPr>
        <w:t xml:space="preserve">  </w:t>
      </w:r>
      <w:r>
        <w:rPr>
          <w:rFonts w:ascii="宋体" w:hAnsi="宋体" w:eastAsia="宋体" w:cs="宋体"/>
          <w:spacing w:val="12"/>
          <w:sz w:val="20"/>
          <w:szCs w:val="20"/>
          <w:highlight w:val="none"/>
        </w:rPr>
        <w:t>(¥</w:t>
      </w:r>
      <w:r>
        <w:rPr>
          <w:rFonts w:ascii="宋体" w:hAnsi="宋体" w:eastAsia="宋体" w:cs="宋体"/>
          <w:spacing w:val="-94"/>
          <w:sz w:val="20"/>
          <w:szCs w:val="20"/>
          <w:highlight w:val="none"/>
        </w:rPr>
        <w:t xml:space="preserve"> </w:t>
      </w:r>
      <w:r>
        <w:rPr>
          <w:rFonts w:ascii="宋体" w:hAnsi="宋体" w:eastAsia="宋体" w:cs="宋体"/>
          <w:spacing w:val="5"/>
          <w:sz w:val="20"/>
          <w:szCs w:val="20"/>
          <w:highlight w:val="none"/>
          <w:u w:val="single" w:color="auto"/>
        </w:rPr>
        <w:t xml:space="preserve">              </w:t>
      </w:r>
      <w:r>
        <w:rPr>
          <w:rFonts w:ascii="宋体" w:hAnsi="宋体" w:eastAsia="宋体" w:cs="宋体"/>
          <w:spacing w:val="-80"/>
          <w:sz w:val="20"/>
          <w:szCs w:val="20"/>
          <w:highlight w:val="none"/>
        </w:rPr>
        <w:t xml:space="preserve"> </w:t>
      </w:r>
      <w:r>
        <w:rPr>
          <w:rFonts w:ascii="宋体" w:hAnsi="宋体" w:eastAsia="宋体" w:cs="宋体"/>
          <w:spacing w:val="12"/>
          <w:sz w:val="20"/>
          <w:szCs w:val="20"/>
          <w:highlight w:val="none"/>
        </w:rPr>
        <w:t>)。</w:t>
      </w:r>
    </w:p>
    <w:p w14:paraId="7B240C99">
      <w:pPr>
        <w:spacing w:before="174" w:line="290" w:lineRule="auto"/>
        <w:ind w:left="10" w:right="82" w:firstLine="41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 xml:space="preserve">2.  </w:t>
      </w:r>
      <w:r>
        <w:rPr>
          <w:rFonts w:ascii="宋体" w:hAnsi="宋体" w:eastAsia="宋体" w:cs="宋体"/>
          <w:spacing w:val="-8"/>
          <w:sz w:val="22"/>
          <w:szCs w:val="22"/>
          <w:highlight w:val="none"/>
        </w:rPr>
        <w:t>担保有效期自预付款支付给承包人起生效，至发包人签发的进度付款证书说明预付</w:t>
      </w:r>
      <w:r>
        <w:rPr>
          <w:rFonts w:ascii="宋体" w:hAnsi="宋体" w:eastAsia="宋体" w:cs="宋体"/>
          <w:spacing w:val="2"/>
          <w:sz w:val="22"/>
          <w:szCs w:val="22"/>
          <w:highlight w:val="none"/>
        </w:rPr>
        <w:t xml:space="preserve"> </w:t>
      </w:r>
      <w:r>
        <w:rPr>
          <w:rFonts w:ascii="宋体" w:hAnsi="宋体" w:eastAsia="宋体" w:cs="宋体"/>
          <w:spacing w:val="-13"/>
          <w:sz w:val="22"/>
          <w:szCs w:val="22"/>
          <w:highlight w:val="none"/>
        </w:rPr>
        <w:t>款已完全扣清止。</w:t>
      </w:r>
    </w:p>
    <w:p w14:paraId="1A3FF9A9">
      <w:pPr>
        <w:spacing w:before="207" w:line="325" w:lineRule="auto"/>
        <w:ind w:left="10" w:right="51" w:firstLine="41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  </w:t>
      </w:r>
      <w:r>
        <w:rPr>
          <w:rFonts w:ascii="宋体" w:hAnsi="宋体" w:eastAsia="宋体" w:cs="宋体"/>
          <w:spacing w:val="2"/>
          <w:sz w:val="21"/>
          <w:szCs w:val="21"/>
          <w:highlight w:val="none"/>
        </w:rPr>
        <w:t>在本保函有效期内，因承包人违反合同约定的义务而要求收回预付款时，我方在收</w:t>
      </w:r>
      <w:r>
        <w:rPr>
          <w:rFonts w:ascii="宋体" w:hAnsi="宋体" w:eastAsia="宋体" w:cs="宋体"/>
          <w:spacing w:val="4"/>
          <w:sz w:val="21"/>
          <w:szCs w:val="21"/>
          <w:highlight w:val="none"/>
        </w:rPr>
        <w:t xml:space="preserve"> </w:t>
      </w:r>
      <w:r>
        <w:rPr>
          <w:rFonts w:ascii="宋体" w:hAnsi="宋体" w:eastAsia="宋体" w:cs="宋体"/>
          <w:spacing w:val="1"/>
          <w:sz w:val="21"/>
          <w:szCs w:val="21"/>
          <w:highlight w:val="none"/>
        </w:rPr>
        <w:t>到你方的书面通知后，在7天内支付。但本保函的担</w:t>
      </w:r>
      <w:r>
        <w:rPr>
          <w:rFonts w:ascii="宋体" w:hAnsi="宋体" w:eastAsia="宋体" w:cs="宋体"/>
          <w:sz w:val="21"/>
          <w:szCs w:val="21"/>
          <w:highlight w:val="none"/>
        </w:rPr>
        <w:t xml:space="preserve">保金额，在任何时候不应超过预付款金 </w:t>
      </w:r>
      <w:r>
        <w:rPr>
          <w:rFonts w:ascii="宋体" w:hAnsi="宋体" w:eastAsia="宋体" w:cs="宋体"/>
          <w:spacing w:val="-1"/>
          <w:sz w:val="21"/>
          <w:szCs w:val="21"/>
          <w:highlight w:val="none"/>
        </w:rPr>
        <w:t>额减去发包人按合同约定在向承包人签发的进度付款证书中扣除的金额。</w:t>
      </w:r>
    </w:p>
    <w:p w14:paraId="72B6AE19">
      <w:pPr>
        <w:spacing w:before="201" w:line="322" w:lineRule="auto"/>
        <w:ind w:left="10" w:right="29" w:firstLine="410"/>
        <w:rPr>
          <w:rFonts w:ascii="宋体" w:hAnsi="宋体" w:eastAsia="宋体" w:cs="宋体"/>
          <w:sz w:val="20"/>
          <w:szCs w:val="20"/>
          <w:highlight w:val="none"/>
        </w:rPr>
      </w:pPr>
      <w:r>
        <w:rPr>
          <w:rFonts w:ascii="Times New Roman" w:hAnsi="Times New Roman" w:eastAsia="Times New Roman" w:cs="Times New Roman"/>
          <w:spacing w:val="11"/>
          <w:sz w:val="20"/>
          <w:szCs w:val="20"/>
          <w:highlight w:val="none"/>
        </w:rPr>
        <w:t>4.</w:t>
      </w:r>
      <w:r>
        <w:rPr>
          <w:rFonts w:ascii="Times New Roman" w:hAnsi="Times New Roman" w:eastAsia="Times New Roman" w:cs="Times New Roman"/>
          <w:spacing w:val="25"/>
          <w:sz w:val="20"/>
          <w:szCs w:val="20"/>
          <w:highlight w:val="none"/>
        </w:rPr>
        <w:t xml:space="preserve">  </w:t>
      </w:r>
      <w:r>
        <w:rPr>
          <w:rFonts w:ascii="宋体" w:hAnsi="宋体" w:eastAsia="宋体" w:cs="宋体"/>
          <w:spacing w:val="11"/>
          <w:sz w:val="20"/>
          <w:szCs w:val="20"/>
          <w:highlight w:val="none"/>
        </w:rPr>
        <w:t>发包人和承包人按《通用合同条款》第15条变更合同时，我方承担本保函规定的义</w:t>
      </w:r>
      <w:r>
        <w:rPr>
          <w:rFonts w:ascii="宋体" w:hAnsi="宋体" w:eastAsia="宋体" w:cs="宋体"/>
          <w:sz w:val="20"/>
          <w:szCs w:val="20"/>
          <w:highlight w:val="none"/>
        </w:rPr>
        <w:t xml:space="preserve"> 务不变。</w:t>
      </w:r>
    </w:p>
    <w:p w14:paraId="7867E459">
      <w:pPr>
        <w:pStyle w:val="2"/>
        <w:spacing w:line="241" w:lineRule="auto"/>
        <w:rPr>
          <w:highlight w:val="none"/>
        </w:rPr>
      </w:pPr>
    </w:p>
    <w:p w14:paraId="4BFA5F77">
      <w:pPr>
        <w:spacing w:before="69" w:line="219" w:lineRule="auto"/>
        <w:ind w:left="3610"/>
        <w:rPr>
          <w:rFonts w:ascii="宋体" w:hAnsi="宋体" w:eastAsia="宋体" w:cs="宋体"/>
          <w:sz w:val="21"/>
          <w:szCs w:val="21"/>
          <w:highlight w:val="none"/>
        </w:rPr>
      </w:pPr>
      <w:r>
        <w:rPr>
          <w:rFonts w:ascii="宋体" w:hAnsi="宋体" w:eastAsia="宋体" w:cs="宋体"/>
          <w:spacing w:val="5"/>
          <w:sz w:val="21"/>
          <w:szCs w:val="21"/>
          <w:highlight w:val="none"/>
        </w:rPr>
        <w:t>担保人：</w:t>
      </w:r>
      <w:r>
        <w:rPr>
          <w:rFonts w:ascii="宋体" w:hAnsi="宋体" w:eastAsia="宋体" w:cs="宋体"/>
          <w:spacing w:val="1"/>
          <w:sz w:val="21"/>
          <w:szCs w:val="21"/>
          <w:highlight w:val="none"/>
          <w:u w:val="single" w:color="auto"/>
        </w:rPr>
        <w:t xml:space="preserve">                </w:t>
      </w:r>
      <w:r>
        <w:rPr>
          <w:rFonts w:ascii="宋体" w:hAnsi="宋体" w:eastAsia="宋体" w:cs="宋体"/>
          <w:spacing w:val="-7"/>
          <w:sz w:val="21"/>
          <w:szCs w:val="21"/>
          <w:highlight w:val="none"/>
        </w:rPr>
        <w:t xml:space="preserve"> </w:t>
      </w:r>
      <w:r>
        <w:rPr>
          <w:rFonts w:ascii="宋体" w:hAnsi="宋体" w:eastAsia="宋体" w:cs="宋体"/>
          <w:spacing w:val="5"/>
          <w:sz w:val="21"/>
          <w:szCs w:val="21"/>
          <w:highlight w:val="none"/>
        </w:rPr>
        <w:t>(盖单位章)</w:t>
      </w:r>
    </w:p>
    <w:p w14:paraId="16E2F5DB">
      <w:pPr>
        <w:pStyle w:val="2"/>
        <w:spacing w:line="272" w:lineRule="auto"/>
        <w:rPr>
          <w:highlight w:val="none"/>
        </w:rPr>
      </w:pPr>
    </w:p>
    <w:p w14:paraId="3EE5A5EC">
      <w:pPr>
        <w:spacing w:before="69" w:line="219" w:lineRule="auto"/>
        <w:ind w:left="3610"/>
        <w:rPr>
          <w:rFonts w:ascii="宋体" w:hAnsi="宋体" w:eastAsia="宋体" w:cs="宋体"/>
          <w:sz w:val="21"/>
          <w:szCs w:val="21"/>
          <w:highlight w:val="none"/>
        </w:rPr>
      </w:pPr>
      <w:r>
        <w:rPr>
          <w:rFonts w:ascii="宋体" w:hAnsi="宋体" w:eastAsia="宋体" w:cs="宋体"/>
          <w:spacing w:val="1"/>
          <w:sz w:val="21"/>
          <w:szCs w:val="21"/>
          <w:highlight w:val="none"/>
        </w:rPr>
        <w:t>法定代表人或授权人：</w:t>
      </w:r>
      <w:r>
        <w:rPr>
          <w:rFonts w:ascii="宋体" w:hAnsi="宋体" w:eastAsia="宋体" w:cs="宋体"/>
          <w:spacing w:val="5"/>
          <w:sz w:val="21"/>
          <w:szCs w:val="21"/>
          <w:highlight w:val="none"/>
          <w:u w:val="single" w:color="auto"/>
        </w:rPr>
        <w:t xml:space="preserve">              </w:t>
      </w:r>
      <w:r>
        <w:rPr>
          <w:rFonts w:ascii="宋体" w:hAnsi="宋体" w:eastAsia="宋体" w:cs="宋体"/>
          <w:spacing w:val="-25"/>
          <w:sz w:val="21"/>
          <w:szCs w:val="21"/>
          <w:highlight w:val="none"/>
        </w:rPr>
        <w:t xml:space="preserve"> </w:t>
      </w:r>
      <w:r>
        <w:rPr>
          <w:rFonts w:ascii="宋体" w:hAnsi="宋体" w:eastAsia="宋体" w:cs="宋体"/>
          <w:spacing w:val="1"/>
          <w:sz w:val="21"/>
          <w:szCs w:val="21"/>
          <w:highlight w:val="none"/>
        </w:rPr>
        <w:t>(签字)</w:t>
      </w:r>
    </w:p>
    <w:p w14:paraId="57802D77">
      <w:pPr>
        <w:pStyle w:val="2"/>
        <w:spacing w:line="280" w:lineRule="auto"/>
        <w:rPr>
          <w:highlight w:val="none"/>
        </w:rPr>
      </w:pPr>
    </w:p>
    <w:p w14:paraId="208C4DF5">
      <w:pPr>
        <w:spacing w:before="69" w:line="229" w:lineRule="auto"/>
        <w:ind w:left="3610"/>
        <w:rPr>
          <w:rFonts w:ascii="宋体" w:hAnsi="宋体" w:eastAsia="宋体" w:cs="宋体"/>
          <w:sz w:val="21"/>
          <w:szCs w:val="21"/>
          <w:highlight w:val="none"/>
        </w:rPr>
      </w:pPr>
      <w:r>
        <w:rPr>
          <w:rFonts w:ascii="宋体" w:hAnsi="宋体" w:eastAsia="宋体" w:cs="宋体"/>
          <w:spacing w:val="-7"/>
          <w:sz w:val="21"/>
          <w:szCs w:val="21"/>
          <w:highlight w:val="none"/>
        </w:rPr>
        <w:t>地</w:t>
      </w:r>
      <w:r>
        <w:rPr>
          <w:rFonts w:ascii="宋体" w:hAnsi="宋体" w:eastAsia="宋体" w:cs="宋体"/>
          <w:spacing w:val="7"/>
          <w:sz w:val="21"/>
          <w:szCs w:val="21"/>
          <w:highlight w:val="none"/>
        </w:rPr>
        <w:t xml:space="preserve">    </w:t>
      </w:r>
      <w:r>
        <w:rPr>
          <w:rFonts w:ascii="宋体" w:hAnsi="宋体" w:eastAsia="宋体" w:cs="宋体"/>
          <w:spacing w:val="-7"/>
          <w:sz w:val="21"/>
          <w:szCs w:val="21"/>
          <w:highlight w:val="none"/>
        </w:rPr>
        <w:t>址：</w:t>
      </w:r>
      <w:r>
        <w:rPr>
          <w:rFonts w:ascii="宋体" w:hAnsi="宋体" w:eastAsia="宋体" w:cs="宋体"/>
          <w:sz w:val="21"/>
          <w:szCs w:val="21"/>
          <w:highlight w:val="none"/>
          <w:u w:val="single" w:color="auto"/>
        </w:rPr>
        <w:t xml:space="preserve">                             </w:t>
      </w:r>
    </w:p>
    <w:p w14:paraId="3ECC29E9">
      <w:pPr>
        <w:pStyle w:val="2"/>
        <w:spacing w:line="279" w:lineRule="auto"/>
        <w:rPr>
          <w:highlight w:val="none"/>
        </w:rPr>
      </w:pPr>
    </w:p>
    <w:p w14:paraId="22179A42">
      <w:pPr>
        <w:spacing w:before="69" w:line="219" w:lineRule="auto"/>
        <w:ind w:left="3610"/>
        <w:rPr>
          <w:rFonts w:ascii="宋体" w:hAnsi="宋体" w:eastAsia="宋体" w:cs="宋体"/>
          <w:sz w:val="21"/>
          <w:szCs w:val="21"/>
          <w:highlight w:val="none"/>
        </w:rPr>
      </w:pPr>
      <w:r>
        <w:rPr>
          <w:rFonts w:ascii="宋体" w:hAnsi="宋体" w:eastAsia="宋体" w:cs="宋体"/>
          <w:spacing w:val="-3"/>
          <w:sz w:val="21"/>
          <w:szCs w:val="21"/>
          <w:highlight w:val="none"/>
        </w:rPr>
        <w:t>邮政编码：</w:t>
      </w:r>
      <w:r>
        <w:rPr>
          <w:rFonts w:ascii="宋体" w:hAnsi="宋体" w:eastAsia="宋体" w:cs="宋体"/>
          <w:spacing w:val="-3"/>
          <w:sz w:val="21"/>
          <w:szCs w:val="21"/>
          <w:highlight w:val="none"/>
          <w:u w:val="single" w:color="auto"/>
        </w:rPr>
        <w:t xml:space="preserve">                        </w:t>
      </w:r>
      <w:r>
        <w:rPr>
          <w:rFonts w:ascii="宋体" w:hAnsi="宋体" w:eastAsia="宋体" w:cs="宋体"/>
          <w:spacing w:val="-4"/>
          <w:sz w:val="21"/>
          <w:szCs w:val="21"/>
          <w:highlight w:val="none"/>
          <w:u w:val="single" w:color="auto"/>
        </w:rPr>
        <w:t xml:space="preserve">     </w:t>
      </w:r>
    </w:p>
    <w:p w14:paraId="6686597D">
      <w:pPr>
        <w:pStyle w:val="2"/>
        <w:spacing w:line="293" w:lineRule="auto"/>
        <w:rPr>
          <w:highlight w:val="none"/>
        </w:rPr>
      </w:pPr>
    </w:p>
    <w:p w14:paraId="6C46A7F5">
      <w:pPr>
        <w:spacing w:before="69" w:line="221" w:lineRule="auto"/>
        <w:ind w:left="3610"/>
        <w:rPr>
          <w:rFonts w:ascii="宋体" w:hAnsi="宋体" w:eastAsia="宋体" w:cs="宋体"/>
          <w:sz w:val="21"/>
          <w:szCs w:val="21"/>
          <w:highlight w:val="none"/>
        </w:rPr>
      </w:pPr>
      <w:r>
        <w:rPr>
          <w:rFonts w:ascii="宋体" w:hAnsi="宋体" w:eastAsia="宋体" w:cs="宋体"/>
          <w:spacing w:val="-11"/>
          <w:sz w:val="21"/>
          <w:szCs w:val="21"/>
          <w:highlight w:val="none"/>
        </w:rPr>
        <w:t>电</w:t>
      </w:r>
      <w:r>
        <w:rPr>
          <w:rFonts w:ascii="宋体" w:hAnsi="宋体" w:eastAsia="宋体" w:cs="宋体"/>
          <w:spacing w:val="5"/>
          <w:sz w:val="21"/>
          <w:szCs w:val="21"/>
          <w:highlight w:val="none"/>
        </w:rPr>
        <w:t xml:space="preserve">    </w:t>
      </w:r>
      <w:r>
        <w:rPr>
          <w:rFonts w:ascii="宋体" w:hAnsi="宋体" w:eastAsia="宋体" w:cs="宋体"/>
          <w:spacing w:val="-11"/>
          <w:sz w:val="21"/>
          <w:szCs w:val="21"/>
          <w:highlight w:val="none"/>
        </w:rPr>
        <w:t>话：</w:t>
      </w:r>
      <w:r>
        <w:rPr>
          <w:rFonts w:ascii="宋体" w:hAnsi="宋体" w:eastAsia="宋体" w:cs="宋体"/>
          <w:spacing w:val="-74"/>
          <w:sz w:val="21"/>
          <w:szCs w:val="21"/>
          <w:highlight w:val="none"/>
        </w:rPr>
        <w:t xml:space="preserve"> </w:t>
      </w:r>
      <w:r>
        <w:rPr>
          <w:rFonts w:ascii="宋体" w:hAnsi="宋体" w:eastAsia="宋体" w:cs="宋体"/>
          <w:sz w:val="21"/>
          <w:szCs w:val="21"/>
          <w:highlight w:val="none"/>
          <w:u w:val="single" w:color="auto"/>
        </w:rPr>
        <w:t xml:space="preserve">                             </w:t>
      </w:r>
    </w:p>
    <w:p w14:paraId="5B7FCF46">
      <w:pPr>
        <w:pStyle w:val="2"/>
        <w:spacing w:line="258" w:lineRule="auto"/>
        <w:rPr>
          <w:highlight w:val="none"/>
        </w:rPr>
      </w:pPr>
    </w:p>
    <w:p w14:paraId="79989694">
      <w:pPr>
        <w:tabs>
          <w:tab w:val="left" w:pos="5190"/>
        </w:tabs>
        <w:spacing w:before="68" w:line="213" w:lineRule="auto"/>
        <w:ind w:left="4340"/>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27"/>
          <w:w w:val="67"/>
          <w:sz w:val="21"/>
          <w:szCs w:val="21"/>
          <w:highlight w:val="none"/>
        </w:rPr>
        <w:t>年</w:t>
      </w:r>
      <w:r>
        <w:rPr>
          <w:rFonts w:ascii="宋体" w:hAnsi="宋体" w:eastAsia="宋体" w:cs="宋体"/>
          <w:spacing w:val="-98"/>
          <w:sz w:val="21"/>
          <w:szCs w:val="21"/>
          <w:highlight w:val="none"/>
        </w:rPr>
        <w:t xml:space="preserve"> </w:t>
      </w:r>
      <w:r>
        <w:rPr>
          <w:position w:val="-2"/>
          <w:sz w:val="21"/>
          <w:szCs w:val="21"/>
          <w:highlight w:val="none"/>
        </w:rPr>
        <w:drawing>
          <wp:inline distT="0" distB="0" distL="0" distR="0">
            <wp:extent cx="1002665" cy="6350"/>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328"/>
                    <a:stretch>
                      <a:fillRect/>
                    </a:stretch>
                  </pic:blipFill>
                  <pic:spPr>
                    <a:xfrm>
                      <a:off x="0" y="0"/>
                      <a:ext cx="1003289" cy="6667"/>
                    </a:xfrm>
                    <a:prstGeom prst="rect">
                      <a:avLst/>
                    </a:prstGeom>
                  </pic:spPr>
                </pic:pic>
              </a:graphicData>
            </a:graphic>
          </wp:inline>
        </w:drawing>
      </w:r>
      <w:r>
        <w:rPr>
          <w:rFonts w:ascii="宋体" w:hAnsi="宋体" w:eastAsia="宋体" w:cs="宋体"/>
          <w:spacing w:val="-106"/>
          <w:sz w:val="21"/>
          <w:szCs w:val="21"/>
          <w:highlight w:val="none"/>
        </w:rPr>
        <w:t>_</w:t>
      </w:r>
      <w:r>
        <w:rPr>
          <w:rFonts w:ascii="宋体" w:hAnsi="宋体" w:eastAsia="宋体" w:cs="宋体"/>
          <w:spacing w:val="-27"/>
          <w:w w:val="67"/>
          <w:sz w:val="21"/>
          <w:szCs w:val="21"/>
          <w:highlight w:val="none"/>
        </w:rPr>
        <w:t>月日</w:t>
      </w:r>
    </w:p>
    <w:p w14:paraId="22BAC45D">
      <w:pPr>
        <w:spacing w:before="115" w:line="219" w:lineRule="auto"/>
        <w:ind w:left="10"/>
        <w:rPr>
          <w:rFonts w:ascii="宋体" w:hAnsi="宋体" w:eastAsia="宋体" w:cs="宋体"/>
          <w:sz w:val="22"/>
          <w:szCs w:val="22"/>
          <w:highlight w:val="none"/>
        </w:rPr>
      </w:pPr>
      <w:r>
        <w:rPr>
          <w:rFonts w:ascii="宋体" w:hAnsi="宋体" w:eastAsia="宋体" w:cs="宋体"/>
          <w:spacing w:val="-10"/>
          <w:sz w:val="22"/>
          <w:szCs w:val="22"/>
          <w:highlight w:val="none"/>
        </w:rPr>
        <w:t>注：委托代理人应附授权委托书</w:t>
      </w:r>
    </w:p>
    <w:p w14:paraId="574423BF">
      <w:pPr>
        <w:spacing w:line="219" w:lineRule="auto"/>
        <w:rPr>
          <w:rFonts w:ascii="宋体" w:hAnsi="宋体" w:eastAsia="宋体" w:cs="宋体"/>
          <w:sz w:val="22"/>
          <w:szCs w:val="22"/>
          <w:highlight w:val="none"/>
        </w:rPr>
        <w:sectPr>
          <w:footerReference r:id="rId228" w:type="default"/>
          <w:pgSz w:w="11910" w:h="16840"/>
          <w:pgMar w:top="400" w:right="1759" w:bottom="1238" w:left="1769" w:header="0" w:footer="1007" w:gutter="0"/>
          <w:cols w:space="720" w:num="1"/>
        </w:sectPr>
      </w:pPr>
    </w:p>
    <w:p w14:paraId="6A9D519F">
      <w:pPr>
        <w:pStyle w:val="2"/>
        <w:spacing w:line="244" w:lineRule="auto"/>
        <w:rPr>
          <w:highlight w:val="none"/>
        </w:rPr>
      </w:pPr>
    </w:p>
    <w:p w14:paraId="0FE98008">
      <w:pPr>
        <w:pStyle w:val="2"/>
        <w:spacing w:line="244" w:lineRule="auto"/>
        <w:rPr>
          <w:highlight w:val="none"/>
        </w:rPr>
      </w:pPr>
    </w:p>
    <w:p w14:paraId="0E124C4F">
      <w:pPr>
        <w:pStyle w:val="2"/>
        <w:spacing w:line="244" w:lineRule="auto"/>
        <w:rPr>
          <w:highlight w:val="none"/>
        </w:rPr>
      </w:pPr>
    </w:p>
    <w:p w14:paraId="7B67EBAE">
      <w:pPr>
        <w:pStyle w:val="2"/>
        <w:spacing w:line="245" w:lineRule="auto"/>
        <w:rPr>
          <w:highlight w:val="none"/>
        </w:rPr>
      </w:pPr>
    </w:p>
    <w:p w14:paraId="7F4C06BC">
      <w:pPr>
        <w:pStyle w:val="2"/>
        <w:spacing w:line="245" w:lineRule="auto"/>
        <w:rPr>
          <w:highlight w:val="none"/>
        </w:rPr>
      </w:pPr>
    </w:p>
    <w:p w14:paraId="7E30771A">
      <w:pPr>
        <w:pStyle w:val="2"/>
        <w:spacing w:line="245" w:lineRule="auto"/>
        <w:rPr>
          <w:highlight w:val="none"/>
        </w:rPr>
      </w:pPr>
    </w:p>
    <w:p w14:paraId="128A71CF">
      <w:pPr>
        <w:spacing w:before="104" w:line="221" w:lineRule="auto"/>
        <w:ind w:left="2790"/>
        <w:rPr>
          <w:rFonts w:ascii="黑体" w:hAnsi="黑体" w:eastAsia="黑体" w:cs="黑体"/>
          <w:sz w:val="32"/>
          <w:szCs w:val="32"/>
          <w:highlight w:val="none"/>
        </w:rPr>
      </w:pPr>
      <w:r>
        <w:rPr>
          <w:rFonts w:ascii="黑体" w:hAnsi="黑体" w:eastAsia="黑体" w:cs="黑体"/>
          <w:spacing w:val="20"/>
          <w:sz w:val="32"/>
          <w:szCs w:val="32"/>
          <w:highlight w:val="none"/>
        </w:rPr>
        <w:t>第五章发包人要求</w:t>
      </w:r>
    </w:p>
    <w:p w14:paraId="16B22748">
      <w:pPr>
        <w:pStyle w:val="2"/>
        <w:spacing w:line="272" w:lineRule="auto"/>
        <w:rPr>
          <w:highlight w:val="none"/>
        </w:rPr>
      </w:pPr>
    </w:p>
    <w:p w14:paraId="4E870AA4">
      <w:pPr>
        <w:pStyle w:val="2"/>
        <w:spacing w:line="273" w:lineRule="auto"/>
        <w:rPr>
          <w:highlight w:val="none"/>
        </w:rPr>
      </w:pPr>
    </w:p>
    <w:p w14:paraId="44188373">
      <w:pPr>
        <w:spacing w:before="97" w:line="221" w:lineRule="auto"/>
        <w:ind w:left="3420"/>
        <w:rPr>
          <w:rFonts w:ascii="黑体" w:hAnsi="黑体" w:eastAsia="黑体" w:cs="黑体"/>
          <w:sz w:val="30"/>
          <w:szCs w:val="30"/>
          <w:highlight w:val="none"/>
        </w:rPr>
      </w:pPr>
      <w:r>
        <w:rPr>
          <w:rFonts w:ascii="黑体" w:hAnsi="黑体" w:eastAsia="黑体" w:cs="黑体"/>
          <w:spacing w:val="-3"/>
          <w:sz w:val="30"/>
          <w:szCs w:val="30"/>
          <w:highlight w:val="none"/>
        </w:rPr>
        <w:t>发包人要求</w:t>
      </w:r>
    </w:p>
    <w:p w14:paraId="0EDC84C5">
      <w:pPr>
        <w:pStyle w:val="2"/>
        <w:spacing w:line="318" w:lineRule="auto"/>
        <w:rPr>
          <w:highlight w:val="none"/>
        </w:rPr>
      </w:pPr>
    </w:p>
    <w:p w14:paraId="6AF1E54C">
      <w:pPr>
        <w:pStyle w:val="2"/>
        <w:spacing w:line="318" w:lineRule="auto"/>
        <w:rPr>
          <w:highlight w:val="none"/>
        </w:rPr>
      </w:pPr>
    </w:p>
    <w:p w14:paraId="29744A25">
      <w:pPr>
        <w:spacing w:before="68" w:line="379" w:lineRule="auto"/>
        <w:ind w:right="15" w:firstLine="360"/>
        <w:jc w:val="both"/>
        <w:rPr>
          <w:rFonts w:ascii="宋体" w:hAnsi="宋体" w:eastAsia="宋体" w:cs="宋体"/>
          <w:sz w:val="21"/>
          <w:szCs w:val="21"/>
          <w:highlight w:val="none"/>
        </w:rPr>
      </w:pPr>
      <w:r>
        <w:rPr>
          <w:rFonts w:ascii="宋体" w:hAnsi="宋体" w:eastAsia="宋体" w:cs="宋体"/>
          <w:sz w:val="21"/>
          <w:szCs w:val="21"/>
          <w:highlight w:val="none"/>
        </w:rPr>
        <w:t>发包人要求应尽可能清晰准确，对于可以进行定量评估的</w:t>
      </w:r>
      <w:r>
        <w:rPr>
          <w:rFonts w:ascii="宋体" w:hAnsi="宋体" w:eastAsia="宋体" w:cs="宋体"/>
          <w:spacing w:val="-1"/>
          <w:sz w:val="21"/>
          <w:szCs w:val="21"/>
          <w:highlight w:val="none"/>
        </w:rPr>
        <w:t>工作，发包人要求不仅应明确</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规定其产能、功能、用途、质量、环境、安全，并且要规定偏离的范围和计算方法，以</w:t>
      </w:r>
      <w:r>
        <w:rPr>
          <w:rFonts w:ascii="宋体" w:hAnsi="宋体" w:eastAsia="宋体" w:cs="宋体"/>
          <w:spacing w:val="-3"/>
          <w:sz w:val="21"/>
          <w:szCs w:val="21"/>
          <w:highlight w:val="none"/>
        </w:rPr>
        <w:t>及检</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验、试验、试运行的具体要求。对于承包人负责提供的有关设备和服务，对发包人人员进行</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培训和提供一些消耗品等，在发包人要求中应一并明确规定。</w:t>
      </w:r>
    </w:p>
    <w:p w14:paraId="26420E72">
      <w:pPr>
        <w:spacing w:before="17" w:line="219" w:lineRule="auto"/>
        <w:ind w:left="360"/>
        <w:rPr>
          <w:rFonts w:ascii="宋体" w:hAnsi="宋体" w:eastAsia="宋体" w:cs="宋体"/>
          <w:sz w:val="22"/>
          <w:szCs w:val="22"/>
          <w:highlight w:val="none"/>
        </w:rPr>
      </w:pPr>
      <w:r>
        <w:rPr>
          <w:rFonts w:ascii="宋体" w:hAnsi="宋体" w:eastAsia="宋体" w:cs="宋体"/>
          <w:spacing w:val="-13"/>
          <w:sz w:val="22"/>
          <w:szCs w:val="22"/>
          <w:highlight w:val="none"/>
        </w:rPr>
        <w:t>发包人要求通常包括但不限于以下内容：</w:t>
      </w:r>
    </w:p>
    <w:p w14:paraId="1FE2FFA4">
      <w:pPr>
        <w:spacing w:before="218" w:line="221" w:lineRule="auto"/>
        <w:ind w:left="360"/>
        <w:rPr>
          <w:rFonts w:ascii="宋体" w:hAnsi="宋体" w:eastAsia="宋体" w:cs="宋体"/>
          <w:sz w:val="19"/>
          <w:szCs w:val="19"/>
          <w:highlight w:val="none"/>
        </w:rPr>
      </w:pPr>
      <w:r>
        <w:rPr>
          <w:rFonts w:ascii="宋体" w:hAnsi="宋体" w:eastAsia="宋体" w:cs="宋体"/>
          <w:spacing w:val="7"/>
          <w:sz w:val="19"/>
          <w:szCs w:val="19"/>
          <w:highlight w:val="none"/>
        </w:rPr>
        <w:t>一</w:t>
      </w:r>
      <w:r>
        <w:rPr>
          <w:rFonts w:ascii="宋体" w:hAnsi="宋体" w:eastAsia="宋体" w:cs="宋体"/>
          <w:spacing w:val="-39"/>
          <w:sz w:val="19"/>
          <w:szCs w:val="19"/>
          <w:highlight w:val="none"/>
        </w:rPr>
        <w:t xml:space="preserve"> </w:t>
      </w:r>
      <w:r>
        <w:rPr>
          <w:rFonts w:ascii="宋体" w:hAnsi="宋体" w:eastAsia="宋体" w:cs="宋体"/>
          <w:spacing w:val="7"/>
          <w:sz w:val="19"/>
          <w:szCs w:val="19"/>
          <w:highlight w:val="none"/>
        </w:rPr>
        <w:t>、功能要求</w:t>
      </w:r>
    </w:p>
    <w:p w14:paraId="23A99125">
      <w:pPr>
        <w:spacing w:before="174" w:line="220" w:lineRule="auto"/>
        <w:ind w:left="640"/>
        <w:rPr>
          <w:rFonts w:ascii="宋体" w:hAnsi="宋体" w:eastAsia="宋体" w:cs="宋体"/>
          <w:sz w:val="22"/>
          <w:szCs w:val="22"/>
          <w:highlight w:val="none"/>
        </w:rPr>
      </w:pPr>
      <w:r>
        <w:rPr>
          <w:rFonts w:ascii="宋体" w:hAnsi="宋体" w:eastAsia="宋体" w:cs="宋体"/>
          <w:sz w:val="22"/>
          <w:szCs w:val="22"/>
          <w:highlight w:val="none"/>
        </w:rPr>
        <w:t>(一)工程的目的。</w:t>
      </w:r>
    </w:p>
    <w:p w14:paraId="5F4B5051">
      <w:pPr>
        <w:spacing w:before="196" w:line="219" w:lineRule="auto"/>
        <w:ind w:left="640"/>
        <w:rPr>
          <w:rFonts w:ascii="宋体" w:hAnsi="宋体" w:eastAsia="宋体" w:cs="宋体"/>
          <w:sz w:val="20"/>
          <w:szCs w:val="20"/>
          <w:highlight w:val="none"/>
        </w:rPr>
      </w:pPr>
      <w:r>
        <w:rPr>
          <w:rFonts w:ascii="宋体" w:hAnsi="宋体" w:eastAsia="宋体" w:cs="宋体"/>
          <w:spacing w:val="16"/>
          <w:sz w:val="20"/>
          <w:szCs w:val="20"/>
          <w:highlight w:val="none"/>
        </w:rPr>
        <w:t>(二)工程规模。</w:t>
      </w:r>
    </w:p>
    <w:p w14:paraId="11DD70DF">
      <w:pPr>
        <w:spacing w:before="214" w:line="220" w:lineRule="auto"/>
        <w:ind w:left="640"/>
        <w:rPr>
          <w:rFonts w:ascii="宋体" w:hAnsi="宋体" w:eastAsia="宋体" w:cs="宋体"/>
          <w:sz w:val="20"/>
          <w:szCs w:val="20"/>
          <w:highlight w:val="none"/>
        </w:rPr>
      </w:pPr>
      <w:r>
        <w:rPr>
          <w:rFonts w:ascii="宋体" w:hAnsi="宋体" w:eastAsia="宋体" w:cs="宋体"/>
          <w:spacing w:val="19"/>
          <w:sz w:val="20"/>
          <w:szCs w:val="20"/>
          <w:highlight w:val="none"/>
        </w:rPr>
        <w:t>(三)性能保证指标(性能保证表)。</w:t>
      </w:r>
    </w:p>
    <w:p w14:paraId="1D313862">
      <w:pPr>
        <w:spacing w:before="162" w:line="219" w:lineRule="auto"/>
        <w:ind w:left="640"/>
        <w:rPr>
          <w:rFonts w:ascii="宋体" w:hAnsi="宋体" w:eastAsia="宋体" w:cs="宋体"/>
          <w:sz w:val="22"/>
          <w:szCs w:val="22"/>
          <w:highlight w:val="none"/>
        </w:rPr>
      </w:pPr>
      <w:r>
        <w:rPr>
          <w:rFonts w:ascii="宋体" w:hAnsi="宋体" w:eastAsia="宋体" w:cs="宋体"/>
          <w:sz w:val="22"/>
          <w:szCs w:val="22"/>
          <w:highlight w:val="none"/>
        </w:rPr>
        <w:t>(四)产能保证指标。</w:t>
      </w:r>
    </w:p>
    <w:p w14:paraId="10CF841A">
      <w:pPr>
        <w:spacing w:before="198" w:line="220" w:lineRule="auto"/>
        <w:ind w:left="360"/>
        <w:rPr>
          <w:rFonts w:ascii="宋体" w:hAnsi="宋体" w:eastAsia="宋体" w:cs="宋体"/>
          <w:sz w:val="20"/>
          <w:szCs w:val="20"/>
          <w:highlight w:val="none"/>
        </w:rPr>
      </w:pPr>
      <w:r>
        <w:rPr>
          <w:rFonts w:ascii="宋体" w:hAnsi="宋体" w:eastAsia="宋体" w:cs="宋体"/>
          <w:spacing w:val="8"/>
          <w:sz w:val="20"/>
          <w:szCs w:val="20"/>
          <w:highlight w:val="none"/>
        </w:rPr>
        <w:t>二、工程范围</w:t>
      </w:r>
    </w:p>
    <w:p w14:paraId="268304A5">
      <w:pPr>
        <w:spacing w:before="152" w:line="219" w:lineRule="auto"/>
        <w:ind w:left="740"/>
        <w:rPr>
          <w:rFonts w:ascii="宋体" w:hAnsi="宋体" w:eastAsia="宋体" w:cs="宋体"/>
          <w:sz w:val="22"/>
          <w:szCs w:val="22"/>
          <w:highlight w:val="none"/>
        </w:rPr>
      </w:pPr>
      <w:r>
        <w:rPr>
          <w:rFonts w:ascii="宋体" w:hAnsi="宋体" w:eastAsia="宋体" w:cs="宋体"/>
          <w:spacing w:val="9"/>
          <w:sz w:val="22"/>
          <w:szCs w:val="22"/>
          <w:highlight w:val="none"/>
        </w:rPr>
        <w:t>(一)概述</w:t>
      </w:r>
    </w:p>
    <w:p w14:paraId="0147917C">
      <w:pPr>
        <w:spacing w:before="129" w:line="220" w:lineRule="auto"/>
        <w:ind w:left="740"/>
        <w:rPr>
          <w:rFonts w:ascii="宋体" w:hAnsi="宋体" w:eastAsia="宋体" w:cs="宋体"/>
          <w:sz w:val="21"/>
          <w:szCs w:val="21"/>
          <w:highlight w:val="none"/>
        </w:rPr>
      </w:pPr>
      <w:r>
        <w:rPr>
          <w:rFonts w:ascii="宋体" w:hAnsi="宋体" w:eastAsia="宋体" w:cs="宋体"/>
          <w:spacing w:val="11"/>
          <w:sz w:val="21"/>
          <w:szCs w:val="21"/>
          <w:highlight w:val="none"/>
        </w:rPr>
        <w:t>(二)包括的工作</w:t>
      </w:r>
    </w:p>
    <w:p w14:paraId="78843418">
      <w:pPr>
        <w:spacing w:before="208" w:line="219" w:lineRule="auto"/>
        <w:ind w:left="98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   </w:t>
      </w:r>
      <w:r>
        <w:rPr>
          <w:rFonts w:ascii="宋体" w:hAnsi="宋体" w:eastAsia="宋体" w:cs="宋体"/>
          <w:spacing w:val="-9"/>
          <w:sz w:val="22"/>
          <w:szCs w:val="22"/>
          <w:highlight w:val="none"/>
        </w:rPr>
        <w:t>永久工程的设计、采购、施工范围。</w:t>
      </w:r>
    </w:p>
    <w:p w14:paraId="6332E626">
      <w:pPr>
        <w:spacing w:before="190" w:line="219" w:lineRule="auto"/>
        <w:ind w:left="980"/>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2.</w:t>
      </w:r>
      <w:r>
        <w:rPr>
          <w:rFonts w:ascii="Times New Roman" w:hAnsi="Times New Roman" w:eastAsia="Times New Roman" w:cs="Times New Roman"/>
          <w:spacing w:val="4"/>
          <w:sz w:val="20"/>
          <w:szCs w:val="20"/>
          <w:highlight w:val="none"/>
        </w:rPr>
        <w:t xml:space="preserve">   </w:t>
      </w:r>
      <w:r>
        <w:rPr>
          <w:rFonts w:ascii="宋体" w:hAnsi="宋体" w:eastAsia="宋体" w:cs="宋体"/>
          <w:spacing w:val="7"/>
          <w:sz w:val="20"/>
          <w:szCs w:val="20"/>
          <w:highlight w:val="none"/>
        </w:rPr>
        <w:t>临时工程的设计与施工范围。</w:t>
      </w:r>
    </w:p>
    <w:p w14:paraId="28AE4D2C">
      <w:pPr>
        <w:spacing w:before="194" w:line="219" w:lineRule="auto"/>
        <w:ind w:left="98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3.</w:t>
      </w:r>
      <w:r>
        <w:rPr>
          <w:rFonts w:ascii="Times New Roman" w:hAnsi="Times New Roman" w:eastAsia="Times New Roman" w:cs="Times New Roman"/>
          <w:spacing w:val="26"/>
          <w:sz w:val="22"/>
          <w:szCs w:val="22"/>
          <w:highlight w:val="none"/>
        </w:rPr>
        <w:t xml:space="preserve">  </w:t>
      </w:r>
      <w:r>
        <w:rPr>
          <w:rFonts w:ascii="宋体" w:hAnsi="宋体" w:eastAsia="宋体" w:cs="宋体"/>
          <w:spacing w:val="-9"/>
          <w:sz w:val="22"/>
          <w:szCs w:val="22"/>
          <w:highlight w:val="none"/>
        </w:rPr>
        <w:t>竣工验收工作范围。</w:t>
      </w:r>
    </w:p>
    <w:p w14:paraId="33EEA46F">
      <w:pPr>
        <w:spacing w:before="169" w:line="219" w:lineRule="auto"/>
        <w:ind w:left="98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4.</w:t>
      </w:r>
      <w:r>
        <w:rPr>
          <w:rFonts w:ascii="Times New Roman" w:hAnsi="Times New Roman" w:eastAsia="Times New Roman" w:cs="Times New Roman"/>
          <w:spacing w:val="14"/>
          <w:w w:val="101"/>
          <w:sz w:val="22"/>
          <w:szCs w:val="22"/>
          <w:highlight w:val="none"/>
        </w:rPr>
        <w:t xml:space="preserve">  </w:t>
      </w:r>
      <w:r>
        <w:rPr>
          <w:rFonts w:ascii="宋体" w:hAnsi="宋体" w:eastAsia="宋体" w:cs="宋体"/>
          <w:spacing w:val="-7"/>
          <w:sz w:val="22"/>
          <w:szCs w:val="22"/>
          <w:highlight w:val="none"/>
        </w:rPr>
        <w:t>技术服务工作范围。</w:t>
      </w:r>
    </w:p>
    <w:p w14:paraId="503B05BE">
      <w:pPr>
        <w:spacing w:before="179" w:line="220" w:lineRule="auto"/>
        <w:ind w:left="98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5.</w:t>
      </w:r>
      <w:r>
        <w:rPr>
          <w:rFonts w:ascii="Times New Roman" w:hAnsi="Times New Roman" w:eastAsia="Times New Roman" w:cs="Times New Roman"/>
          <w:spacing w:val="23"/>
          <w:sz w:val="22"/>
          <w:szCs w:val="22"/>
          <w:highlight w:val="none"/>
        </w:rPr>
        <w:t xml:space="preserve">  </w:t>
      </w:r>
      <w:r>
        <w:rPr>
          <w:rFonts w:ascii="宋体" w:hAnsi="宋体" w:eastAsia="宋体" w:cs="宋体"/>
          <w:spacing w:val="-8"/>
          <w:sz w:val="22"/>
          <w:szCs w:val="22"/>
          <w:highlight w:val="none"/>
        </w:rPr>
        <w:t>培训工作范围。</w:t>
      </w:r>
    </w:p>
    <w:p w14:paraId="7E5DB486">
      <w:pPr>
        <w:spacing w:before="178" w:line="219" w:lineRule="auto"/>
        <w:ind w:left="98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6.</w:t>
      </w:r>
      <w:r>
        <w:rPr>
          <w:rFonts w:ascii="Times New Roman" w:hAnsi="Times New Roman" w:eastAsia="Times New Roman" w:cs="Times New Roman"/>
          <w:spacing w:val="23"/>
          <w:sz w:val="22"/>
          <w:szCs w:val="22"/>
          <w:highlight w:val="none"/>
        </w:rPr>
        <w:t xml:space="preserve">  </w:t>
      </w:r>
      <w:r>
        <w:rPr>
          <w:rFonts w:ascii="宋体" w:hAnsi="宋体" w:eastAsia="宋体" w:cs="宋体"/>
          <w:spacing w:val="-8"/>
          <w:sz w:val="22"/>
          <w:szCs w:val="22"/>
          <w:highlight w:val="none"/>
        </w:rPr>
        <w:t>保修工作范围。</w:t>
      </w:r>
    </w:p>
    <w:p w14:paraId="1754DA90">
      <w:pPr>
        <w:spacing w:before="189" w:line="220" w:lineRule="auto"/>
        <w:ind w:left="640"/>
        <w:rPr>
          <w:rFonts w:ascii="宋体" w:hAnsi="宋体" w:eastAsia="宋体" w:cs="宋体"/>
          <w:sz w:val="22"/>
          <w:szCs w:val="22"/>
          <w:highlight w:val="none"/>
        </w:rPr>
      </w:pPr>
      <w:r>
        <w:rPr>
          <w:rFonts w:ascii="宋体" w:hAnsi="宋体" w:eastAsia="宋体" w:cs="宋体"/>
          <w:spacing w:val="6"/>
          <w:sz w:val="22"/>
          <w:szCs w:val="22"/>
          <w:highlight w:val="none"/>
        </w:rPr>
        <w:t>(三)工作界区</w:t>
      </w:r>
    </w:p>
    <w:p w14:paraId="0DF58712">
      <w:pPr>
        <w:spacing w:before="145" w:line="219" w:lineRule="auto"/>
        <w:ind w:left="640"/>
        <w:rPr>
          <w:rFonts w:ascii="宋体" w:hAnsi="宋体" w:eastAsia="宋体" w:cs="宋体"/>
          <w:sz w:val="20"/>
          <w:szCs w:val="20"/>
          <w:highlight w:val="none"/>
        </w:rPr>
      </w:pPr>
      <w:r>
        <w:rPr>
          <w:rFonts w:ascii="宋体" w:hAnsi="宋体" w:eastAsia="宋体" w:cs="宋体"/>
          <w:spacing w:val="16"/>
          <w:sz w:val="20"/>
          <w:szCs w:val="20"/>
          <w:highlight w:val="none"/>
        </w:rPr>
        <w:t>(四)发包人提供的现场条件</w:t>
      </w:r>
    </w:p>
    <w:p w14:paraId="2C09E60B">
      <w:pPr>
        <w:spacing w:before="186" w:line="221" w:lineRule="auto"/>
        <w:ind w:left="980"/>
        <w:rPr>
          <w:rFonts w:ascii="宋体" w:hAnsi="宋体" w:eastAsia="宋体" w:cs="宋体"/>
          <w:sz w:val="22"/>
          <w:szCs w:val="22"/>
          <w:highlight w:val="none"/>
        </w:rPr>
      </w:pPr>
      <w:r>
        <w:rPr>
          <w:rFonts w:ascii="宋体" w:hAnsi="宋体" w:eastAsia="宋体" w:cs="宋体"/>
          <w:spacing w:val="-9"/>
          <w:sz w:val="22"/>
          <w:szCs w:val="22"/>
          <w:highlight w:val="none"/>
        </w:rPr>
        <w:t>1.</w:t>
      </w:r>
      <w:r>
        <w:rPr>
          <w:rFonts w:ascii="宋体" w:hAnsi="宋体" w:eastAsia="宋体" w:cs="宋体"/>
          <w:spacing w:val="-10"/>
          <w:sz w:val="22"/>
          <w:szCs w:val="22"/>
          <w:highlight w:val="none"/>
        </w:rPr>
        <w:t xml:space="preserve"> </w:t>
      </w:r>
      <w:r>
        <w:rPr>
          <w:rFonts w:ascii="宋体" w:hAnsi="宋体" w:eastAsia="宋体" w:cs="宋体"/>
          <w:spacing w:val="-9"/>
          <w:sz w:val="22"/>
          <w:szCs w:val="22"/>
          <w:highlight w:val="none"/>
        </w:rPr>
        <w:t>施工用电。</w:t>
      </w:r>
    </w:p>
    <w:p w14:paraId="6C0B74AA">
      <w:pPr>
        <w:spacing w:before="176" w:line="219" w:lineRule="auto"/>
        <w:ind w:left="980"/>
        <w:rPr>
          <w:rFonts w:ascii="宋体" w:hAnsi="宋体" w:eastAsia="宋体" w:cs="宋体"/>
          <w:sz w:val="22"/>
          <w:szCs w:val="22"/>
          <w:highlight w:val="none"/>
        </w:rPr>
      </w:pPr>
      <w:r>
        <w:rPr>
          <w:rFonts w:ascii="宋体" w:hAnsi="宋体" w:eastAsia="宋体" w:cs="宋体"/>
          <w:spacing w:val="-9"/>
          <w:sz w:val="22"/>
          <w:szCs w:val="22"/>
          <w:highlight w:val="none"/>
        </w:rPr>
        <w:t>2.</w:t>
      </w:r>
      <w:r>
        <w:rPr>
          <w:rFonts w:ascii="宋体" w:hAnsi="宋体" w:eastAsia="宋体" w:cs="宋体"/>
          <w:spacing w:val="-17"/>
          <w:sz w:val="22"/>
          <w:szCs w:val="22"/>
          <w:highlight w:val="none"/>
        </w:rPr>
        <w:t xml:space="preserve"> </w:t>
      </w:r>
      <w:r>
        <w:rPr>
          <w:rFonts w:ascii="宋体" w:hAnsi="宋体" w:eastAsia="宋体" w:cs="宋体"/>
          <w:spacing w:val="-9"/>
          <w:sz w:val="22"/>
          <w:szCs w:val="22"/>
          <w:highlight w:val="none"/>
        </w:rPr>
        <w:t>施工用水。</w:t>
      </w:r>
    </w:p>
    <w:p w14:paraId="66ECA8F2">
      <w:pPr>
        <w:spacing w:before="189" w:line="219" w:lineRule="auto"/>
        <w:ind w:left="98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3.</w:t>
      </w:r>
      <w:r>
        <w:rPr>
          <w:rFonts w:ascii="Times New Roman" w:hAnsi="Times New Roman" w:eastAsia="Times New Roman" w:cs="Times New Roman"/>
          <w:spacing w:val="19"/>
          <w:sz w:val="22"/>
          <w:szCs w:val="22"/>
          <w:highlight w:val="none"/>
        </w:rPr>
        <w:t xml:space="preserve">  </w:t>
      </w:r>
      <w:r>
        <w:rPr>
          <w:rFonts w:ascii="宋体" w:hAnsi="宋体" w:eastAsia="宋体" w:cs="宋体"/>
          <w:spacing w:val="-9"/>
          <w:sz w:val="22"/>
          <w:szCs w:val="22"/>
          <w:highlight w:val="none"/>
        </w:rPr>
        <w:t>施工排水。</w:t>
      </w:r>
    </w:p>
    <w:p w14:paraId="58F2DD55">
      <w:pPr>
        <w:spacing w:before="178" w:line="219" w:lineRule="auto"/>
        <w:ind w:left="980"/>
        <w:rPr>
          <w:rFonts w:ascii="宋体" w:hAnsi="宋体" w:eastAsia="宋体" w:cs="宋体"/>
          <w:sz w:val="20"/>
          <w:szCs w:val="20"/>
          <w:highlight w:val="none"/>
        </w:rPr>
      </w:pPr>
      <w:r>
        <w:rPr>
          <w:rFonts w:ascii="宋体" w:hAnsi="宋体" w:eastAsia="宋体" w:cs="宋体"/>
          <w:spacing w:val="4"/>
          <w:sz w:val="20"/>
          <w:szCs w:val="20"/>
          <w:highlight w:val="none"/>
        </w:rPr>
        <w:t>4.</w:t>
      </w:r>
      <w:r>
        <w:rPr>
          <w:rFonts w:ascii="宋体" w:hAnsi="宋体" w:eastAsia="宋体" w:cs="宋体"/>
          <w:spacing w:val="-30"/>
          <w:sz w:val="20"/>
          <w:szCs w:val="20"/>
          <w:highlight w:val="none"/>
        </w:rPr>
        <w:t xml:space="preserve"> </w:t>
      </w:r>
      <w:r>
        <w:rPr>
          <w:rFonts w:ascii="宋体" w:hAnsi="宋体" w:eastAsia="宋体" w:cs="宋体"/>
          <w:spacing w:val="4"/>
          <w:sz w:val="20"/>
          <w:szCs w:val="20"/>
          <w:highlight w:val="none"/>
        </w:rPr>
        <w:t>施工道路。</w:t>
      </w:r>
    </w:p>
    <w:p w14:paraId="7AF4B5C9">
      <w:pPr>
        <w:spacing w:before="161" w:line="219" w:lineRule="auto"/>
        <w:ind w:left="640"/>
        <w:rPr>
          <w:rFonts w:ascii="宋体" w:hAnsi="宋体" w:eastAsia="宋体" w:cs="宋体"/>
          <w:sz w:val="20"/>
          <w:szCs w:val="20"/>
          <w:highlight w:val="none"/>
        </w:rPr>
      </w:pPr>
      <w:r>
        <w:rPr>
          <w:rFonts w:ascii="宋体" w:hAnsi="宋体" w:eastAsia="宋体" w:cs="宋体"/>
          <w:spacing w:val="16"/>
          <w:sz w:val="20"/>
          <w:szCs w:val="20"/>
          <w:highlight w:val="none"/>
        </w:rPr>
        <w:t>(五)发包人提供的技术文件</w:t>
      </w:r>
    </w:p>
    <w:p w14:paraId="53F6B737">
      <w:pPr>
        <w:spacing w:line="219" w:lineRule="auto"/>
        <w:rPr>
          <w:rFonts w:ascii="宋体" w:hAnsi="宋体" w:eastAsia="宋体" w:cs="宋体"/>
          <w:sz w:val="20"/>
          <w:szCs w:val="20"/>
          <w:highlight w:val="none"/>
        </w:rPr>
        <w:sectPr>
          <w:footerReference r:id="rId229" w:type="default"/>
          <w:pgSz w:w="11910" w:h="16840"/>
          <w:pgMar w:top="400" w:right="1786" w:bottom="1176" w:left="1779" w:header="0" w:footer="1026" w:gutter="0"/>
          <w:cols w:space="720" w:num="1"/>
        </w:sectPr>
      </w:pPr>
    </w:p>
    <w:p w14:paraId="34E10A65">
      <w:pPr>
        <w:pStyle w:val="2"/>
        <w:spacing w:line="277" w:lineRule="auto"/>
        <w:rPr>
          <w:highlight w:val="none"/>
        </w:rPr>
      </w:pPr>
    </w:p>
    <w:p w14:paraId="7B64314B">
      <w:pPr>
        <w:pStyle w:val="2"/>
        <w:spacing w:line="277" w:lineRule="auto"/>
        <w:rPr>
          <w:highlight w:val="none"/>
        </w:rPr>
      </w:pPr>
    </w:p>
    <w:p w14:paraId="1995E203">
      <w:pPr>
        <w:pStyle w:val="2"/>
        <w:spacing w:line="278" w:lineRule="auto"/>
        <w:rPr>
          <w:highlight w:val="none"/>
        </w:rPr>
      </w:pPr>
    </w:p>
    <w:p w14:paraId="329F2DA6">
      <w:pPr>
        <w:pStyle w:val="2"/>
        <w:spacing w:line="278" w:lineRule="auto"/>
        <w:rPr>
          <w:highlight w:val="none"/>
        </w:rPr>
      </w:pPr>
    </w:p>
    <w:p w14:paraId="2FD19CEF">
      <w:pPr>
        <w:spacing w:before="72" w:line="219" w:lineRule="auto"/>
        <w:ind w:left="893"/>
        <w:rPr>
          <w:rFonts w:ascii="宋体" w:hAnsi="宋体" w:eastAsia="宋体" w:cs="宋体"/>
          <w:sz w:val="22"/>
          <w:szCs w:val="22"/>
          <w:highlight w:val="none"/>
        </w:rPr>
      </w:pPr>
      <w:bookmarkStart w:id="231" w:name="bookmark291"/>
      <w:bookmarkEnd w:id="231"/>
      <w:r>
        <w:rPr>
          <w:rFonts w:ascii="宋体" w:hAnsi="宋体" w:eastAsia="宋体" w:cs="宋体"/>
          <w:spacing w:val="-10"/>
          <w:sz w:val="22"/>
          <w:szCs w:val="22"/>
          <w:highlight w:val="none"/>
        </w:rPr>
        <w:t>除另有批准外，承包人的工作需要遵照发包人的下列技术文件：</w:t>
      </w:r>
    </w:p>
    <w:p w14:paraId="57CF5B1D">
      <w:pPr>
        <w:spacing w:before="206" w:line="219" w:lineRule="auto"/>
        <w:ind w:left="893"/>
        <w:rPr>
          <w:rFonts w:ascii="宋体" w:hAnsi="宋体" w:eastAsia="宋体" w:cs="宋体"/>
          <w:sz w:val="20"/>
          <w:szCs w:val="20"/>
          <w:highlight w:val="none"/>
        </w:rPr>
      </w:pPr>
      <w:r>
        <w:rPr>
          <w:rFonts w:ascii="Times New Roman" w:hAnsi="Times New Roman" w:eastAsia="Times New Roman" w:cs="Times New Roman"/>
          <w:spacing w:val="3"/>
          <w:sz w:val="20"/>
          <w:szCs w:val="20"/>
          <w:highlight w:val="none"/>
        </w:rPr>
        <w:t>1.</w:t>
      </w:r>
      <w:r>
        <w:rPr>
          <w:rFonts w:ascii="Times New Roman" w:hAnsi="Times New Roman" w:eastAsia="Times New Roman" w:cs="Times New Roman"/>
          <w:spacing w:val="12"/>
          <w:sz w:val="20"/>
          <w:szCs w:val="20"/>
          <w:highlight w:val="none"/>
        </w:rPr>
        <w:t xml:space="preserve">   </w:t>
      </w:r>
      <w:r>
        <w:rPr>
          <w:rFonts w:ascii="宋体" w:hAnsi="宋体" w:eastAsia="宋体" w:cs="宋体"/>
          <w:spacing w:val="3"/>
          <w:sz w:val="20"/>
          <w:szCs w:val="20"/>
          <w:highlight w:val="none"/>
        </w:rPr>
        <w:t>发包人需求任务书。</w:t>
      </w:r>
    </w:p>
    <w:p w14:paraId="2CCE08D0">
      <w:pPr>
        <w:spacing w:before="204" w:line="219" w:lineRule="auto"/>
        <w:ind w:left="893"/>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2.</w:t>
      </w:r>
      <w:r>
        <w:rPr>
          <w:rFonts w:ascii="Times New Roman" w:hAnsi="Times New Roman" w:eastAsia="Times New Roman" w:cs="Times New Roman"/>
          <w:spacing w:val="3"/>
          <w:sz w:val="20"/>
          <w:szCs w:val="20"/>
          <w:highlight w:val="none"/>
        </w:rPr>
        <w:t xml:space="preserve">   </w:t>
      </w:r>
      <w:r>
        <w:rPr>
          <w:rFonts w:ascii="宋体" w:hAnsi="宋体" w:eastAsia="宋体" w:cs="宋体"/>
          <w:spacing w:val="7"/>
          <w:sz w:val="20"/>
          <w:szCs w:val="20"/>
          <w:highlight w:val="none"/>
        </w:rPr>
        <w:t>发包人已完成的设计文件。</w:t>
      </w:r>
    </w:p>
    <w:p w14:paraId="78168EB2">
      <w:pPr>
        <w:spacing w:before="203" w:line="220" w:lineRule="auto"/>
        <w:ind w:left="353"/>
        <w:rPr>
          <w:rFonts w:ascii="宋体" w:hAnsi="宋体" w:eastAsia="宋体" w:cs="宋体"/>
          <w:sz w:val="20"/>
          <w:szCs w:val="20"/>
          <w:highlight w:val="none"/>
        </w:rPr>
      </w:pPr>
      <w:r>
        <w:rPr>
          <w:rFonts w:ascii="宋体" w:hAnsi="宋体" w:eastAsia="宋体" w:cs="宋体"/>
          <w:spacing w:val="19"/>
          <w:sz w:val="20"/>
          <w:szCs w:val="20"/>
          <w:highlight w:val="none"/>
        </w:rPr>
        <w:t>三、工艺安排或要求(如有)</w:t>
      </w:r>
    </w:p>
    <w:p w14:paraId="043E4B65">
      <w:pPr>
        <w:spacing w:before="182" w:line="221" w:lineRule="auto"/>
        <w:ind w:left="353"/>
        <w:rPr>
          <w:rFonts w:ascii="宋体" w:hAnsi="宋体" w:eastAsia="宋体" w:cs="宋体"/>
          <w:sz w:val="21"/>
          <w:szCs w:val="21"/>
          <w:highlight w:val="none"/>
        </w:rPr>
      </w:pPr>
      <w:r>
        <w:rPr>
          <w:rFonts w:ascii="宋体" w:hAnsi="宋体" w:eastAsia="宋体" w:cs="宋体"/>
          <w:spacing w:val="-2"/>
          <w:sz w:val="21"/>
          <w:szCs w:val="21"/>
          <w:highlight w:val="none"/>
        </w:rPr>
        <w:t>四、时间要求</w:t>
      </w:r>
    </w:p>
    <w:p w14:paraId="2689FBF9">
      <w:pPr>
        <w:spacing w:before="198" w:line="220" w:lineRule="auto"/>
        <w:ind w:left="663"/>
        <w:rPr>
          <w:rFonts w:ascii="宋体" w:hAnsi="宋体" w:eastAsia="宋体" w:cs="宋体"/>
          <w:sz w:val="22"/>
          <w:szCs w:val="22"/>
          <w:highlight w:val="none"/>
        </w:rPr>
      </w:pPr>
      <w:r>
        <w:rPr>
          <w:rFonts w:ascii="宋体" w:hAnsi="宋体" w:eastAsia="宋体" w:cs="宋体"/>
          <w:sz w:val="22"/>
          <w:szCs w:val="22"/>
          <w:highlight w:val="none"/>
        </w:rPr>
        <w:t>(一)开始工作时间。</w:t>
      </w:r>
    </w:p>
    <w:p w14:paraId="512E6217">
      <w:pPr>
        <w:spacing w:before="187" w:line="219" w:lineRule="auto"/>
        <w:ind w:left="663"/>
        <w:rPr>
          <w:rFonts w:ascii="宋体" w:hAnsi="宋体" w:eastAsia="宋体" w:cs="宋体"/>
          <w:sz w:val="20"/>
          <w:szCs w:val="20"/>
          <w:highlight w:val="none"/>
        </w:rPr>
      </w:pPr>
      <w:r>
        <w:rPr>
          <w:rFonts w:ascii="宋体" w:hAnsi="宋体" w:eastAsia="宋体" w:cs="宋体"/>
          <w:spacing w:val="16"/>
          <w:sz w:val="20"/>
          <w:szCs w:val="20"/>
          <w:highlight w:val="none"/>
        </w:rPr>
        <w:t>(二)设计完成时间。</w:t>
      </w:r>
    </w:p>
    <w:p w14:paraId="70EE1431">
      <w:pPr>
        <w:spacing w:before="203" w:line="220" w:lineRule="auto"/>
        <w:ind w:left="663"/>
        <w:rPr>
          <w:rFonts w:ascii="宋体" w:hAnsi="宋体" w:eastAsia="宋体" w:cs="宋体"/>
          <w:sz w:val="20"/>
          <w:szCs w:val="20"/>
          <w:highlight w:val="none"/>
        </w:rPr>
      </w:pPr>
      <w:r>
        <w:rPr>
          <w:rFonts w:ascii="宋体" w:hAnsi="宋体" w:eastAsia="宋体" w:cs="宋体"/>
          <w:spacing w:val="16"/>
          <w:sz w:val="20"/>
          <w:szCs w:val="20"/>
          <w:highlight w:val="none"/>
        </w:rPr>
        <w:t>(三)进度计划。</w:t>
      </w:r>
    </w:p>
    <w:p w14:paraId="7311E3E7">
      <w:pPr>
        <w:spacing w:before="201" w:line="219" w:lineRule="auto"/>
        <w:ind w:left="663"/>
        <w:rPr>
          <w:rFonts w:ascii="宋体" w:hAnsi="宋体" w:eastAsia="宋体" w:cs="宋体"/>
          <w:sz w:val="20"/>
          <w:szCs w:val="20"/>
          <w:highlight w:val="none"/>
        </w:rPr>
      </w:pPr>
      <w:r>
        <w:rPr>
          <w:rFonts w:ascii="宋体" w:hAnsi="宋体" w:eastAsia="宋体" w:cs="宋体"/>
          <w:spacing w:val="16"/>
          <w:sz w:val="20"/>
          <w:szCs w:val="20"/>
          <w:highlight w:val="none"/>
        </w:rPr>
        <w:t>(四)竣工时间。</w:t>
      </w:r>
    </w:p>
    <w:p w14:paraId="12B95F91">
      <w:pPr>
        <w:spacing w:before="174" w:line="219" w:lineRule="auto"/>
        <w:ind w:left="663"/>
        <w:rPr>
          <w:rFonts w:ascii="宋体" w:hAnsi="宋体" w:eastAsia="宋体" w:cs="宋体"/>
          <w:sz w:val="22"/>
          <w:szCs w:val="22"/>
          <w:highlight w:val="none"/>
        </w:rPr>
      </w:pPr>
      <w:r>
        <w:rPr>
          <w:rFonts w:ascii="宋体" w:hAnsi="宋体" w:eastAsia="宋体" w:cs="宋体"/>
          <w:sz w:val="22"/>
          <w:szCs w:val="22"/>
          <w:highlight w:val="none"/>
        </w:rPr>
        <w:t>(五)缺陷责任期。</w:t>
      </w:r>
    </w:p>
    <w:p w14:paraId="16A3F738">
      <w:pPr>
        <w:spacing w:before="208" w:line="220" w:lineRule="auto"/>
        <w:ind w:left="663"/>
        <w:rPr>
          <w:rFonts w:ascii="宋体" w:hAnsi="宋体" w:eastAsia="宋体" w:cs="宋体"/>
          <w:sz w:val="20"/>
          <w:szCs w:val="20"/>
          <w:highlight w:val="none"/>
        </w:rPr>
      </w:pPr>
      <w:r>
        <w:rPr>
          <w:rFonts w:ascii="宋体" w:hAnsi="宋体" w:eastAsia="宋体" w:cs="宋体"/>
          <w:spacing w:val="16"/>
          <w:sz w:val="20"/>
          <w:szCs w:val="20"/>
          <w:highlight w:val="none"/>
        </w:rPr>
        <w:t>(六)其他时间要求。</w:t>
      </w:r>
    </w:p>
    <w:p w14:paraId="1FC6C9B0">
      <w:pPr>
        <w:spacing w:before="202" w:line="219" w:lineRule="auto"/>
        <w:ind w:left="353"/>
        <w:rPr>
          <w:rFonts w:ascii="宋体" w:hAnsi="宋体" w:eastAsia="宋体" w:cs="宋体"/>
          <w:sz w:val="21"/>
          <w:szCs w:val="21"/>
          <w:highlight w:val="none"/>
        </w:rPr>
      </w:pPr>
      <w:r>
        <w:rPr>
          <w:rFonts w:ascii="宋体" w:hAnsi="宋体" w:eastAsia="宋体" w:cs="宋体"/>
          <w:spacing w:val="-2"/>
          <w:sz w:val="21"/>
          <w:szCs w:val="21"/>
          <w:highlight w:val="none"/>
        </w:rPr>
        <w:t>五、技术要求</w:t>
      </w:r>
    </w:p>
    <w:p w14:paraId="5AD28300">
      <w:pPr>
        <w:spacing w:before="190" w:line="219" w:lineRule="auto"/>
        <w:ind w:left="663"/>
        <w:rPr>
          <w:rFonts w:ascii="宋体" w:hAnsi="宋体" w:eastAsia="宋体" w:cs="宋体"/>
          <w:sz w:val="20"/>
          <w:szCs w:val="20"/>
          <w:highlight w:val="none"/>
        </w:rPr>
      </w:pPr>
      <w:r>
        <w:rPr>
          <w:rFonts w:ascii="宋体" w:hAnsi="宋体" w:eastAsia="宋体" w:cs="宋体"/>
          <w:spacing w:val="15"/>
          <w:sz w:val="20"/>
          <w:szCs w:val="20"/>
          <w:highlight w:val="none"/>
        </w:rPr>
        <w:t>(一)设计阶段和设计任务。</w:t>
      </w:r>
    </w:p>
    <w:p w14:paraId="6159A9AA">
      <w:pPr>
        <w:spacing w:before="204" w:line="220" w:lineRule="auto"/>
        <w:ind w:left="663"/>
        <w:rPr>
          <w:rFonts w:ascii="宋体" w:hAnsi="宋体" w:eastAsia="宋体" w:cs="宋体"/>
          <w:sz w:val="20"/>
          <w:szCs w:val="20"/>
          <w:highlight w:val="none"/>
        </w:rPr>
      </w:pPr>
      <w:r>
        <w:rPr>
          <w:rFonts w:ascii="宋体" w:hAnsi="宋体" w:eastAsia="宋体" w:cs="宋体"/>
          <w:spacing w:val="16"/>
          <w:sz w:val="20"/>
          <w:szCs w:val="20"/>
          <w:highlight w:val="none"/>
        </w:rPr>
        <w:t>(二)设计标准和规范。</w:t>
      </w:r>
    </w:p>
    <w:p w14:paraId="4334E369">
      <w:pPr>
        <w:spacing w:before="201" w:line="219" w:lineRule="auto"/>
        <w:ind w:left="663"/>
        <w:rPr>
          <w:rFonts w:ascii="宋体" w:hAnsi="宋体" w:eastAsia="宋体" w:cs="宋体"/>
          <w:sz w:val="20"/>
          <w:szCs w:val="20"/>
          <w:highlight w:val="none"/>
        </w:rPr>
      </w:pPr>
      <w:r>
        <w:rPr>
          <w:rFonts w:ascii="宋体" w:hAnsi="宋体" w:eastAsia="宋体" w:cs="宋体"/>
          <w:spacing w:val="16"/>
          <w:sz w:val="20"/>
          <w:szCs w:val="20"/>
          <w:highlight w:val="none"/>
        </w:rPr>
        <w:t>(三)技术标准和要求。</w:t>
      </w:r>
    </w:p>
    <w:p w14:paraId="68396A4A">
      <w:pPr>
        <w:spacing w:before="213" w:line="220" w:lineRule="auto"/>
        <w:ind w:left="663"/>
        <w:rPr>
          <w:rFonts w:ascii="宋体" w:hAnsi="宋体" w:eastAsia="宋体" w:cs="宋体"/>
          <w:sz w:val="20"/>
          <w:szCs w:val="20"/>
          <w:highlight w:val="none"/>
        </w:rPr>
      </w:pPr>
      <w:r>
        <w:rPr>
          <w:rFonts w:ascii="宋体" w:hAnsi="宋体" w:eastAsia="宋体" w:cs="宋体"/>
          <w:spacing w:val="16"/>
          <w:sz w:val="20"/>
          <w:szCs w:val="20"/>
          <w:highlight w:val="none"/>
        </w:rPr>
        <w:t>(四)质量标准。</w:t>
      </w:r>
    </w:p>
    <w:p w14:paraId="7DA74944">
      <w:pPr>
        <w:spacing w:before="182" w:line="220" w:lineRule="auto"/>
        <w:ind w:left="663"/>
        <w:rPr>
          <w:rFonts w:ascii="宋体" w:hAnsi="宋体" w:eastAsia="宋体" w:cs="宋体"/>
          <w:sz w:val="21"/>
          <w:szCs w:val="21"/>
          <w:highlight w:val="none"/>
        </w:rPr>
      </w:pPr>
      <w:r>
        <w:rPr>
          <w:rFonts w:ascii="宋体" w:hAnsi="宋体" w:eastAsia="宋体" w:cs="宋体"/>
          <w:spacing w:val="9"/>
          <w:sz w:val="21"/>
          <w:szCs w:val="21"/>
          <w:highlight w:val="none"/>
        </w:rPr>
        <w:t>(五)设计、施工和设备监造、试验(如有)。</w:t>
      </w:r>
    </w:p>
    <w:p w14:paraId="0AF75E9E">
      <w:pPr>
        <w:spacing w:before="189" w:line="219" w:lineRule="auto"/>
        <w:ind w:left="663"/>
        <w:rPr>
          <w:rFonts w:ascii="宋体" w:hAnsi="宋体" w:eastAsia="宋体" w:cs="宋体"/>
          <w:sz w:val="21"/>
          <w:szCs w:val="21"/>
          <w:highlight w:val="none"/>
        </w:rPr>
      </w:pPr>
      <w:r>
        <w:rPr>
          <w:rFonts w:ascii="宋体" w:hAnsi="宋体" w:eastAsia="宋体" w:cs="宋体"/>
          <w:spacing w:val="10"/>
          <w:sz w:val="21"/>
          <w:szCs w:val="21"/>
          <w:highlight w:val="none"/>
        </w:rPr>
        <w:t>(六)样品。</w:t>
      </w:r>
    </w:p>
    <w:p w14:paraId="61DB6CBC">
      <w:pPr>
        <w:spacing w:before="192" w:line="290" w:lineRule="auto"/>
        <w:ind w:left="3" w:right="99" w:firstLine="660"/>
        <w:rPr>
          <w:rFonts w:ascii="宋体" w:hAnsi="宋体" w:eastAsia="宋体" w:cs="宋体"/>
          <w:sz w:val="22"/>
          <w:szCs w:val="22"/>
          <w:highlight w:val="none"/>
        </w:rPr>
      </w:pPr>
      <w:r>
        <w:rPr>
          <w:rFonts w:ascii="宋体" w:hAnsi="宋体" w:eastAsia="宋体" w:cs="宋体"/>
          <w:spacing w:val="-8"/>
          <w:sz w:val="22"/>
          <w:szCs w:val="22"/>
          <w:highlight w:val="none"/>
        </w:rPr>
        <w:t>(七)发包人提供的其他条件，如发包人或其委托的第三人提供的设计、工艺包、用</w:t>
      </w:r>
      <w:r>
        <w:rPr>
          <w:rFonts w:ascii="宋体" w:hAnsi="宋体" w:eastAsia="宋体" w:cs="宋体"/>
          <w:spacing w:val="10"/>
          <w:sz w:val="22"/>
          <w:szCs w:val="22"/>
          <w:highlight w:val="none"/>
        </w:rPr>
        <w:t xml:space="preserve"> </w:t>
      </w:r>
      <w:r>
        <w:rPr>
          <w:rFonts w:ascii="宋体" w:hAnsi="宋体" w:eastAsia="宋体" w:cs="宋体"/>
          <w:spacing w:val="-11"/>
          <w:sz w:val="22"/>
          <w:szCs w:val="22"/>
          <w:highlight w:val="none"/>
        </w:rPr>
        <w:t>于试验检验的工器具等，以及据此对承包人提出的予以配套的要求。</w:t>
      </w:r>
    </w:p>
    <w:p w14:paraId="52CAC8CE">
      <w:pPr>
        <w:spacing w:before="198" w:line="219" w:lineRule="auto"/>
        <w:ind w:left="353"/>
        <w:rPr>
          <w:rFonts w:ascii="宋体" w:hAnsi="宋体" w:eastAsia="宋体" w:cs="宋体"/>
          <w:sz w:val="21"/>
          <w:szCs w:val="21"/>
          <w:highlight w:val="none"/>
        </w:rPr>
      </w:pPr>
      <w:r>
        <w:rPr>
          <w:rFonts w:ascii="宋体" w:hAnsi="宋体" w:eastAsia="宋体" w:cs="宋体"/>
          <w:spacing w:val="1"/>
          <w:sz w:val="21"/>
          <w:szCs w:val="21"/>
          <w:highlight w:val="none"/>
        </w:rPr>
        <w:t>六、竣工试验</w:t>
      </w:r>
    </w:p>
    <w:p w14:paraId="23043937">
      <w:pPr>
        <w:spacing w:before="191" w:line="219" w:lineRule="auto"/>
        <w:ind w:left="663"/>
        <w:rPr>
          <w:rFonts w:ascii="宋体" w:hAnsi="宋体" w:eastAsia="宋体" w:cs="宋体"/>
          <w:sz w:val="20"/>
          <w:szCs w:val="20"/>
          <w:highlight w:val="none"/>
        </w:rPr>
      </w:pPr>
      <w:r>
        <w:rPr>
          <w:rFonts w:ascii="宋体" w:hAnsi="宋体" w:eastAsia="宋体" w:cs="宋体"/>
          <w:spacing w:val="12"/>
          <w:sz w:val="20"/>
          <w:szCs w:val="20"/>
          <w:highlight w:val="none"/>
        </w:rPr>
        <w:t>(一)第一阶段，如对单车试验等的要求，包括试验前准备。</w:t>
      </w:r>
    </w:p>
    <w:p w14:paraId="7342F12A">
      <w:pPr>
        <w:spacing w:before="171" w:line="317" w:lineRule="auto"/>
        <w:ind w:left="3" w:firstLine="660"/>
        <w:rPr>
          <w:rFonts w:ascii="宋体" w:hAnsi="宋体" w:eastAsia="宋体" w:cs="宋体"/>
          <w:sz w:val="21"/>
          <w:szCs w:val="21"/>
          <w:highlight w:val="none"/>
        </w:rPr>
      </w:pPr>
      <w:r>
        <w:rPr>
          <w:rFonts w:ascii="宋体" w:hAnsi="宋体" w:eastAsia="宋体" w:cs="宋体"/>
          <w:spacing w:val="-1"/>
          <w:sz w:val="21"/>
          <w:szCs w:val="21"/>
          <w:highlight w:val="none"/>
        </w:rPr>
        <w:t>(二)第二阶段，如对联动试车、投料试车等的要求，包括人员、设备、材料、燃料、</w:t>
      </w:r>
      <w:r>
        <w:rPr>
          <w:rFonts w:ascii="宋体" w:hAnsi="宋体" w:eastAsia="宋体" w:cs="宋体"/>
          <w:spacing w:val="2"/>
          <w:sz w:val="21"/>
          <w:szCs w:val="21"/>
          <w:highlight w:val="none"/>
        </w:rPr>
        <w:t xml:space="preserve"> </w:t>
      </w:r>
      <w:r>
        <w:rPr>
          <w:rFonts w:ascii="宋体" w:hAnsi="宋体" w:eastAsia="宋体" w:cs="宋体"/>
          <w:spacing w:val="-3"/>
          <w:sz w:val="21"/>
          <w:szCs w:val="21"/>
          <w:highlight w:val="none"/>
        </w:rPr>
        <w:t>电力、消耗品、工具等必要条件。</w:t>
      </w:r>
    </w:p>
    <w:p w14:paraId="325C51C0">
      <w:pPr>
        <w:spacing w:before="191" w:line="294" w:lineRule="auto"/>
        <w:ind w:left="3" w:right="116" w:firstLine="660"/>
        <w:rPr>
          <w:rFonts w:ascii="宋体" w:hAnsi="宋体" w:eastAsia="宋体" w:cs="宋体"/>
          <w:sz w:val="21"/>
          <w:szCs w:val="21"/>
          <w:highlight w:val="none"/>
        </w:rPr>
      </w:pPr>
      <w:r>
        <w:rPr>
          <w:rFonts w:ascii="宋体" w:hAnsi="宋体" w:eastAsia="宋体" w:cs="宋体"/>
          <w:spacing w:val="2"/>
          <w:sz w:val="21"/>
          <w:szCs w:val="21"/>
          <w:highlight w:val="none"/>
        </w:rPr>
        <w:t>(三)第三阶段，如对性能测试及其他竣工试</w:t>
      </w:r>
      <w:r>
        <w:rPr>
          <w:rFonts w:ascii="宋体" w:hAnsi="宋体" w:eastAsia="宋体" w:cs="宋体"/>
          <w:spacing w:val="1"/>
          <w:sz w:val="21"/>
          <w:szCs w:val="21"/>
          <w:highlight w:val="none"/>
        </w:rPr>
        <w:t>验的要求，包括产能指标、产品质量标</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准、运营指标、环保指标等。</w:t>
      </w:r>
    </w:p>
    <w:p w14:paraId="320E77C7">
      <w:pPr>
        <w:spacing w:before="201" w:line="219" w:lineRule="auto"/>
        <w:ind w:left="353"/>
        <w:rPr>
          <w:rFonts w:ascii="宋体" w:hAnsi="宋体" w:eastAsia="宋体" w:cs="宋体"/>
          <w:sz w:val="22"/>
          <w:szCs w:val="22"/>
          <w:highlight w:val="none"/>
        </w:rPr>
      </w:pPr>
      <w:r>
        <w:rPr>
          <w:rFonts w:ascii="宋体" w:hAnsi="宋体" w:eastAsia="宋体" w:cs="宋体"/>
          <w:spacing w:val="-10"/>
          <w:sz w:val="22"/>
          <w:szCs w:val="22"/>
          <w:highlight w:val="none"/>
        </w:rPr>
        <w:t>七、竣工验收</w:t>
      </w:r>
    </w:p>
    <w:p w14:paraId="11AF6C16">
      <w:pPr>
        <w:spacing w:before="179" w:line="219" w:lineRule="auto"/>
        <w:ind w:left="353"/>
        <w:rPr>
          <w:rFonts w:ascii="宋体" w:hAnsi="宋体" w:eastAsia="宋体" w:cs="宋体"/>
          <w:sz w:val="22"/>
          <w:szCs w:val="22"/>
          <w:highlight w:val="none"/>
        </w:rPr>
      </w:pPr>
      <w:r>
        <w:rPr>
          <w:rFonts w:ascii="宋体" w:hAnsi="宋体" w:eastAsia="宋体" w:cs="宋体"/>
          <w:spacing w:val="2"/>
          <w:sz w:val="22"/>
          <w:szCs w:val="22"/>
          <w:highlight w:val="none"/>
        </w:rPr>
        <w:t>八、竣工后试验(如有)</w:t>
      </w:r>
    </w:p>
    <w:p w14:paraId="7655F7F8">
      <w:pPr>
        <w:spacing w:before="178" w:line="219" w:lineRule="auto"/>
        <w:ind w:left="353"/>
        <w:rPr>
          <w:rFonts w:ascii="宋体" w:hAnsi="宋体" w:eastAsia="宋体" w:cs="宋体"/>
          <w:sz w:val="20"/>
          <w:szCs w:val="20"/>
          <w:highlight w:val="none"/>
        </w:rPr>
      </w:pPr>
      <w:r>
        <w:rPr>
          <w:rFonts w:ascii="宋体" w:hAnsi="宋体" w:eastAsia="宋体" w:cs="宋体"/>
          <w:spacing w:val="-3"/>
          <w:sz w:val="20"/>
          <w:szCs w:val="20"/>
          <w:highlight w:val="none"/>
        </w:rPr>
        <w:t>九</w:t>
      </w:r>
      <w:r>
        <w:rPr>
          <w:rFonts w:ascii="宋体" w:hAnsi="宋体" w:eastAsia="宋体" w:cs="宋体"/>
          <w:spacing w:val="-34"/>
          <w:sz w:val="20"/>
          <w:szCs w:val="20"/>
          <w:highlight w:val="none"/>
        </w:rPr>
        <w:t xml:space="preserve"> </w:t>
      </w:r>
      <w:r>
        <w:rPr>
          <w:rFonts w:ascii="宋体" w:hAnsi="宋体" w:eastAsia="宋体" w:cs="宋体"/>
          <w:spacing w:val="-3"/>
          <w:sz w:val="20"/>
          <w:szCs w:val="20"/>
          <w:highlight w:val="none"/>
        </w:rPr>
        <w:t>、文件要求</w:t>
      </w:r>
    </w:p>
    <w:p w14:paraId="4916566C">
      <w:pPr>
        <w:spacing w:before="204" w:line="219" w:lineRule="auto"/>
        <w:ind w:left="663"/>
        <w:rPr>
          <w:rFonts w:ascii="宋体" w:hAnsi="宋体" w:eastAsia="宋体" w:cs="宋体"/>
          <w:sz w:val="22"/>
          <w:szCs w:val="22"/>
          <w:highlight w:val="none"/>
        </w:rPr>
      </w:pPr>
      <w:r>
        <w:rPr>
          <w:rFonts w:ascii="宋体" w:hAnsi="宋体" w:eastAsia="宋体" w:cs="宋体"/>
          <w:spacing w:val="-6"/>
          <w:sz w:val="22"/>
          <w:szCs w:val="22"/>
          <w:highlight w:val="none"/>
        </w:rPr>
        <w:t>(一)设计文件，及其相关审批、核准、备案要求。</w:t>
      </w:r>
    </w:p>
    <w:p w14:paraId="1113326E">
      <w:pPr>
        <w:spacing w:before="189" w:line="220" w:lineRule="auto"/>
        <w:ind w:left="663"/>
        <w:rPr>
          <w:rFonts w:ascii="宋体" w:hAnsi="宋体" w:eastAsia="宋体" w:cs="宋体"/>
          <w:sz w:val="20"/>
          <w:szCs w:val="20"/>
          <w:highlight w:val="none"/>
        </w:rPr>
      </w:pPr>
      <w:r>
        <w:rPr>
          <w:rFonts w:ascii="宋体" w:hAnsi="宋体" w:eastAsia="宋体" w:cs="宋体"/>
          <w:spacing w:val="16"/>
          <w:sz w:val="20"/>
          <w:szCs w:val="20"/>
          <w:highlight w:val="none"/>
        </w:rPr>
        <w:t>(二)沟通计划。</w:t>
      </w:r>
    </w:p>
    <w:p w14:paraId="2723360B">
      <w:pPr>
        <w:spacing w:line="220" w:lineRule="auto"/>
        <w:rPr>
          <w:rFonts w:ascii="宋体" w:hAnsi="宋体" w:eastAsia="宋体" w:cs="宋体"/>
          <w:sz w:val="20"/>
          <w:szCs w:val="20"/>
          <w:highlight w:val="none"/>
        </w:rPr>
        <w:sectPr>
          <w:footerReference r:id="rId230" w:type="default"/>
          <w:pgSz w:w="11910" w:h="16840"/>
          <w:pgMar w:top="400" w:right="1724" w:bottom="1238" w:left="1786" w:header="0" w:footer="1006" w:gutter="0"/>
          <w:cols w:space="720" w:num="1"/>
        </w:sectPr>
      </w:pPr>
    </w:p>
    <w:p w14:paraId="3B39AF66">
      <w:pPr>
        <w:pStyle w:val="2"/>
        <w:spacing w:line="280" w:lineRule="auto"/>
        <w:rPr>
          <w:highlight w:val="none"/>
        </w:rPr>
      </w:pPr>
    </w:p>
    <w:p w14:paraId="32F65AE3">
      <w:pPr>
        <w:pStyle w:val="2"/>
        <w:spacing w:line="281" w:lineRule="auto"/>
        <w:rPr>
          <w:highlight w:val="none"/>
        </w:rPr>
      </w:pPr>
    </w:p>
    <w:p w14:paraId="26D5F7F5">
      <w:pPr>
        <w:pStyle w:val="2"/>
        <w:spacing w:line="281" w:lineRule="auto"/>
        <w:rPr>
          <w:highlight w:val="none"/>
        </w:rPr>
      </w:pPr>
    </w:p>
    <w:p w14:paraId="6BAD0445">
      <w:pPr>
        <w:pStyle w:val="2"/>
        <w:spacing w:line="281" w:lineRule="auto"/>
        <w:rPr>
          <w:highlight w:val="none"/>
        </w:rPr>
      </w:pPr>
    </w:p>
    <w:p w14:paraId="008CC025">
      <w:pPr>
        <w:spacing w:before="68" w:line="219" w:lineRule="auto"/>
        <w:ind w:left="673"/>
        <w:rPr>
          <w:rFonts w:ascii="宋体" w:hAnsi="宋体" w:eastAsia="宋体" w:cs="宋体"/>
          <w:sz w:val="21"/>
          <w:szCs w:val="21"/>
          <w:highlight w:val="none"/>
        </w:rPr>
      </w:pPr>
      <w:r>
        <w:rPr>
          <w:rFonts w:ascii="宋体" w:hAnsi="宋体" w:eastAsia="宋体" w:cs="宋体"/>
          <w:spacing w:val="9"/>
          <w:sz w:val="21"/>
          <w:szCs w:val="21"/>
          <w:highlight w:val="none"/>
        </w:rPr>
        <w:t>(三)风险管理计划。</w:t>
      </w:r>
    </w:p>
    <w:p w14:paraId="4F2C919C">
      <w:pPr>
        <w:spacing w:before="191" w:line="219" w:lineRule="auto"/>
        <w:ind w:left="673"/>
        <w:rPr>
          <w:rFonts w:ascii="宋体" w:hAnsi="宋体" w:eastAsia="宋体" w:cs="宋体"/>
          <w:sz w:val="22"/>
          <w:szCs w:val="22"/>
          <w:highlight w:val="none"/>
        </w:rPr>
      </w:pPr>
      <w:r>
        <w:rPr>
          <w:rFonts w:ascii="宋体" w:hAnsi="宋体" w:eastAsia="宋体" w:cs="宋体"/>
          <w:spacing w:val="-5"/>
          <w:sz w:val="22"/>
          <w:szCs w:val="22"/>
          <w:highlight w:val="none"/>
        </w:rPr>
        <w:t>(四)竣工文件和工程的其他记录。</w:t>
      </w:r>
    </w:p>
    <w:p w14:paraId="3BDCFBA8">
      <w:pPr>
        <w:spacing w:before="179" w:line="219" w:lineRule="auto"/>
        <w:ind w:left="673"/>
        <w:rPr>
          <w:rFonts w:ascii="宋体" w:hAnsi="宋体" w:eastAsia="宋体" w:cs="宋体"/>
          <w:sz w:val="22"/>
          <w:szCs w:val="22"/>
          <w:highlight w:val="none"/>
        </w:rPr>
      </w:pPr>
      <w:r>
        <w:rPr>
          <w:rFonts w:ascii="宋体" w:hAnsi="宋体" w:eastAsia="宋体" w:cs="宋体"/>
          <w:spacing w:val="-1"/>
          <w:sz w:val="22"/>
          <w:szCs w:val="22"/>
          <w:highlight w:val="none"/>
        </w:rPr>
        <w:t>(五)操作和维修手册。</w:t>
      </w:r>
    </w:p>
    <w:p w14:paraId="11B5CD2D">
      <w:pPr>
        <w:spacing w:before="179" w:line="219" w:lineRule="auto"/>
        <w:ind w:left="673"/>
        <w:rPr>
          <w:rFonts w:ascii="宋体" w:hAnsi="宋体" w:eastAsia="宋体" w:cs="宋体"/>
          <w:sz w:val="22"/>
          <w:szCs w:val="22"/>
          <w:highlight w:val="none"/>
        </w:rPr>
      </w:pPr>
      <w:r>
        <w:rPr>
          <w:rFonts w:ascii="宋体" w:hAnsi="宋体" w:eastAsia="宋体" w:cs="宋体"/>
          <w:spacing w:val="-1"/>
          <w:sz w:val="22"/>
          <w:szCs w:val="22"/>
          <w:highlight w:val="none"/>
        </w:rPr>
        <w:t>(六)其他承包人文件。</w:t>
      </w:r>
    </w:p>
    <w:p w14:paraId="50F80259">
      <w:pPr>
        <w:spacing w:before="179" w:line="219" w:lineRule="auto"/>
        <w:ind w:left="373"/>
        <w:rPr>
          <w:rFonts w:ascii="宋体" w:hAnsi="宋体" w:eastAsia="宋体" w:cs="宋体"/>
          <w:sz w:val="22"/>
          <w:szCs w:val="22"/>
          <w:highlight w:val="none"/>
        </w:rPr>
      </w:pPr>
      <w:r>
        <w:rPr>
          <w:rFonts w:ascii="宋体" w:hAnsi="宋体" w:eastAsia="宋体" w:cs="宋体"/>
          <w:spacing w:val="-10"/>
          <w:sz w:val="22"/>
          <w:szCs w:val="22"/>
          <w:highlight w:val="none"/>
        </w:rPr>
        <w:t>十、工程项目管理规定</w:t>
      </w:r>
    </w:p>
    <w:p w14:paraId="354CADA4">
      <w:pPr>
        <w:spacing w:before="139" w:line="220" w:lineRule="auto"/>
        <w:ind w:left="633"/>
        <w:rPr>
          <w:rFonts w:ascii="宋体" w:hAnsi="宋体" w:eastAsia="宋体" w:cs="宋体"/>
          <w:sz w:val="22"/>
          <w:szCs w:val="22"/>
          <w:highlight w:val="none"/>
        </w:rPr>
      </w:pPr>
      <w:r>
        <w:rPr>
          <w:rFonts w:ascii="宋体" w:hAnsi="宋体" w:eastAsia="宋体" w:cs="宋体"/>
          <w:spacing w:val="4"/>
          <w:sz w:val="22"/>
          <w:szCs w:val="22"/>
          <w:highlight w:val="none"/>
        </w:rPr>
        <w:t>(一)质量。</w:t>
      </w:r>
    </w:p>
    <w:p w14:paraId="6AFCA2F0">
      <w:pPr>
        <w:spacing w:before="127" w:line="219" w:lineRule="auto"/>
        <w:ind w:left="633"/>
        <w:rPr>
          <w:rFonts w:ascii="宋体" w:hAnsi="宋体" w:eastAsia="宋体" w:cs="宋体"/>
          <w:sz w:val="22"/>
          <w:szCs w:val="22"/>
          <w:highlight w:val="none"/>
        </w:rPr>
      </w:pPr>
      <w:r>
        <w:rPr>
          <w:rFonts w:ascii="宋体" w:hAnsi="宋体" w:eastAsia="宋体" w:cs="宋体"/>
          <w:sz w:val="22"/>
          <w:szCs w:val="22"/>
          <w:highlight w:val="none"/>
        </w:rPr>
        <w:t>(二)进度，包括里程碑进度计划(如果有</w:t>
      </w:r>
      <w:r>
        <w:rPr>
          <w:rFonts w:ascii="宋体" w:hAnsi="宋体" w:eastAsia="宋体" w:cs="宋体"/>
          <w:spacing w:val="-1"/>
          <w:sz w:val="22"/>
          <w:szCs w:val="22"/>
          <w:highlight w:val="none"/>
        </w:rPr>
        <w:t>)。</w:t>
      </w:r>
    </w:p>
    <w:p w14:paraId="05A9FDD0">
      <w:pPr>
        <w:spacing w:before="158" w:line="219" w:lineRule="auto"/>
        <w:ind w:left="633"/>
        <w:rPr>
          <w:rFonts w:ascii="宋体" w:hAnsi="宋体" w:eastAsia="宋体" w:cs="宋体"/>
          <w:sz w:val="21"/>
          <w:szCs w:val="21"/>
          <w:highlight w:val="none"/>
        </w:rPr>
      </w:pPr>
      <w:r>
        <w:rPr>
          <w:rFonts w:ascii="宋体" w:hAnsi="宋体" w:eastAsia="宋体" w:cs="宋体"/>
          <w:spacing w:val="12"/>
          <w:sz w:val="21"/>
          <w:szCs w:val="21"/>
          <w:highlight w:val="none"/>
        </w:rPr>
        <w:t>(三)支付。</w:t>
      </w:r>
    </w:p>
    <w:p w14:paraId="48932062">
      <w:pPr>
        <w:spacing w:before="138" w:line="212" w:lineRule="auto"/>
        <w:ind w:left="633"/>
        <w:rPr>
          <w:rFonts w:ascii="宋体" w:hAnsi="宋体" w:eastAsia="宋体" w:cs="宋体"/>
          <w:sz w:val="20"/>
          <w:szCs w:val="20"/>
          <w:highlight w:val="none"/>
        </w:rPr>
      </w:pPr>
      <w:r>
        <w:rPr>
          <w:rFonts w:ascii="宋体" w:hAnsi="宋体" w:eastAsia="宋体" w:cs="宋体"/>
          <w:spacing w:val="3"/>
          <w:sz w:val="20"/>
          <w:szCs w:val="20"/>
          <w:highlight w:val="none"/>
        </w:rPr>
        <w:t>(</w:t>
      </w:r>
      <w:r>
        <w:rPr>
          <w:rFonts w:ascii="宋体" w:hAnsi="宋体" w:eastAsia="宋体" w:cs="宋体"/>
          <w:spacing w:val="-25"/>
          <w:sz w:val="20"/>
          <w:szCs w:val="20"/>
          <w:highlight w:val="none"/>
        </w:rPr>
        <w:t xml:space="preserve"> </w:t>
      </w:r>
      <w:r>
        <w:rPr>
          <w:rFonts w:ascii="宋体" w:hAnsi="宋体" w:eastAsia="宋体" w:cs="宋体"/>
          <w:spacing w:val="3"/>
          <w:sz w:val="20"/>
          <w:szCs w:val="20"/>
          <w:highlight w:val="none"/>
        </w:rPr>
        <w:t>四</w:t>
      </w:r>
      <w:r>
        <w:rPr>
          <w:rFonts w:ascii="宋体" w:hAnsi="宋体" w:eastAsia="宋体" w:cs="宋体"/>
          <w:spacing w:val="-43"/>
          <w:sz w:val="20"/>
          <w:szCs w:val="20"/>
          <w:highlight w:val="none"/>
        </w:rPr>
        <w:t xml:space="preserve"> </w:t>
      </w:r>
      <w:r>
        <w:rPr>
          <w:rFonts w:ascii="宋体" w:hAnsi="宋体" w:eastAsia="宋体" w:cs="宋体"/>
          <w:spacing w:val="3"/>
          <w:sz w:val="20"/>
          <w:szCs w:val="20"/>
          <w:highlight w:val="none"/>
        </w:rPr>
        <w:t>)</w:t>
      </w:r>
      <w:r>
        <w:rPr>
          <w:rFonts w:ascii="Times New Roman" w:hAnsi="Times New Roman" w:eastAsia="Times New Roman" w:cs="Times New Roman"/>
          <w:sz w:val="20"/>
          <w:szCs w:val="20"/>
          <w:highlight w:val="none"/>
        </w:rPr>
        <w:t>HSE</w:t>
      </w:r>
      <w:r>
        <w:rPr>
          <w:rFonts w:ascii="Times New Roman" w:hAnsi="Times New Roman" w:eastAsia="Times New Roman" w:cs="Times New Roman"/>
          <w:spacing w:val="15"/>
          <w:w w:val="101"/>
          <w:sz w:val="20"/>
          <w:szCs w:val="20"/>
          <w:highlight w:val="none"/>
        </w:rPr>
        <w:t xml:space="preserve"> </w:t>
      </w:r>
      <w:r>
        <w:rPr>
          <w:rFonts w:ascii="Times New Roman" w:hAnsi="Times New Roman" w:eastAsia="Times New Roman" w:cs="Times New Roman"/>
          <w:spacing w:val="3"/>
          <w:sz w:val="20"/>
          <w:szCs w:val="20"/>
          <w:highlight w:val="none"/>
        </w:rPr>
        <w:t xml:space="preserve">( </w:t>
      </w:r>
      <w:r>
        <w:rPr>
          <w:rFonts w:ascii="宋体" w:hAnsi="宋体" w:eastAsia="宋体" w:cs="宋体"/>
          <w:spacing w:val="3"/>
          <w:sz w:val="20"/>
          <w:szCs w:val="20"/>
          <w:highlight w:val="none"/>
        </w:rPr>
        <w:t>健康、安全与环境管理体系)。</w:t>
      </w:r>
    </w:p>
    <w:p w14:paraId="01379765">
      <w:pPr>
        <w:spacing w:before="164" w:line="220" w:lineRule="auto"/>
        <w:ind w:left="633"/>
        <w:rPr>
          <w:rFonts w:ascii="宋体" w:hAnsi="宋体" w:eastAsia="宋体" w:cs="宋体"/>
          <w:sz w:val="21"/>
          <w:szCs w:val="21"/>
          <w:highlight w:val="none"/>
        </w:rPr>
      </w:pPr>
      <w:r>
        <w:rPr>
          <w:rFonts w:ascii="宋体" w:hAnsi="宋体" w:eastAsia="宋体" w:cs="宋体"/>
          <w:spacing w:val="12"/>
          <w:sz w:val="21"/>
          <w:szCs w:val="21"/>
          <w:highlight w:val="none"/>
        </w:rPr>
        <w:t>(五)沟通。</w:t>
      </w:r>
    </w:p>
    <w:p w14:paraId="08FAF2DF">
      <w:pPr>
        <w:spacing w:before="160" w:line="221" w:lineRule="auto"/>
        <w:ind w:left="633"/>
        <w:rPr>
          <w:rFonts w:ascii="宋体" w:hAnsi="宋体" w:eastAsia="宋体" w:cs="宋体"/>
          <w:sz w:val="21"/>
          <w:szCs w:val="21"/>
          <w:highlight w:val="none"/>
        </w:rPr>
      </w:pPr>
      <w:r>
        <w:rPr>
          <w:rFonts w:ascii="宋体" w:hAnsi="宋体" w:eastAsia="宋体" w:cs="宋体"/>
          <w:spacing w:val="12"/>
          <w:sz w:val="21"/>
          <w:szCs w:val="21"/>
          <w:highlight w:val="none"/>
        </w:rPr>
        <w:t>(六)变更。</w:t>
      </w:r>
    </w:p>
    <w:p w14:paraId="0D680B6A">
      <w:pPr>
        <w:spacing w:before="199" w:line="220" w:lineRule="auto"/>
        <w:ind w:left="343"/>
        <w:rPr>
          <w:rFonts w:ascii="宋体" w:hAnsi="宋体" w:eastAsia="宋体" w:cs="宋体"/>
          <w:sz w:val="22"/>
          <w:szCs w:val="22"/>
          <w:highlight w:val="none"/>
        </w:rPr>
      </w:pPr>
      <w:r>
        <w:rPr>
          <w:rFonts w:ascii="宋体" w:hAnsi="宋体" w:eastAsia="宋体" w:cs="宋体"/>
          <w:spacing w:val="-9"/>
          <w:sz w:val="22"/>
          <w:szCs w:val="22"/>
          <w:highlight w:val="none"/>
        </w:rPr>
        <w:t>十一、其他要求</w:t>
      </w:r>
    </w:p>
    <w:p w14:paraId="26F1E7AB">
      <w:pPr>
        <w:spacing w:before="186" w:line="219" w:lineRule="auto"/>
        <w:ind w:left="673"/>
        <w:rPr>
          <w:rFonts w:ascii="宋体" w:hAnsi="宋体" w:eastAsia="宋体" w:cs="宋体"/>
          <w:sz w:val="20"/>
          <w:szCs w:val="20"/>
          <w:highlight w:val="none"/>
        </w:rPr>
      </w:pPr>
      <w:r>
        <w:rPr>
          <w:rFonts w:ascii="宋体" w:hAnsi="宋体" w:eastAsia="宋体" w:cs="宋体"/>
          <w:spacing w:val="14"/>
          <w:sz w:val="20"/>
          <w:szCs w:val="20"/>
          <w:highlight w:val="none"/>
        </w:rPr>
        <w:t>(一)对承包人的主要人员资格要求。</w:t>
      </w:r>
    </w:p>
    <w:p w14:paraId="10AEACC3">
      <w:pPr>
        <w:spacing w:before="184" w:line="219" w:lineRule="auto"/>
        <w:ind w:left="673"/>
        <w:rPr>
          <w:rFonts w:ascii="宋体" w:hAnsi="宋体" w:eastAsia="宋体" w:cs="宋体"/>
          <w:sz w:val="22"/>
          <w:szCs w:val="22"/>
          <w:highlight w:val="none"/>
        </w:rPr>
      </w:pPr>
      <w:r>
        <w:rPr>
          <w:rFonts w:ascii="宋体" w:hAnsi="宋体" w:eastAsia="宋体" w:cs="宋体"/>
          <w:spacing w:val="-4"/>
          <w:sz w:val="22"/>
          <w:szCs w:val="22"/>
          <w:highlight w:val="none"/>
        </w:rPr>
        <w:t>(二)相关审批、核准和备案手续的办理。</w:t>
      </w:r>
    </w:p>
    <w:p w14:paraId="1517FAFB">
      <w:pPr>
        <w:spacing w:before="179" w:line="219" w:lineRule="auto"/>
        <w:ind w:left="673"/>
        <w:rPr>
          <w:rFonts w:ascii="宋体" w:hAnsi="宋体" w:eastAsia="宋体" w:cs="宋体"/>
          <w:sz w:val="22"/>
          <w:szCs w:val="22"/>
          <w:highlight w:val="none"/>
        </w:rPr>
      </w:pPr>
      <w:r>
        <w:rPr>
          <w:rFonts w:ascii="宋体" w:hAnsi="宋体" w:eastAsia="宋体" w:cs="宋体"/>
          <w:spacing w:val="-5"/>
          <w:sz w:val="22"/>
          <w:szCs w:val="22"/>
          <w:highlight w:val="none"/>
        </w:rPr>
        <w:t>(三)对项目业主人员的操作培训。</w:t>
      </w:r>
    </w:p>
    <w:p w14:paraId="05D41C5E">
      <w:pPr>
        <w:spacing w:before="198" w:line="220" w:lineRule="auto"/>
        <w:ind w:left="673"/>
        <w:rPr>
          <w:rFonts w:ascii="宋体" w:hAnsi="宋体" w:eastAsia="宋体" w:cs="宋体"/>
          <w:sz w:val="20"/>
          <w:szCs w:val="20"/>
          <w:highlight w:val="none"/>
        </w:rPr>
      </w:pPr>
      <w:r>
        <w:rPr>
          <w:rFonts w:ascii="宋体" w:hAnsi="宋体" w:eastAsia="宋体" w:cs="宋体"/>
          <w:spacing w:val="19"/>
          <w:sz w:val="20"/>
          <w:szCs w:val="20"/>
          <w:highlight w:val="none"/>
        </w:rPr>
        <w:t>(四)分包。</w:t>
      </w:r>
    </w:p>
    <w:p w14:paraId="7661C458">
      <w:pPr>
        <w:spacing w:before="171" w:line="219" w:lineRule="auto"/>
        <w:ind w:left="673"/>
        <w:rPr>
          <w:rFonts w:ascii="宋体" w:hAnsi="宋体" w:eastAsia="宋体" w:cs="宋体"/>
          <w:sz w:val="22"/>
          <w:szCs w:val="22"/>
          <w:highlight w:val="none"/>
        </w:rPr>
      </w:pPr>
      <w:r>
        <w:rPr>
          <w:rFonts w:ascii="宋体" w:hAnsi="宋体" w:eastAsia="宋体" w:cs="宋体"/>
          <w:sz w:val="22"/>
          <w:szCs w:val="22"/>
          <w:highlight w:val="none"/>
        </w:rPr>
        <w:t>(五)设备供应商。</w:t>
      </w:r>
    </w:p>
    <w:p w14:paraId="5C1D8493">
      <w:pPr>
        <w:spacing w:before="220" w:line="219" w:lineRule="auto"/>
        <w:ind w:left="673"/>
        <w:rPr>
          <w:rFonts w:ascii="宋体" w:hAnsi="宋体" w:eastAsia="宋体" w:cs="宋体"/>
          <w:sz w:val="20"/>
          <w:szCs w:val="20"/>
          <w:highlight w:val="none"/>
        </w:rPr>
      </w:pPr>
      <w:r>
        <w:rPr>
          <w:rFonts w:ascii="宋体" w:hAnsi="宋体" w:eastAsia="宋体" w:cs="宋体"/>
          <w:spacing w:val="14"/>
          <w:sz w:val="20"/>
          <w:szCs w:val="20"/>
          <w:highlight w:val="none"/>
        </w:rPr>
        <w:t>(六)缺陷责任期的服务要求。</w:t>
      </w:r>
    </w:p>
    <w:p w14:paraId="51D610C0">
      <w:pPr>
        <w:spacing w:line="219" w:lineRule="auto"/>
        <w:rPr>
          <w:rFonts w:ascii="宋体" w:hAnsi="宋体" w:eastAsia="宋体" w:cs="宋体"/>
          <w:sz w:val="20"/>
          <w:szCs w:val="20"/>
          <w:highlight w:val="none"/>
        </w:rPr>
        <w:sectPr>
          <w:footerReference r:id="rId231" w:type="default"/>
          <w:pgSz w:w="11910" w:h="16840"/>
          <w:pgMar w:top="400" w:right="1786" w:bottom="1228" w:left="1786" w:header="0" w:footer="1009" w:gutter="0"/>
          <w:cols w:space="720" w:num="1"/>
        </w:sectPr>
      </w:pPr>
    </w:p>
    <w:p w14:paraId="43AB7C3E">
      <w:pPr>
        <w:pStyle w:val="2"/>
        <w:spacing w:line="248" w:lineRule="auto"/>
        <w:rPr>
          <w:highlight w:val="none"/>
        </w:rPr>
      </w:pPr>
    </w:p>
    <w:p w14:paraId="21BBE991">
      <w:pPr>
        <w:pStyle w:val="2"/>
        <w:spacing w:line="248" w:lineRule="auto"/>
        <w:rPr>
          <w:highlight w:val="none"/>
        </w:rPr>
      </w:pPr>
    </w:p>
    <w:p w14:paraId="56CFEFE2">
      <w:pPr>
        <w:pStyle w:val="2"/>
        <w:spacing w:line="248" w:lineRule="auto"/>
        <w:rPr>
          <w:highlight w:val="none"/>
        </w:rPr>
      </w:pPr>
    </w:p>
    <w:p w14:paraId="0653E426">
      <w:pPr>
        <w:pStyle w:val="2"/>
        <w:spacing w:line="249" w:lineRule="auto"/>
        <w:rPr>
          <w:highlight w:val="none"/>
        </w:rPr>
      </w:pPr>
    </w:p>
    <w:p w14:paraId="0F50314E">
      <w:pPr>
        <w:spacing w:before="78" w:line="221" w:lineRule="auto"/>
        <w:ind w:left="3080"/>
        <w:rPr>
          <w:rFonts w:ascii="黑体" w:hAnsi="黑体" w:eastAsia="黑体" w:cs="黑体"/>
          <w:sz w:val="24"/>
          <w:szCs w:val="24"/>
          <w:highlight w:val="none"/>
        </w:rPr>
      </w:pPr>
      <w:r>
        <w:rPr>
          <w:rFonts w:ascii="黑体" w:hAnsi="黑体" w:eastAsia="黑体" w:cs="黑体"/>
          <w:spacing w:val="-2"/>
          <w:sz w:val="24"/>
          <w:szCs w:val="24"/>
          <w:highlight w:val="none"/>
        </w:rPr>
        <w:t>发包人要求附件清单</w:t>
      </w:r>
    </w:p>
    <w:p w14:paraId="0361139D">
      <w:pPr>
        <w:pStyle w:val="2"/>
        <w:spacing w:line="451" w:lineRule="auto"/>
        <w:rPr>
          <w:highlight w:val="none"/>
        </w:rPr>
      </w:pPr>
    </w:p>
    <w:p w14:paraId="36F662F4">
      <w:pPr>
        <w:spacing w:before="68" w:line="219" w:lineRule="auto"/>
        <w:rPr>
          <w:rFonts w:ascii="宋体" w:hAnsi="宋体" w:eastAsia="宋体" w:cs="宋体"/>
          <w:sz w:val="21"/>
          <w:szCs w:val="21"/>
          <w:highlight w:val="none"/>
        </w:rPr>
      </w:pPr>
      <w:r>
        <w:rPr>
          <w:rFonts w:ascii="宋体" w:hAnsi="宋体" w:eastAsia="宋体" w:cs="宋体"/>
          <w:spacing w:val="-4"/>
          <w:sz w:val="21"/>
          <w:szCs w:val="21"/>
          <w:highlight w:val="none"/>
        </w:rPr>
        <w:t>附件一：性能保证表</w:t>
      </w:r>
    </w:p>
    <w:p w14:paraId="481ABC60">
      <w:pPr>
        <w:spacing w:before="141" w:line="219" w:lineRule="auto"/>
        <w:rPr>
          <w:rFonts w:ascii="宋体" w:hAnsi="宋体" w:eastAsia="宋体" w:cs="宋体"/>
          <w:sz w:val="22"/>
          <w:szCs w:val="22"/>
          <w:highlight w:val="none"/>
        </w:rPr>
      </w:pPr>
      <w:r>
        <w:rPr>
          <w:rFonts w:ascii="宋体" w:hAnsi="宋体" w:eastAsia="宋体" w:cs="宋体"/>
          <w:spacing w:val="-10"/>
          <w:sz w:val="22"/>
          <w:szCs w:val="22"/>
          <w:highlight w:val="none"/>
        </w:rPr>
        <w:t>附件二：工作界区图</w:t>
      </w:r>
    </w:p>
    <w:p w14:paraId="316096FC">
      <w:pPr>
        <w:spacing w:before="118" w:line="219" w:lineRule="auto"/>
        <w:rPr>
          <w:rFonts w:ascii="宋体" w:hAnsi="宋体" w:eastAsia="宋体" w:cs="宋体"/>
          <w:sz w:val="22"/>
          <w:szCs w:val="22"/>
          <w:highlight w:val="none"/>
        </w:rPr>
      </w:pPr>
      <w:r>
        <w:rPr>
          <w:rFonts w:ascii="宋体" w:hAnsi="宋体" w:eastAsia="宋体" w:cs="宋体"/>
          <w:spacing w:val="-10"/>
          <w:sz w:val="22"/>
          <w:szCs w:val="22"/>
          <w:highlight w:val="none"/>
        </w:rPr>
        <w:t>附件三：发包人需求任务书</w:t>
      </w:r>
    </w:p>
    <w:p w14:paraId="6703CD2B">
      <w:pPr>
        <w:spacing w:before="159" w:line="219" w:lineRule="auto"/>
        <w:rPr>
          <w:rFonts w:ascii="宋体" w:hAnsi="宋体" w:eastAsia="宋体" w:cs="宋体"/>
          <w:sz w:val="22"/>
          <w:szCs w:val="22"/>
          <w:highlight w:val="none"/>
        </w:rPr>
      </w:pPr>
      <w:r>
        <w:rPr>
          <w:rFonts w:ascii="宋体" w:hAnsi="宋体" w:eastAsia="宋体" w:cs="宋体"/>
          <w:spacing w:val="-9"/>
          <w:sz w:val="22"/>
          <w:szCs w:val="22"/>
          <w:highlight w:val="none"/>
        </w:rPr>
        <w:t>附件四：发包人已完成的设计文件</w:t>
      </w:r>
    </w:p>
    <w:p w14:paraId="7CCEB405">
      <w:pPr>
        <w:spacing w:before="139" w:line="219" w:lineRule="auto"/>
        <w:rPr>
          <w:rFonts w:ascii="宋体" w:hAnsi="宋体" w:eastAsia="宋体" w:cs="宋体"/>
          <w:sz w:val="22"/>
          <w:szCs w:val="22"/>
          <w:highlight w:val="none"/>
        </w:rPr>
      </w:pPr>
      <w:r>
        <w:rPr>
          <w:rFonts w:ascii="宋体" w:hAnsi="宋体" w:eastAsia="宋体" w:cs="宋体"/>
          <w:spacing w:val="-11"/>
          <w:sz w:val="22"/>
          <w:szCs w:val="22"/>
          <w:highlight w:val="none"/>
        </w:rPr>
        <w:t>附件五：承包人文件要求</w:t>
      </w:r>
    </w:p>
    <w:p w14:paraId="16E639D9">
      <w:pPr>
        <w:spacing w:before="119" w:line="219" w:lineRule="auto"/>
        <w:rPr>
          <w:rFonts w:ascii="宋体" w:hAnsi="宋体" w:eastAsia="宋体" w:cs="宋体"/>
          <w:sz w:val="22"/>
          <w:szCs w:val="22"/>
          <w:highlight w:val="none"/>
        </w:rPr>
      </w:pPr>
      <w:r>
        <w:rPr>
          <w:rFonts w:ascii="宋体" w:hAnsi="宋体" w:eastAsia="宋体" w:cs="宋体"/>
          <w:spacing w:val="-10"/>
          <w:sz w:val="22"/>
          <w:szCs w:val="22"/>
          <w:highlight w:val="none"/>
        </w:rPr>
        <w:t>附件六：承包人人员资格要求及审查规定</w:t>
      </w:r>
    </w:p>
    <w:p w14:paraId="4255C1A2">
      <w:pPr>
        <w:spacing w:before="178" w:line="219" w:lineRule="auto"/>
        <w:rPr>
          <w:rFonts w:ascii="宋体" w:hAnsi="宋体" w:eastAsia="宋体" w:cs="宋体"/>
          <w:sz w:val="20"/>
          <w:szCs w:val="20"/>
          <w:highlight w:val="none"/>
        </w:rPr>
      </w:pPr>
      <w:r>
        <w:rPr>
          <w:rFonts w:ascii="宋体" w:hAnsi="宋体" w:eastAsia="宋体" w:cs="宋体"/>
          <w:spacing w:val="10"/>
          <w:sz w:val="20"/>
          <w:szCs w:val="20"/>
          <w:highlight w:val="none"/>
        </w:rPr>
        <w:t>附件七：承包人设计文件审查规定</w:t>
      </w:r>
    </w:p>
    <w:p w14:paraId="60415F47">
      <w:pPr>
        <w:spacing w:before="163" w:line="219" w:lineRule="auto"/>
        <w:rPr>
          <w:rFonts w:ascii="宋体" w:hAnsi="宋体" w:eastAsia="宋体" w:cs="宋体"/>
          <w:sz w:val="20"/>
          <w:szCs w:val="20"/>
          <w:highlight w:val="none"/>
        </w:rPr>
      </w:pPr>
      <w:r>
        <w:rPr>
          <w:rFonts w:ascii="宋体" w:hAnsi="宋体" w:eastAsia="宋体" w:cs="宋体"/>
          <w:spacing w:val="10"/>
          <w:sz w:val="20"/>
          <w:szCs w:val="20"/>
          <w:highlight w:val="none"/>
        </w:rPr>
        <w:t>附件八：承包人采购审查与批准规定</w:t>
      </w:r>
    </w:p>
    <w:p w14:paraId="12B35A67">
      <w:pPr>
        <w:spacing w:before="124" w:line="219" w:lineRule="auto"/>
        <w:rPr>
          <w:rFonts w:ascii="宋体" w:hAnsi="宋体" w:eastAsia="宋体" w:cs="宋体"/>
          <w:sz w:val="22"/>
          <w:szCs w:val="22"/>
          <w:highlight w:val="none"/>
        </w:rPr>
      </w:pPr>
      <w:r>
        <w:rPr>
          <w:rFonts w:ascii="宋体" w:hAnsi="宋体" w:eastAsia="宋体" w:cs="宋体"/>
          <w:spacing w:val="-10"/>
          <w:sz w:val="22"/>
          <w:szCs w:val="22"/>
          <w:highlight w:val="none"/>
        </w:rPr>
        <w:t>附件九：材料、工程设备和工程试验规定</w:t>
      </w:r>
    </w:p>
    <w:p w14:paraId="4D35CF9A">
      <w:pPr>
        <w:spacing w:before="168" w:line="219" w:lineRule="auto"/>
        <w:rPr>
          <w:rFonts w:ascii="宋体" w:hAnsi="宋体" w:eastAsia="宋体" w:cs="宋体"/>
          <w:sz w:val="21"/>
          <w:szCs w:val="21"/>
          <w:highlight w:val="none"/>
        </w:rPr>
      </w:pPr>
      <w:r>
        <w:rPr>
          <w:rFonts w:ascii="宋体" w:hAnsi="宋体" w:eastAsia="宋体" w:cs="宋体"/>
          <w:spacing w:val="-3"/>
          <w:sz w:val="21"/>
          <w:szCs w:val="21"/>
          <w:highlight w:val="none"/>
        </w:rPr>
        <w:t>附件十：竣工试验规定</w:t>
      </w:r>
    </w:p>
    <w:p w14:paraId="6DCEE2DF">
      <w:pPr>
        <w:spacing w:before="151" w:line="219" w:lineRule="auto"/>
        <w:rPr>
          <w:rFonts w:ascii="宋体" w:hAnsi="宋体" w:eastAsia="宋体" w:cs="宋体"/>
          <w:sz w:val="21"/>
          <w:szCs w:val="21"/>
          <w:highlight w:val="none"/>
        </w:rPr>
      </w:pPr>
      <w:r>
        <w:rPr>
          <w:rFonts w:ascii="宋体" w:hAnsi="宋体" w:eastAsia="宋体" w:cs="宋体"/>
          <w:spacing w:val="-4"/>
          <w:sz w:val="21"/>
          <w:szCs w:val="21"/>
          <w:highlight w:val="none"/>
        </w:rPr>
        <w:t>附件十一：竣工验收规定</w:t>
      </w:r>
    </w:p>
    <w:p w14:paraId="58DC9BE8">
      <w:pPr>
        <w:spacing w:before="131" w:line="219" w:lineRule="auto"/>
        <w:rPr>
          <w:rFonts w:ascii="宋体" w:hAnsi="宋体" w:eastAsia="宋体" w:cs="宋体"/>
          <w:sz w:val="21"/>
          <w:szCs w:val="21"/>
          <w:highlight w:val="none"/>
        </w:rPr>
      </w:pPr>
      <w:r>
        <w:rPr>
          <w:rFonts w:ascii="宋体" w:hAnsi="宋体" w:eastAsia="宋体" w:cs="宋体"/>
          <w:spacing w:val="-2"/>
          <w:sz w:val="21"/>
          <w:szCs w:val="21"/>
          <w:highlight w:val="none"/>
        </w:rPr>
        <w:t>附件十二：竣工后试验规定</w:t>
      </w:r>
    </w:p>
    <w:p w14:paraId="6948281A">
      <w:pPr>
        <w:spacing w:before="81" w:line="219" w:lineRule="auto"/>
        <w:rPr>
          <w:rFonts w:ascii="宋体" w:hAnsi="宋体" w:eastAsia="宋体" w:cs="宋体"/>
          <w:sz w:val="22"/>
          <w:szCs w:val="22"/>
          <w:highlight w:val="none"/>
        </w:rPr>
      </w:pPr>
      <w:r>
        <w:rPr>
          <w:rFonts w:ascii="宋体" w:hAnsi="宋体" w:eastAsia="宋体" w:cs="宋体"/>
          <w:spacing w:val="-10"/>
          <w:sz w:val="22"/>
          <w:szCs w:val="22"/>
          <w:highlight w:val="none"/>
        </w:rPr>
        <w:t>附件十三：工程项目管理规定</w:t>
      </w:r>
    </w:p>
    <w:p w14:paraId="1A4638AF">
      <w:pPr>
        <w:spacing w:line="219" w:lineRule="auto"/>
        <w:rPr>
          <w:rFonts w:ascii="宋体" w:hAnsi="宋体" w:eastAsia="宋体" w:cs="宋体"/>
          <w:sz w:val="22"/>
          <w:szCs w:val="22"/>
          <w:highlight w:val="none"/>
        </w:rPr>
        <w:sectPr>
          <w:footerReference r:id="rId232" w:type="default"/>
          <w:pgSz w:w="11910" w:h="16840"/>
          <w:pgMar w:top="400" w:right="1786" w:bottom="1176" w:left="1779" w:header="0" w:footer="1026" w:gutter="0"/>
          <w:cols w:space="720" w:num="1"/>
        </w:sectPr>
      </w:pPr>
    </w:p>
    <w:p w14:paraId="2A189B00">
      <w:pPr>
        <w:pStyle w:val="2"/>
        <w:spacing w:line="277" w:lineRule="auto"/>
        <w:rPr>
          <w:highlight w:val="none"/>
        </w:rPr>
      </w:pPr>
    </w:p>
    <w:p w14:paraId="5DC13660">
      <w:pPr>
        <w:pStyle w:val="2"/>
        <w:spacing w:line="277" w:lineRule="auto"/>
        <w:rPr>
          <w:highlight w:val="none"/>
        </w:rPr>
      </w:pPr>
    </w:p>
    <w:p w14:paraId="14585739">
      <w:pPr>
        <w:pStyle w:val="2"/>
        <w:spacing w:line="277" w:lineRule="auto"/>
        <w:rPr>
          <w:highlight w:val="none"/>
        </w:rPr>
      </w:pPr>
    </w:p>
    <w:p w14:paraId="1AFC741F">
      <w:pPr>
        <w:pStyle w:val="2"/>
        <w:spacing w:line="278" w:lineRule="auto"/>
        <w:rPr>
          <w:highlight w:val="none"/>
        </w:rPr>
      </w:pPr>
    </w:p>
    <w:p w14:paraId="29BAD207">
      <w:pPr>
        <w:pStyle w:val="2"/>
        <w:spacing w:line="278" w:lineRule="auto"/>
        <w:rPr>
          <w:highlight w:val="none"/>
        </w:rPr>
      </w:pPr>
    </w:p>
    <w:p w14:paraId="2E1806DC">
      <w:pPr>
        <w:spacing w:before="104" w:line="221" w:lineRule="auto"/>
        <w:ind w:left="2384"/>
        <w:rPr>
          <w:rFonts w:ascii="黑体" w:hAnsi="黑体" w:eastAsia="黑体" w:cs="黑体"/>
          <w:sz w:val="32"/>
          <w:szCs w:val="32"/>
          <w:highlight w:val="none"/>
        </w:rPr>
      </w:pPr>
      <w:r>
        <w:rPr>
          <w:rFonts w:ascii="黑体" w:hAnsi="黑体" w:eastAsia="黑体" w:cs="黑体"/>
          <w:spacing w:val="19"/>
          <w:sz w:val="32"/>
          <w:szCs w:val="32"/>
          <w:highlight w:val="none"/>
        </w:rPr>
        <w:t>第六章发包人提供的资料</w:t>
      </w:r>
    </w:p>
    <w:p w14:paraId="6EAD7C55">
      <w:pPr>
        <w:pStyle w:val="2"/>
        <w:spacing w:line="433" w:lineRule="auto"/>
        <w:rPr>
          <w:highlight w:val="none"/>
        </w:rPr>
      </w:pPr>
    </w:p>
    <w:p w14:paraId="28E1C699">
      <w:pPr>
        <w:spacing w:before="78" w:line="221" w:lineRule="auto"/>
        <w:ind w:left="3295"/>
        <w:rPr>
          <w:rFonts w:ascii="黑体" w:hAnsi="黑体" w:eastAsia="黑体" w:cs="黑体"/>
          <w:sz w:val="24"/>
          <w:szCs w:val="24"/>
          <w:highlight w:val="none"/>
        </w:rPr>
      </w:pPr>
      <w:r>
        <w:rPr>
          <w:rFonts w:ascii="黑体" w:hAnsi="黑体" w:eastAsia="黑体" w:cs="黑体"/>
          <w:spacing w:val="-2"/>
          <w:sz w:val="24"/>
          <w:szCs w:val="24"/>
          <w:highlight w:val="none"/>
        </w:rPr>
        <w:t>发包人提供的资料</w:t>
      </w:r>
    </w:p>
    <w:p w14:paraId="4A799D5F">
      <w:pPr>
        <w:pStyle w:val="2"/>
        <w:spacing w:line="344" w:lineRule="auto"/>
        <w:rPr>
          <w:highlight w:val="none"/>
        </w:rPr>
      </w:pPr>
    </w:p>
    <w:p w14:paraId="29438A21">
      <w:pPr>
        <w:pStyle w:val="2"/>
        <w:spacing w:line="344" w:lineRule="auto"/>
        <w:rPr>
          <w:highlight w:val="none"/>
        </w:rPr>
      </w:pPr>
    </w:p>
    <w:p w14:paraId="5739EBCE">
      <w:pPr>
        <w:spacing w:before="71" w:line="219" w:lineRule="auto"/>
        <w:ind w:left="514"/>
        <w:rPr>
          <w:rFonts w:ascii="宋体" w:hAnsi="宋体" w:eastAsia="宋体" w:cs="宋体"/>
          <w:sz w:val="22"/>
          <w:szCs w:val="22"/>
          <w:highlight w:val="none"/>
        </w:rPr>
      </w:pPr>
      <w:r>
        <w:rPr>
          <w:rFonts w:ascii="宋体" w:hAnsi="宋体" w:eastAsia="宋体" w:cs="宋体"/>
          <w:spacing w:val="-12"/>
          <w:sz w:val="22"/>
          <w:szCs w:val="22"/>
          <w:highlight w:val="none"/>
        </w:rPr>
        <w:t>一、项目概况</w:t>
      </w:r>
    </w:p>
    <w:p w14:paraId="50FE8F4E">
      <w:pPr>
        <w:pStyle w:val="2"/>
        <w:spacing w:line="311" w:lineRule="auto"/>
        <w:rPr>
          <w:highlight w:val="none"/>
        </w:rPr>
      </w:pPr>
    </w:p>
    <w:p w14:paraId="071890F2">
      <w:pPr>
        <w:pStyle w:val="2"/>
        <w:spacing w:line="311" w:lineRule="auto"/>
        <w:rPr>
          <w:highlight w:val="none"/>
        </w:rPr>
      </w:pPr>
    </w:p>
    <w:p w14:paraId="4AF12D6A">
      <w:pPr>
        <w:spacing w:before="72" w:line="219" w:lineRule="auto"/>
        <w:ind w:left="514"/>
        <w:rPr>
          <w:rFonts w:ascii="宋体" w:hAnsi="宋体" w:eastAsia="宋体" w:cs="宋体"/>
          <w:sz w:val="22"/>
          <w:szCs w:val="22"/>
          <w:highlight w:val="none"/>
        </w:rPr>
      </w:pPr>
      <w:r>
        <w:rPr>
          <w:rFonts w:ascii="宋体" w:hAnsi="宋体" w:eastAsia="宋体" w:cs="宋体"/>
          <w:spacing w:val="-9"/>
          <w:sz w:val="22"/>
          <w:szCs w:val="22"/>
          <w:highlight w:val="none"/>
        </w:rPr>
        <w:t>二、发包人提供的资料</w:t>
      </w:r>
    </w:p>
    <w:p w14:paraId="23D4EC6E">
      <w:pPr>
        <w:spacing w:before="210" w:line="342" w:lineRule="auto"/>
        <w:ind w:left="104" w:right="117" w:firstLine="41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1.</w:t>
      </w:r>
      <w:r>
        <w:rPr>
          <w:rFonts w:ascii="Times New Roman" w:hAnsi="Times New Roman" w:eastAsia="Times New Roman" w:cs="Times New Roman"/>
          <w:spacing w:val="20"/>
          <w:sz w:val="22"/>
          <w:szCs w:val="22"/>
          <w:highlight w:val="none"/>
        </w:rPr>
        <w:t xml:space="preserve">  </w:t>
      </w:r>
      <w:r>
        <w:rPr>
          <w:rFonts w:ascii="宋体" w:hAnsi="宋体" w:eastAsia="宋体" w:cs="宋体"/>
          <w:spacing w:val="-9"/>
          <w:sz w:val="22"/>
          <w:szCs w:val="22"/>
          <w:highlight w:val="none"/>
        </w:rPr>
        <w:t>施工场地及毗邻区域内的供水、排水、供电、供气、供热、通信、广播电视等地下</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管线资料、气象和水文观测资料，相邻建筑物和构筑物、地</w:t>
      </w:r>
      <w:r>
        <w:rPr>
          <w:rFonts w:ascii="宋体" w:hAnsi="宋体" w:eastAsia="宋体" w:cs="宋体"/>
          <w:spacing w:val="-13"/>
          <w:sz w:val="22"/>
          <w:szCs w:val="22"/>
          <w:highlight w:val="none"/>
        </w:rPr>
        <w:t>下工程的有关资料，以及其他与</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建设工程有关的原始资料。</w:t>
      </w:r>
    </w:p>
    <w:p w14:paraId="707E38C6">
      <w:pPr>
        <w:spacing w:before="217" w:line="219" w:lineRule="auto"/>
        <w:ind w:left="514"/>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2.</w:t>
      </w:r>
      <w:r>
        <w:rPr>
          <w:rFonts w:ascii="Times New Roman" w:hAnsi="Times New Roman" w:eastAsia="Times New Roman" w:cs="Times New Roman"/>
          <w:spacing w:val="16"/>
          <w:w w:val="101"/>
          <w:sz w:val="22"/>
          <w:szCs w:val="22"/>
          <w:highlight w:val="none"/>
        </w:rPr>
        <w:t xml:space="preserve">  </w:t>
      </w:r>
      <w:r>
        <w:rPr>
          <w:rFonts w:ascii="宋体" w:hAnsi="宋体" w:eastAsia="宋体" w:cs="宋体"/>
          <w:spacing w:val="-9"/>
          <w:sz w:val="22"/>
          <w:szCs w:val="22"/>
          <w:highlight w:val="none"/>
        </w:rPr>
        <w:t>定位放线的基准点、基准线和基准标高。</w:t>
      </w:r>
    </w:p>
    <w:p w14:paraId="47E1AD17">
      <w:pPr>
        <w:spacing w:before="237" w:line="219" w:lineRule="auto"/>
        <w:ind w:left="514"/>
        <w:rPr>
          <w:rFonts w:ascii="宋体" w:hAnsi="宋体" w:eastAsia="宋体" w:cs="宋体"/>
          <w:sz w:val="20"/>
          <w:szCs w:val="20"/>
          <w:highlight w:val="none"/>
        </w:rPr>
      </w:pPr>
      <w:r>
        <w:rPr>
          <w:rFonts w:ascii="Times New Roman" w:hAnsi="Times New Roman" w:eastAsia="Times New Roman" w:cs="Times New Roman"/>
          <w:spacing w:val="8"/>
          <w:sz w:val="20"/>
          <w:szCs w:val="20"/>
          <w:highlight w:val="none"/>
        </w:rPr>
        <w:t xml:space="preserve">3.   </w:t>
      </w:r>
      <w:r>
        <w:rPr>
          <w:rFonts w:ascii="宋体" w:hAnsi="宋体" w:eastAsia="宋体" w:cs="宋体"/>
          <w:spacing w:val="8"/>
          <w:sz w:val="20"/>
          <w:szCs w:val="20"/>
          <w:highlight w:val="none"/>
        </w:rPr>
        <w:t>发包人取得的有关审批、核准和备案材料，如规划许可证。</w:t>
      </w:r>
    </w:p>
    <w:p w14:paraId="1A193D64">
      <w:pPr>
        <w:spacing w:before="222" w:line="219" w:lineRule="auto"/>
        <w:ind w:left="514"/>
        <w:rPr>
          <w:rFonts w:ascii="宋体" w:hAnsi="宋体" w:eastAsia="宋体" w:cs="宋体"/>
          <w:sz w:val="21"/>
          <w:szCs w:val="21"/>
          <w:highlight w:val="none"/>
        </w:rPr>
      </w:pPr>
      <w:r>
        <w:rPr>
          <w:rFonts w:ascii="宋体" w:hAnsi="宋体" w:eastAsia="宋体" w:cs="宋体"/>
          <w:spacing w:val="12"/>
          <w:sz w:val="21"/>
          <w:szCs w:val="21"/>
          <w:highlight w:val="none"/>
        </w:rPr>
        <w:t>4.</w:t>
      </w:r>
      <w:r>
        <w:rPr>
          <w:rFonts w:ascii="宋体" w:hAnsi="宋体" w:eastAsia="宋体" w:cs="宋体"/>
          <w:spacing w:val="-33"/>
          <w:sz w:val="21"/>
          <w:szCs w:val="21"/>
          <w:highlight w:val="none"/>
        </w:rPr>
        <w:t xml:space="preserve"> </w:t>
      </w:r>
      <w:r>
        <w:rPr>
          <w:rFonts w:ascii="宋体" w:hAnsi="宋体" w:eastAsia="宋体" w:cs="宋体"/>
          <w:b/>
          <w:bCs/>
          <w:spacing w:val="12"/>
          <w:sz w:val="21"/>
          <w:szCs w:val="21"/>
          <w:highlight w:val="none"/>
        </w:rPr>
        <w:t>(定标办法)</w:t>
      </w:r>
    </w:p>
    <w:p w14:paraId="590CD71B">
      <w:pPr>
        <w:spacing w:line="120" w:lineRule="exact"/>
        <w:rPr>
          <w:highlight w:val="none"/>
        </w:rPr>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2"/>
        <w:gridCol w:w="6817"/>
      </w:tblGrid>
      <w:tr w14:paraId="7BB05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9" w:hRule="atLeast"/>
        </w:trPr>
        <w:tc>
          <w:tcPr>
            <w:tcW w:w="1702" w:type="dxa"/>
            <w:vAlign w:val="top"/>
          </w:tcPr>
          <w:p w14:paraId="13296277">
            <w:pPr>
              <w:spacing w:line="247" w:lineRule="auto"/>
              <w:rPr>
                <w:rFonts w:ascii="Arial"/>
                <w:sz w:val="21"/>
                <w:highlight w:val="none"/>
              </w:rPr>
            </w:pPr>
          </w:p>
          <w:p w14:paraId="7B697129">
            <w:pPr>
              <w:spacing w:line="247" w:lineRule="auto"/>
              <w:rPr>
                <w:rFonts w:ascii="Arial"/>
                <w:sz w:val="21"/>
                <w:highlight w:val="none"/>
              </w:rPr>
            </w:pPr>
          </w:p>
          <w:p w14:paraId="09130231">
            <w:pPr>
              <w:spacing w:line="247" w:lineRule="auto"/>
              <w:rPr>
                <w:rFonts w:ascii="Arial"/>
                <w:sz w:val="21"/>
                <w:highlight w:val="none"/>
              </w:rPr>
            </w:pPr>
          </w:p>
          <w:p w14:paraId="42BC20F2">
            <w:pPr>
              <w:spacing w:line="247" w:lineRule="auto"/>
              <w:rPr>
                <w:rFonts w:ascii="Arial"/>
                <w:sz w:val="21"/>
                <w:highlight w:val="none"/>
              </w:rPr>
            </w:pPr>
          </w:p>
          <w:p w14:paraId="5E12CD34">
            <w:pPr>
              <w:spacing w:line="247" w:lineRule="auto"/>
              <w:rPr>
                <w:rFonts w:ascii="Arial"/>
                <w:sz w:val="21"/>
                <w:highlight w:val="none"/>
              </w:rPr>
            </w:pPr>
          </w:p>
          <w:p w14:paraId="0B6BFD00">
            <w:pPr>
              <w:spacing w:line="247" w:lineRule="auto"/>
              <w:rPr>
                <w:rFonts w:ascii="Arial"/>
                <w:sz w:val="21"/>
                <w:highlight w:val="none"/>
              </w:rPr>
            </w:pPr>
          </w:p>
          <w:p w14:paraId="7DE97E95">
            <w:pPr>
              <w:spacing w:line="247" w:lineRule="auto"/>
              <w:rPr>
                <w:rFonts w:ascii="Arial"/>
                <w:sz w:val="21"/>
                <w:highlight w:val="none"/>
              </w:rPr>
            </w:pPr>
          </w:p>
          <w:p w14:paraId="09A71E0F">
            <w:pPr>
              <w:spacing w:line="247" w:lineRule="auto"/>
              <w:rPr>
                <w:rFonts w:ascii="Arial"/>
                <w:sz w:val="21"/>
                <w:highlight w:val="none"/>
              </w:rPr>
            </w:pPr>
          </w:p>
          <w:p w14:paraId="057B3F41">
            <w:pPr>
              <w:spacing w:line="248" w:lineRule="auto"/>
              <w:rPr>
                <w:rFonts w:ascii="Arial"/>
                <w:sz w:val="21"/>
                <w:highlight w:val="none"/>
              </w:rPr>
            </w:pPr>
          </w:p>
          <w:p w14:paraId="5D30E0FB">
            <w:pPr>
              <w:spacing w:line="248" w:lineRule="auto"/>
              <w:rPr>
                <w:rFonts w:ascii="Arial"/>
                <w:sz w:val="21"/>
                <w:highlight w:val="none"/>
              </w:rPr>
            </w:pPr>
          </w:p>
          <w:p w14:paraId="23E0DBA3">
            <w:pPr>
              <w:spacing w:line="248" w:lineRule="auto"/>
              <w:rPr>
                <w:rFonts w:ascii="Arial"/>
                <w:sz w:val="21"/>
                <w:highlight w:val="none"/>
              </w:rPr>
            </w:pPr>
          </w:p>
          <w:p w14:paraId="66573054">
            <w:pPr>
              <w:spacing w:line="248" w:lineRule="auto"/>
              <w:rPr>
                <w:rFonts w:ascii="Arial"/>
                <w:sz w:val="21"/>
                <w:highlight w:val="none"/>
              </w:rPr>
            </w:pPr>
          </w:p>
          <w:p w14:paraId="45E178BC">
            <w:pPr>
              <w:spacing w:line="248" w:lineRule="auto"/>
              <w:rPr>
                <w:rFonts w:ascii="Arial"/>
                <w:sz w:val="21"/>
                <w:highlight w:val="none"/>
              </w:rPr>
            </w:pPr>
          </w:p>
          <w:p w14:paraId="5CF479BC">
            <w:pPr>
              <w:spacing w:line="248" w:lineRule="auto"/>
              <w:rPr>
                <w:rFonts w:ascii="Arial"/>
                <w:sz w:val="21"/>
                <w:highlight w:val="none"/>
              </w:rPr>
            </w:pPr>
          </w:p>
          <w:p w14:paraId="20A0CC96">
            <w:pPr>
              <w:pStyle w:val="6"/>
              <w:spacing w:before="68" w:line="220" w:lineRule="auto"/>
              <w:ind w:left="414"/>
              <w:rPr>
                <w:highlight w:val="none"/>
              </w:rPr>
            </w:pPr>
            <w:r>
              <w:rPr>
                <w:color w:val="0000FF"/>
                <w:spacing w:val="-2"/>
                <w:highlight w:val="none"/>
              </w:rPr>
              <w:t>评定分离</w:t>
            </w:r>
          </w:p>
        </w:tc>
        <w:tc>
          <w:tcPr>
            <w:tcW w:w="6817" w:type="dxa"/>
            <w:vAlign w:val="top"/>
          </w:tcPr>
          <w:p w14:paraId="04C498EC">
            <w:pPr>
              <w:spacing w:line="328" w:lineRule="auto"/>
              <w:rPr>
                <w:rFonts w:ascii="Arial"/>
                <w:sz w:val="21"/>
                <w:highlight w:val="none"/>
              </w:rPr>
            </w:pPr>
          </w:p>
          <w:p w14:paraId="4F7C6EAC">
            <w:pPr>
              <w:pStyle w:val="6"/>
              <w:spacing w:before="69" w:line="219" w:lineRule="auto"/>
              <w:ind w:left="95"/>
              <w:rPr>
                <w:highlight w:val="none"/>
              </w:rPr>
            </w:pPr>
            <w:r>
              <w:rPr>
                <w:b/>
                <w:bCs/>
                <w:color w:val="0000FF"/>
                <w:spacing w:val="-5"/>
                <w:highlight w:val="none"/>
              </w:rPr>
              <w:t>一、推荐中标候选人</w:t>
            </w:r>
          </w:p>
          <w:p w14:paraId="43AE7316">
            <w:pPr>
              <w:pStyle w:val="6"/>
              <w:spacing w:before="303" w:line="218" w:lineRule="auto"/>
              <w:ind w:left="552"/>
              <w:rPr>
                <w:highlight w:val="none"/>
              </w:rPr>
            </w:pPr>
            <w:r>
              <w:rPr>
                <w:color w:val="1000FF"/>
                <w:highlight w:val="none"/>
              </w:rPr>
              <w:t>1.评标完成后，评标委员会应向招标人提交书面评标报告，按照详</w:t>
            </w:r>
          </w:p>
          <w:p w14:paraId="7BC27799">
            <w:pPr>
              <w:pStyle w:val="6"/>
              <w:spacing w:before="132" w:line="305" w:lineRule="auto"/>
              <w:ind w:left="102" w:right="288" w:firstLine="20"/>
              <w:rPr>
                <w:highlight w:val="none"/>
              </w:rPr>
            </w:pPr>
            <w:r>
              <w:rPr>
                <w:color w:val="0000FF"/>
                <w:highlight w:val="none"/>
              </w:rPr>
              <w:t>细评审最终得分由高到低的顺序向招标人推荐</w:t>
            </w:r>
            <w:r>
              <w:rPr>
                <w:color w:val="0000FF"/>
                <w:spacing w:val="-1"/>
                <w:highlight w:val="none"/>
              </w:rPr>
              <w:t>3家不标明顺序的中标候</w:t>
            </w:r>
            <w:r>
              <w:rPr>
                <w:color w:val="0000FF"/>
                <w:highlight w:val="none"/>
              </w:rPr>
              <w:t xml:space="preserve"> </w:t>
            </w:r>
            <w:r>
              <w:rPr>
                <w:color w:val="0000FF"/>
                <w:spacing w:val="-6"/>
                <w:highlight w:val="none"/>
              </w:rPr>
              <w:t>选</w:t>
            </w:r>
            <w:r>
              <w:rPr>
                <w:color w:val="0000FF"/>
                <w:spacing w:val="-15"/>
                <w:highlight w:val="none"/>
              </w:rPr>
              <w:t xml:space="preserve"> </w:t>
            </w:r>
            <w:r>
              <w:rPr>
                <w:color w:val="0000FF"/>
                <w:spacing w:val="-6"/>
                <w:highlight w:val="none"/>
              </w:rPr>
              <w:t>人</w:t>
            </w:r>
            <w:r>
              <w:rPr>
                <w:color w:val="0000FF"/>
                <w:spacing w:val="-24"/>
                <w:highlight w:val="none"/>
              </w:rPr>
              <w:t xml:space="preserve"> </w:t>
            </w:r>
            <w:r>
              <w:rPr>
                <w:color w:val="0000FF"/>
                <w:spacing w:val="-6"/>
                <w:highlight w:val="none"/>
              </w:rPr>
              <w:t>；</w:t>
            </w:r>
          </w:p>
          <w:p w14:paraId="576FD140">
            <w:pPr>
              <w:pStyle w:val="6"/>
              <w:spacing w:before="36" w:line="279" w:lineRule="auto"/>
              <w:ind w:left="122" w:right="89" w:firstLine="409"/>
              <w:rPr>
                <w:highlight w:val="none"/>
              </w:rPr>
            </w:pPr>
            <w:r>
              <w:rPr>
                <w:color w:val="0000FF"/>
                <w:highlight w:val="none"/>
              </w:rPr>
              <w:t>2.若符合招标文件要求的中标候选人数量</w:t>
            </w:r>
            <w:r>
              <w:rPr>
                <w:color w:val="0000FF"/>
                <w:spacing w:val="-1"/>
                <w:highlight w:val="none"/>
              </w:rPr>
              <w:t>不足3家时，由评标委员会</w:t>
            </w:r>
            <w:r>
              <w:rPr>
                <w:color w:val="0000FF"/>
                <w:highlight w:val="none"/>
              </w:rPr>
              <w:t xml:space="preserve"> 作出是否具备竞争性判定，如具备竞争性，可继续推荐中标候选人。否</w:t>
            </w:r>
            <w:r>
              <w:rPr>
                <w:color w:val="0000FF"/>
                <w:spacing w:val="14"/>
                <w:highlight w:val="none"/>
              </w:rPr>
              <w:t xml:space="preserve"> </w:t>
            </w:r>
            <w:r>
              <w:rPr>
                <w:color w:val="0000FF"/>
                <w:spacing w:val="10"/>
                <w:highlight w:val="none"/>
              </w:rPr>
              <w:t>则，招标人应重新招标；</w:t>
            </w:r>
          </w:p>
          <w:p w14:paraId="03D0DE92">
            <w:pPr>
              <w:pStyle w:val="6"/>
              <w:spacing w:before="127" w:line="218" w:lineRule="auto"/>
              <w:ind w:left="552"/>
              <w:rPr>
                <w:highlight w:val="none"/>
              </w:rPr>
            </w:pPr>
            <w:r>
              <w:rPr>
                <w:color w:val="0000FF"/>
                <w:spacing w:val="-1"/>
                <w:highlight w:val="none"/>
              </w:rPr>
              <w:t>3.招标人在收到评标报告之日起3日内在湖北省电子招投标交易平</w:t>
            </w:r>
          </w:p>
          <w:p w14:paraId="7A4CD64B">
            <w:pPr>
              <w:pStyle w:val="6"/>
              <w:spacing w:before="91" w:line="293" w:lineRule="auto"/>
              <w:ind w:left="102" w:right="35" w:firstLine="40"/>
              <w:rPr>
                <w:highlight w:val="none"/>
              </w:rPr>
            </w:pPr>
            <w:r>
              <w:rPr>
                <w:color w:val="0000FF"/>
                <w:highlight w:val="none"/>
              </w:rPr>
              <w:t>台(麻城市公共资源交易网)公示评标结果(中标候选人),公示期不少于3</w:t>
            </w:r>
            <w:r>
              <w:rPr>
                <w:color w:val="0000FF"/>
                <w:spacing w:val="6"/>
                <w:highlight w:val="none"/>
              </w:rPr>
              <w:t xml:space="preserve">  </w:t>
            </w:r>
            <w:r>
              <w:rPr>
                <w:color w:val="0000FF"/>
                <w:spacing w:val="2"/>
                <w:highlight w:val="none"/>
              </w:rPr>
              <w:t>日。投标人或者其他利害关系人对评标结果(中标候选人)</w:t>
            </w:r>
            <w:r>
              <w:rPr>
                <w:color w:val="0000FF"/>
                <w:spacing w:val="1"/>
                <w:highlight w:val="none"/>
              </w:rPr>
              <w:t>有异议的，应</w:t>
            </w:r>
            <w:r>
              <w:rPr>
                <w:color w:val="0000FF"/>
                <w:highlight w:val="none"/>
              </w:rPr>
              <w:t xml:space="preserve">  </w:t>
            </w:r>
            <w:r>
              <w:rPr>
                <w:color w:val="0000FF"/>
                <w:spacing w:val="2"/>
                <w:highlight w:val="none"/>
              </w:rPr>
              <w:t>当在评标结果公示期间提出。招标人应当自收</w:t>
            </w:r>
            <w:r>
              <w:rPr>
                <w:color w:val="0000FF"/>
                <w:spacing w:val="1"/>
                <w:highlight w:val="none"/>
              </w:rPr>
              <w:t>到异议之日起3日内作出答</w:t>
            </w:r>
            <w:r>
              <w:rPr>
                <w:color w:val="0000FF"/>
                <w:highlight w:val="none"/>
              </w:rPr>
              <w:t xml:space="preserve"> </w:t>
            </w:r>
            <w:r>
              <w:rPr>
                <w:color w:val="0000FF"/>
                <w:spacing w:val="-7"/>
                <w:highlight w:val="none"/>
              </w:rPr>
              <w:t>复</w:t>
            </w:r>
            <w:r>
              <w:rPr>
                <w:color w:val="0000FF"/>
                <w:spacing w:val="63"/>
                <w:highlight w:val="none"/>
              </w:rPr>
              <w:t xml:space="preserve"> </w:t>
            </w:r>
            <w:r>
              <w:rPr>
                <w:color w:val="0000FF"/>
                <w:spacing w:val="-7"/>
                <w:highlight w:val="none"/>
              </w:rPr>
              <w:t>；</w:t>
            </w:r>
          </w:p>
          <w:p w14:paraId="39B1080A">
            <w:pPr>
              <w:pStyle w:val="6"/>
              <w:spacing w:before="119" w:line="219" w:lineRule="auto"/>
              <w:ind w:left="542"/>
              <w:rPr>
                <w:highlight w:val="none"/>
              </w:rPr>
            </w:pPr>
            <w:r>
              <w:rPr>
                <w:color w:val="0000FF"/>
                <w:highlight w:val="none"/>
              </w:rPr>
              <w:t>4.在评标结果(中标候选人)公示期间，中标</w:t>
            </w:r>
            <w:r>
              <w:rPr>
                <w:color w:val="0000FF"/>
                <w:spacing w:val="-1"/>
                <w:highlight w:val="none"/>
              </w:rPr>
              <w:t>候选人放弃中标或被</w:t>
            </w:r>
          </w:p>
          <w:p w14:paraId="463C0611">
            <w:pPr>
              <w:pStyle w:val="6"/>
              <w:spacing w:before="120" w:line="269" w:lineRule="auto"/>
              <w:ind w:left="132" w:right="136" w:firstLine="10"/>
              <w:rPr>
                <w:highlight w:val="none"/>
              </w:rPr>
            </w:pPr>
            <w:r>
              <w:rPr>
                <w:color w:val="0000FF"/>
                <w:highlight w:val="none"/>
              </w:rPr>
              <w:t>查实存在违法违规行为被取消中标候选人资格的，若剩余中标候选人小</w:t>
            </w:r>
            <w:r>
              <w:rPr>
                <w:color w:val="0000FF"/>
                <w:spacing w:val="16"/>
                <w:highlight w:val="none"/>
              </w:rPr>
              <w:t xml:space="preserve"> </w:t>
            </w:r>
            <w:r>
              <w:rPr>
                <w:color w:val="0000FF"/>
                <w:highlight w:val="none"/>
              </w:rPr>
              <w:t>于3家时，招标人可以继续定标，也可以重新招</w:t>
            </w:r>
            <w:r>
              <w:rPr>
                <w:color w:val="0000FF"/>
                <w:spacing w:val="-1"/>
                <w:highlight w:val="none"/>
              </w:rPr>
              <w:t>标。</w:t>
            </w:r>
          </w:p>
          <w:p w14:paraId="733B74F2">
            <w:pPr>
              <w:pStyle w:val="6"/>
              <w:spacing w:before="100" w:line="280" w:lineRule="auto"/>
              <w:ind w:left="112" w:firstLine="423"/>
              <w:rPr>
                <w:highlight w:val="none"/>
              </w:rPr>
            </w:pPr>
            <w:r>
              <w:rPr>
                <w:color w:val="0000FF"/>
                <w:spacing w:val="-4"/>
                <w:highlight w:val="none"/>
              </w:rPr>
              <w:t>5、公示期结束后无异议的，招标人应及时</w:t>
            </w:r>
            <w:r>
              <w:rPr>
                <w:color w:val="0000FF"/>
                <w:spacing w:val="-5"/>
                <w:highlight w:val="none"/>
              </w:rPr>
              <w:t>召开定标会议确定中标人。</w:t>
            </w:r>
            <w:r>
              <w:rPr>
                <w:color w:val="0000FF"/>
                <w:highlight w:val="none"/>
              </w:rPr>
              <w:t xml:space="preserve"> </w:t>
            </w:r>
            <w:r>
              <w:rPr>
                <w:color w:val="0000FF"/>
                <w:spacing w:val="-3"/>
                <w:highlight w:val="none"/>
              </w:rPr>
              <w:t>定标会议原则上应在评标结果公示结束后的5个工作日内召开。若招标人</w:t>
            </w:r>
            <w:r>
              <w:rPr>
                <w:color w:val="0000FF"/>
                <w:spacing w:val="3"/>
                <w:highlight w:val="none"/>
              </w:rPr>
              <w:t xml:space="preserve">  </w:t>
            </w:r>
            <w:r>
              <w:rPr>
                <w:color w:val="0000FF"/>
                <w:spacing w:val="-2"/>
                <w:highlight w:val="none"/>
              </w:rPr>
              <w:t>需要对中标候选人开展清标与考察的，在评标结</w:t>
            </w:r>
            <w:r>
              <w:rPr>
                <w:color w:val="0000FF"/>
                <w:spacing w:val="-3"/>
                <w:highlight w:val="none"/>
              </w:rPr>
              <w:t>果公示结束后的10个工</w:t>
            </w:r>
            <w:r>
              <w:rPr>
                <w:color w:val="0000FF"/>
                <w:highlight w:val="none"/>
              </w:rPr>
              <w:t xml:space="preserve">   </w:t>
            </w:r>
            <w:r>
              <w:rPr>
                <w:color w:val="0000FF"/>
                <w:spacing w:val="-3"/>
                <w:highlight w:val="none"/>
              </w:rPr>
              <w:t>作日内召开。</w:t>
            </w:r>
          </w:p>
        </w:tc>
      </w:tr>
    </w:tbl>
    <w:p w14:paraId="6438839C">
      <w:pPr>
        <w:pStyle w:val="2"/>
        <w:spacing w:line="237" w:lineRule="exact"/>
        <w:rPr>
          <w:sz w:val="20"/>
          <w:highlight w:val="none"/>
        </w:rPr>
      </w:pPr>
    </w:p>
    <w:p w14:paraId="444CA4DE">
      <w:pPr>
        <w:spacing w:line="237" w:lineRule="exact"/>
        <w:rPr>
          <w:sz w:val="20"/>
          <w:szCs w:val="20"/>
          <w:highlight w:val="none"/>
        </w:rPr>
        <w:sectPr>
          <w:footerReference r:id="rId233" w:type="default"/>
          <w:pgSz w:w="11910" w:h="16840"/>
          <w:pgMar w:top="400" w:right="1695" w:bottom="1228" w:left="1685" w:header="0" w:footer="1009" w:gutter="0"/>
          <w:cols w:space="720" w:num="1"/>
        </w:sectPr>
      </w:pPr>
    </w:p>
    <w:p w14:paraId="61393A10">
      <w:pPr>
        <w:spacing w:before="18"/>
        <w:rPr>
          <w:highlight w:val="none"/>
        </w:rPr>
      </w:pPr>
    </w:p>
    <w:p w14:paraId="780E99D0">
      <w:pPr>
        <w:spacing w:before="17"/>
        <w:rPr>
          <w:highlight w:val="none"/>
        </w:rPr>
      </w:pPr>
    </w:p>
    <w:p w14:paraId="1B7346E4">
      <w:pPr>
        <w:spacing w:before="17"/>
        <w:rPr>
          <w:highlight w:val="none"/>
        </w:rPr>
      </w:pPr>
    </w:p>
    <w:p w14:paraId="2F85F6D7">
      <w:pPr>
        <w:spacing w:before="17"/>
        <w:rPr>
          <w:highlight w:val="none"/>
        </w:rPr>
      </w:pPr>
    </w:p>
    <w:tbl>
      <w:tblPr>
        <w:tblStyle w:val="5"/>
        <w:tblW w:w="85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3"/>
        <w:gridCol w:w="6831"/>
      </w:tblGrid>
      <w:tr w14:paraId="1DBDC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60" w:hRule="atLeast"/>
        </w:trPr>
        <w:tc>
          <w:tcPr>
            <w:tcW w:w="1703" w:type="dxa"/>
            <w:vAlign w:val="top"/>
          </w:tcPr>
          <w:p w14:paraId="58A07D0E">
            <w:pPr>
              <w:rPr>
                <w:rFonts w:ascii="Arial"/>
                <w:sz w:val="21"/>
                <w:highlight w:val="none"/>
              </w:rPr>
            </w:pPr>
          </w:p>
        </w:tc>
        <w:tc>
          <w:tcPr>
            <w:tcW w:w="6831" w:type="dxa"/>
            <w:vAlign w:val="top"/>
          </w:tcPr>
          <w:p w14:paraId="0D33ABDB">
            <w:pPr>
              <w:pStyle w:val="6"/>
              <w:spacing w:before="101" w:line="220" w:lineRule="auto"/>
              <w:ind w:left="135"/>
              <w:rPr>
                <w:sz w:val="22"/>
                <w:szCs w:val="22"/>
                <w:highlight w:val="none"/>
              </w:rPr>
            </w:pPr>
            <w:bookmarkStart w:id="232" w:name="bookmark292"/>
            <w:bookmarkEnd w:id="232"/>
            <w:r>
              <w:rPr>
                <w:b/>
                <w:bCs/>
                <w:color w:val="0000FF"/>
                <w:spacing w:val="-4"/>
                <w:sz w:val="22"/>
                <w:szCs w:val="22"/>
                <w:highlight w:val="none"/>
              </w:rPr>
              <w:t>二、定标准备</w:t>
            </w:r>
          </w:p>
          <w:p w14:paraId="5E64C38A">
            <w:pPr>
              <w:pStyle w:val="6"/>
              <w:spacing w:before="110" w:line="220" w:lineRule="auto"/>
              <w:ind w:left="571"/>
              <w:rPr>
                <w:sz w:val="22"/>
                <w:szCs w:val="22"/>
                <w:highlight w:val="none"/>
              </w:rPr>
            </w:pPr>
            <w:r>
              <w:rPr>
                <w:color w:val="1000FF"/>
                <w:sz w:val="22"/>
                <w:szCs w:val="22"/>
                <w:highlight w:val="none"/>
              </w:rPr>
              <w:t>1</w:t>
            </w:r>
            <w:r>
              <w:rPr>
                <w:color w:val="0000FF"/>
                <w:sz w:val="22"/>
                <w:szCs w:val="22"/>
                <w:highlight w:val="none"/>
              </w:rPr>
              <w:t>.清标及有关情况核查。</w:t>
            </w:r>
          </w:p>
          <w:p w14:paraId="128FD33A">
            <w:pPr>
              <w:pStyle w:val="6"/>
              <w:spacing w:before="85" w:line="304" w:lineRule="auto"/>
              <w:ind w:left="121" w:right="7" w:firstLine="420"/>
              <w:rPr>
                <w:sz w:val="22"/>
                <w:szCs w:val="22"/>
                <w:highlight w:val="none"/>
              </w:rPr>
            </w:pPr>
            <w:r>
              <w:rPr>
                <w:color w:val="0000FF"/>
                <w:sz w:val="22"/>
                <w:szCs w:val="22"/>
                <w:highlight w:val="none"/>
              </w:rPr>
              <w:t>招标人在定标前对评标委员会评标情况(客观评审部分)进行审查</w:t>
            </w:r>
            <w:r>
              <w:rPr>
                <w:color w:val="0000FF"/>
                <w:spacing w:val="5"/>
                <w:sz w:val="22"/>
                <w:szCs w:val="22"/>
                <w:highlight w:val="none"/>
              </w:rPr>
              <w:t xml:space="preserve">  </w:t>
            </w:r>
            <w:r>
              <w:rPr>
                <w:color w:val="0000FF"/>
                <w:spacing w:val="-4"/>
                <w:sz w:val="22"/>
                <w:szCs w:val="22"/>
                <w:highlight w:val="none"/>
              </w:rPr>
              <w:t>核实，对中标候选人实力、信誉、过往项目履约评</w:t>
            </w:r>
            <w:r>
              <w:rPr>
                <w:color w:val="0000FF"/>
                <w:spacing w:val="-5"/>
                <w:sz w:val="22"/>
                <w:szCs w:val="22"/>
                <w:highlight w:val="none"/>
              </w:rPr>
              <w:t>价、履约能力，中标</w:t>
            </w:r>
            <w:r>
              <w:rPr>
                <w:color w:val="0000FF"/>
                <w:sz w:val="22"/>
                <w:szCs w:val="22"/>
                <w:highlight w:val="none"/>
              </w:rPr>
              <w:t xml:space="preserve"> </w:t>
            </w:r>
            <w:r>
              <w:rPr>
                <w:color w:val="0000FF"/>
                <w:spacing w:val="-4"/>
                <w:sz w:val="22"/>
                <w:szCs w:val="22"/>
                <w:highlight w:val="none"/>
              </w:rPr>
              <w:t>候选人和拟派项目负责人业绩、奖项真实性、准确性、一</w:t>
            </w:r>
            <w:r>
              <w:rPr>
                <w:color w:val="0000FF"/>
                <w:spacing w:val="-5"/>
                <w:sz w:val="22"/>
                <w:szCs w:val="22"/>
                <w:highlight w:val="none"/>
              </w:rPr>
              <w:t>致性，以及拟</w:t>
            </w:r>
            <w:r>
              <w:rPr>
                <w:color w:val="0000FF"/>
                <w:sz w:val="22"/>
                <w:szCs w:val="22"/>
                <w:highlight w:val="none"/>
              </w:rPr>
              <w:t xml:space="preserve"> </w:t>
            </w:r>
            <w:r>
              <w:rPr>
                <w:color w:val="0000FF"/>
                <w:spacing w:val="-4"/>
                <w:sz w:val="22"/>
                <w:szCs w:val="22"/>
                <w:highlight w:val="none"/>
              </w:rPr>
              <w:t>派项目负责人是否有在建项目等直接关系到标后能</w:t>
            </w:r>
            <w:r>
              <w:rPr>
                <w:color w:val="0000FF"/>
                <w:spacing w:val="-5"/>
                <w:sz w:val="22"/>
                <w:szCs w:val="22"/>
                <w:highlight w:val="none"/>
              </w:rPr>
              <w:t>否良好履约的因素进</w:t>
            </w:r>
            <w:r>
              <w:rPr>
                <w:color w:val="0000FF"/>
                <w:sz w:val="22"/>
                <w:szCs w:val="22"/>
                <w:highlight w:val="none"/>
              </w:rPr>
              <w:t xml:space="preserve"> 行审查核实。</w:t>
            </w:r>
          </w:p>
          <w:p w14:paraId="0083FA52">
            <w:pPr>
              <w:pStyle w:val="6"/>
              <w:spacing w:before="2" w:line="298" w:lineRule="auto"/>
              <w:ind w:left="131" w:firstLine="429"/>
              <w:rPr>
                <w:sz w:val="22"/>
                <w:szCs w:val="22"/>
                <w:highlight w:val="none"/>
              </w:rPr>
            </w:pPr>
            <w:r>
              <w:rPr>
                <w:color w:val="0000FF"/>
                <w:spacing w:val="-5"/>
                <w:sz w:val="22"/>
                <w:szCs w:val="22"/>
                <w:highlight w:val="none"/>
              </w:rPr>
              <w:t>招标人将根据中标候选人情况，在认为有必要的情况下对所有中标</w:t>
            </w:r>
            <w:r>
              <w:rPr>
                <w:color w:val="0000FF"/>
                <w:spacing w:val="5"/>
                <w:sz w:val="22"/>
                <w:szCs w:val="22"/>
                <w:highlight w:val="none"/>
              </w:rPr>
              <w:t xml:space="preserve"> </w:t>
            </w:r>
            <w:r>
              <w:rPr>
                <w:color w:val="0000FF"/>
                <w:sz w:val="22"/>
                <w:szCs w:val="22"/>
                <w:highlight w:val="none"/>
              </w:rPr>
              <w:t>候选人进行考察(如有),同时重点关注中标候选人近几年的不良信息</w:t>
            </w:r>
            <w:r>
              <w:rPr>
                <w:color w:val="0000FF"/>
                <w:spacing w:val="4"/>
                <w:sz w:val="22"/>
                <w:szCs w:val="22"/>
                <w:highlight w:val="none"/>
              </w:rPr>
              <w:t xml:space="preserve">  </w:t>
            </w:r>
            <w:r>
              <w:rPr>
                <w:color w:val="0000FF"/>
                <w:spacing w:val="-1"/>
                <w:sz w:val="22"/>
                <w:szCs w:val="22"/>
                <w:highlight w:val="none"/>
              </w:rPr>
              <w:t>(包括建设行政主管部门、招投标监管部门、政府采购管理部门等作出</w:t>
            </w:r>
          </w:p>
          <w:p w14:paraId="2ED9BF15">
            <w:pPr>
              <w:pStyle w:val="6"/>
              <w:spacing w:before="33" w:line="219" w:lineRule="auto"/>
              <w:jc w:val="right"/>
              <w:rPr>
                <w:sz w:val="22"/>
                <w:szCs w:val="22"/>
                <w:highlight w:val="none"/>
              </w:rPr>
            </w:pPr>
            <w:r>
              <w:rPr>
                <w:color w:val="0010FF"/>
                <w:spacing w:val="-1"/>
                <w:sz w:val="22"/>
                <w:szCs w:val="22"/>
                <w:highlight w:val="none"/>
              </w:rPr>
              <w:t>的各种行政处罚以及其他失信记录)、项目负责人业绩、奖项等，如实</w:t>
            </w:r>
          </w:p>
          <w:p w14:paraId="108A0C2C">
            <w:pPr>
              <w:pStyle w:val="6"/>
              <w:spacing w:before="88" w:line="302" w:lineRule="auto"/>
              <w:ind w:left="131" w:right="9"/>
              <w:jc w:val="both"/>
              <w:rPr>
                <w:sz w:val="22"/>
                <w:szCs w:val="22"/>
                <w:highlight w:val="none"/>
              </w:rPr>
            </w:pPr>
            <w:r>
              <w:rPr>
                <w:color w:val="0000FF"/>
                <w:spacing w:val="-5"/>
                <w:sz w:val="22"/>
                <w:szCs w:val="22"/>
                <w:highlight w:val="none"/>
              </w:rPr>
              <w:t>记录并作为定标参考依据。招标人在考察时不得与中标候选人就投标价</w:t>
            </w:r>
            <w:r>
              <w:rPr>
                <w:color w:val="0000FF"/>
                <w:spacing w:val="13"/>
                <w:sz w:val="22"/>
                <w:szCs w:val="22"/>
                <w:highlight w:val="none"/>
              </w:rPr>
              <w:t xml:space="preserve"> </w:t>
            </w:r>
            <w:r>
              <w:rPr>
                <w:color w:val="0000FF"/>
                <w:spacing w:val="-5"/>
                <w:sz w:val="22"/>
                <w:szCs w:val="22"/>
                <w:highlight w:val="none"/>
              </w:rPr>
              <w:t>格、投标方案等实质性内容进行谈判，考察结果不得有明示或暗示中标</w:t>
            </w:r>
            <w:r>
              <w:rPr>
                <w:color w:val="0000FF"/>
                <w:spacing w:val="12"/>
                <w:sz w:val="22"/>
                <w:szCs w:val="22"/>
                <w:highlight w:val="none"/>
              </w:rPr>
              <w:t xml:space="preserve"> </w:t>
            </w:r>
            <w:r>
              <w:rPr>
                <w:color w:val="0000FF"/>
                <w:spacing w:val="2"/>
                <w:sz w:val="22"/>
                <w:szCs w:val="22"/>
                <w:highlight w:val="none"/>
              </w:rPr>
              <w:t>人的内容。</w:t>
            </w:r>
            <w:r>
              <w:rPr>
                <w:b/>
                <w:bCs/>
                <w:color w:val="0000FF"/>
                <w:spacing w:val="2"/>
                <w:sz w:val="22"/>
                <w:szCs w:val="22"/>
                <w:highlight w:val="none"/>
              </w:rPr>
              <w:t>(项目不考察)</w:t>
            </w:r>
          </w:p>
          <w:p w14:paraId="72F55192">
            <w:pPr>
              <w:pStyle w:val="6"/>
              <w:spacing w:before="1" w:line="218" w:lineRule="auto"/>
              <w:ind w:left="551"/>
              <w:rPr>
                <w:sz w:val="22"/>
                <w:szCs w:val="22"/>
                <w:highlight w:val="none"/>
              </w:rPr>
            </w:pPr>
            <w:r>
              <w:rPr>
                <w:color w:val="0000FF"/>
                <w:sz w:val="22"/>
                <w:szCs w:val="22"/>
                <w:highlight w:val="none"/>
              </w:rPr>
              <w:t>2.建立定标成员库和组建定标委员会。</w:t>
            </w:r>
          </w:p>
          <w:p w14:paraId="567C6133">
            <w:pPr>
              <w:pStyle w:val="6"/>
              <w:spacing w:before="118" w:line="299" w:lineRule="auto"/>
              <w:ind w:left="141" w:right="10" w:firstLine="419"/>
              <w:rPr>
                <w:sz w:val="22"/>
                <w:szCs w:val="22"/>
                <w:highlight w:val="none"/>
              </w:rPr>
            </w:pPr>
            <w:r>
              <w:rPr>
                <w:color w:val="0000FF"/>
                <w:spacing w:val="-5"/>
                <w:sz w:val="22"/>
                <w:szCs w:val="22"/>
                <w:highlight w:val="none"/>
              </w:rPr>
              <w:t>招标人应建立定标成员库，成员从招标人、项目业主或者使用单位</w:t>
            </w:r>
            <w:r>
              <w:rPr>
                <w:color w:val="0000FF"/>
                <w:spacing w:val="12"/>
                <w:sz w:val="22"/>
                <w:szCs w:val="22"/>
                <w:highlight w:val="none"/>
              </w:rPr>
              <w:t xml:space="preserve"> </w:t>
            </w:r>
            <w:r>
              <w:rPr>
                <w:color w:val="0000FF"/>
                <w:spacing w:val="-5"/>
                <w:sz w:val="22"/>
                <w:szCs w:val="22"/>
                <w:highlight w:val="none"/>
              </w:rPr>
              <w:t>的领导班子成员、经营管理人员、经济技术人员中产生，还可以从招标</w:t>
            </w:r>
            <w:r>
              <w:rPr>
                <w:color w:val="0000FF"/>
                <w:spacing w:val="2"/>
                <w:sz w:val="22"/>
                <w:szCs w:val="22"/>
                <w:highlight w:val="none"/>
              </w:rPr>
              <w:t xml:space="preserve"> </w:t>
            </w:r>
            <w:r>
              <w:rPr>
                <w:color w:val="0000FF"/>
                <w:sz w:val="22"/>
                <w:szCs w:val="22"/>
                <w:highlight w:val="none"/>
              </w:rPr>
              <w:t>人的上下级单位(母子公司)人员中增补或指定的外聘人员。同一标段</w:t>
            </w:r>
            <w:r>
              <w:rPr>
                <w:color w:val="0000FF"/>
                <w:spacing w:val="8"/>
                <w:sz w:val="22"/>
                <w:szCs w:val="22"/>
                <w:highlight w:val="none"/>
              </w:rPr>
              <w:t xml:space="preserve"> </w:t>
            </w:r>
            <w:r>
              <w:rPr>
                <w:color w:val="0000FF"/>
                <w:sz w:val="22"/>
                <w:szCs w:val="22"/>
                <w:highlight w:val="none"/>
              </w:rPr>
              <w:t>评标委员会成员(含招标人代表)原则上不得作为</w:t>
            </w:r>
            <w:r>
              <w:rPr>
                <w:color w:val="0000FF"/>
                <w:spacing w:val="-1"/>
                <w:sz w:val="22"/>
                <w:szCs w:val="22"/>
                <w:highlight w:val="none"/>
              </w:rPr>
              <w:t>该标段定标委员会成</w:t>
            </w:r>
            <w:r>
              <w:rPr>
                <w:color w:val="0000FF"/>
                <w:sz w:val="22"/>
                <w:szCs w:val="22"/>
                <w:highlight w:val="none"/>
              </w:rPr>
              <w:t xml:space="preserve"> </w:t>
            </w:r>
            <w:r>
              <w:rPr>
                <w:color w:val="0000FF"/>
                <w:spacing w:val="3"/>
                <w:sz w:val="22"/>
                <w:szCs w:val="22"/>
                <w:highlight w:val="none"/>
              </w:rPr>
              <w:t>员参与定标。</w:t>
            </w:r>
          </w:p>
          <w:p w14:paraId="11417A4B">
            <w:pPr>
              <w:pStyle w:val="6"/>
              <w:spacing w:before="2" w:line="302" w:lineRule="auto"/>
              <w:ind w:left="131" w:firstLine="414"/>
              <w:jc w:val="both"/>
              <w:rPr>
                <w:sz w:val="22"/>
                <w:szCs w:val="22"/>
                <w:highlight w:val="none"/>
              </w:rPr>
            </w:pPr>
            <w:r>
              <w:rPr>
                <w:color w:val="0000FF"/>
                <w:spacing w:val="-10"/>
                <w:sz w:val="22"/>
                <w:szCs w:val="22"/>
                <w:highlight w:val="none"/>
              </w:rPr>
              <w:t>招标人负责组建定标委员会，数量为5人。定标委员会组长原则上由</w:t>
            </w:r>
            <w:r>
              <w:rPr>
                <w:color w:val="0000FF"/>
                <w:sz w:val="22"/>
                <w:szCs w:val="22"/>
                <w:highlight w:val="none"/>
              </w:rPr>
              <w:t xml:space="preserve"> </w:t>
            </w:r>
            <w:r>
              <w:rPr>
                <w:color w:val="0000FF"/>
                <w:spacing w:val="-7"/>
                <w:sz w:val="22"/>
                <w:szCs w:val="22"/>
                <w:highlight w:val="none"/>
              </w:rPr>
              <w:t>招标人的法定代表人或主要负责人担任，其他成员由招标人在本单位内</w:t>
            </w:r>
            <w:r>
              <w:rPr>
                <w:color w:val="0000FF"/>
                <w:spacing w:val="5"/>
                <w:sz w:val="22"/>
                <w:szCs w:val="22"/>
                <w:highlight w:val="none"/>
              </w:rPr>
              <w:t xml:space="preserve"> </w:t>
            </w:r>
            <w:r>
              <w:rPr>
                <w:color w:val="0000FF"/>
                <w:spacing w:val="-3"/>
                <w:sz w:val="22"/>
                <w:szCs w:val="22"/>
                <w:highlight w:val="none"/>
              </w:rPr>
              <w:t>或从招标人的上下级单位(母子公司)或指定的外聘人员建库并在该库</w:t>
            </w:r>
            <w:r>
              <w:rPr>
                <w:color w:val="0000FF"/>
                <w:spacing w:val="8"/>
                <w:sz w:val="22"/>
                <w:szCs w:val="22"/>
                <w:highlight w:val="none"/>
              </w:rPr>
              <w:t xml:space="preserve">  </w:t>
            </w:r>
            <w:r>
              <w:rPr>
                <w:color w:val="0000FF"/>
                <w:spacing w:val="-11"/>
                <w:sz w:val="22"/>
                <w:szCs w:val="22"/>
                <w:highlight w:val="none"/>
              </w:rPr>
              <w:t>确定。招标人应当在召开定标会前24小时内，确定定标委员会其他成员。</w:t>
            </w:r>
            <w:r>
              <w:rPr>
                <w:color w:val="0000FF"/>
                <w:spacing w:val="11"/>
                <w:sz w:val="22"/>
                <w:szCs w:val="22"/>
                <w:highlight w:val="none"/>
              </w:rPr>
              <w:t xml:space="preserve"> </w:t>
            </w:r>
            <w:r>
              <w:rPr>
                <w:color w:val="0000FF"/>
                <w:spacing w:val="-7"/>
                <w:sz w:val="22"/>
                <w:szCs w:val="22"/>
                <w:highlight w:val="none"/>
              </w:rPr>
              <w:t>定标委员会成员名单在发布定标结果公告前应当保密。定标委员会成员</w:t>
            </w:r>
            <w:r>
              <w:rPr>
                <w:color w:val="0000FF"/>
                <w:spacing w:val="5"/>
                <w:sz w:val="22"/>
                <w:szCs w:val="22"/>
                <w:highlight w:val="none"/>
              </w:rPr>
              <w:t xml:space="preserve"> </w:t>
            </w:r>
            <w:r>
              <w:rPr>
                <w:color w:val="0000FF"/>
                <w:spacing w:val="-2"/>
                <w:sz w:val="22"/>
                <w:szCs w:val="22"/>
                <w:highlight w:val="none"/>
              </w:rPr>
              <w:t>与中标候选人存在利害关系的，应主动回避并书面说</w:t>
            </w:r>
            <w:r>
              <w:rPr>
                <w:color w:val="0000FF"/>
                <w:spacing w:val="-3"/>
                <w:sz w:val="22"/>
                <w:szCs w:val="22"/>
                <w:highlight w:val="none"/>
              </w:rPr>
              <w:t>明回避理由。</w:t>
            </w:r>
          </w:p>
          <w:p w14:paraId="16F17567">
            <w:pPr>
              <w:pStyle w:val="6"/>
              <w:spacing w:line="220" w:lineRule="auto"/>
              <w:ind w:left="542"/>
              <w:rPr>
                <w:sz w:val="22"/>
                <w:szCs w:val="22"/>
                <w:highlight w:val="none"/>
              </w:rPr>
            </w:pPr>
            <w:r>
              <w:rPr>
                <w:color w:val="0000FF"/>
                <w:sz w:val="22"/>
                <w:szCs w:val="22"/>
                <w:highlight w:val="none"/>
              </w:rPr>
              <w:t>3.成立定标监督小组。</w:t>
            </w:r>
          </w:p>
          <w:p w14:paraId="34A9AC06">
            <w:pPr>
              <w:pStyle w:val="6"/>
              <w:spacing w:before="94" w:line="304" w:lineRule="auto"/>
              <w:ind w:left="131" w:firstLine="424"/>
              <w:rPr>
                <w:sz w:val="22"/>
                <w:szCs w:val="22"/>
                <w:highlight w:val="none"/>
              </w:rPr>
            </w:pPr>
            <w:r>
              <w:rPr>
                <w:color w:val="0000FF"/>
                <w:spacing w:val="-11"/>
                <w:sz w:val="22"/>
                <w:szCs w:val="22"/>
                <w:highlight w:val="none"/>
              </w:rPr>
              <w:t>组建不少于3人的定标监督小组，对定标委员会的组建、定标过程及</w:t>
            </w:r>
            <w:r>
              <w:rPr>
                <w:color w:val="0000FF"/>
                <w:spacing w:val="3"/>
                <w:sz w:val="22"/>
                <w:szCs w:val="22"/>
                <w:highlight w:val="none"/>
              </w:rPr>
              <w:t xml:space="preserve">  </w:t>
            </w:r>
            <w:r>
              <w:rPr>
                <w:color w:val="0000FF"/>
                <w:spacing w:val="-8"/>
                <w:sz w:val="22"/>
                <w:szCs w:val="22"/>
                <w:highlight w:val="none"/>
              </w:rPr>
              <w:t>招标人在定标前对投标人的考察等进行全程监督，发现异常情况及时提</w:t>
            </w:r>
            <w:r>
              <w:rPr>
                <w:color w:val="0000FF"/>
                <w:spacing w:val="8"/>
                <w:sz w:val="22"/>
                <w:szCs w:val="22"/>
                <w:highlight w:val="none"/>
              </w:rPr>
              <w:t xml:space="preserve">  </w:t>
            </w:r>
            <w:r>
              <w:rPr>
                <w:color w:val="0000FF"/>
                <w:spacing w:val="-11"/>
                <w:sz w:val="22"/>
                <w:szCs w:val="22"/>
                <w:highlight w:val="none"/>
              </w:rPr>
              <w:t>醒并纠正，但不得就评标、定标涉及的实质内容发表意见或者参与评标、</w:t>
            </w:r>
            <w:r>
              <w:rPr>
                <w:color w:val="0000FF"/>
                <w:sz w:val="22"/>
                <w:szCs w:val="22"/>
                <w:highlight w:val="none"/>
              </w:rPr>
              <w:t xml:space="preserve"> </w:t>
            </w:r>
            <w:r>
              <w:rPr>
                <w:color w:val="0000FF"/>
                <w:spacing w:val="-3"/>
                <w:sz w:val="22"/>
                <w:szCs w:val="22"/>
                <w:highlight w:val="none"/>
              </w:rPr>
              <w:t>定标讨论。</w:t>
            </w:r>
          </w:p>
          <w:p w14:paraId="5F38F9F7">
            <w:pPr>
              <w:pStyle w:val="6"/>
              <w:spacing w:before="1" w:line="218" w:lineRule="auto"/>
              <w:ind w:left="135"/>
              <w:rPr>
                <w:sz w:val="22"/>
                <w:szCs w:val="22"/>
                <w:highlight w:val="none"/>
              </w:rPr>
            </w:pPr>
            <w:r>
              <w:rPr>
                <w:b/>
                <w:bCs/>
                <w:color w:val="0000FF"/>
                <w:spacing w:val="-4"/>
                <w:sz w:val="22"/>
                <w:szCs w:val="22"/>
                <w:highlight w:val="none"/>
              </w:rPr>
              <w:t>三、定标会程序</w:t>
            </w:r>
          </w:p>
          <w:p w14:paraId="7F9F3897">
            <w:pPr>
              <w:pStyle w:val="6"/>
              <w:spacing w:before="112" w:line="219" w:lineRule="auto"/>
              <w:ind w:right="6"/>
              <w:jc w:val="right"/>
              <w:rPr>
                <w:sz w:val="22"/>
                <w:szCs w:val="22"/>
                <w:highlight w:val="none"/>
              </w:rPr>
            </w:pPr>
            <w:r>
              <w:rPr>
                <w:color w:val="0000FF"/>
                <w:spacing w:val="-5"/>
                <w:sz w:val="22"/>
                <w:szCs w:val="22"/>
                <w:highlight w:val="none"/>
              </w:rPr>
              <w:t>定标会议参与人员有定标委员会成员、监督小组成员、招标代理机</w:t>
            </w:r>
          </w:p>
          <w:p w14:paraId="62611893">
            <w:pPr>
              <w:pStyle w:val="6"/>
              <w:spacing w:before="91" w:line="220" w:lineRule="auto"/>
              <w:ind w:left="101"/>
              <w:rPr>
                <w:sz w:val="22"/>
                <w:szCs w:val="22"/>
                <w:highlight w:val="none"/>
              </w:rPr>
            </w:pPr>
            <w:r>
              <w:rPr>
                <w:color w:val="0010FF"/>
                <w:sz w:val="22"/>
                <w:szCs w:val="22"/>
                <w:highlight w:val="none"/>
              </w:rPr>
              <w:t>构。</w:t>
            </w:r>
          </w:p>
          <w:p w14:paraId="05BB3438">
            <w:pPr>
              <w:pStyle w:val="6"/>
              <w:spacing w:before="116" w:line="219" w:lineRule="auto"/>
              <w:ind w:left="571"/>
              <w:rPr>
                <w:sz w:val="22"/>
                <w:szCs w:val="22"/>
                <w:highlight w:val="none"/>
              </w:rPr>
            </w:pPr>
            <w:r>
              <w:rPr>
                <w:color w:val="0000FF"/>
                <w:sz w:val="22"/>
                <w:szCs w:val="22"/>
                <w:highlight w:val="none"/>
              </w:rPr>
              <w:t>1、宣读定标会议会场纪律；由监督小组宣读定标会场纪</w:t>
            </w:r>
            <w:r>
              <w:rPr>
                <w:color w:val="0000FF"/>
                <w:spacing w:val="-1"/>
                <w:sz w:val="22"/>
                <w:szCs w:val="22"/>
                <w:highlight w:val="none"/>
              </w:rPr>
              <w:t>律。</w:t>
            </w:r>
          </w:p>
          <w:p w14:paraId="2794ABEF">
            <w:pPr>
              <w:pStyle w:val="6"/>
              <w:spacing w:before="88" w:line="254" w:lineRule="auto"/>
              <w:ind w:left="131" w:firstLine="414"/>
              <w:rPr>
                <w:sz w:val="22"/>
                <w:szCs w:val="22"/>
                <w:highlight w:val="none"/>
              </w:rPr>
            </w:pPr>
            <w:r>
              <w:rPr>
                <w:color w:val="0000FF"/>
                <w:spacing w:val="-7"/>
                <w:sz w:val="22"/>
                <w:szCs w:val="22"/>
                <w:highlight w:val="none"/>
              </w:rPr>
              <w:t>2、介绍定标项目的基本情况；由招标代理机构介绍</w:t>
            </w:r>
            <w:r>
              <w:rPr>
                <w:color w:val="0000FF"/>
                <w:spacing w:val="-8"/>
                <w:sz w:val="22"/>
                <w:szCs w:val="22"/>
                <w:highlight w:val="none"/>
              </w:rPr>
              <w:t>项目基本情况、</w:t>
            </w:r>
            <w:r>
              <w:rPr>
                <w:color w:val="0000FF"/>
                <w:sz w:val="22"/>
                <w:szCs w:val="22"/>
                <w:highlight w:val="none"/>
              </w:rPr>
              <w:t xml:space="preserve"> </w:t>
            </w:r>
            <w:r>
              <w:rPr>
                <w:color w:val="0000FF"/>
                <w:spacing w:val="-7"/>
                <w:sz w:val="22"/>
                <w:szCs w:val="22"/>
                <w:highlight w:val="none"/>
              </w:rPr>
              <w:t>候选人名单、定标委员会成员、定标方式及定标会议中需要</w:t>
            </w:r>
            <w:r>
              <w:rPr>
                <w:color w:val="0000FF"/>
                <w:spacing w:val="-8"/>
                <w:sz w:val="22"/>
                <w:szCs w:val="22"/>
                <w:highlight w:val="none"/>
              </w:rPr>
              <w:t>注意的重点</w:t>
            </w:r>
            <w:r>
              <w:rPr>
                <w:color w:val="0000FF"/>
                <w:sz w:val="22"/>
                <w:szCs w:val="22"/>
                <w:highlight w:val="none"/>
              </w:rPr>
              <w:t xml:space="preserve"> </w:t>
            </w:r>
            <w:r>
              <w:rPr>
                <w:color w:val="0000FF"/>
                <w:spacing w:val="-2"/>
                <w:sz w:val="22"/>
                <w:szCs w:val="22"/>
                <w:highlight w:val="none"/>
              </w:rPr>
              <w:t>内容。</w:t>
            </w:r>
          </w:p>
        </w:tc>
      </w:tr>
    </w:tbl>
    <w:p w14:paraId="636040E5">
      <w:pPr>
        <w:pStyle w:val="2"/>
        <w:rPr>
          <w:highlight w:val="none"/>
        </w:rPr>
      </w:pPr>
    </w:p>
    <w:p w14:paraId="75AE2A23">
      <w:pPr>
        <w:rPr>
          <w:highlight w:val="none"/>
        </w:rPr>
        <w:sectPr>
          <w:footerReference r:id="rId234" w:type="default"/>
          <w:pgSz w:w="11910" w:h="16840"/>
          <w:pgMar w:top="400" w:right="1700" w:bottom="1238" w:left="1665" w:header="0" w:footer="1006" w:gutter="0"/>
          <w:cols w:space="720" w:num="1"/>
        </w:sectPr>
      </w:pPr>
    </w:p>
    <w:p w14:paraId="075DF558">
      <w:pPr>
        <w:spacing w:before="20"/>
        <w:rPr>
          <w:highlight w:val="none"/>
        </w:rPr>
      </w:pPr>
    </w:p>
    <w:p w14:paraId="7BFABE08">
      <w:pPr>
        <w:spacing w:before="20"/>
        <w:rPr>
          <w:highlight w:val="none"/>
        </w:rPr>
      </w:pPr>
    </w:p>
    <w:p w14:paraId="63DCE52D">
      <w:pPr>
        <w:spacing w:before="20"/>
        <w:rPr>
          <w:highlight w:val="none"/>
        </w:rPr>
      </w:pPr>
    </w:p>
    <w:p w14:paraId="50166B54">
      <w:pPr>
        <w:spacing w:before="19"/>
        <w:rPr>
          <w:highlight w:val="none"/>
        </w:rPr>
      </w:pPr>
    </w:p>
    <w:tbl>
      <w:tblPr>
        <w:tblStyle w:val="5"/>
        <w:tblW w:w="84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3"/>
        <w:gridCol w:w="6786"/>
      </w:tblGrid>
      <w:tr w14:paraId="4B4FF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10" w:hRule="atLeast"/>
        </w:trPr>
        <w:tc>
          <w:tcPr>
            <w:tcW w:w="1703" w:type="dxa"/>
            <w:vAlign w:val="top"/>
          </w:tcPr>
          <w:p w14:paraId="6376B4BF">
            <w:pPr>
              <w:rPr>
                <w:rFonts w:ascii="Arial"/>
                <w:sz w:val="21"/>
                <w:highlight w:val="none"/>
              </w:rPr>
            </w:pPr>
          </w:p>
        </w:tc>
        <w:tc>
          <w:tcPr>
            <w:tcW w:w="6786" w:type="dxa"/>
            <w:vAlign w:val="top"/>
          </w:tcPr>
          <w:p w14:paraId="7FBB46D9">
            <w:pPr>
              <w:pStyle w:val="6"/>
              <w:spacing w:before="121" w:line="271" w:lineRule="auto"/>
              <w:ind w:left="111" w:firstLine="419"/>
              <w:rPr>
                <w:sz w:val="22"/>
                <w:szCs w:val="22"/>
                <w:highlight w:val="none"/>
              </w:rPr>
            </w:pPr>
            <w:bookmarkStart w:id="233" w:name="bookmark293"/>
            <w:bookmarkEnd w:id="233"/>
            <w:r>
              <w:rPr>
                <w:color w:val="0000FF"/>
                <w:spacing w:val="-9"/>
                <w:sz w:val="22"/>
                <w:szCs w:val="22"/>
                <w:highlight w:val="none"/>
              </w:rPr>
              <w:t>3、中标候选人项目经理或技术负责人进行现场陈述答疑；中标候选</w:t>
            </w:r>
            <w:r>
              <w:rPr>
                <w:color w:val="0000FF"/>
                <w:spacing w:val="14"/>
                <w:sz w:val="22"/>
                <w:szCs w:val="22"/>
                <w:highlight w:val="none"/>
              </w:rPr>
              <w:t xml:space="preserve"> </w:t>
            </w:r>
            <w:r>
              <w:rPr>
                <w:color w:val="0000FF"/>
                <w:spacing w:val="-5"/>
                <w:sz w:val="22"/>
                <w:szCs w:val="22"/>
                <w:highlight w:val="none"/>
              </w:rPr>
              <w:t>人代表根据定标要素要求，围绕本项目内容及定标委员会的要求，</w:t>
            </w:r>
            <w:r>
              <w:rPr>
                <w:color w:val="0000FF"/>
                <w:spacing w:val="-6"/>
                <w:sz w:val="22"/>
                <w:szCs w:val="22"/>
                <w:highlight w:val="none"/>
              </w:rPr>
              <w:t>分别</w:t>
            </w:r>
            <w:r>
              <w:rPr>
                <w:color w:val="0000FF"/>
                <w:sz w:val="22"/>
                <w:szCs w:val="22"/>
                <w:highlight w:val="none"/>
              </w:rPr>
              <w:t xml:space="preserve"> </w:t>
            </w:r>
            <w:r>
              <w:rPr>
                <w:color w:val="0000FF"/>
                <w:spacing w:val="-6"/>
                <w:sz w:val="22"/>
                <w:szCs w:val="22"/>
                <w:highlight w:val="none"/>
              </w:rPr>
              <w:t>进行陈述答疑</w:t>
            </w:r>
            <w:r>
              <w:rPr>
                <w:b/>
                <w:bCs/>
                <w:color w:val="0000FF"/>
                <w:spacing w:val="-6"/>
                <w:sz w:val="22"/>
                <w:szCs w:val="22"/>
                <w:highlight w:val="none"/>
              </w:rPr>
              <w:t>(本项目不答辩)</w:t>
            </w:r>
            <w:r>
              <w:rPr>
                <w:color w:val="0000FF"/>
                <w:spacing w:val="-6"/>
                <w:sz w:val="22"/>
                <w:szCs w:val="22"/>
                <w:highlight w:val="none"/>
              </w:rPr>
              <w:t>。</w:t>
            </w:r>
          </w:p>
          <w:p w14:paraId="37E70DC6">
            <w:pPr>
              <w:pStyle w:val="6"/>
              <w:spacing w:before="112" w:line="219" w:lineRule="auto"/>
              <w:ind w:left="541"/>
              <w:rPr>
                <w:sz w:val="22"/>
                <w:szCs w:val="22"/>
                <w:highlight w:val="none"/>
              </w:rPr>
            </w:pPr>
            <w:r>
              <w:rPr>
                <w:color w:val="0000FF"/>
                <w:spacing w:val="5"/>
                <w:sz w:val="22"/>
                <w:szCs w:val="22"/>
                <w:highlight w:val="none"/>
              </w:rPr>
              <w:t>4、定标委员会成员按照定标标准进行定标投票；</w:t>
            </w:r>
          </w:p>
          <w:p w14:paraId="6A361008">
            <w:pPr>
              <w:pStyle w:val="6"/>
              <w:spacing w:before="88" w:line="218" w:lineRule="auto"/>
              <w:jc w:val="right"/>
              <w:rPr>
                <w:sz w:val="22"/>
                <w:szCs w:val="22"/>
                <w:highlight w:val="none"/>
              </w:rPr>
            </w:pPr>
            <w:r>
              <w:rPr>
                <w:color w:val="0000FF"/>
                <w:spacing w:val="-1"/>
                <w:sz w:val="22"/>
                <w:szCs w:val="22"/>
                <w:highlight w:val="none"/>
              </w:rPr>
              <w:t>5、定标委员会组长依据得票数，确定中标单位，完成定标报告；</w:t>
            </w:r>
          </w:p>
          <w:p w14:paraId="3D044AA6">
            <w:pPr>
              <w:pStyle w:val="6"/>
              <w:spacing w:before="100" w:line="219" w:lineRule="auto"/>
              <w:ind w:left="532"/>
              <w:rPr>
                <w:sz w:val="22"/>
                <w:szCs w:val="22"/>
                <w:highlight w:val="none"/>
              </w:rPr>
            </w:pPr>
            <w:r>
              <w:rPr>
                <w:color w:val="0000FF"/>
                <w:spacing w:val="-1"/>
                <w:sz w:val="22"/>
                <w:szCs w:val="22"/>
                <w:highlight w:val="none"/>
              </w:rPr>
              <w:t>6、定标委员会组长宣布定标结果。</w:t>
            </w:r>
          </w:p>
          <w:p w14:paraId="5DDE3376">
            <w:pPr>
              <w:pStyle w:val="6"/>
              <w:spacing w:before="98" w:line="220" w:lineRule="auto"/>
              <w:ind w:left="115"/>
              <w:rPr>
                <w:sz w:val="22"/>
                <w:szCs w:val="22"/>
                <w:highlight w:val="none"/>
              </w:rPr>
            </w:pPr>
            <w:r>
              <w:rPr>
                <w:b/>
                <w:bCs/>
                <w:color w:val="0000FF"/>
                <w:spacing w:val="-3"/>
                <w:sz w:val="22"/>
                <w:szCs w:val="22"/>
                <w:highlight w:val="none"/>
              </w:rPr>
              <w:t>四、定标方法</w:t>
            </w:r>
          </w:p>
          <w:p w14:paraId="4985D439">
            <w:pPr>
              <w:pStyle w:val="6"/>
              <w:spacing w:before="98" w:line="218" w:lineRule="auto"/>
              <w:ind w:left="111"/>
              <w:rPr>
                <w:sz w:val="22"/>
                <w:szCs w:val="22"/>
                <w:highlight w:val="none"/>
              </w:rPr>
            </w:pPr>
            <w:r>
              <w:rPr>
                <w:color w:val="0000FF"/>
                <w:spacing w:val="-1"/>
                <w:sz w:val="22"/>
                <w:szCs w:val="22"/>
                <w:highlight w:val="none"/>
              </w:rPr>
              <w:t>□价格竞争法、</w:t>
            </w:r>
            <w:r>
              <w:rPr>
                <w:rFonts w:ascii="MS Gothic" w:hAnsi="MS Gothic" w:eastAsia="MS Gothic" w:cs="MS Gothic"/>
                <w:color w:val="0000FF"/>
                <w:spacing w:val="-1"/>
                <w:sz w:val="22"/>
                <w:szCs w:val="22"/>
                <w:highlight w:val="none"/>
              </w:rPr>
              <w:t>☑</w:t>
            </w:r>
            <w:r>
              <w:rPr>
                <w:color w:val="0000FF"/>
                <w:spacing w:val="-1"/>
                <w:sz w:val="22"/>
                <w:szCs w:val="22"/>
                <w:highlight w:val="none"/>
              </w:rPr>
              <w:t>票决定标法、□集体议事法。</w:t>
            </w:r>
          </w:p>
          <w:p w14:paraId="75EF7E92">
            <w:pPr>
              <w:pStyle w:val="6"/>
              <w:spacing w:before="99" w:line="219" w:lineRule="auto"/>
              <w:ind w:left="115"/>
              <w:rPr>
                <w:sz w:val="22"/>
                <w:szCs w:val="22"/>
                <w:highlight w:val="none"/>
              </w:rPr>
            </w:pPr>
            <w:r>
              <w:rPr>
                <w:b/>
                <w:bCs/>
                <w:color w:val="0000FF"/>
                <w:spacing w:val="-4"/>
                <w:sz w:val="22"/>
                <w:szCs w:val="22"/>
                <w:highlight w:val="none"/>
              </w:rPr>
              <w:t>五、定标的要素</w:t>
            </w:r>
          </w:p>
          <w:p w14:paraId="52FBCC84">
            <w:pPr>
              <w:pStyle w:val="6"/>
              <w:spacing w:before="102" w:line="219" w:lineRule="auto"/>
              <w:ind w:left="111"/>
              <w:rPr>
                <w:sz w:val="22"/>
                <w:szCs w:val="22"/>
                <w:highlight w:val="none"/>
              </w:rPr>
            </w:pPr>
            <w:r>
              <w:rPr>
                <w:color w:val="0010FF"/>
                <w:spacing w:val="-24"/>
                <w:sz w:val="22"/>
                <w:szCs w:val="22"/>
                <w:highlight w:val="none"/>
              </w:rPr>
              <w:t>一</w:t>
            </w:r>
            <w:r>
              <w:rPr>
                <w:color w:val="0010FF"/>
                <w:spacing w:val="43"/>
                <w:sz w:val="22"/>
                <w:szCs w:val="22"/>
                <w:highlight w:val="none"/>
              </w:rPr>
              <w:t xml:space="preserve"> </w:t>
            </w:r>
            <w:r>
              <w:rPr>
                <w:color w:val="0010FF"/>
                <w:spacing w:val="-24"/>
                <w:sz w:val="22"/>
                <w:szCs w:val="22"/>
                <w:highlight w:val="none"/>
              </w:rPr>
              <w:t>、</w:t>
            </w:r>
            <w:r>
              <w:rPr>
                <w:color w:val="0000FF"/>
                <w:spacing w:val="-24"/>
                <w:sz w:val="22"/>
                <w:szCs w:val="22"/>
                <w:highlight w:val="none"/>
              </w:rPr>
              <w:t>定标要素</w:t>
            </w:r>
          </w:p>
          <w:p w14:paraId="49D254B5">
            <w:pPr>
              <w:pStyle w:val="6"/>
              <w:spacing w:before="115" w:line="298" w:lineRule="auto"/>
              <w:ind w:left="111" w:firstLine="9"/>
              <w:rPr>
                <w:sz w:val="22"/>
                <w:szCs w:val="22"/>
                <w:highlight w:val="none"/>
              </w:rPr>
            </w:pPr>
            <w:r>
              <w:rPr>
                <w:color w:val="0000FF"/>
                <w:spacing w:val="-9"/>
                <w:sz w:val="22"/>
                <w:szCs w:val="22"/>
                <w:highlight w:val="none"/>
              </w:rPr>
              <w:t>定标委员会在定标时优先进行“择优”,无法“择优”情况下可进行“比</w:t>
            </w:r>
            <w:r>
              <w:rPr>
                <w:color w:val="0000FF"/>
                <w:spacing w:val="11"/>
                <w:sz w:val="22"/>
                <w:szCs w:val="22"/>
                <w:highlight w:val="none"/>
              </w:rPr>
              <w:t xml:space="preserve"> </w:t>
            </w:r>
            <w:r>
              <w:rPr>
                <w:color w:val="0000FF"/>
                <w:spacing w:val="2"/>
                <w:sz w:val="22"/>
                <w:szCs w:val="22"/>
                <w:highlight w:val="none"/>
              </w:rPr>
              <w:t>劣”。(注：本项目采用“择优”标准)</w:t>
            </w:r>
          </w:p>
          <w:p w14:paraId="7E94C917">
            <w:pPr>
              <w:pStyle w:val="6"/>
              <w:spacing w:before="4" w:line="219" w:lineRule="auto"/>
              <w:ind w:left="111"/>
              <w:rPr>
                <w:sz w:val="22"/>
                <w:szCs w:val="22"/>
                <w:highlight w:val="none"/>
              </w:rPr>
            </w:pPr>
            <w:r>
              <w:rPr>
                <w:color w:val="0000FF"/>
                <w:spacing w:val="1"/>
                <w:sz w:val="22"/>
                <w:szCs w:val="22"/>
                <w:highlight w:val="none"/>
              </w:rPr>
              <w:t>(一)择优标准</w:t>
            </w:r>
          </w:p>
          <w:p w14:paraId="1AEA0EAC">
            <w:pPr>
              <w:pStyle w:val="6"/>
              <w:spacing w:before="109" w:line="190" w:lineRule="auto"/>
              <w:ind w:left="111"/>
              <w:rPr>
                <w:sz w:val="22"/>
                <w:szCs w:val="22"/>
                <w:highlight w:val="none"/>
              </w:rPr>
            </w:pPr>
            <w:r>
              <w:rPr>
                <w:color w:val="0000FF"/>
                <w:spacing w:val="-1"/>
                <w:sz w:val="22"/>
                <w:szCs w:val="22"/>
                <w:highlight w:val="none"/>
              </w:rPr>
              <w:t>定标委员会按照如下原则进行定标。</w:t>
            </w:r>
          </w:p>
          <w:tbl>
            <w:tblPr>
              <w:tblStyle w:val="5"/>
              <w:tblW w:w="5170" w:type="dxa"/>
              <w:tblInd w:w="9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62"/>
              <w:gridCol w:w="3808"/>
            </w:tblGrid>
            <w:tr w14:paraId="148BC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1362" w:type="dxa"/>
                  <w:vAlign w:val="top"/>
                </w:tcPr>
                <w:p w14:paraId="0A5BC389">
                  <w:pPr>
                    <w:pStyle w:val="6"/>
                    <w:spacing w:before="42" w:line="212" w:lineRule="auto"/>
                    <w:ind w:left="254"/>
                    <w:rPr>
                      <w:highlight w:val="none"/>
                    </w:rPr>
                  </w:pPr>
                  <w:r>
                    <w:rPr>
                      <w:color w:val="0000FF"/>
                      <w:spacing w:val="2"/>
                      <w:highlight w:val="none"/>
                    </w:rPr>
                    <w:t>比选因素</w:t>
                  </w:r>
                </w:p>
              </w:tc>
              <w:tc>
                <w:tcPr>
                  <w:tcW w:w="3808" w:type="dxa"/>
                  <w:vAlign w:val="top"/>
                </w:tcPr>
                <w:p w14:paraId="43A9439D">
                  <w:pPr>
                    <w:pStyle w:val="6"/>
                    <w:spacing w:before="43" w:line="211" w:lineRule="auto"/>
                    <w:ind w:left="1502"/>
                    <w:rPr>
                      <w:highlight w:val="none"/>
                    </w:rPr>
                  </w:pPr>
                  <w:r>
                    <w:rPr>
                      <w:color w:val="0000FF"/>
                      <w:spacing w:val="2"/>
                      <w:highlight w:val="none"/>
                    </w:rPr>
                    <w:t>比选标准</w:t>
                  </w:r>
                </w:p>
              </w:tc>
            </w:tr>
            <w:tr w14:paraId="71580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1362" w:type="dxa"/>
                  <w:vAlign w:val="top"/>
                </w:tcPr>
                <w:p w14:paraId="23303908">
                  <w:pPr>
                    <w:pStyle w:val="6"/>
                    <w:spacing w:before="220" w:line="266" w:lineRule="auto"/>
                    <w:ind w:left="354" w:right="116" w:hanging="210"/>
                    <w:rPr>
                      <w:highlight w:val="none"/>
                    </w:rPr>
                  </w:pPr>
                  <w:r>
                    <w:rPr>
                      <w:color w:val="0000FF"/>
                      <w:spacing w:val="8"/>
                      <w:highlight w:val="none"/>
                    </w:rPr>
                    <w:t>企业对项目</w:t>
                  </w:r>
                  <w:r>
                    <w:rPr>
                      <w:color w:val="0000FF"/>
                      <w:highlight w:val="none"/>
                    </w:rPr>
                    <w:t xml:space="preserve"> </w:t>
                  </w:r>
                  <w:r>
                    <w:rPr>
                      <w:color w:val="0000FF"/>
                      <w:spacing w:val="2"/>
                      <w:highlight w:val="none"/>
                    </w:rPr>
                    <w:t>的理解</w:t>
                  </w:r>
                </w:p>
              </w:tc>
              <w:tc>
                <w:tcPr>
                  <w:tcW w:w="3808" w:type="dxa"/>
                  <w:vAlign w:val="top"/>
                </w:tcPr>
                <w:p w14:paraId="6A33D77E">
                  <w:pPr>
                    <w:pStyle w:val="6"/>
                    <w:spacing w:before="59" w:line="219" w:lineRule="auto"/>
                    <w:jc w:val="right"/>
                    <w:rPr>
                      <w:highlight w:val="none"/>
                    </w:rPr>
                  </w:pPr>
                  <w:r>
                    <w:rPr>
                      <w:color w:val="0000FF"/>
                      <w:spacing w:val="1"/>
                      <w:highlight w:val="none"/>
                    </w:rPr>
                    <w:t>1、企业打算投入的力量、资金、设备；</w:t>
                  </w:r>
                </w:p>
                <w:p w14:paraId="51E07280">
                  <w:pPr>
                    <w:pStyle w:val="6"/>
                    <w:spacing w:before="71" w:line="220" w:lineRule="auto"/>
                    <w:ind w:left="103"/>
                    <w:rPr>
                      <w:highlight w:val="none"/>
                    </w:rPr>
                  </w:pPr>
                  <w:r>
                    <w:rPr>
                      <w:color w:val="0000FF"/>
                      <w:spacing w:val="6"/>
                      <w:highlight w:val="none"/>
                    </w:rPr>
                    <w:t>2、企业与建设单位的配合协调方案；</w:t>
                  </w:r>
                </w:p>
                <w:p w14:paraId="3CB9F706">
                  <w:pPr>
                    <w:pStyle w:val="6"/>
                    <w:spacing w:before="58" w:line="184" w:lineRule="auto"/>
                    <w:ind w:left="103"/>
                    <w:rPr>
                      <w:highlight w:val="none"/>
                    </w:rPr>
                  </w:pPr>
                  <w:r>
                    <w:rPr>
                      <w:color w:val="0000FF"/>
                      <w:highlight w:val="none"/>
                    </w:rPr>
                    <w:t>3、企业拟定的工期进度实施计划。</w:t>
                  </w:r>
                </w:p>
              </w:tc>
            </w:tr>
            <w:tr w14:paraId="57927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7" w:hRule="atLeast"/>
              </w:trPr>
              <w:tc>
                <w:tcPr>
                  <w:tcW w:w="1362" w:type="dxa"/>
                  <w:vAlign w:val="top"/>
                </w:tcPr>
                <w:p w14:paraId="1813BDD1">
                  <w:pPr>
                    <w:pStyle w:val="6"/>
                    <w:spacing w:before="72" w:line="220" w:lineRule="auto"/>
                    <w:ind w:left="144"/>
                    <w:rPr>
                      <w:highlight w:val="none"/>
                    </w:rPr>
                  </w:pPr>
                  <w:r>
                    <w:rPr>
                      <w:color w:val="0000FF"/>
                      <w:spacing w:val="1"/>
                      <w:highlight w:val="none"/>
                    </w:rPr>
                    <w:t>企业在实施</w:t>
                  </w:r>
                </w:p>
                <w:p w14:paraId="664291C2">
                  <w:pPr>
                    <w:pStyle w:val="6"/>
                    <w:spacing w:before="59" w:line="220" w:lineRule="auto"/>
                    <w:ind w:left="144"/>
                    <w:rPr>
                      <w:highlight w:val="none"/>
                    </w:rPr>
                  </w:pPr>
                  <w:r>
                    <w:rPr>
                      <w:color w:val="0000FF"/>
                      <w:spacing w:val="4"/>
                      <w:highlight w:val="none"/>
                    </w:rPr>
                    <w:t>项目过程中</w:t>
                  </w:r>
                </w:p>
                <w:p w14:paraId="49FF09CA">
                  <w:pPr>
                    <w:pStyle w:val="6"/>
                    <w:spacing w:before="40" w:line="221" w:lineRule="auto"/>
                    <w:ind w:left="144"/>
                    <w:rPr>
                      <w:highlight w:val="none"/>
                    </w:rPr>
                  </w:pPr>
                  <w:r>
                    <w:rPr>
                      <w:color w:val="0000FF"/>
                      <w:spacing w:val="-2"/>
                      <w:highlight w:val="none"/>
                    </w:rPr>
                    <w:t>对地方建设</w:t>
                  </w:r>
                </w:p>
                <w:p w14:paraId="23C04E52">
                  <w:pPr>
                    <w:pStyle w:val="6"/>
                    <w:spacing w:before="27" w:line="198" w:lineRule="auto"/>
                    <w:ind w:left="355"/>
                    <w:rPr>
                      <w:highlight w:val="none"/>
                    </w:rPr>
                  </w:pPr>
                  <w:r>
                    <w:rPr>
                      <w:color w:val="0000FF"/>
                      <w:spacing w:val="2"/>
                      <w:highlight w:val="none"/>
                    </w:rPr>
                    <w:t>的贡献</w:t>
                  </w:r>
                </w:p>
              </w:tc>
              <w:tc>
                <w:tcPr>
                  <w:tcW w:w="3808" w:type="dxa"/>
                  <w:vAlign w:val="top"/>
                </w:tcPr>
                <w:p w14:paraId="0BDE3209">
                  <w:pPr>
                    <w:spacing w:line="300" w:lineRule="auto"/>
                    <w:rPr>
                      <w:rFonts w:ascii="Arial"/>
                      <w:sz w:val="21"/>
                      <w:highlight w:val="none"/>
                    </w:rPr>
                  </w:pPr>
                </w:p>
                <w:p w14:paraId="7CFEF7BC">
                  <w:pPr>
                    <w:pStyle w:val="6"/>
                    <w:spacing w:before="68" w:line="219" w:lineRule="auto"/>
                    <w:ind w:left="103"/>
                    <w:rPr>
                      <w:highlight w:val="none"/>
                    </w:rPr>
                  </w:pPr>
                  <w:r>
                    <w:rPr>
                      <w:color w:val="0000FF"/>
                      <w:spacing w:val="6"/>
                      <w:highlight w:val="none"/>
                    </w:rPr>
                    <w:t>1、企业拟与地方合作的方式及深度；</w:t>
                  </w:r>
                </w:p>
                <w:p w14:paraId="180194DE">
                  <w:pPr>
                    <w:pStyle w:val="6"/>
                    <w:spacing w:before="52" w:line="219" w:lineRule="auto"/>
                    <w:ind w:left="103"/>
                    <w:rPr>
                      <w:highlight w:val="none"/>
                    </w:rPr>
                  </w:pPr>
                  <w:r>
                    <w:rPr>
                      <w:color w:val="0000FF"/>
                      <w:spacing w:val="-1"/>
                      <w:highlight w:val="none"/>
                    </w:rPr>
                    <w:t>2、企业对地方经济的推动及努力方向。</w:t>
                  </w:r>
                </w:p>
              </w:tc>
            </w:tr>
            <w:tr w14:paraId="0ECEE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7" w:hRule="atLeast"/>
              </w:trPr>
              <w:tc>
                <w:tcPr>
                  <w:tcW w:w="1362" w:type="dxa"/>
                  <w:vAlign w:val="top"/>
                </w:tcPr>
                <w:p w14:paraId="3981F061">
                  <w:pPr>
                    <w:pStyle w:val="6"/>
                    <w:spacing w:before="154" w:line="219" w:lineRule="auto"/>
                    <w:ind w:left="144"/>
                    <w:rPr>
                      <w:highlight w:val="none"/>
                    </w:rPr>
                  </w:pPr>
                  <w:r>
                    <w:rPr>
                      <w:color w:val="0000FF"/>
                      <w:spacing w:val="4"/>
                      <w:highlight w:val="none"/>
                    </w:rPr>
                    <w:t>企业解决问</w:t>
                  </w:r>
                </w:p>
                <w:p w14:paraId="60CC982F">
                  <w:pPr>
                    <w:pStyle w:val="6"/>
                    <w:spacing w:before="49" w:line="219" w:lineRule="auto"/>
                    <w:ind w:left="144"/>
                    <w:rPr>
                      <w:highlight w:val="none"/>
                    </w:rPr>
                  </w:pPr>
                  <w:r>
                    <w:rPr>
                      <w:color w:val="0000FF"/>
                      <w:spacing w:val="3"/>
                      <w:highlight w:val="none"/>
                    </w:rPr>
                    <w:t>题的机制和</w:t>
                  </w:r>
                </w:p>
                <w:p w14:paraId="0A351F40">
                  <w:pPr>
                    <w:pStyle w:val="6"/>
                    <w:spacing w:before="52" w:line="219" w:lineRule="auto"/>
                    <w:ind w:left="464"/>
                    <w:rPr>
                      <w:highlight w:val="none"/>
                    </w:rPr>
                  </w:pPr>
                  <w:r>
                    <w:rPr>
                      <w:color w:val="0000FF"/>
                      <w:spacing w:val="6"/>
                      <w:highlight w:val="none"/>
                    </w:rPr>
                    <w:t>决心</w:t>
                  </w:r>
                </w:p>
              </w:tc>
              <w:tc>
                <w:tcPr>
                  <w:tcW w:w="3808" w:type="dxa"/>
                  <w:vAlign w:val="top"/>
                </w:tcPr>
                <w:p w14:paraId="3BED65DD">
                  <w:pPr>
                    <w:pStyle w:val="6"/>
                    <w:spacing w:before="155" w:line="220" w:lineRule="auto"/>
                    <w:jc w:val="right"/>
                    <w:rPr>
                      <w:highlight w:val="none"/>
                    </w:rPr>
                  </w:pPr>
                  <w:r>
                    <w:rPr>
                      <w:color w:val="0000FF"/>
                      <w:spacing w:val="1"/>
                      <w:highlight w:val="none"/>
                    </w:rPr>
                    <w:t>1、对项目实施过程中可能发生的问题；</w:t>
                  </w:r>
                </w:p>
                <w:p w14:paraId="48138590">
                  <w:pPr>
                    <w:pStyle w:val="6"/>
                    <w:spacing w:before="47" w:line="219" w:lineRule="auto"/>
                    <w:ind w:left="103"/>
                    <w:rPr>
                      <w:highlight w:val="none"/>
                    </w:rPr>
                  </w:pPr>
                  <w:r>
                    <w:rPr>
                      <w:color w:val="0000FF"/>
                      <w:spacing w:val="10"/>
                      <w:highlight w:val="none"/>
                    </w:rPr>
                    <w:t>2、解决问题的机制；</w:t>
                  </w:r>
                </w:p>
                <w:p w14:paraId="1D02B259">
                  <w:pPr>
                    <w:pStyle w:val="6"/>
                    <w:spacing w:before="52" w:line="219" w:lineRule="auto"/>
                    <w:ind w:left="103"/>
                    <w:rPr>
                      <w:highlight w:val="none"/>
                    </w:rPr>
                  </w:pPr>
                  <w:r>
                    <w:rPr>
                      <w:color w:val="0000FF"/>
                      <w:spacing w:val="-1"/>
                      <w:highlight w:val="none"/>
                    </w:rPr>
                    <w:t>3、解决问题的预案。</w:t>
                  </w:r>
                </w:p>
              </w:tc>
            </w:tr>
            <w:tr w14:paraId="54150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362" w:type="dxa"/>
                  <w:vAlign w:val="top"/>
                </w:tcPr>
                <w:p w14:paraId="54ED2BE0">
                  <w:pPr>
                    <w:pStyle w:val="6"/>
                    <w:spacing w:before="138" w:line="220" w:lineRule="auto"/>
                    <w:ind w:left="144"/>
                    <w:rPr>
                      <w:highlight w:val="none"/>
                    </w:rPr>
                  </w:pPr>
                  <w:r>
                    <w:rPr>
                      <w:color w:val="0000FF"/>
                      <w:spacing w:val="1"/>
                      <w:highlight w:val="none"/>
                    </w:rPr>
                    <w:t>企业的相关</w:t>
                  </w:r>
                </w:p>
                <w:p w14:paraId="42D88383">
                  <w:pPr>
                    <w:pStyle w:val="6"/>
                    <w:spacing w:before="49" w:line="219" w:lineRule="auto"/>
                    <w:ind w:left="464"/>
                    <w:rPr>
                      <w:highlight w:val="none"/>
                    </w:rPr>
                  </w:pPr>
                  <w:r>
                    <w:rPr>
                      <w:color w:val="0000FF"/>
                      <w:spacing w:val="-3"/>
                      <w:highlight w:val="none"/>
                    </w:rPr>
                    <w:t>承诺</w:t>
                  </w:r>
                </w:p>
              </w:tc>
              <w:tc>
                <w:tcPr>
                  <w:tcW w:w="3808" w:type="dxa"/>
                  <w:vAlign w:val="top"/>
                </w:tcPr>
                <w:p w14:paraId="4944E8A5">
                  <w:pPr>
                    <w:pStyle w:val="6"/>
                    <w:spacing w:before="127" w:line="253" w:lineRule="auto"/>
                    <w:ind w:left="103" w:right="94" w:firstLine="19"/>
                    <w:rPr>
                      <w:highlight w:val="none"/>
                    </w:rPr>
                  </w:pPr>
                  <w:r>
                    <w:rPr>
                      <w:color w:val="0000FF"/>
                      <w:highlight w:val="none"/>
                    </w:rPr>
                    <w:t>企业对实施本项目做出相关承诺及可行</w:t>
                  </w:r>
                  <w:r>
                    <w:rPr>
                      <w:color w:val="0000FF"/>
                      <w:spacing w:val="9"/>
                      <w:highlight w:val="none"/>
                    </w:rPr>
                    <w:t xml:space="preserve"> </w:t>
                  </w:r>
                  <w:r>
                    <w:rPr>
                      <w:color w:val="0000FF"/>
                      <w:spacing w:val="2"/>
                      <w:highlight w:val="none"/>
                    </w:rPr>
                    <w:t>性。</w:t>
                  </w:r>
                </w:p>
              </w:tc>
            </w:tr>
          </w:tbl>
          <w:p w14:paraId="03BB6087">
            <w:pPr>
              <w:pStyle w:val="6"/>
              <w:spacing w:before="144" w:line="283" w:lineRule="auto"/>
              <w:ind w:left="110" w:hanging="9"/>
              <w:rPr>
                <w:sz w:val="22"/>
                <w:szCs w:val="22"/>
                <w:highlight w:val="none"/>
              </w:rPr>
            </w:pPr>
            <w:r>
              <w:rPr>
                <w:color w:val="0000FF"/>
                <w:spacing w:val="-5"/>
                <w:sz w:val="22"/>
                <w:szCs w:val="22"/>
                <w:highlight w:val="none"/>
              </w:rPr>
              <w:t>注：1、投标人需将以上定标要素内容作为投标文件的一部分提交(自行</w:t>
            </w:r>
            <w:r>
              <w:rPr>
                <w:color w:val="0000FF"/>
                <w:spacing w:val="13"/>
                <w:sz w:val="22"/>
                <w:szCs w:val="22"/>
                <w:highlight w:val="none"/>
              </w:rPr>
              <w:t xml:space="preserve"> </w:t>
            </w:r>
            <w:r>
              <w:rPr>
                <w:color w:val="0000FF"/>
                <w:sz w:val="22"/>
                <w:szCs w:val="22"/>
                <w:highlight w:val="none"/>
              </w:rPr>
              <w:t>添加),如评定为候选人后，将比选标准作为定标会议比选的一部分。</w:t>
            </w:r>
          </w:p>
          <w:p w14:paraId="35365E72">
            <w:pPr>
              <w:pStyle w:val="6"/>
              <w:spacing w:before="24" w:line="219" w:lineRule="auto"/>
              <w:ind w:left="111"/>
              <w:rPr>
                <w:sz w:val="22"/>
                <w:szCs w:val="22"/>
                <w:highlight w:val="none"/>
              </w:rPr>
            </w:pPr>
            <w:r>
              <w:rPr>
                <w:color w:val="0000FF"/>
                <w:sz w:val="22"/>
                <w:szCs w:val="22"/>
                <w:highlight w:val="none"/>
              </w:rPr>
              <w:t>2、定标会议时间、地点由招标人确定并另行通</w:t>
            </w:r>
            <w:r>
              <w:rPr>
                <w:color w:val="0000FF"/>
                <w:spacing w:val="-1"/>
                <w:sz w:val="22"/>
                <w:szCs w:val="22"/>
                <w:highlight w:val="none"/>
              </w:rPr>
              <w:t>知。</w:t>
            </w:r>
          </w:p>
          <w:p w14:paraId="5711209C">
            <w:pPr>
              <w:spacing w:line="406" w:lineRule="auto"/>
              <w:rPr>
                <w:rFonts w:ascii="Arial"/>
                <w:sz w:val="21"/>
                <w:highlight w:val="none"/>
              </w:rPr>
            </w:pPr>
          </w:p>
          <w:p w14:paraId="2849749C">
            <w:pPr>
              <w:pStyle w:val="6"/>
              <w:spacing w:before="72" w:line="219" w:lineRule="auto"/>
              <w:ind w:left="631"/>
              <w:rPr>
                <w:sz w:val="22"/>
                <w:szCs w:val="22"/>
                <w:highlight w:val="none"/>
              </w:rPr>
            </w:pPr>
            <w:r>
              <w:rPr>
                <w:color w:val="0000FF"/>
                <w:spacing w:val="1"/>
                <w:sz w:val="22"/>
                <w:szCs w:val="22"/>
                <w:highlight w:val="none"/>
              </w:rPr>
              <w:t>(二)比劣标准</w:t>
            </w:r>
          </w:p>
          <w:p w14:paraId="40A8DEAF">
            <w:pPr>
              <w:pStyle w:val="6"/>
              <w:spacing w:before="89" w:line="219" w:lineRule="auto"/>
              <w:ind w:left="532"/>
              <w:rPr>
                <w:sz w:val="22"/>
                <w:szCs w:val="22"/>
                <w:highlight w:val="none"/>
              </w:rPr>
            </w:pPr>
            <w:r>
              <w:rPr>
                <w:color w:val="0000FF"/>
                <w:spacing w:val="-1"/>
                <w:sz w:val="22"/>
                <w:szCs w:val="22"/>
                <w:highlight w:val="none"/>
              </w:rPr>
              <w:t>有以下情况存在应不推选为中标人：</w:t>
            </w:r>
          </w:p>
          <w:p w14:paraId="58DD7D5F">
            <w:pPr>
              <w:pStyle w:val="6"/>
              <w:spacing w:before="120" w:line="261" w:lineRule="auto"/>
              <w:ind w:left="111" w:firstLine="526"/>
              <w:rPr>
                <w:sz w:val="22"/>
                <w:szCs w:val="22"/>
                <w:highlight w:val="none"/>
              </w:rPr>
            </w:pPr>
            <w:r>
              <w:rPr>
                <w:color w:val="0000FF"/>
                <w:spacing w:val="-7"/>
                <w:sz w:val="22"/>
                <w:szCs w:val="22"/>
                <w:highlight w:val="none"/>
              </w:rPr>
              <w:t>(1)质量安全事故(2022年1月1日以来，以主管部门通报时间为准):</w:t>
            </w:r>
            <w:r>
              <w:rPr>
                <w:color w:val="0000FF"/>
                <w:spacing w:val="1"/>
                <w:sz w:val="22"/>
                <w:szCs w:val="22"/>
                <w:highlight w:val="none"/>
              </w:rPr>
              <w:t xml:space="preserve"> </w:t>
            </w:r>
            <w:r>
              <w:rPr>
                <w:color w:val="0000FF"/>
                <w:spacing w:val="-2"/>
                <w:sz w:val="22"/>
                <w:szCs w:val="22"/>
                <w:highlight w:val="none"/>
              </w:rPr>
              <w:t>企业发生过一般及以上工程质量、安全事故。</w:t>
            </w:r>
          </w:p>
          <w:p w14:paraId="35EC3A5D">
            <w:pPr>
              <w:pStyle w:val="6"/>
              <w:spacing w:before="104" w:line="270" w:lineRule="auto"/>
              <w:ind w:left="101" w:firstLine="523"/>
              <w:rPr>
                <w:sz w:val="22"/>
                <w:szCs w:val="22"/>
                <w:highlight w:val="none"/>
              </w:rPr>
            </w:pPr>
            <w:r>
              <w:rPr>
                <w:color w:val="0000FF"/>
                <w:spacing w:val="-11"/>
                <w:sz w:val="22"/>
                <w:szCs w:val="22"/>
                <w:highlight w:val="none"/>
              </w:rPr>
              <w:t>(2)不良行为记录(2022年1月1日以来，</w:t>
            </w:r>
            <w:r>
              <w:rPr>
                <w:color w:val="0000FF"/>
                <w:spacing w:val="-12"/>
                <w:sz w:val="22"/>
                <w:szCs w:val="22"/>
                <w:highlight w:val="none"/>
              </w:rPr>
              <w:t>以主管部门通报时间为准):</w:t>
            </w:r>
            <w:r>
              <w:rPr>
                <w:color w:val="0000FF"/>
                <w:sz w:val="22"/>
                <w:szCs w:val="22"/>
                <w:highlight w:val="none"/>
              </w:rPr>
              <w:t xml:space="preserve">  </w:t>
            </w:r>
            <w:r>
              <w:rPr>
                <w:color w:val="0000FF"/>
                <w:spacing w:val="-11"/>
                <w:sz w:val="22"/>
                <w:szCs w:val="22"/>
                <w:highlight w:val="none"/>
              </w:rPr>
              <w:t>企业或其法定代表人、企业主要负责人、工程总承包项目经理受</w:t>
            </w:r>
            <w:r>
              <w:rPr>
                <w:color w:val="0000FF"/>
                <w:spacing w:val="-12"/>
                <w:sz w:val="22"/>
                <w:szCs w:val="22"/>
                <w:highlight w:val="none"/>
              </w:rPr>
              <w:t>到县级</w:t>
            </w:r>
            <w:r>
              <w:rPr>
                <w:color w:val="0000FF"/>
                <w:sz w:val="22"/>
                <w:szCs w:val="22"/>
                <w:highlight w:val="none"/>
              </w:rPr>
              <w:t xml:space="preserve">  </w:t>
            </w:r>
            <w:r>
              <w:rPr>
                <w:color w:val="0000FF"/>
                <w:spacing w:val="-11"/>
                <w:sz w:val="22"/>
                <w:szCs w:val="22"/>
                <w:highlight w:val="none"/>
              </w:rPr>
              <w:t>及以上建设行业主管部门、政府采购管理部门或公共</w:t>
            </w:r>
            <w:r>
              <w:rPr>
                <w:color w:val="0000FF"/>
                <w:spacing w:val="-12"/>
                <w:sz w:val="22"/>
                <w:szCs w:val="22"/>
                <w:highlight w:val="none"/>
              </w:rPr>
              <w:t>资源交易监督管理</w:t>
            </w:r>
            <w:r>
              <w:rPr>
                <w:color w:val="0000FF"/>
                <w:sz w:val="22"/>
                <w:szCs w:val="22"/>
                <w:highlight w:val="none"/>
              </w:rPr>
              <w:t xml:space="preserve">   </w:t>
            </w:r>
            <w:r>
              <w:rPr>
                <w:color w:val="0000FF"/>
                <w:spacing w:val="-11"/>
                <w:sz w:val="22"/>
                <w:szCs w:val="22"/>
                <w:highlight w:val="none"/>
              </w:rPr>
              <w:t>部门通报批评失信记录、行政处罚；企业受到建设单位履</w:t>
            </w:r>
            <w:r>
              <w:rPr>
                <w:color w:val="0000FF"/>
                <w:spacing w:val="-12"/>
                <w:sz w:val="22"/>
                <w:szCs w:val="22"/>
                <w:highlight w:val="none"/>
              </w:rPr>
              <w:t>约负面评价或</w:t>
            </w:r>
            <w:r>
              <w:rPr>
                <w:color w:val="0000FF"/>
                <w:sz w:val="22"/>
                <w:szCs w:val="22"/>
                <w:highlight w:val="none"/>
              </w:rPr>
              <w:t xml:space="preserve">  </w:t>
            </w:r>
            <w:r>
              <w:rPr>
                <w:color w:val="0000FF"/>
                <w:spacing w:val="-5"/>
                <w:sz w:val="22"/>
                <w:szCs w:val="22"/>
                <w:highlight w:val="none"/>
              </w:rPr>
              <w:t>被其纳入履约黑名单；在“信用中国”“国家企业信用信息公示系统”</w:t>
            </w:r>
          </w:p>
        </w:tc>
      </w:tr>
    </w:tbl>
    <w:p w14:paraId="4D01970E">
      <w:pPr>
        <w:pStyle w:val="2"/>
        <w:spacing w:line="216" w:lineRule="exact"/>
        <w:rPr>
          <w:sz w:val="18"/>
          <w:highlight w:val="none"/>
        </w:rPr>
      </w:pPr>
    </w:p>
    <w:p w14:paraId="1BCB6B97">
      <w:pPr>
        <w:spacing w:line="216" w:lineRule="exact"/>
        <w:rPr>
          <w:sz w:val="18"/>
          <w:szCs w:val="18"/>
          <w:highlight w:val="none"/>
        </w:rPr>
        <w:sectPr>
          <w:footerReference r:id="rId235" w:type="default"/>
          <w:pgSz w:w="11910" w:h="16840"/>
          <w:pgMar w:top="400" w:right="1735" w:bottom="1238" w:left="1675" w:header="0" w:footer="1007" w:gutter="0"/>
          <w:cols w:space="720" w:num="1"/>
        </w:sectPr>
      </w:pPr>
    </w:p>
    <w:p w14:paraId="52F44B6F">
      <w:pPr>
        <w:spacing w:before="18"/>
        <w:rPr>
          <w:highlight w:val="none"/>
        </w:rPr>
      </w:pPr>
    </w:p>
    <w:p w14:paraId="63BE9A42">
      <w:pPr>
        <w:spacing w:before="17"/>
        <w:rPr>
          <w:highlight w:val="none"/>
        </w:rPr>
      </w:pPr>
    </w:p>
    <w:p w14:paraId="218288E2">
      <w:pPr>
        <w:spacing w:before="17"/>
        <w:rPr>
          <w:highlight w:val="none"/>
        </w:rPr>
      </w:pPr>
    </w:p>
    <w:p w14:paraId="29177101">
      <w:pPr>
        <w:spacing w:before="17"/>
        <w:rPr>
          <w:highlight w:val="none"/>
        </w:rPr>
      </w:pPr>
    </w:p>
    <w:tbl>
      <w:tblPr>
        <w:tblStyle w:val="5"/>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2"/>
        <w:gridCol w:w="6807"/>
      </w:tblGrid>
      <w:tr w14:paraId="7B334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9" w:hRule="atLeast"/>
        </w:trPr>
        <w:tc>
          <w:tcPr>
            <w:tcW w:w="1702" w:type="dxa"/>
            <w:vAlign w:val="top"/>
          </w:tcPr>
          <w:p w14:paraId="7FD66DAA">
            <w:pPr>
              <w:rPr>
                <w:rFonts w:ascii="Arial"/>
                <w:sz w:val="21"/>
                <w:highlight w:val="none"/>
              </w:rPr>
            </w:pPr>
          </w:p>
        </w:tc>
        <w:tc>
          <w:tcPr>
            <w:tcW w:w="6807" w:type="dxa"/>
            <w:vAlign w:val="top"/>
          </w:tcPr>
          <w:p w14:paraId="30F864EF">
            <w:pPr>
              <w:pStyle w:val="6"/>
              <w:spacing w:before="132" w:line="308" w:lineRule="auto"/>
              <w:ind w:left="122" w:right="82" w:hanging="34"/>
              <w:rPr>
                <w:highlight w:val="none"/>
              </w:rPr>
            </w:pPr>
            <w:r>
              <w:rPr>
                <w:color w:val="0000FF"/>
                <w:spacing w:val="4"/>
                <w:highlight w:val="none"/>
              </w:rPr>
              <w:t>“湖北省公共资源交易信用信息平台”等平台查询</w:t>
            </w:r>
            <w:r>
              <w:rPr>
                <w:color w:val="0000FF"/>
                <w:spacing w:val="3"/>
                <w:highlight w:val="none"/>
              </w:rPr>
              <w:t>到企业失信行为或不</w:t>
            </w:r>
            <w:r>
              <w:rPr>
                <w:color w:val="0000FF"/>
                <w:highlight w:val="none"/>
              </w:rPr>
              <w:t xml:space="preserve"> </w:t>
            </w:r>
            <w:r>
              <w:rPr>
                <w:color w:val="0000FF"/>
                <w:spacing w:val="-1"/>
                <w:highlight w:val="none"/>
              </w:rPr>
              <w:t>良记录。</w:t>
            </w:r>
          </w:p>
          <w:p w14:paraId="0F67952C">
            <w:pPr>
              <w:pStyle w:val="6"/>
              <w:spacing w:before="2" w:line="318" w:lineRule="auto"/>
              <w:ind w:left="112" w:right="31" w:firstLine="519"/>
              <w:jc w:val="both"/>
              <w:rPr>
                <w:highlight w:val="none"/>
              </w:rPr>
            </w:pPr>
            <w:r>
              <w:rPr>
                <w:color w:val="0000FF"/>
                <w:spacing w:val="1"/>
                <w:highlight w:val="none"/>
              </w:rPr>
              <w:t>(3)违法违规行为(2022年1月1日以来，以主管部门通报时间为准):</w:t>
            </w:r>
            <w:r>
              <w:rPr>
                <w:color w:val="0000FF"/>
                <w:spacing w:val="6"/>
                <w:highlight w:val="none"/>
              </w:rPr>
              <w:t xml:space="preserve"> </w:t>
            </w:r>
            <w:r>
              <w:rPr>
                <w:color w:val="0000FF"/>
                <w:spacing w:val="1"/>
                <w:highlight w:val="none"/>
              </w:rPr>
              <w:t>企业存在围标串标、转包和违法分包、弄虚作假、以他人名义投标、出</w:t>
            </w:r>
            <w:r>
              <w:rPr>
                <w:color w:val="0000FF"/>
                <w:spacing w:val="6"/>
                <w:highlight w:val="none"/>
              </w:rPr>
              <w:t xml:space="preserve">  </w:t>
            </w:r>
            <w:r>
              <w:rPr>
                <w:color w:val="0000FF"/>
                <w:spacing w:val="-1"/>
                <w:highlight w:val="none"/>
              </w:rPr>
              <w:t>借资质等违法违规行为。</w:t>
            </w:r>
          </w:p>
          <w:p w14:paraId="24E2958E">
            <w:pPr>
              <w:pStyle w:val="6"/>
              <w:spacing w:line="220" w:lineRule="auto"/>
              <w:ind w:left="115"/>
              <w:rPr>
                <w:highlight w:val="none"/>
              </w:rPr>
            </w:pPr>
            <w:r>
              <w:rPr>
                <w:b/>
                <w:bCs/>
                <w:color w:val="0010FF"/>
                <w:spacing w:val="-22"/>
                <w:w w:val="97"/>
                <w:highlight w:val="none"/>
              </w:rPr>
              <w:t>二</w:t>
            </w:r>
            <w:r>
              <w:rPr>
                <w:color w:val="0010FF"/>
                <w:spacing w:val="39"/>
                <w:highlight w:val="none"/>
              </w:rPr>
              <w:t xml:space="preserve"> </w:t>
            </w:r>
            <w:r>
              <w:rPr>
                <w:b/>
                <w:bCs/>
                <w:color w:val="0010FF"/>
                <w:spacing w:val="-22"/>
                <w:w w:val="97"/>
                <w:highlight w:val="none"/>
              </w:rPr>
              <w:t>、</w:t>
            </w:r>
            <w:r>
              <w:rPr>
                <w:b/>
                <w:bCs/>
                <w:color w:val="0000FF"/>
                <w:spacing w:val="-22"/>
                <w:w w:val="97"/>
                <w:highlight w:val="none"/>
              </w:rPr>
              <w:t>定标方法</w:t>
            </w:r>
          </w:p>
          <w:p w14:paraId="61656851">
            <w:pPr>
              <w:pStyle w:val="6"/>
              <w:spacing w:before="120" w:line="219" w:lineRule="auto"/>
              <w:ind w:left="122"/>
              <w:rPr>
                <w:highlight w:val="none"/>
              </w:rPr>
            </w:pPr>
            <w:r>
              <w:rPr>
                <w:color w:val="0000FF"/>
                <w:spacing w:val="-1"/>
                <w:highlight w:val="none"/>
              </w:rPr>
              <w:t>采用票决定标法：</w:t>
            </w:r>
          </w:p>
          <w:p w14:paraId="2C4BFE94">
            <w:pPr>
              <w:pStyle w:val="6"/>
              <w:spacing w:before="102" w:line="314" w:lineRule="auto"/>
              <w:ind w:left="122" w:right="149" w:firstLine="409"/>
              <w:jc w:val="both"/>
              <w:rPr>
                <w:highlight w:val="none"/>
              </w:rPr>
            </w:pPr>
            <w:r>
              <w:rPr>
                <w:color w:val="0000FF"/>
                <w:highlight w:val="none"/>
              </w:rPr>
              <w:t>定标委员会成员对中标候选人进行记名投票，得票最高的即为中标</w:t>
            </w:r>
            <w:r>
              <w:rPr>
                <w:color w:val="0000FF"/>
                <w:spacing w:val="7"/>
                <w:highlight w:val="none"/>
              </w:rPr>
              <w:t xml:space="preserve"> </w:t>
            </w:r>
            <w:r>
              <w:rPr>
                <w:color w:val="0000FF"/>
                <w:highlight w:val="none"/>
              </w:rPr>
              <w:t>人。当最高得票相同时，对得票最高的中标候选人再次进行记名投票，</w:t>
            </w:r>
            <w:r>
              <w:rPr>
                <w:color w:val="0000FF"/>
                <w:spacing w:val="13"/>
                <w:highlight w:val="none"/>
              </w:rPr>
              <w:t xml:space="preserve"> </w:t>
            </w:r>
            <w:r>
              <w:rPr>
                <w:color w:val="0000FF"/>
                <w:spacing w:val="-1"/>
                <w:highlight w:val="none"/>
              </w:rPr>
              <w:t>直至选出中标人。</w:t>
            </w:r>
          </w:p>
          <w:p w14:paraId="2225CADE">
            <w:pPr>
              <w:pStyle w:val="6"/>
              <w:spacing w:before="19" w:line="219" w:lineRule="auto"/>
              <w:ind w:left="542"/>
              <w:rPr>
                <w:highlight w:val="none"/>
              </w:rPr>
            </w:pPr>
            <w:r>
              <w:rPr>
                <w:color w:val="0000FF"/>
                <w:spacing w:val="-1"/>
                <w:highlight w:val="none"/>
              </w:rPr>
              <w:t>票样如下：</w:t>
            </w:r>
          </w:p>
          <w:p w14:paraId="6AE093BE">
            <w:pPr>
              <w:spacing w:line="309" w:lineRule="auto"/>
              <w:rPr>
                <w:rFonts w:ascii="Arial"/>
                <w:sz w:val="21"/>
                <w:highlight w:val="none"/>
              </w:rPr>
            </w:pPr>
          </w:p>
          <w:p w14:paraId="501BE7BF">
            <w:pPr>
              <w:spacing w:line="309" w:lineRule="auto"/>
              <w:rPr>
                <w:rFonts w:ascii="Arial"/>
                <w:sz w:val="21"/>
                <w:highlight w:val="none"/>
              </w:rPr>
            </w:pPr>
          </w:p>
          <w:p w14:paraId="46B0D008">
            <w:pPr>
              <w:pStyle w:val="6"/>
              <w:spacing w:before="69" w:line="219" w:lineRule="auto"/>
              <w:ind w:left="2462"/>
              <w:rPr>
                <w:highlight w:val="none"/>
              </w:rPr>
            </w:pPr>
            <w:r>
              <w:rPr>
                <w:color w:val="0000FF"/>
                <w:spacing w:val="-1"/>
                <w:highlight w:val="none"/>
              </w:rPr>
              <w:t>直接票决定标法选票</w:t>
            </w:r>
          </w:p>
          <w:p w14:paraId="00B18983">
            <w:pPr>
              <w:spacing w:line="300" w:lineRule="auto"/>
              <w:rPr>
                <w:rFonts w:ascii="Arial"/>
                <w:sz w:val="21"/>
                <w:highlight w:val="none"/>
              </w:rPr>
            </w:pPr>
          </w:p>
          <w:p w14:paraId="393D47D4">
            <w:pPr>
              <w:pStyle w:val="6"/>
              <w:spacing w:before="68" w:line="227" w:lineRule="auto"/>
              <w:ind w:left="102"/>
              <w:rPr>
                <w:highlight w:val="none"/>
              </w:rPr>
            </w:pPr>
            <w:r>
              <w:rPr>
                <w:color w:val="0000FF"/>
                <w:highlight w:val="none"/>
              </w:rPr>
              <w:t xml:space="preserve">推荐人：                  </w:t>
            </w:r>
            <w:r>
              <w:rPr>
                <w:color w:val="0000FF"/>
                <w:spacing w:val="-1"/>
                <w:highlight w:val="none"/>
              </w:rPr>
              <w:t xml:space="preserve">        </w:t>
            </w:r>
            <w:r>
              <w:rPr>
                <w:color w:val="0000FF"/>
                <w:spacing w:val="-1"/>
                <w:position w:val="1"/>
                <w:highlight w:val="none"/>
              </w:rPr>
              <w:t>第  轮</w:t>
            </w:r>
          </w:p>
          <w:p w14:paraId="3BD5D7E7">
            <w:pPr>
              <w:spacing w:before="77"/>
              <w:rPr>
                <w:highlight w:val="none"/>
              </w:rPr>
            </w:pPr>
          </w:p>
          <w:tbl>
            <w:tblPr>
              <w:tblStyle w:val="5"/>
              <w:tblW w:w="6350" w:type="dxa"/>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90"/>
              <w:gridCol w:w="3160"/>
            </w:tblGrid>
            <w:tr w14:paraId="61A9A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3190" w:type="dxa"/>
                  <w:vAlign w:val="top"/>
                </w:tcPr>
                <w:p w14:paraId="4B165048">
                  <w:pPr>
                    <w:pStyle w:val="6"/>
                    <w:spacing w:before="64" w:line="218" w:lineRule="auto"/>
                    <w:ind w:left="65"/>
                    <w:rPr>
                      <w:highlight w:val="none"/>
                    </w:rPr>
                  </w:pPr>
                  <w:r>
                    <w:rPr>
                      <w:color w:val="0000FF"/>
                      <w:spacing w:val="1"/>
                      <w:highlight w:val="none"/>
                    </w:rPr>
                    <w:t>不排序的候选人名称</w:t>
                  </w:r>
                </w:p>
              </w:tc>
              <w:tc>
                <w:tcPr>
                  <w:tcW w:w="3160" w:type="dxa"/>
                  <w:vAlign w:val="top"/>
                </w:tcPr>
                <w:p w14:paraId="0504B777">
                  <w:pPr>
                    <w:pStyle w:val="6"/>
                    <w:spacing w:before="62" w:line="219" w:lineRule="auto"/>
                    <w:ind w:left="95"/>
                    <w:rPr>
                      <w:highlight w:val="none"/>
                    </w:rPr>
                  </w:pPr>
                  <w:r>
                    <w:rPr>
                      <w:color w:val="1000FF"/>
                      <w:spacing w:val="-1"/>
                      <w:highlight w:val="none"/>
                    </w:rPr>
                    <w:t>推荐的中标候选人</w:t>
                  </w:r>
                </w:p>
              </w:tc>
            </w:tr>
            <w:tr w14:paraId="3E996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3190" w:type="dxa"/>
                  <w:vAlign w:val="top"/>
                </w:tcPr>
                <w:p w14:paraId="4EDB623D">
                  <w:pPr>
                    <w:pStyle w:val="6"/>
                    <w:spacing w:before="52" w:line="215" w:lineRule="auto"/>
                    <w:ind w:left="65"/>
                    <w:rPr>
                      <w:highlight w:val="none"/>
                    </w:rPr>
                  </w:pPr>
                  <w:r>
                    <w:rPr>
                      <w:color w:val="0000FF"/>
                      <w:spacing w:val="3"/>
                      <w:highlight w:val="none"/>
                    </w:rPr>
                    <w:t>****有限公司</w:t>
                  </w:r>
                </w:p>
              </w:tc>
              <w:tc>
                <w:tcPr>
                  <w:tcW w:w="3160" w:type="dxa"/>
                  <w:vAlign w:val="top"/>
                </w:tcPr>
                <w:p w14:paraId="768EAB9C">
                  <w:pPr>
                    <w:rPr>
                      <w:rFonts w:ascii="Arial"/>
                      <w:sz w:val="21"/>
                      <w:highlight w:val="none"/>
                    </w:rPr>
                  </w:pPr>
                </w:p>
              </w:tc>
            </w:tr>
            <w:tr w14:paraId="5CD3B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3190" w:type="dxa"/>
                  <w:vAlign w:val="top"/>
                </w:tcPr>
                <w:p w14:paraId="6673C458">
                  <w:pPr>
                    <w:pStyle w:val="6"/>
                    <w:spacing w:before="65" w:line="213" w:lineRule="auto"/>
                    <w:ind w:left="65"/>
                    <w:rPr>
                      <w:highlight w:val="none"/>
                    </w:rPr>
                  </w:pPr>
                  <w:r>
                    <w:rPr>
                      <w:color w:val="0000FF"/>
                      <w:spacing w:val="3"/>
                      <w:highlight w:val="none"/>
                    </w:rPr>
                    <w:t>****有限公司</w:t>
                  </w:r>
                </w:p>
              </w:tc>
              <w:tc>
                <w:tcPr>
                  <w:tcW w:w="3160" w:type="dxa"/>
                  <w:vAlign w:val="top"/>
                </w:tcPr>
                <w:p w14:paraId="536CFB78">
                  <w:pPr>
                    <w:rPr>
                      <w:rFonts w:ascii="Arial"/>
                      <w:sz w:val="21"/>
                      <w:highlight w:val="none"/>
                    </w:rPr>
                  </w:pPr>
                </w:p>
              </w:tc>
            </w:tr>
            <w:tr w14:paraId="3718F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3190" w:type="dxa"/>
                  <w:vAlign w:val="top"/>
                </w:tcPr>
                <w:p w14:paraId="280E1105">
                  <w:pPr>
                    <w:pStyle w:val="6"/>
                    <w:spacing w:before="67" w:line="215" w:lineRule="auto"/>
                    <w:ind w:left="65"/>
                    <w:rPr>
                      <w:highlight w:val="none"/>
                    </w:rPr>
                  </w:pPr>
                  <w:r>
                    <w:rPr>
                      <w:color w:val="0000FF"/>
                      <w:spacing w:val="3"/>
                      <w:highlight w:val="none"/>
                    </w:rPr>
                    <w:t>****有限公司</w:t>
                  </w:r>
                </w:p>
              </w:tc>
              <w:tc>
                <w:tcPr>
                  <w:tcW w:w="3160" w:type="dxa"/>
                  <w:vAlign w:val="top"/>
                </w:tcPr>
                <w:p w14:paraId="34756EFB">
                  <w:pPr>
                    <w:rPr>
                      <w:rFonts w:ascii="Arial"/>
                      <w:sz w:val="21"/>
                      <w:highlight w:val="none"/>
                    </w:rPr>
                  </w:pPr>
                </w:p>
              </w:tc>
            </w:tr>
          </w:tbl>
          <w:p w14:paraId="6B9A20B5">
            <w:pPr>
              <w:pStyle w:val="6"/>
              <w:spacing w:before="83" w:line="251" w:lineRule="auto"/>
              <w:ind w:left="102" w:right="148" w:firstLine="10"/>
              <w:jc w:val="both"/>
              <w:rPr>
                <w:highlight w:val="none"/>
              </w:rPr>
            </w:pPr>
            <w:r>
              <w:rPr>
                <w:color w:val="0000FF"/>
                <w:spacing w:val="1"/>
                <w:highlight w:val="none"/>
              </w:rPr>
              <w:t>注：注：只勾选一名推荐候选人，不得弃票或对候选人</w:t>
            </w:r>
            <w:r>
              <w:rPr>
                <w:color w:val="0000FF"/>
                <w:highlight w:val="none"/>
              </w:rPr>
              <w:t xml:space="preserve">单轮多投，如出 </w:t>
            </w:r>
            <w:r>
              <w:rPr>
                <w:color w:val="0000FF"/>
                <w:spacing w:val="1"/>
                <w:highlight w:val="none"/>
              </w:rPr>
              <w:t>现弃票、单轮多投情况，推荐人需向定标监督委员会</w:t>
            </w:r>
            <w:r>
              <w:rPr>
                <w:color w:val="0000FF"/>
                <w:highlight w:val="none"/>
              </w:rPr>
              <w:t>当面作出说明，由 定标监督委员会根据实际情况确定投票是否有效。</w:t>
            </w:r>
          </w:p>
        </w:tc>
      </w:tr>
    </w:tbl>
    <w:p w14:paraId="3A6F44FF">
      <w:pPr>
        <w:spacing w:before="134" w:line="397" w:lineRule="auto"/>
        <w:ind w:left="84" w:right="86" w:firstLine="440"/>
        <w:rPr>
          <w:rFonts w:ascii="宋体" w:hAnsi="宋体" w:eastAsia="宋体" w:cs="宋体"/>
          <w:sz w:val="22"/>
          <w:szCs w:val="22"/>
          <w:highlight w:val="none"/>
        </w:rPr>
      </w:pPr>
      <w:r>
        <w:rPr>
          <w:rFonts w:ascii="宋体" w:hAnsi="宋体" w:eastAsia="宋体" w:cs="宋体"/>
          <w:spacing w:val="-12"/>
          <w:sz w:val="22"/>
          <w:szCs w:val="22"/>
          <w:highlight w:val="none"/>
        </w:rPr>
        <w:t>本项目采用“评定分离”(评标和定标分离)方式确定中标单位，定标方法采用票决定标</w:t>
      </w:r>
      <w:r>
        <w:rPr>
          <w:rFonts w:ascii="宋体" w:hAnsi="宋体" w:eastAsia="宋体" w:cs="宋体"/>
          <w:spacing w:val="15"/>
          <w:sz w:val="22"/>
          <w:szCs w:val="22"/>
          <w:highlight w:val="none"/>
        </w:rPr>
        <w:t xml:space="preserve"> </w:t>
      </w:r>
      <w:r>
        <w:rPr>
          <w:rFonts w:ascii="宋体" w:hAnsi="宋体" w:eastAsia="宋体" w:cs="宋体"/>
          <w:spacing w:val="-11"/>
          <w:sz w:val="22"/>
          <w:szCs w:val="22"/>
          <w:highlight w:val="none"/>
        </w:rPr>
        <w:t>法。</w:t>
      </w:r>
    </w:p>
    <w:p w14:paraId="5A2B84FE">
      <w:pPr>
        <w:spacing w:line="397" w:lineRule="auto"/>
        <w:rPr>
          <w:rFonts w:ascii="宋体" w:hAnsi="宋体" w:eastAsia="宋体" w:cs="宋体"/>
          <w:sz w:val="22"/>
          <w:szCs w:val="22"/>
          <w:highlight w:val="none"/>
        </w:rPr>
        <w:sectPr>
          <w:footerReference r:id="rId236" w:type="default"/>
          <w:pgSz w:w="11910" w:h="16840"/>
          <w:pgMar w:top="400" w:right="1705" w:bottom="1218" w:left="1685" w:header="0" w:footer="986" w:gutter="0"/>
          <w:cols w:space="720" w:num="1"/>
        </w:sectPr>
      </w:pPr>
    </w:p>
    <w:p w14:paraId="0C65E2FD">
      <w:pPr>
        <w:pStyle w:val="2"/>
        <w:spacing w:line="277" w:lineRule="auto"/>
        <w:rPr>
          <w:highlight w:val="none"/>
        </w:rPr>
      </w:pPr>
    </w:p>
    <w:p w14:paraId="4413C607">
      <w:pPr>
        <w:pStyle w:val="2"/>
        <w:spacing w:line="277" w:lineRule="auto"/>
        <w:rPr>
          <w:highlight w:val="none"/>
        </w:rPr>
      </w:pPr>
    </w:p>
    <w:p w14:paraId="4DCAE653">
      <w:pPr>
        <w:pStyle w:val="2"/>
        <w:spacing w:line="278" w:lineRule="auto"/>
        <w:rPr>
          <w:highlight w:val="none"/>
        </w:rPr>
      </w:pPr>
    </w:p>
    <w:p w14:paraId="7B9EEA2A">
      <w:pPr>
        <w:pStyle w:val="2"/>
        <w:spacing w:line="278" w:lineRule="auto"/>
        <w:rPr>
          <w:highlight w:val="none"/>
        </w:rPr>
      </w:pPr>
    </w:p>
    <w:p w14:paraId="2682A381">
      <w:pPr>
        <w:pStyle w:val="2"/>
        <w:spacing w:line="278" w:lineRule="auto"/>
        <w:rPr>
          <w:highlight w:val="none"/>
        </w:rPr>
      </w:pPr>
    </w:p>
    <w:p w14:paraId="20EDEFBB">
      <w:pPr>
        <w:spacing w:before="104" w:line="222" w:lineRule="auto"/>
        <w:ind w:left="2603"/>
        <w:outlineLvl w:val="0"/>
        <w:rPr>
          <w:rFonts w:ascii="黑体" w:hAnsi="黑体" w:eastAsia="黑体" w:cs="黑体"/>
          <w:sz w:val="32"/>
          <w:szCs w:val="32"/>
          <w:highlight w:val="none"/>
        </w:rPr>
      </w:pPr>
      <w:bookmarkStart w:id="234" w:name="bookmark152"/>
      <w:bookmarkEnd w:id="234"/>
      <w:bookmarkStart w:id="235" w:name="bookmark294"/>
      <w:bookmarkEnd w:id="235"/>
      <w:r>
        <w:rPr>
          <w:rFonts w:ascii="黑体" w:hAnsi="黑体" w:eastAsia="黑体" w:cs="黑体"/>
          <w:spacing w:val="19"/>
          <w:sz w:val="32"/>
          <w:szCs w:val="32"/>
          <w:highlight w:val="none"/>
        </w:rPr>
        <w:t>第七章投标文件格式</w:t>
      </w:r>
    </w:p>
    <w:p w14:paraId="35F1BB7B">
      <w:pPr>
        <w:spacing w:line="222" w:lineRule="auto"/>
        <w:rPr>
          <w:rFonts w:ascii="黑体" w:hAnsi="黑体" w:eastAsia="黑体" w:cs="黑体"/>
          <w:sz w:val="32"/>
          <w:szCs w:val="32"/>
          <w:highlight w:val="none"/>
        </w:rPr>
        <w:sectPr>
          <w:footerReference r:id="rId237" w:type="default"/>
          <w:pgSz w:w="11910" w:h="16840"/>
          <w:pgMar w:top="400" w:right="1786" w:bottom="1197" w:left="1786" w:header="0" w:footer="993" w:gutter="0"/>
          <w:cols w:space="720" w:num="1"/>
        </w:sectPr>
      </w:pPr>
    </w:p>
    <w:p w14:paraId="17752C50">
      <w:pPr>
        <w:pStyle w:val="2"/>
        <w:spacing w:line="274" w:lineRule="auto"/>
        <w:rPr>
          <w:highlight w:val="none"/>
        </w:rPr>
      </w:pPr>
    </w:p>
    <w:p w14:paraId="60F4FD4D">
      <w:pPr>
        <w:pStyle w:val="2"/>
        <w:spacing w:line="274" w:lineRule="auto"/>
        <w:rPr>
          <w:highlight w:val="none"/>
        </w:rPr>
      </w:pPr>
    </w:p>
    <w:p w14:paraId="53E8EFD7">
      <w:pPr>
        <w:pStyle w:val="2"/>
        <w:spacing w:line="275" w:lineRule="auto"/>
        <w:rPr>
          <w:highlight w:val="none"/>
        </w:rPr>
      </w:pPr>
    </w:p>
    <w:p w14:paraId="559D39FC">
      <w:pPr>
        <w:pStyle w:val="2"/>
        <w:spacing w:line="275" w:lineRule="auto"/>
        <w:rPr>
          <w:highlight w:val="none"/>
        </w:rPr>
      </w:pPr>
    </w:p>
    <w:p w14:paraId="7087A148">
      <w:pPr>
        <w:pStyle w:val="2"/>
        <w:spacing w:line="275" w:lineRule="auto"/>
        <w:rPr>
          <w:highlight w:val="none"/>
        </w:rPr>
      </w:pPr>
    </w:p>
    <w:p w14:paraId="646821DB">
      <w:pPr>
        <w:pStyle w:val="2"/>
        <w:spacing w:line="275" w:lineRule="auto"/>
        <w:rPr>
          <w:highlight w:val="none"/>
        </w:rPr>
      </w:pPr>
    </w:p>
    <w:p w14:paraId="40E71409">
      <w:pPr>
        <w:tabs>
          <w:tab w:val="left" w:pos="1773"/>
        </w:tabs>
        <w:spacing w:before="91" w:line="222" w:lineRule="auto"/>
        <w:ind w:left="733"/>
        <w:rPr>
          <w:rFonts w:ascii="黑体" w:hAnsi="黑体" w:eastAsia="黑体" w:cs="黑体"/>
          <w:sz w:val="28"/>
          <w:szCs w:val="28"/>
          <w:highlight w:val="none"/>
        </w:rPr>
      </w:pPr>
      <w:r>
        <w:rPr>
          <w:rFonts w:ascii="黑体" w:hAnsi="黑体" w:eastAsia="黑体" w:cs="黑体"/>
          <w:sz w:val="28"/>
          <w:szCs w:val="28"/>
          <w:highlight w:val="none"/>
          <w:u w:val="single" w:color="auto"/>
        </w:rPr>
        <w:tab/>
      </w:r>
      <w:r>
        <w:rPr>
          <w:rFonts w:ascii="黑体" w:hAnsi="黑体" w:eastAsia="黑体" w:cs="黑体"/>
          <w:spacing w:val="14"/>
          <w:sz w:val="28"/>
          <w:szCs w:val="28"/>
          <w:highlight w:val="none"/>
        </w:rPr>
        <w:t xml:space="preserve"> </w:t>
      </w:r>
      <w:r>
        <w:rPr>
          <w:rFonts w:ascii="黑体" w:hAnsi="黑体" w:eastAsia="黑体" w:cs="黑体"/>
          <w:spacing w:val="9"/>
          <w:sz w:val="28"/>
          <w:szCs w:val="28"/>
          <w:highlight w:val="none"/>
        </w:rPr>
        <w:t>(项目名称)</w:t>
      </w:r>
      <w:r>
        <w:rPr>
          <w:rFonts w:ascii="黑体" w:hAnsi="黑体" w:eastAsia="黑体" w:cs="黑体"/>
          <w:spacing w:val="-46"/>
          <w:sz w:val="28"/>
          <w:szCs w:val="28"/>
          <w:highlight w:val="none"/>
        </w:rPr>
        <w:t xml:space="preserve"> </w:t>
      </w:r>
      <w:r>
        <w:rPr>
          <w:rFonts w:ascii="黑体" w:hAnsi="黑体" w:eastAsia="黑体" w:cs="黑体"/>
          <w:sz w:val="28"/>
          <w:szCs w:val="28"/>
          <w:highlight w:val="none"/>
          <w:u w:val="single" w:color="auto"/>
        </w:rPr>
        <w:t xml:space="preserve">    </w:t>
      </w:r>
      <w:r>
        <w:rPr>
          <w:rFonts w:ascii="黑体" w:hAnsi="黑体" w:eastAsia="黑体" w:cs="黑体"/>
          <w:spacing w:val="9"/>
          <w:sz w:val="28"/>
          <w:szCs w:val="28"/>
          <w:highlight w:val="none"/>
        </w:rPr>
        <w:t xml:space="preserve"> (标段名称)工程总承包招标</w:t>
      </w:r>
    </w:p>
    <w:p w14:paraId="24159A64">
      <w:pPr>
        <w:pStyle w:val="2"/>
        <w:spacing w:line="341" w:lineRule="auto"/>
        <w:rPr>
          <w:highlight w:val="none"/>
        </w:rPr>
      </w:pPr>
    </w:p>
    <w:p w14:paraId="47CF2128">
      <w:pPr>
        <w:pStyle w:val="2"/>
        <w:spacing w:line="341" w:lineRule="auto"/>
        <w:rPr>
          <w:highlight w:val="none"/>
        </w:rPr>
      </w:pPr>
    </w:p>
    <w:p w14:paraId="776B1994">
      <w:pPr>
        <w:spacing w:before="153" w:line="222" w:lineRule="auto"/>
        <w:ind w:left="2473"/>
        <w:rPr>
          <w:rFonts w:ascii="黑体" w:hAnsi="黑体" w:eastAsia="黑体" w:cs="黑体"/>
          <w:sz w:val="47"/>
          <w:szCs w:val="47"/>
          <w:highlight w:val="none"/>
        </w:rPr>
      </w:pPr>
      <w:bookmarkStart w:id="236" w:name="bookmark295"/>
      <w:bookmarkEnd w:id="236"/>
      <w:r>
        <w:rPr>
          <w:rFonts w:ascii="黑体" w:hAnsi="黑体" w:eastAsia="黑体" w:cs="黑体"/>
          <w:spacing w:val="-9"/>
          <w:sz w:val="47"/>
          <w:szCs w:val="47"/>
          <w:highlight w:val="none"/>
        </w:rPr>
        <w:t>投  标</w:t>
      </w:r>
      <w:r>
        <w:rPr>
          <w:rFonts w:ascii="黑体" w:hAnsi="黑体" w:eastAsia="黑体" w:cs="黑体"/>
          <w:spacing w:val="19"/>
          <w:sz w:val="47"/>
          <w:szCs w:val="47"/>
          <w:highlight w:val="none"/>
        </w:rPr>
        <w:t xml:space="preserve">  </w:t>
      </w:r>
      <w:r>
        <w:rPr>
          <w:rFonts w:ascii="黑体" w:hAnsi="黑体" w:eastAsia="黑体" w:cs="黑体"/>
          <w:spacing w:val="-9"/>
          <w:sz w:val="47"/>
          <w:szCs w:val="47"/>
          <w:highlight w:val="none"/>
        </w:rPr>
        <w:t>文</w:t>
      </w:r>
      <w:r>
        <w:rPr>
          <w:rFonts w:ascii="黑体" w:hAnsi="黑体" w:eastAsia="黑体" w:cs="黑体"/>
          <w:spacing w:val="17"/>
          <w:sz w:val="47"/>
          <w:szCs w:val="47"/>
          <w:highlight w:val="none"/>
        </w:rPr>
        <w:t xml:space="preserve">  </w:t>
      </w:r>
      <w:r>
        <w:rPr>
          <w:rFonts w:ascii="黑体" w:hAnsi="黑体" w:eastAsia="黑体" w:cs="黑体"/>
          <w:spacing w:val="-9"/>
          <w:sz w:val="47"/>
          <w:szCs w:val="47"/>
          <w:highlight w:val="none"/>
        </w:rPr>
        <w:t>件</w:t>
      </w:r>
    </w:p>
    <w:p w14:paraId="7C3477EB">
      <w:pPr>
        <w:pStyle w:val="2"/>
        <w:spacing w:line="242" w:lineRule="auto"/>
        <w:rPr>
          <w:highlight w:val="none"/>
        </w:rPr>
      </w:pPr>
    </w:p>
    <w:p w14:paraId="1289BBCF">
      <w:pPr>
        <w:pStyle w:val="2"/>
        <w:spacing w:line="242" w:lineRule="auto"/>
        <w:rPr>
          <w:highlight w:val="none"/>
        </w:rPr>
      </w:pPr>
    </w:p>
    <w:p w14:paraId="2242421D">
      <w:pPr>
        <w:pStyle w:val="2"/>
        <w:spacing w:line="242" w:lineRule="auto"/>
        <w:rPr>
          <w:highlight w:val="none"/>
        </w:rPr>
      </w:pPr>
    </w:p>
    <w:p w14:paraId="5470F765">
      <w:pPr>
        <w:pStyle w:val="2"/>
        <w:spacing w:line="242" w:lineRule="auto"/>
        <w:rPr>
          <w:highlight w:val="none"/>
        </w:rPr>
      </w:pPr>
    </w:p>
    <w:p w14:paraId="2B6C75D5">
      <w:pPr>
        <w:pStyle w:val="2"/>
        <w:spacing w:line="242" w:lineRule="auto"/>
        <w:rPr>
          <w:highlight w:val="none"/>
        </w:rPr>
      </w:pPr>
    </w:p>
    <w:p w14:paraId="6D08287A">
      <w:pPr>
        <w:pStyle w:val="2"/>
        <w:spacing w:line="242" w:lineRule="auto"/>
        <w:rPr>
          <w:highlight w:val="none"/>
        </w:rPr>
      </w:pPr>
    </w:p>
    <w:p w14:paraId="410248BF">
      <w:pPr>
        <w:pStyle w:val="2"/>
        <w:spacing w:line="242" w:lineRule="auto"/>
        <w:rPr>
          <w:highlight w:val="none"/>
        </w:rPr>
      </w:pPr>
    </w:p>
    <w:p w14:paraId="36C412B3">
      <w:pPr>
        <w:pStyle w:val="2"/>
        <w:spacing w:line="242" w:lineRule="auto"/>
        <w:rPr>
          <w:highlight w:val="none"/>
        </w:rPr>
      </w:pPr>
    </w:p>
    <w:p w14:paraId="44DC38F1">
      <w:pPr>
        <w:pStyle w:val="2"/>
        <w:spacing w:line="242" w:lineRule="auto"/>
        <w:rPr>
          <w:highlight w:val="none"/>
        </w:rPr>
      </w:pPr>
    </w:p>
    <w:p w14:paraId="1BEC21D8">
      <w:pPr>
        <w:pStyle w:val="2"/>
        <w:spacing w:line="242" w:lineRule="auto"/>
        <w:rPr>
          <w:highlight w:val="none"/>
        </w:rPr>
      </w:pPr>
    </w:p>
    <w:p w14:paraId="7C1EC2DB">
      <w:pPr>
        <w:pStyle w:val="2"/>
        <w:spacing w:line="242" w:lineRule="auto"/>
        <w:rPr>
          <w:highlight w:val="none"/>
        </w:rPr>
      </w:pPr>
    </w:p>
    <w:p w14:paraId="3B86B1F3">
      <w:pPr>
        <w:pStyle w:val="2"/>
        <w:spacing w:line="242" w:lineRule="auto"/>
        <w:rPr>
          <w:highlight w:val="none"/>
        </w:rPr>
      </w:pPr>
    </w:p>
    <w:p w14:paraId="0C1BCE60">
      <w:pPr>
        <w:pStyle w:val="2"/>
        <w:spacing w:line="242" w:lineRule="auto"/>
        <w:rPr>
          <w:highlight w:val="none"/>
        </w:rPr>
      </w:pPr>
    </w:p>
    <w:p w14:paraId="21CCC90B">
      <w:pPr>
        <w:pStyle w:val="2"/>
        <w:spacing w:line="242" w:lineRule="auto"/>
        <w:rPr>
          <w:highlight w:val="none"/>
        </w:rPr>
      </w:pPr>
    </w:p>
    <w:p w14:paraId="448D117F">
      <w:pPr>
        <w:pStyle w:val="2"/>
        <w:spacing w:line="242" w:lineRule="auto"/>
        <w:rPr>
          <w:highlight w:val="none"/>
        </w:rPr>
      </w:pPr>
    </w:p>
    <w:p w14:paraId="644862A0">
      <w:pPr>
        <w:pStyle w:val="2"/>
        <w:spacing w:line="242" w:lineRule="auto"/>
        <w:rPr>
          <w:highlight w:val="none"/>
        </w:rPr>
      </w:pPr>
    </w:p>
    <w:p w14:paraId="656DCA95">
      <w:pPr>
        <w:pStyle w:val="2"/>
        <w:spacing w:line="242" w:lineRule="auto"/>
        <w:rPr>
          <w:highlight w:val="none"/>
        </w:rPr>
      </w:pPr>
    </w:p>
    <w:p w14:paraId="5D4FCF95">
      <w:pPr>
        <w:pStyle w:val="2"/>
        <w:spacing w:line="242" w:lineRule="auto"/>
        <w:rPr>
          <w:highlight w:val="none"/>
        </w:rPr>
      </w:pPr>
    </w:p>
    <w:p w14:paraId="5BA72573">
      <w:pPr>
        <w:pStyle w:val="2"/>
        <w:spacing w:line="242" w:lineRule="auto"/>
        <w:rPr>
          <w:highlight w:val="none"/>
        </w:rPr>
      </w:pPr>
    </w:p>
    <w:p w14:paraId="2D18E54E">
      <w:pPr>
        <w:pStyle w:val="2"/>
        <w:spacing w:line="242" w:lineRule="auto"/>
        <w:rPr>
          <w:highlight w:val="none"/>
        </w:rPr>
      </w:pPr>
    </w:p>
    <w:p w14:paraId="375DA180">
      <w:pPr>
        <w:pStyle w:val="2"/>
        <w:spacing w:line="242" w:lineRule="auto"/>
        <w:rPr>
          <w:highlight w:val="none"/>
        </w:rPr>
      </w:pPr>
    </w:p>
    <w:p w14:paraId="44CA82F1">
      <w:pPr>
        <w:pStyle w:val="2"/>
        <w:spacing w:line="243" w:lineRule="auto"/>
        <w:rPr>
          <w:highlight w:val="none"/>
        </w:rPr>
      </w:pPr>
    </w:p>
    <w:p w14:paraId="65DF7EEC">
      <w:pPr>
        <w:pStyle w:val="2"/>
        <w:spacing w:line="243" w:lineRule="auto"/>
        <w:rPr>
          <w:highlight w:val="none"/>
        </w:rPr>
      </w:pPr>
    </w:p>
    <w:p w14:paraId="46E1692F">
      <w:pPr>
        <w:pStyle w:val="2"/>
        <w:spacing w:line="243" w:lineRule="auto"/>
        <w:rPr>
          <w:highlight w:val="none"/>
        </w:rPr>
      </w:pPr>
    </w:p>
    <w:p w14:paraId="28A7E400">
      <w:pPr>
        <w:spacing w:before="91" w:line="230" w:lineRule="auto"/>
        <w:ind w:left="613"/>
        <w:rPr>
          <w:rFonts w:ascii="黑体" w:hAnsi="黑体" w:eastAsia="黑体" w:cs="黑体"/>
          <w:sz w:val="27"/>
          <w:szCs w:val="27"/>
          <w:highlight w:val="none"/>
        </w:rPr>
      </w:pPr>
      <w:r>
        <w:rPr>
          <w:rFonts w:ascii="黑体" w:hAnsi="黑体" w:eastAsia="黑体" w:cs="黑体"/>
          <w:spacing w:val="8"/>
          <w:position w:val="-1"/>
          <w:sz w:val="28"/>
          <w:szCs w:val="28"/>
          <w:highlight w:val="none"/>
        </w:rPr>
        <w:t>投标人：</w:t>
      </w:r>
      <w:r>
        <w:rPr>
          <w:rFonts w:ascii="黑体" w:hAnsi="黑体" w:eastAsia="黑体" w:cs="黑体"/>
          <w:spacing w:val="-75"/>
          <w:position w:val="-1"/>
          <w:sz w:val="28"/>
          <w:szCs w:val="28"/>
          <w:highlight w:val="none"/>
        </w:rPr>
        <w:t xml:space="preserve"> </w:t>
      </w:r>
      <w:r>
        <w:rPr>
          <w:rFonts w:ascii="黑体" w:hAnsi="黑体" w:eastAsia="黑体" w:cs="黑体"/>
          <w:spacing w:val="4"/>
          <w:position w:val="-1"/>
          <w:sz w:val="28"/>
          <w:szCs w:val="28"/>
          <w:highlight w:val="none"/>
          <w:u w:val="single" w:color="auto"/>
        </w:rPr>
        <w:t xml:space="preserve">                             </w:t>
      </w:r>
      <w:r>
        <w:rPr>
          <w:rFonts w:ascii="黑体" w:hAnsi="黑体" w:eastAsia="黑体" w:cs="黑体"/>
          <w:spacing w:val="8"/>
          <w:position w:val="-1"/>
          <w:sz w:val="28"/>
          <w:szCs w:val="28"/>
          <w:highlight w:val="none"/>
        </w:rPr>
        <w:t xml:space="preserve"> </w:t>
      </w:r>
      <w:r>
        <w:rPr>
          <w:rFonts w:ascii="黑体" w:hAnsi="黑体" w:eastAsia="黑体" w:cs="黑体"/>
          <w:spacing w:val="8"/>
          <w:sz w:val="27"/>
          <w:szCs w:val="27"/>
          <w:highlight w:val="none"/>
        </w:rPr>
        <w:t>(盖单位章)</w:t>
      </w:r>
    </w:p>
    <w:p w14:paraId="6B3DCD6D">
      <w:pPr>
        <w:spacing w:before="282" w:line="229" w:lineRule="auto"/>
        <w:ind w:left="603"/>
        <w:rPr>
          <w:rFonts w:ascii="黑体" w:hAnsi="黑体" w:eastAsia="黑体" w:cs="黑体"/>
          <w:sz w:val="28"/>
          <w:szCs w:val="28"/>
          <w:highlight w:val="none"/>
        </w:rPr>
      </w:pPr>
      <w:r>
        <w:rPr>
          <w:rFonts w:ascii="黑体" w:hAnsi="黑体" w:eastAsia="黑体" w:cs="黑体"/>
          <w:spacing w:val="4"/>
          <w:sz w:val="28"/>
          <w:szCs w:val="28"/>
          <w:highlight w:val="none"/>
        </w:rPr>
        <w:t>法定代表人：</w:t>
      </w:r>
      <w:r>
        <w:rPr>
          <w:rFonts w:ascii="黑体" w:hAnsi="黑体" w:eastAsia="黑体" w:cs="黑体"/>
          <w:spacing w:val="-65"/>
          <w:sz w:val="28"/>
          <w:szCs w:val="28"/>
          <w:highlight w:val="none"/>
        </w:rPr>
        <w:t xml:space="preserve"> </w:t>
      </w:r>
      <w:r>
        <w:rPr>
          <w:rFonts w:ascii="黑体" w:hAnsi="黑体" w:eastAsia="黑体" w:cs="黑体"/>
          <w:spacing w:val="4"/>
          <w:sz w:val="28"/>
          <w:szCs w:val="28"/>
          <w:highlight w:val="none"/>
          <w:u w:val="single" w:color="auto"/>
        </w:rPr>
        <w:t xml:space="preserve">                             </w:t>
      </w:r>
      <w:r>
        <w:rPr>
          <w:rFonts w:ascii="黑体" w:hAnsi="黑体" w:eastAsia="黑体" w:cs="黑体"/>
          <w:spacing w:val="4"/>
          <w:sz w:val="28"/>
          <w:szCs w:val="28"/>
          <w:highlight w:val="none"/>
        </w:rPr>
        <w:t xml:space="preserve"> </w:t>
      </w:r>
      <w:r>
        <w:rPr>
          <w:rFonts w:ascii="黑体" w:hAnsi="黑体" w:eastAsia="黑体" w:cs="黑体"/>
          <w:spacing w:val="4"/>
          <w:position w:val="1"/>
          <w:sz w:val="28"/>
          <w:szCs w:val="28"/>
          <w:highlight w:val="none"/>
        </w:rPr>
        <w:t>(签字)</w:t>
      </w:r>
    </w:p>
    <w:p w14:paraId="3AC116F2">
      <w:pPr>
        <w:tabs>
          <w:tab w:val="left" w:pos="3082"/>
        </w:tabs>
        <w:spacing w:before="276" w:line="229" w:lineRule="auto"/>
        <w:ind w:left="1953"/>
        <w:rPr>
          <w:rFonts w:ascii="黑体" w:hAnsi="黑体" w:eastAsia="黑体" w:cs="黑体"/>
          <w:sz w:val="28"/>
          <w:szCs w:val="28"/>
          <w:highlight w:val="none"/>
        </w:rPr>
      </w:pPr>
      <w:r>
        <w:rPr>
          <w:rFonts w:ascii="黑体" w:hAnsi="黑体" w:eastAsia="黑体" w:cs="黑体"/>
          <w:position w:val="-1"/>
          <w:sz w:val="30"/>
          <w:szCs w:val="30"/>
          <w:highlight w:val="none"/>
          <w:u w:val="single" w:color="auto"/>
        </w:rPr>
        <w:tab/>
      </w:r>
      <w:r>
        <w:rPr>
          <w:rFonts w:ascii="黑体" w:hAnsi="黑体" w:eastAsia="黑体" w:cs="黑体"/>
          <w:spacing w:val="-139"/>
          <w:position w:val="-1"/>
          <w:sz w:val="30"/>
          <w:szCs w:val="30"/>
          <w:highlight w:val="none"/>
        </w:rPr>
        <w:t xml:space="preserve"> </w:t>
      </w:r>
      <w:r>
        <w:rPr>
          <w:rFonts w:ascii="黑体" w:hAnsi="黑体" w:eastAsia="黑体" w:cs="黑体"/>
          <w:spacing w:val="-11"/>
          <w:position w:val="-1"/>
          <w:sz w:val="30"/>
          <w:szCs w:val="30"/>
          <w:highlight w:val="none"/>
        </w:rPr>
        <w:t>年</w:t>
      </w:r>
      <w:r>
        <w:rPr>
          <w:rFonts w:ascii="黑体" w:hAnsi="黑体" w:eastAsia="黑体" w:cs="黑体"/>
          <w:spacing w:val="-137"/>
          <w:position w:val="-1"/>
          <w:sz w:val="30"/>
          <w:szCs w:val="30"/>
          <w:highlight w:val="none"/>
        </w:rPr>
        <w:t xml:space="preserve"> </w:t>
      </w:r>
      <w:r>
        <w:rPr>
          <w:rFonts w:ascii="黑体" w:hAnsi="黑体" w:eastAsia="黑体" w:cs="黑体"/>
          <w:spacing w:val="8"/>
          <w:position w:val="-1"/>
          <w:sz w:val="30"/>
          <w:szCs w:val="30"/>
          <w:highlight w:val="none"/>
          <w:u w:val="single" w:color="auto"/>
        </w:rPr>
        <w:t xml:space="preserve">       </w:t>
      </w:r>
      <w:r>
        <w:rPr>
          <w:rFonts w:ascii="黑体" w:hAnsi="黑体" w:eastAsia="黑体" w:cs="黑体"/>
          <w:spacing w:val="-11"/>
          <w:position w:val="-1"/>
          <w:sz w:val="28"/>
          <w:szCs w:val="28"/>
          <w:highlight w:val="none"/>
        </w:rPr>
        <w:t>月</w:t>
      </w:r>
      <w:r>
        <w:rPr>
          <w:rFonts w:ascii="黑体" w:hAnsi="黑体" w:eastAsia="黑体" w:cs="黑体"/>
          <w:spacing w:val="-98"/>
          <w:position w:val="-1"/>
          <w:sz w:val="28"/>
          <w:szCs w:val="28"/>
          <w:highlight w:val="none"/>
        </w:rPr>
        <w:t xml:space="preserve"> </w:t>
      </w:r>
      <w:r>
        <w:rPr>
          <w:rFonts w:ascii="黑体" w:hAnsi="黑体" w:eastAsia="黑体" w:cs="黑体"/>
          <w:spacing w:val="15"/>
          <w:position w:val="-1"/>
          <w:sz w:val="28"/>
          <w:szCs w:val="28"/>
          <w:highlight w:val="none"/>
          <w:u w:val="single" w:color="auto"/>
        </w:rPr>
        <w:t xml:space="preserve">        </w:t>
      </w:r>
      <w:r>
        <w:rPr>
          <w:rFonts w:ascii="黑体" w:hAnsi="黑体" w:eastAsia="黑体" w:cs="黑体"/>
          <w:spacing w:val="-110"/>
          <w:position w:val="-1"/>
          <w:sz w:val="28"/>
          <w:szCs w:val="28"/>
          <w:highlight w:val="none"/>
        </w:rPr>
        <w:t xml:space="preserve"> </w:t>
      </w:r>
      <w:r>
        <w:rPr>
          <w:rFonts w:ascii="黑体" w:hAnsi="黑体" w:eastAsia="黑体" w:cs="黑体"/>
          <w:spacing w:val="-11"/>
          <w:position w:val="2"/>
          <w:sz w:val="28"/>
          <w:szCs w:val="28"/>
          <w:highlight w:val="none"/>
        </w:rPr>
        <w:t>日</w:t>
      </w:r>
    </w:p>
    <w:p w14:paraId="2F1D5C87">
      <w:pPr>
        <w:spacing w:line="229" w:lineRule="auto"/>
        <w:rPr>
          <w:rFonts w:ascii="黑体" w:hAnsi="黑体" w:eastAsia="黑体" w:cs="黑体"/>
          <w:sz w:val="28"/>
          <w:szCs w:val="28"/>
          <w:highlight w:val="none"/>
        </w:rPr>
        <w:sectPr>
          <w:footerReference r:id="rId238" w:type="default"/>
          <w:pgSz w:w="11910" w:h="16840"/>
          <w:pgMar w:top="400" w:right="1786" w:bottom="1238" w:left="1786" w:header="0" w:footer="1007" w:gutter="0"/>
          <w:cols w:space="720" w:num="1"/>
        </w:sectPr>
      </w:pPr>
    </w:p>
    <w:p w14:paraId="71D405BC">
      <w:pPr>
        <w:pStyle w:val="2"/>
        <w:spacing w:line="242" w:lineRule="auto"/>
        <w:rPr>
          <w:highlight w:val="none"/>
        </w:rPr>
      </w:pPr>
    </w:p>
    <w:p w14:paraId="61D6B937">
      <w:pPr>
        <w:pStyle w:val="2"/>
        <w:spacing w:line="242" w:lineRule="auto"/>
        <w:rPr>
          <w:highlight w:val="none"/>
        </w:rPr>
      </w:pPr>
    </w:p>
    <w:p w14:paraId="0696D9F3">
      <w:pPr>
        <w:pStyle w:val="2"/>
        <w:spacing w:line="242" w:lineRule="auto"/>
        <w:rPr>
          <w:highlight w:val="none"/>
        </w:rPr>
      </w:pPr>
    </w:p>
    <w:p w14:paraId="6250A3DB">
      <w:pPr>
        <w:pStyle w:val="2"/>
        <w:spacing w:line="243" w:lineRule="auto"/>
        <w:rPr>
          <w:highlight w:val="none"/>
        </w:rPr>
      </w:pPr>
    </w:p>
    <w:sdt>
      <w:sdtPr>
        <w:rPr>
          <w:rFonts w:ascii="黑体" w:hAnsi="黑体" w:eastAsia="黑体" w:cs="黑体"/>
          <w:sz w:val="43"/>
          <w:szCs w:val="43"/>
          <w:highlight w:val="none"/>
        </w:rPr>
        <w:id w:val="147454245"/>
        <w:docPartObj>
          <w:docPartGallery w:val="Table of Contents"/>
          <w:docPartUnique/>
        </w:docPartObj>
      </w:sdtPr>
      <w:sdtEndPr>
        <w:rPr>
          <w:rFonts w:ascii="宋体" w:hAnsi="宋体" w:eastAsia="宋体" w:cs="宋体"/>
          <w:sz w:val="24"/>
          <w:szCs w:val="24"/>
          <w:highlight w:val="none"/>
        </w:rPr>
      </w:sdtEndPr>
      <w:sdtContent>
        <w:p w14:paraId="5E46223A">
          <w:pPr>
            <w:spacing w:before="139" w:line="222" w:lineRule="auto"/>
            <w:ind w:left="3390"/>
            <w:rPr>
              <w:rFonts w:ascii="黑体" w:hAnsi="黑体" w:eastAsia="黑体" w:cs="黑体"/>
              <w:sz w:val="43"/>
              <w:szCs w:val="43"/>
              <w:highlight w:val="none"/>
            </w:rPr>
          </w:pPr>
          <w:bookmarkStart w:id="237" w:name="bookmark296"/>
          <w:bookmarkEnd w:id="237"/>
          <w:r>
            <w:rPr>
              <w:rFonts w:ascii="黑体" w:hAnsi="黑体" w:eastAsia="黑体" w:cs="黑体"/>
              <w:spacing w:val="-22"/>
              <w:sz w:val="43"/>
              <w:szCs w:val="43"/>
              <w:highlight w:val="none"/>
            </w:rPr>
            <w:t>目    录</w:t>
          </w:r>
        </w:p>
        <w:p w14:paraId="5BAA1A04">
          <w:pPr>
            <w:pStyle w:val="2"/>
            <w:spacing w:line="385" w:lineRule="auto"/>
            <w:rPr>
              <w:highlight w:val="none"/>
            </w:rPr>
          </w:pPr>
        </w:p>
        <w:p w14:paraId="745B976B">
          <w:pPr>
            <w:spacing w:before="78" w:line="219" w:lineRule="auto"/>
            <w:rPr>
              <w:rFonts w:ascii="宋体" w:hAnsi="宋体" w:eastAsia="宋体" w:cs="宋体"/>
              <w:sz w:val="24"/>
              <w:szCs w:val="24"/>
              <w:highlight w:val="none"/>
            </w:rPr>
          </w:pPr>
          <w:r>
            <w:rPr>
              <w:rFonts w:ascii="宋体" w:hAnsi="宋体" w:eastAsia="宋体" w:cs="宋体"/>
              <w:spacing w:val="1"/>
              <w:sz w:val="24"/>
              <w:szCs w:val="24"/>
              <w:highlight w:val="none"/>
            </w:rPr>
            <w:t>一、投标函及投标函附录</w:t>
          </w:r>
        </w:p>
        <w:p w14:paraId="134E48ED">
          <w:pPr>
            <w:spacing w:before="286" w:line="219" w:lineRule="auto"/>
            <w:rPr>
              <w:rFonts w:ascii="宋体" w:hAnsi="宋体" w:eastAsia="宋体" w:cs="宋体"/>
              <w:sz w:val="24"/>
              <w:szCs w:val="24"/>
              <w:highlight w:val="none"/>
            </w:rPr>
          </w:pPr>
          <w:r>
            <w:rPr>
              <w:rFonts w:ascii="宋体" w:hAnsi="宋体" w:eastAsia="宋体" w:cs="宋体"/>
              <w:sz w:val="24"/>
              <w:szCs w:val="24"/>
              <w:highlight w:val="none"/>
            </w:rPr>
            <w:t>二、法定代表人身份证明</w:t>
          </w:r>
        </w:p>
        <w:p w14:paraId="13619C87">
          <w:pPr>
            <w:spacing w:before="296" w:line="220" w:lineRule="auto"/>
            <w:rPr>
              <w:rFonts w:ascii="宋体" w:hAnsi="宋体" w:eastAsia="宋体" w:cs="宋体"/>
              <w:sz w:val="23"/>
              <w:szCs w:val="23"/>
              <w:highlight w:val="none"/>
            </w:rPr>
          </w:pPr>
          <w:r>
            <w:rPr>
              <w:rFonts w:ascii="宋体" w:hAnsi="宋体" w:eastAsia="宋体" w:cs="宋体"/>
              <w:spacing w:val="8"/>
              <w:sz w:val="23"/>
              <w:szCs w:val="23"/>
              <w:highlight w:val="none"/>
            </w:rPr>
            <w:t>三、投标保证金</w:t>
          </w:r>
        </w:p>
        <w:p w14:paraId="007BBE41">
          <w:pPr>
            <w:spacing w:before="264" w:line="219" w:lineRule="auto"/>
            <w:rPr>
              <w:rFonts w:ascii="宋体" w:hAnsi="宋体" w:eastAsia="宋体" w:cs="宋体"/>
              <w:sz w:val="24"/>
              <w:szCs w:val="24"/>
              <w:highlight w:val="none"/>
            </w:rPr>
          </w:pPr>
          <w:r>
            <w:rPr>
              <w:rFonts w:ascii="宋体" w:hAnsi="宋体" w:eastAsia="宋体" w:cs="宋体"/>
              <w:spacing w:val="-8"/>
              <w:sz w:val="24"/>
              <w:szCs w:val="24"/>
              <w:highlight w:val="none"/>
            </w:rPr>
            <w:t>四</w:t>
          </w:r>
          <w:r>
            <w:rPr>
              <w:rFonts w:ascii="宋体" w:hAnsi="宋体" w:eastAsia="宋体" w:cs="宋体"/>
              <w:spacing w:val="-62"/>
              <w:sz w:val="24"/>
              <w:szCs w:val="24"/>
              <w:highlight w:val="none"/>
            </w:rPr>
            <w:t xml:space="preserve"> </w:t>
          </w:r>
          <w:r>
            <w:rPr>
              <w:rFonts w:ascii="宋体" w:hAnsi="宋体" w:eastAsia="宋体" w:cs="宋体"/>
              <w:spacing w:val="-8"/>
              <w:sz w:val="24"/>
              <w:szCs w:val="24"/>
              <w:highlight w:val="none"/>
            </w:rPr>
            <w:t>、联合体协议书</w:t>
          </w:r>
        </w:p>
        <w:p w14:paraId="0E714D6C">
          <w:pPr>
            <w:spacing w:before="275" w:line="219" w:lineRule="auto"/>
            <w:rPr>
              <w:rFonts w:ascii="宋体" w:hAnsi="宋体" w:eastAsia="宋体" w:cs="宋体"/>
              <w:sz w:val="24"/>
              <w:szCs w:val="24"/>
              <w:highlight w:val="none"/>
            </w:rPr>
          </w:pPr>
          <w:r>
            <w:rPr>
              <w:rFonts w:ascii="宋体" w:hAnsi="宋体" w:eastAsia="宋体" w:cs="宋体"/>
              <w:sz w:val="24"/>
              <w:szCs w:val="24"/>
              <w:highlight w:val="none"/>
            </w:rPr>
            <w:t>五、拟分包项目情况表</w:t>
          </w:r>
        </w:p>
        <w:p w14:paraId="008D58EC">
          <w:pPr>
            <w:spacing w:before="276" w:line="219" w:lineRule="auto"/>
            <w:rPr>
              <w:rFonts w:ascii="宋体" w:hAnsi="宋体" w:eastAsia="宋体" w:cs="宋体"/>
              <w:sz w:val="24"/>
              <w:szCs w:val="24"/>
              <w:highlight w:val="none"/>
            </w:rPr>
          </w:pPr>
          <w:r>
            <w:rPr>
              <w:rFonts w:ascii="宋体" w:hAnsi="宋体" w:eastAsia="宋体" w:cs="宋体"/>
              <w:spacing w:val="-3"/>
              <w:sz w:val="24"/>
              <w:szCs w:val="24"/>
              <w:highlight w:val="none"/>
            </w:rPr>
            <w:t>六、分包意向协议书</w:t>
          </w:r>
        </w:p>
        <w:p w14:paraId="53556508">
          <w:pPr>
            <w:spacing w:before="267" w:line="219" w:lineRule="auto"/>
            <w:rPr>
              <w:rFonts w:ascii="宋体" w:hAnsi="宋体" w:eastAsia="宋体" w:cs="宋体"/>
              <w:sz w:val="24"/>
              <w:szCs w:val="24"/>
              <w:highlight w:val="none"/>
            </w:rPr>
          </w:pPr>
          <w:r>
            <w:rPr>
              <w:rFonts w:ascii="宋体" w:hAnsi="宋体" w:eastAsia="宋体" w:cs="宋体"/>
              <w:spacing w:val="-1"/>
              <w:sz w:val="24"/>
              <w:szCs w:val="24"/>
              <w:highlight w:val="none"/>
            </w:rPr>
            <w:t>七、中小企业声明函</w:t>
          </w:r>
        </w:p>
        <w:p w14:paraId="3822A7FF">
          <w:pPr>
            <w:spacing w:before="283" w:line="219" w:lineRule="auto"/>
            <w:rPr>
              <w:rFonts w:ascii="宋体" w:hAnsi="宋体" w:eastAsia="宋体" w:cs="宋体"/>
              <w:sz w:val="24"/>
              <w:szCs w:val="24"/>
              <w:highlight w:val="none"/>
            </w:rPr>
          </w:pPr>
          <w:r>
            <w:rPr>
              <w:rFonts w:ascii="宋体" w:hAnsi="宋体" w:eastAsia="宋体" w:cs="宋体"/>
              <w:spacing w:val="-1"/>
              <w:sz w:val="24"/>
              <w:szCs w:val="24"/>
              <w:highlight w:val="none"/>
            </w:rPr>
            <w:t>八、项目管理机构</w:t>
          </w:r>
        </w:p>
      </w:sdtContent>
    </w:sdt>
    <w:p w14:paraId="5A1A3DBE">
      <w:pPr>
        <w:spacing w:before="275" w:line="219" w:lineRule="auto"/>
        <w:rPr>
          <w:rFonts w:ascii="宋体" w:hAnsi="宋体" w:eastAsia="宋体" w:cs="宋体"/>
          <w:sz w:val="24"/>
          <w:szCs w:val="24"/>
          <w:highlight w:val="none"/>
        </w:rPr>
      </w:pPr>
      <w:r>
        <w:rPr>
          <w:rFonts w:ascii="宋体" w:hAnsi="宋体" w:eastAsia="宋体" w:cs="宋体"/>
          <w:spacing w:val="-4"/>
          <w:sz w:val="24"/>
          <w:szCs w:val="24"/>
          <w:highlight w:val="none"/>
        </w:rPr>
        <w:t>(一)项目管理机构主要人员表</w:t>
      </w:r>
    </w:p>
    <w:p w14:paraId="5812F835">
      <w:pPr>
        <w:spacing w:before="286" w:line="219" w:lineRule="auto"/>
        <w:rPr>
          <w:rFonts w:ascii="宋体" w:hAnsi="宋体" w:eastAsia="宋体" w:cs="宋体"/>
          <w:sz w:val="24"/>
          <w:szCs w:val="24"/>
          <w:highlight w:val="none"/>
        </w:rPr>
      </w:pPr>
      <w:r>
        <w:rPr>
          <w:rFonts w:ascii="宋体" w:hAnsi="宋体" w:eastAsia="宋体" w:cs="宋体"/>
          <w:spacing w:val="-5"/>
          <w:sz w:val="24"/>
          <w:szCs w:val="24"/>
          <w:highlight w:val="none"/>
        </w:rPr>
        <w:t>(二)项目经理简历表</w:t>
      </w:r>
    </w:p>
    <w:p w14:paraId="01D1F3F5">
      <w:pPr>
        <w:spacing w:before="255" w:line="219" w:lineRule="auto"/>
        <w:rPr>
          <w:rFonts w:ascii="宋体" w:hAnsi="宋体" w:eastAsia="宋体" w:cs="宋体"/>
          <w:sz w:val="24"/>
          <w:szCs w:val="24"/>
          <w:highlight w:val="none"/>
        </w:rPr>
      </w:pPr>
      <w:r>
        <w:rPr>
          <w:rFonts w:ascii="宋体" w:hAnsi="宋体" w:eastAsia="宋体" w:cs="宋体"/>
          <w:spacing w:val="-5"/>
          <w:sz w:val="24"/>
          <w:szCs w:val="24"/>
          <w:highlight w:val="none"/>
        </w:rPr>
        <w:t>(三)设计负责人简历表</w:t>
      </w:r>
    </w:p>
    <w:p w14:paraId="11A3B14E">
      <w:pPr>
        <w:spacing w:before="275" w:line="219" w:lineRule="auto"/>
        <w:rPr>
          <w:rFonts w:ascii="宋体" w:hAnsi="宋体" w:eastAsia="宋体" w:cs="宋体"/>
          <w:sz w:val="24"/>
          <w:szCs w:val="24"/>
          <w:highlight w:val="none"/>
        </w:rPr>
      </w:pPr>
      <w:r>
        <w:rPr>
          <w:rFonts w:ascii="宋体" w:hAnsi="宋体" w:eastAsia="宋体" w:cs="宋体"/>
          <w:spacing w:val="-5"/>
          <w:sz w:val="24"/>
          <w:szCs w:val="24"/>
          <w:highlight w:val="none"/>
        </w:rPr>
        <w:t>(四)施工负责人简历表</w:t>
      </w:r>
    </w:p>
    <w:p w14:paraId="46179AB4">
      <w:pPr>
        <w:spacing w:before="266" w:line="219" w:lineRule="auto"/>
        <w:rPr>
          <w:rFonts w:ascii="宋体" w:hAnsi="宋体" w:eastAsia="宋体" w:cs="宋体"/>
          <w:sz w:val="24"/>
          <w:szCs w:val="24"/>
          <w:highlight w:val="none"/>
        </w:rPr>
      </w:pPr>
      <w:r>
        <w:rPr>
          <w:rFonts w:ascii="宋体" w:hAnsi="宋体" w:eastAsia="宋体" w:cs="宋体"/>
          <w:spacing w:val="-7"/>
          <w:sz w:val="24"/>
          <w:szCs w:val="24"/>
          <w:highlight w:val="none"/>
        </w:rPr>
        <w:t>(五)承诺书</w:t>
      </w:r>
    </w:p>
    <w:p w14:paraId="4D1E44E5">
      <w:pPr>
        <w:spacing w:before="285" w:line="219" w:lineRule="auto"/>
        <w:rPr>
          <w:rFonts w:ascii="宋体" w:hAnsi="宋体" w:eastAsia="宋体" w:cs="宋体"/>
          <w:sz w:val="24"/>
          <w:szCs w:val="24"/>
          <w:highlight w:val="none"/>
        </w:rPr>
      </w:pPr>
      <w:r>
        <w:rPr>
          <w:rFonts w:ascii="宋体" w:hAnsi="宋体" w:eastAsia="宋体" w:cs="宋体"/>
          <w:spacing w:val="-4"/>
          <w:sz w:val="24"/>
          <w:szCs w:val="24"/>
          <w:highlight w:val="none"/>
        </w:rPr>
        <w:t>(六)其他主要项目管理人员简历表</w:t>
      </w:r>
    </w:p>
    <w:p w14:paraId="5ACC56AC">
      <w:pPr>
        <w:spacing w:before="287" w:line="219" w:lineRule="auto"/>
        <w:rPr>
          <w:rFonts w:ascii="宋体" w:hAnsi="宋体" w:eastAsia="宋体" w:cs="宋体"/>
          <w:sz w:val="24"/>
          <w:szCs w:val="24"/>
          <w:highlight w:val="none"/>
        </w:rPr>
      </w:pPr>
      <w:r>
        <w:rPr>
          <w:rFonts w:ascii="宋体" w:hAnsi="宋体" w:eastAsia="宋体" w:cs="宋体"/>
          <w:spacing w:val="-2"/>
          <w:sz w:val="24"/>
          <w:szCs w:val="24"/>
          <w:highlight w:val="none"/>
        </w:rPr>
        <w:t>九、资格审查资料</w:t>
      </w:r>
    </w:p>
    <w:p w14:paraId="77762FDA">
      <w:pPr>
        <w:spacing w:before="254" w:line="219" w:lineRule="auto"/>
        <w:rPr>
          <w:rFonts w:ascii="宋体" w:hAnsi="宋体" w:eastAsia="宋体" w:cs="宋体"/>
          <w:sz w:val="24"/>
          <w:szCs w:val="24"/>
          <w:highlight w:val="none"/>
        </w:rPr>
      </w:pPr>
      <w:r>
        <w:rPr>
          <w:rFonts w:ascii="宋体" w:hAnsi="宋体" w:eastAsia="宋体" w:cs="宋体"/>
          <w:spacing w:val="-5"/>
          <w:sz w:val="24"/>
          <w:szCs w:val="24"/>
          <w:highlight w:val="none"/>
        </w:rPr>
        <w:t>(一)投标人基本情况表</w:t>
      </w:r>
    </w:p>
    <w:p w14:paraId="0C4C8883">
      <w:pPr>
        <w:spacing w:before="277" w:line="219" w:lineRule="auto"/>
        <w:rPr>
          <w:rFonts w:ascii="宋体" w:hAnsi="宋体" w:eastAsia="宋体" w:cs="宋体"/>
          <w:sz w:val="24"/>
          <w:szCs w:val="24"/>
          <w:highlight w:val="none"/>
        </w:rPr>
      </w:pPr>
      <w:r>
        <w:rPr>
          <w:rFonts w:ascii="宋体" w:hAnsi="宋体" w:eastAsia="宋体" w:cs="宋体"/>
          <w:spacing w:val="-5"/>
          <w:sz w:val="24"/>
          <w:szCs w:val="24"/>
          <w:highlight w:val="none"/>
        </w:rPr>
        <w:t>(二)关联单位情况说明</w:t>
      </w:r>
    </w:p>
    <w:p w14:paraId="480BAB84">
      <w:pPr>
        <w:spacing w:before="295" w:line="219" w:lineRule="auto"/>
        <w:rPr>
          <w:rFonts w:ascii="宋体" w:hAnsi="宋体" w:eastAsia="宋体" w:cs="宋体"/>
          <w:sz w:val="24"/>
          <w:szCs w:val="24"/>
          <w:highlight w:val="none"/>
        </w:rPr>
      </w:pPr>
      <w:r>
        <w:rPr>
          <w:rFonts w:ascii="宋体" w:hAnsi="宋体" w:eastAsia="宋体" w:cs="宋体"/>
          <w:spacing w:val="-5"/>
          <w:sz w:val="24"/>
          <w:szCs w:val="24"/>
          <w:highlight w:val="none"/>
        </w:rPr>
        <w:t>(三)近年财务状况表</w:t>
      </w:r>
    </w:p>
    <w:p w14:paraId="23F62265">
      <w:pPr>
        <w:spacing w:before="265" w:line="219" w:lineRule="auto"/>
        <w:rPr>
          <w:rFonts w:ascii="宋体" w:hAnsi="宋体" w:eastAsia="宋体" w:cs="宋体"/>
          <w:sz w:val="24"/>
          <w:szCs w:val="24"/>
          <w:highlight w:val="none"/>
        </w:rPr>
      </w:pPr>
      <w:r>
        <w:rPr>
          <w:rFonts w:ascii="宋体" w:hAnsi="宋体" w:eastAsia="宋体" w:cs="宋体"/>
          <w:spacing w:val="-4"/>
          <w:sz w:val="24"/>
          <w:szCs w:val="24"/>
          <w:highlight w:val="none"/>
        </w:rPr>
        <w:t>(四)近年完成的类似项目情况</w:t>
      </w:r>
    </w:p>
    <w:p w14:paraId="436A280D">
      <w:pPr>
        <w:spacing w:before="275" w:line="219" w:lineRule="auto"/>
        <w:rPr>
          <w:rFonts w:ascii="宋体" w:hAnsi="宋体" w:eastAsia="宋体" w:cs="宋体"/>
          <w:sz w:val="24"/>
          <w:szCs w:val="24"/>
          <w:highlight w:val="none"/>
        </w:rPr>
      </w:pPr>
      <w:r>
        <w:rPr>
          <w:rFonts w:ascii="宋体" w:hAnsi="宋体" w:eastAsia="宋体" w:cs="宋体"/>
          <w:spacing w:val="-4"/>
          <w:sz w:val="24"/>
          <w:szCs w:val="24"/>
          <w:highlight w:val="none"/>
        </w:rPr>
        <w:t>(五)近年完成的类似设计项目情况</w:t>
      </w:r>
    </w:p>
    <w:p w14:paraId="39EB7F88">
      <w:pPr>
        <w:spacing w:before="276" w:line="219" w:lineRule="auto"/>
        <w:rPr>
          <w:rFonts w:ascii="宋体" w:hAnsi="宋体" w:eastAsia="宋体" w:cs="宋体"/>
          <w:sz w:val="24"/>
          <w:szCs w:val="24"/>
          <w:highlight w:val="none"/>
        </w:rPr>
      </w:pPr>
      <w:r>
        <w:rPr>
          <w:rFonts w:ascii="宋体" w:hAnsi="宋体" w:eastAsia="宋体" w:cs="宋体"/>
          <w:spacing w:val="-4"/>
          <w:sz w:val="24"/>
          <w:szCs w:val="24"/>
          <w:highlight w:val="none"/>
        </w:rPr>
        <w:t>(六)近年完成的类似施工项目情况</w:t>
      </w:r>
    </w:p>
    <w:p w14:paraId="07C4D665">
      <w:pPr>
        <w:spacing w:before="285" w:line="219" w:lineRule="auto"/>
        <w:rPr>
          <w:rFonts w:ascii="宋体" w:hAnsi="宋体" w:eastAsia="宋体" w:cs="宋体"/>
          <w:sz w:val="24"/>
          <w:szCs w:val="24"/>
          <w:highlight w:val="none"/>
        </w:rPr>
      </w:pPr>
      <w:r>
        <w:rPr>
          <w:rFonts w:ascii="宋体" w:hAnsi="宋体" w:eastAsia="宋体" w:cs="宋体"/>
          <w:spacing w:val="-3"/>
          <w:sz w:val="24"/>
          <w:szCs w:val="24"/>
          <w:highlight w:val="none"/>
        </w:rPr>
        <w:t>(七)正在实施的和新承接的项目情况</w:t>
      </w:r>
    </w:p>
    <w:p w14:paraId="4C6DFAF7">
      <w:pPr>
        <w:spacing w:before="264" w:line="219" w:lineRule="auto"/>
        <w:rPr>
          <w:rFonts w:ascii="宋体" w:hAnsi="宋体" w:eastAsia="宋体" w:cs="宋体"/>
          <w:sz w:val="24"/>
          <w:szCs w:val="24"/>
          <w:highlight w:val="none"/>
        </w:rPr>
      </w:pPr>
      <w:r>
        <w:rPr>
          <w:rFonts w:ascii="宋体" w:hAnsi="宋体" w:eastAsia="宋体" w:cs="宋体"/>
          <w:spacing w:val="-6"/>
          <w:sz w:val="24"/>
          <w:szCs w:val="24"/>
          <w:highlight w:val="none"/>
        </w:rPr>
        <w:t>(八)企业信誉情况</w:t>
      </w:r>
    </w:p>
    <w:p w14:paraId="565839B9">
      <w:pPr>
        <w:spacing w:line="219" w:lineRule="auto"/>
        <w:rPr>
          <w:rFonts w:ascii="宋体" w:hAnsi="宋体" w:eastAsia="宋体" w:cs="宋体"/>
          <w:sz w:val="24"/>
          <w:szCs w:val="24"/>
          <w:highlight w:val="none"/>
        </w:rPr>
        <w:sectPr>
          <w:footerReference r:id="rId239" w:type="default"/>
          <w:pgSz w:w="11910" w:h="16840"/>
          <w:pgMar w:top="400" w:right="1786" w:bottom="1238" w:left="1769" w:header="0" w:footer="1007" w:gutter="0"/>
          <w:cols w:space="720" w:num="1"/>
        </w:sectPr>
      </w:pPr>
    </w:p>
    <w:p w14:paraId="27B2C50D">
      <w:pPr>
        <w:pStyle w:val="2"/>
        <w:spacing w:line="248" w:lineRule="auto"/>
        <w:rPr>
          <w:highlight w:val="none"/>
        </w:rPr>
      </w:pPr>
    </w:p>
    <w:p w14:paraId="1A2283C9">
      <w:pPr>
        <w:pStyle w:val="2"/>
        <w:spacing w:line="248" w:lineRule="auto"/>
        <w:rPr>
          <w:highlight w:val="none"/>
        </w:rPr>
      </w:pPr>
    </w:p>
    <w:p w14:paraId="41C6ACC6">
      <w:pPr>
        <w:pStyle w:val="2"/>
        <w:spacing w:line="248" w:lineRule="auto"/>
        <w:rPr>
          <w:highlight w:val="none"/>
        </w:rPr>
      </w:pPr>
    </w:p>
    <w:p w14:paraId="1A179701">
      <w:pPr>
        <w:pStyle w:val="2"/>
        <w:spacing w:line="249" w:lineRule="auto"/>
        <w:rPr>
          <w:highlight w:val="none"/>
        </w:rPr>
      </w:pPr>
    </w:p>
    <w:p w14:paraId="3A87551B">
      <w:pPr>
        <w:spacing w:before="78" w:line="218" w:lineRule="auto"/>
        <w:rPr>
          <w:rFonts w:ascii="宋体" w:hAnsi="宋体" w:eastAsia="宋体" w:cs="宋体"/>
          <w:sz w:val="24"/>
          <w:szCs w:val="24"/>
          <w:highlight w:val="none"/>
        </w:rPr>
      </w:pPr>
      <w:r>
        <w:rPr>
          <w:rFonts w:ascii="宋体" w:hAnsi="宋体" w:eastAsia="宋体" w:cs="宋体"/>
          <w:spacing w:val="1"/>
          <w:sz w:val="24"/>
          <w:szCs w:val="24"/>
          <w:highlight w:val="none"/>
        </w:rPr>
        <w:t>十、价格清单</w:t>
      </w:r>
    </w:p>
    <w:p w14:paraId="5CF96BE5">
      <w:pPr>
        <w:spacing w:before="257" w:line="219" w:lineRule="auto"/>
        <w:rPr>
          <w:rFonts w:ascii="宋体" w:hAnsi="宋体" w:eastAsia="宋体" w:cs="宋体"/>
          <w:sz w:val="24"/>
          <w:szCs w:val="24"/>
          <w:highlight w:val="none"/>
        </w:rPr>
      </w:pPr>
      <w:r>
        <w:rPr>
          <w:rFonts w:ascii="宋体" w:hAnsi="宋体" w:eastAsia="宋体" w:cs="宋体"/>
          <w:spacing w:val="-1"/>
          <w:sz w:val="24"/>
          <w:szCs w:val="24"/>
          <w:highlight w:val="none"/>
        </w:rPr>
        <w:t>十一、承包人建议书</w:t>
      </w:r>
    </w:p>
    <w:p w14:paraId="4D08746E">
      <w:pPr>
        <w:spacing w:before="286" w:line="219" w:lineRule="auto"/>
        <w:rPr>
          <w:rFonts w:ascii="宋体" w:hAnsi="宋体" w:eastAsia="宋体" w:cs="宋体"/>
          <w:sz w:val="24"/>
          <w:szCs w:val="24"/>
          <w:highlight w:val="none"/>
        </w:rPr>
      </w:pPr>
      <w:r>
        <w:rPr>
          <w:rFonts w:ascii="宋体" w:hAnsi="宋体" w:eastAsia="宋体" w:cs="宋体"/>
          <w:spacing w:val="-1"/>
          <w:sz w:val="24"/>
          <w:szCs w:val="24"/>
          <w:highlight w:val="none"/>
        </w:rPr>
        <w:t>十二、承包人实施计划</w:t>
      </w:r>
    </w:p>
    <w:p w14:paraId="2586F45B">
      <w:pPr>
        <w:spacing w:before="285" w:line="220" w:lineRule="auto"/>
        <w:rPr>
          <w:rFonts w:ascii="宋体" w:hAnsi="宋体" w:eastAsia="宋体" w:cs="宋体"/>
          <w:sz w:val="24"/>
          <w:szCs w:val="24"/>
          <w:highlight w:val="none"/>
        </w:rPr>
      </w:pPr>
      <w:r>
        <w:rPr>
          <w:rFonts w:ascii="宋体" w:hAnsi="宋体" w:eastAsia="宋体" w:cs="宋体"/>
          <w:spacing w:val="-1"/>
          <w:sz w:val="24"/>
          <w:szCs w:val="24"/>
          <w:highlight w:val="none"/>
        </w:rPr>
        <w:t>十三、其他资料</w:t>
      </w:r>
    </w:p>
    <w:p w14:paraId="74075ABE">
      <w:pPr>
        <w:spacing w:before="252" w:line="219" w:lineRule="auto"/>
        <w:rPr>
          <w:rFonts w:ascii="宋体" w:hAnsi="宋体" w:eastAsia="宋体" w:cs="宋体"/>
          <w:sz w:val="24"/>
          <w:szCs w:val="24"/>
          <w:highlight w:val="none"/>
        </w:rPr>
      </w:pPr>
      <w:r>
        <w:rPr>
          <w:rFonts w:ascii="宋体" w:hAnsi="宋体" w:eastAsia="宋体" w:cs="宋体"/>
          <w:spacing w:val="6"/>
          <w:sz w:val="24"/>
          <w:szCs w:val="24"/>
          <w:highlight w:val="none"/>
        </w:rPr>
        <w:t>十四、投标函附表2</w:t>
      </w:r>
    </w:p>
    <w:p w14:paraId="6D8108B4">
      <w:pPr>
        <w:spacing w:before="285" w:line="219" w:lineRule="auto"/>
        <w:rPr>
          <w:rFonts w:ascii="宋体" w:hAnsi="宋体" w:eastAsia="宋体" w:cs="宋体"/>
          <w:sz w:val="24"/>
          <w:szCs w:val="24"/>
          <w:highlight w:val="none"/>
        </w:rPr>
      </w:pPr>
      <w:r>
        <w:rPr>
          <w:rFonts w:ascii="宋体" w:hAnsi="宋体" w:eastAsia="宋体" w:cs="宋体"/>
          <w:sz w:val="24"/>
          <w:szCs w:val="24"/>
          <w:highlight w:val="none"/>
        </w:rPr>
        <w:t>十五、投标人事前信用承诺书</w:t>
      </w:r>
    </w:p>
    <w:p w14:paraId="04AAD13B">
      <w:pPr>
        <w:spacing w:line="219" w:lineRule="auto"/>
        <w:rPr>
          <w:rFonts w:ascii="宋体" w:hAnsi="宋体" w:eastAsia="宋体" w:cs="宋体"/>
          <w:sz w:val="24"/>
          <w:szCs w:val="24"/>
          <w:highlight w:val="none"/>
        </w:rPr>
        <w:sectPr>
          <w:footerReference r:id="rId240" w:type="default"/>
          <w:pgSz w:w="11910" w:h="16840"/>
          <w:pgMar w:top="400" w:right="1786" w:bottom="1238" w:left="1779" w:header="0" w:footer="1007" w:gutter="0"/>
          <w:cols w:space="720" w:num="1"/>
        </w:sectPr>
      </w:pPr>
    </w:p>
    <w:p w14:paraId="58C196D3">
      <w:pPr>
        <w:pStyle w:val="2"/>
        <w:spacing w:line="267" w:lineRule="auto"/>
        <w:rPr>
          <w:highlight w:val="none"/>
        </w:rPr>
      </w:pPr>
    </w:p>
    <w:p w14:paraId="3C10E610">
      <w:pPr>
        <w:pStyle w:val="2"/>
        <w:spacing w:line="267" w:lineRule="auto"/>
        <w:rPr>
          <w:highlight w:val="none"/>
        </w:rPr>
      </w:pPr>
    </w:p>
    <w:p w14:paraId="7DE183E1">
      <w:pPr>
        <w:pStyle w:val="2"/>
        <w:spacing w:line="268" w:lineRule="auto"/>
        <w:rPr>
          <w:highlight w:val="none"/>
        </w:rPr>
      </w:pPr>
    </w:p>
    <w:p w14:paraId="3165A1F4">
      <w:pPr>
        <w:pStyle w:val="2"/>
        <w:spacing w:line="268" w:lineRule="auto"/>
        <w:rPr>
          <w:highlight w:val="none"/>
        </w:rPr>
      </w:pPr>
    </w:p>
    <w:p w14:paraId="1BC1167F">
      <w:pPr>
        <w:spacing w:before="104" w:line="222" w:lineRule="auto"/>
        <w:outlineLvl w:val="1"/>
        <w:rPr>
          <w:rFonts w:ascii="黑体" w:hAnsi="黑体" w:eastAsia="黑体" w:cs="黑体"/>
          <w:sz w:val="32"/>
          <w:szCs w:val="32"/>
          <w:highlight w:val="none"/>
        </w:rPr>
      </w:pPr>
      <w:bookmarkStart w:id="238" w:name="bookmark153"/>
      <w:bookmarkEnd w:id="238"/>
      <w:bookmarkStart w:id="239" w:name="bookmark297"/>
      <w:bookmarkEnd w:id="239"/>
      <w:r>
        <w:rPr>
          <w:rFonts w:ascii="黑体" w:hAnsi="黑体" w:eastAsia="黑体" w:cs="黑体"/>
          <w:spacing w:val="4"/>
          <w:sz w:val="32"/>
          <w:szCs w:val="32"/>
          <w:highlight w:val="none"/>
        </w:rPr>
        <w:t>一、投标函及投标函附录</w:t>
      </w:r>
    </w:p>
    <w:p w14:paraId="71D2C49B">
      <w:pPr>
        <w:pStyle w:val="2"/>
        <w:spacing w:line="243" w:lineRule="auto"/>
        <w:rPr>
          <w:highlight w:val="none"/>
        </w:rPr>
      </w:pPr>
    </w:p>
    <w:p w14:paraId="61DC51E0">
      <w:pPr>
        <w:spacing w:before="91" w:line="222" w:lineRule="auto"/>
        <w:ind w:left="3460"/>
        <w:outlineLvl w:val="1"/>
        <w:rPr>
          <w:rFonts w:ascii="黑体" w:hAnsi="黑体" w:eastAsia="黑体" w:cs="黑体"/>
          <w:sz w:val="28"/>
          <w:szCs w:val="28"/>
          <w:highlight w:val="none"/>
        </w:rPr>
      </w:pPr>
      <w:bookmarkStart w:id="240" w:name="bookmark154"/>
      <w:bookmarkEnd w:id="240"/>
      <w:r>
        <w:rPr>
          <w:rFonts w:ascii="黑体" w:hAnsi="黑体" w:eastAsia="黑体" w:cs="黑体"/>
          <w:spacing w:val="18"/>
          <w:sz w:val="28"/>
          <w:szCs w:val="28"/>
          <w:highlight w:val="none"/>
        </w:rPr>
        <w:t>(</w:t>
      </w:r>
      <w:r>
        <w:rPr>
          <w:rFonts w:ascii="黑体" w:hAnsi="黑体" w:eastAsia="黑体" w:cs="黑体"/>
          <w:spacing w:val="-78"/>
          <w:sz w:val="28"/>
          <w:szCs w:val="28"/>
          <w:highlight w:val="none"/>
        </w:rPr>
        <w:t xml:space="preserve"> </w:t>
      </w:r>
      <w:r>
        <w:rPr>
          <w:rFonts w:ascii="黑体" w:hAnsi="黑体" w:eastAsia="黑体" w:cs="黑体"/>
          <w:spacing w:val="18"/>
          <w:sz w:val="28"/>
          <w:szCs w:val="28"/>
          <w:highlight w:val="none"/>
        </w:rPr>
        <w:t>一)投标函</w:t>
      </w:r>
    </w:p>
    <w:p w14:paraId="33B48743">
      <w:pPr>
        <w:tabs>
          <w:tab w:val="left" w:pos="2410"/>
        </w:tabs>
        <w:spacing w:before="300" w:line="220" w:lineRule="auto"/>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31"/>
          <w:sz w:val="21"/>
          <w:szCs w:val="21"/>
          <w:highlight w:val="none"/>
        </w:rPr>
        <w:t xml:space="preserve"> </w:t>
      </w:r>
      <w:r>
        <w:rPr>
          <w:rFonts w:ascii="宋体" w:hAnsi="宋体" w:eastAsia="宋体" w:cs="宋体"/>
          <w:sz w:val="21"/>
          <w:szCs w:val="21"/>
          <w:highlight w:val="none"/>
        </w:rPr>
        <w:t>(招标人名称):</w:t>
      </w:r>
    </w:p>
    <w:p w14:paraId="116AA53B">
      <w:pPr>
        <w:spacing w:before="218" w:line="341" w:lineRule="auto"/>
        <w:ind w:firstLine="430"/>
        <w:rPr>
          <w:rFonts w:ascii="宋体" w:hAnsi="宋体" w:eastAsia="宋体" w:cs="宋体"/>
          <w:sz w:val="21"/>
          <w:szCs w:val="21"/>
          <w:highlight w:val="none"/>
        </w:rPr>
      </w:pPr>
      <w:r>
        <w:rPr>
          <w:rFonts w:ascii="宋体" w:hAnsi="宋体" w:eastAsia="宋体" w:cs="宋体"/>
          <w:spacing w:val="4"/>
          <w:sz w:val="21"/>
          <w:szCs w:val="21"/>
          <w:highlight w:val="none"/>
        </w:rPr>
        <w:t>1.我方已仔细研究了</w:t>
      </w:r>
      <w:r>
        <w:rPr>
          <w:rFonts w:ascii="宋体" w:hAnsi="宋体" w:eastAsia="宋体" w:cs="宋体"/>
          <w:spacing w:val="-102"/>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4"/>
          <w:sz w:val="21"/>
          <w:szCs w:val="21"/>
          <w:highlight w:val="none"/>
        </w:rPr>
        <w:t xml:space="preserve"> (项目名称)</w:t>
      </w:r>
      <w:r>
        <w:rPr>
          <w:rFonts w:ascii="宋体" w:hAnsi="宋体" w:eastAsia="宋体" w:cs="宋体"/>
          <w:spacing w:val="-69"/>
          <w:sz w:val="21"/>
          <w:szCs w:val="21"/>
          <w:highlight w:val="none"/>
        </w:rPr>
        <w:t xml:space="preserve"> </w:t>
      </w:r>
      <w:r>
        <w:rPr>
          <w:rFonts w:ascii="宋体" w:hAnsi="宋体" w:eastAsia="宋体" w:cs="宋体"/>
          <w:spacing w:val="15"/>
          <w:sz w:val="21"/>
          <w:szCs w:val="21"/>
          <w:highlight w:val="none"/>
          <w:u w:val="single" w:color="auto"/>
        </w:rPr>
        <w:t xml:space="preserve">    </w:t>
      </w:r>
      <w:r>
        <w:rPr>
          <w:rFonts w:ascii="宋体" w:hAnsi="宋体" w:eastAsia="宋体" w:cs="宋体"/>
          <w:spacing w:val="-75"/>
          <w:sz w:val="21"/>
          <w:szCs w:val="21"/>
          <w:highlight w:val="none"/>
        </w:rPr>
        <w:t xml:space="preserve"> </w:t>
      </w:r>
      <w:r>
        <w:rPr>
          <w:rFonts w:ascii="宋体" w:hAnsi="宋体" w:eastAsia="宋体" w:cs="宋体"/>
          <w:spacing w:val="4"/>
          <w:sz w:val="21"/>
          <w:szCs w:val="21"/>
          <w:highlight w:val="none"/>
        </w:rPr>
        <w:t>(标段名称)工</w:t>
      </w:r>
      <w:r>
        <w:rPr>
          <w:rFonts w:ascii="宋体" w:hAnsi="宋体" w:eastAsia="宋体" w:cs="宋体"/>
          <w:spacing w:val="3"/>
          <w:sz w:val="21"/>
          <w:szCs w:val="21"/>
          <w:highlight w:val="none"/>
        </w:rPr>
        <w:t>程总承包招标文件的全</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部内容，愿意以人民币(大写)</w:t>
      </w:r>
      <w:r>
        <w:rPr>
          <w:rFonts w:ascii="宋体" w:hAnsi="宋体" w:eastAsia="宋体" w:cs="宋体"/>
          <w:spacing w:val="14"/>
          <w:sz w:val="21"/>
          <w:szCs w:val="21"/>
          <w:highlight w:val="none"/>
          <w:u w:val="single" w:color="auto"/>
        </w:rPr>
        <w:t xml:space="preserve">       </w:t>
      </w:r>
      <w:r>
        <w:rPr>
          <w:rFonts w:ascii="宋体" w:hAnsi="宋体" w:eastAsia="宋体" w:cs="宋体"/>
          <w:spacing w:val="2"/>
          <w:sz w:val="21"/>
          <w:szCs w:val="21"/>
          <w:highlight w:val="none"/>
        </w:rPr>
        <w:t xml:space="preserve"> (¥</w:t>
      </w:r>
      <w:r>
        <w:rPr>
          <w:rFonts w:ascii="宋体" w:hAnsi="宋体" w:eastAsia="宋体" w:cs="宋体"/>
          <w:spacing w:val="-76"/>
          <w:sz w:val="21"/>
          <w:szCs w:val="21"/>
          <w:highlight w:val="none"/>
        </w:rPr>
        <w:t xml:space="preserve"> </w:t>
      </w:r>
      <w:r>
        <w:rPr>
          <w:rFonts w:ascii="宋体" w:hAnsi="宋体" w:eastAsia="宋体" w:cs="宋体"/>
          <w:spacing w:val="2"/>
          <w:sz w:val="21"/>
          <w:szCs w:val="21"/>
          <w:highlight w:val="none"/>
          <w:u w:val="single" w:color="auto"/>
        </w:rPr>
        <w:t xml:space="preserve">         </w:t>
      </w:r>
      <w:r>
        <w:rPr>
          <w:rFonts w:ascii="宋体" w:hAnsi="宋体" w:eastAsia="宋体" w:cs="宋体"/>
          <w:spacing w:val="-98"/>
          <w:sz w:val="21"/>
          <w:szCs w:val="21"/>
          <w:highlight w:val="none"/>
        </w:rPr>
        <w:t xml:space="preserve"> </w:t>
      </w:r>
      <w:r>
        <w:rPr>
          <w:rFonts w:ascii="宋体" w:hAnsi="宋体" w:eastAsia="宋体" w:cs="宋体"/>
          <w:spacing w:val="2"/>
          <w:sz w:val="21"/>
          <w:szCs w:val="21"/>
          <w:highlight w:val="none"/>
        </w:rPr>
        <w:t>)的投标总报价，工期</w:t>
      </w:r>
      <w:r>
        <w:rPr>
          <w:rFonts w:ascii="宋体" w:hAnsi="宋体" w:eastAsia="宋体" w:cs="宋体"/>
          <w:spacing w:val="11"/>
          <w:sz w:val="21"/>
          <w:szCs w:val="21"/>
          <w:highlight w:val="none"/>
          <w:u w:val="single" w:color="auto"/>
        </w:rPr>
        <w:t xml:space="preserve">         </w:t>
      </w:r>
      <w:r>
        <w:rPr>
          <w:rFonts w:ascii="宋体" w:hAnsi="宋体" w:eastAsia="宋体" w:cs="宋体"/>
          <w:spacing w:val="47"/>
          <w:sz w:val="21"/>
          <w:szCs w:val="21"/>
          <w:highlight w:val="none"/>
        </w:rPr>
        <w:t xml:space="preserve"> </w:t>
      </w:r>
      <w:r>
        <w:rPr>
          <w:rFonts w:ascii="宋体" w:hAnsi="宋体" w:eastAsia="宋体" w:cs="宋体"/>
          <w:spacing w:val="2"/>
          <w:sz w:val="21"/>
          <w:szCs w:val="21"/>
          <w:highlight w:val="none"/>
        </w:rPr>
        <w:t>日</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历天，按合同约定进行设计、实施和竣工承包工程，修补工程中的</w:t>
      </w:r>
      <w:r>
        <w:rPr>
          <w:rFonts w:ascii="宋体" w:hAnsi="宋体" w:eastAsia="宋体" w:cs="宋体"/>
          <w:spacing w:val="-5"/>
          <w:sz w:val="21"/>
          <w:szCs w:val="21"/>
          <w:highlight w:val="none"/>
        </w:rPr>
        <w:t>任何缺陷，实现工程目的。</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设计质量达到</w:t>
      </w:r>
      <w:r>
        <w:rPr>
          <w:rFonts w:ascii="宋体" w:hAnsi="宋体" w:eastAsia="宋体" w:cs="宋体"/>
          <w:spacing w:val="-87"/>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 xml:space="preserve"> 标准，施工质量达到</w:t>
      </w:r>
      <w:r>
        <w:rPr>
          <w:rFonts w:ascii="宋体" w:hAnsi="宋体" w:eastAsia="宋体" w:cs="宋体"/>
          <w:spacing w:val="-1"/>
          <w:sz w:val="21"/>
          <w:szCs w:val="21"/>
          <w:highlight w:val="none"/>
          <w:u w:val="single" w:color="auto"/>
        </w:rPr>
        <w:t xml:space="preserve">           </w:t>
      </w:r>
      <w:r>
        <w:rPr>
          <w:rFonts w:ascii="宋体" w:hAnsi="宋体" w:eastAsia="宋体" w:cs="宋体"/>
          <w:spacing w:val="25"/>
          <w:sz w:val="21"/>
          <w:szCs w:val="21"/>
          <w:highlight w:val="none"/>
        </w:rPr>
        <w:t xml:space="preserve"> </w:t>
      </w:r>
      <w:r>
        <w:rPr>
          <w:rFonts w:ascii="宋体" w:hAnsi="宋体" w:eastAsia="宋体" w:cs="宋体"/>
          <w:spacing w:val="-1"/>
          <w:sz w:val="21"/>
          <w:szCs w:val="21"/>
          <w:highlight w:val="none"/>
        </w:rPr>
        <w:t>标准。</w:t>
      </w:r>
    </w:p>
    <w:p w14:paraId="0AB13DE4">
      <w:pPr>
        <w:spacing w:before="181" w:line="213" w:lineRule="auto"/>
        <w:ind w:left="4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2.</w:t>
      </w:r>
      <w:r>
        <w:rPr>
          <w:rFonts w:ascii="Times New Roman" w:hAnsi="Times New Roman" w:eastAsia="Times New Roman" w:cs="Times New Roman"/>
          <w:spacing w:val="46"/>
          <w:sz w:val="21"/>
          <w:szCs w:val="21"/>
          <w:highlight w:val="none"/>
        </w:rPr>
        <w:t xml:space="preserve"> </w:t>
      </w:r>
      <w:r>
        <w:rPr>
          <w:rFonts w:ascii="宋体" w:hAnsi="宋体" w:eastAsia="宋体" w:cs="宋体"/>
          <w:spacing w:val="-2"/>
          <w:sz w:val="21"/>
          <w:szCs w:val="21"/>
          <w:highlight w:val="none"/>
        </w:rPr>
        <w:t>我方拟派的项目经理：</w:t>
      </w:r>
      <w:r>
        <w:rPr>
          <w:rFonts w:ascii="宋体" w:hAnsi="宋体" w:eastAsia="宋体" w:cs="宋体"/>
          <w:spacing w:val="17"/>
          <w:sz w:val="21"/>
          <w:szCs w:val="21"/>
          <w:highlight w:val="none"/>
          <w:u w:val="single" w:color="auto"/>
        </w:rPr>
        <w:t xml:space="preserve">    </w:t>
      </w:r>
      <w:r>
        <w:rPr>
          <w:rFonts w:ascii="宋体" w:hAnsi="宋体" w:eastAsia="宋体" w:cs="宋体"/>
          <w:spacing w:val="-2"/>
          <w:sz w:val="21"/>
          <w:szCs w:val="21"/>
          <w:highlight w:val="none"/>
        </w:rPr>
        <w:t xml:space="preserve"> (姓名),证书名称：</w:t>
      </w:r>
      <w:r>
        <w:rPr>
          <w:rFonts w:ascii="宋体" w:hAnsi="宋体" w:eastAsia="宋体" w:cs="宋体"/>
          <w:spacing w:val="-28"/>
          <w:sz w:val="21"/>
          <w:szCs w:val="21"/>
          <w:highlight w:val="none"/>
        </w:rPr>
        <w:t xml:space="preserve"> </w:t>
      </w:r>
      <w:r>
        <w:rPr>
          <w:rFonts w:ascii="宋体" w:hAnsi="宋体" w:eastAsia="宋体" w:cs="宋体"/>
          <w:spacing w:val="-2"/>
          <w:sz w:val="21"/>
          <w:szCs w:val="21"/>
          <w:highlight w:val="none"/>
          <w:u w:val="single" w:color="auto"/>
        </w:rPr>
        <w:t xml:space="preserve">        </w:t>
      </w:r>
      <w:r>
        <w:rPr>
          <w:rFonts w:ascii="宋体" w:hAnsi="宋体" w:eastAsia="宋体" w:cs="宋体"/>
          <w:spacing w:val="-2"/>
          <w:sz w:val="21"/>
          <w:szCs w:val="21"/>
          <w:highlight w:val="none"/>
        </w:rPr>
        <w:t>_,证书编号：</w:t>
      </w:r>
      <w:r>
        <w:rPr>
          <w:rFonts w:ascii="宋体" w:hAnsi="宋体" w:eastAsia="宋体" w:cs="宋体"/>
          <w:spacing w:val="-2"/>
          <w:sz w:val="21"/>
          <w:szCs w:val="21"/>
          <w:highlight w:val="none"/>
          <w:u w:val="single" w:color="auto"/>
        </w:rPr>
        <w:t xml:space="preserve">        </w:t>
      </w:r>
    </w:p>
    <w:p w14:paraId="3C37B210">
      <w:pPr>
        <w:spacing w:before="196" w:line="219" w:lineRule="auto"/>
        <w:ind w:left="4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3.</w:t>
      </w:r>
      <w:r>
        <w:rPr>
          <w:rFonts w:ascii="Times New Roman" w:hAnsi="Times New Roman" w:eastAsia="Times New Roman" w:cs="Times New Roman"/>
          <w:spacing w:val="17"/>
          <w:sz w:val="22"/>
          <w:szCs w:val="22"/>
          <w:highlight w:val="none"/>
        </w:rPr>
        <w:t xml:space="preserve">  </w:t>
      </w:r>
      <w:r>
        <w:rPr>
          <w:rFonts w:ascii="宋体" w:hAnsi="宋体" w:eastAsia="宋体" w:cs="宋体"/>
          <w:spacing w:val="-9"/>
          <w:sz w:val="22"/>
          <w:szCs w:val="22"/>
          <w:highlight w:val="none"/>
        </w:rPr>
        <w:t>我方承诺在招标文件规定的投标有效期</w:t>
      </w:r>
      <w:r>
        <w:rPr>
          <w:rFonts w:ascii="宋体" w:hAnsi="宋体" w:eastAsia="宋体" w:cs="宋体"/>
          <w:spacing w:val="-10"/>
          <w:sz w:val="22"/>
          <w:szCs w:val="22"/>
          <w:highlight w:val="none"/>
        </w:rPr>
        <w:t>内不修改、撤销投标文件。</w:t>
      </w:r>
    </w:p>
    <w:p w14:paraId="34B6F2A3">
      <w:pPr>
        <w:spacing w:before="207" w:line="219" w:lineRule="auto"/>
        <w:ind w:right="8"/>
        <w:jc w:val="right"/>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4.</w:t>
      </w:r>
      <w:r>
        <w:rPr>
          <w:rFonts w:ascii="Times New Roman" w:hAnsi="Times New Roman" w:eastAsia="Times New Roman" w:cs="Times New Roman"/>
          <w:spacing w:val="20"/>
          <w:w w:val="101"/>
          <w:sz w:val="22"/>
          <w:szCs w:val="22"/>
          <w:highlight w:val="none"/>
        </w:rPr>
        <w:t xml:space="preserve">  </w:t>
      </w:r>
      <w:r>
        <w:rPr>
          <w:rFonts w:ascii="宋体" w:hAnsi="宋体" w:eastAsia="宋体" w:cs="宋体"/>
          <w:spacing w:val="-3"/>
          <w:sz w:val="22"/>
          <w:szCs w:val="22"/>
          <w:highlight w:val="none"/>
        </w:rPr>
        <w:t>随同本投标函提交投标保证金一份，金额为人民币(大写)</w:t>
      </w:r>
      <w:r>
        <w:rPr>
          <w:rFonts w:ascii="宋体" w:hAnsi="宋体" w:eastAsia="宋体" w:cs="宋体"/>
          <w:spacing w:val="-110"/>
          <w:sz w:val="22"/>
          <w:szCs w:val="22"/>
          <w:highlight w:val="none"/>
        </w:rPr>
        <w:t xml:space="preserve"> </w:t>
      </w:r>
      <w:r>
        <w:rPr>
          <w:rFonts w:ascii="宋体" w:hAnsi="宋体" w:eastAsia="宋体" w:cs="宋体"/>
          <w:spacing w:val="12"/>
          <w:sz w:val="22"/>
          <w:szCs w:val="22"/>
          <w:highlight w:val="none"/>
          <w:u w:val="single" w:color="auto"/>
        </w:rPr>
        <w:t xml:space="preserve">       </w:t>
      </w:r>
      <w:r>
        <w:rPr>
          <w:rFonts w:ascii="宋体" w:hAnsi="宋体" w:eastAsia="宋体" w:cs="宋体"/>
          <w:spacing w:val="-3"/>
          <w:sz w:val="22"/>
          <w:szCs w:val="22"/>
          <w:highlight w:val="none"/>
        </w:rPr>
        <w:t xml:space="preserve"> (¥</w:t>
      </w:r>
      <w:r>
        <w:rPr>
          <w:rFonts w:ascii="宋体" w:hAnsi="宋体" w:eastAsia="宋体" w:cs="宋体"/>
          <w:spacing w:val="-76"/>
          <w:sz w:val="22"/>
          <w:szCs w:val="22"/>
          <w:highlight w:val="none"/>
        </w:rPr>
        <w:t xml:space="preserve"> </w:t>
      </w:r>
      <w:r>
        <w:rPr>
          <w:rFonts w:ascii="宋体" w:hAnsi="宋体" w:eastAsia="宋体" w:cs="宋体"/>
          <w:spacing w:val="18"/>
          <w:sz w:val="22"/>
          <w:szCs w:val="22"/>
          <w:highlight w:val="none"/>
          <w:u w:val="single" w:color="auto"/>
        </w:rPr>
        <w:t xml:space="preserve">     </w:t>
      </w:r>
      <w:r>
        <w:rPr>
          <w:rFonts w:ascii="宋体" w:hAnsi="宋体" w:eastAsia="宋体" w:cs="宋体"/>
          <w:spacing w:val="-20"/>
          <w:sz w:val="22"/>
          <w:szCs w:val="22"/>
          <w:highlight w:val="none"/>
        </w:rPr>
        <w:t xml:space="preserve"> </w:t>
      </w:r>
      <w:r>
        <w:rPr>
          <w:rFonts w:ascii="宋体" w:hAnsi="宋体" w:eastAsia="宋体" w:cs="宋体"/>
          <w:spacing w:val="-3"/>
          <w:sz w:val="22"/>
          <w:szCs w:val="22"/>
          <w:highlight w:val="none"/>
        </w:rPr>
        <w:t>)。</w:t>
      </w:r>
    </w:p>
    <w:p w14:paraId="6D8144E4">
      <w:pPr>
        <w:spacing w:before="142" w:line="220" w:lineRule="auto"/>
        <w:ind w:left="430"/>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5.</w:t>
      </w:r>
      <w:r>
        <w:rPr>
          <w:rFonts w:ascii="Times New Roman" w:hAnsi="Times New Roman" w:eastAsia="Times New Roman" w:cs="Times New Roman"/>
          <w:spacing w:val="17"/>
          <w:w w:val="101"/>
          <w:sz w:val="22"/>
          <w:szCs w:val="22"/>
          <w:highlight w:val="none"/>
        </w:rPr>
        <w:t xml:space="preserve">  </w:t>
      </w:r>
      <w:r>
        <w:rPr>
          <w:rFonts w:ascii="宋体" w:hAnsi="宋体" w:eastAsia="宋体" w:cs="宋体"/>
          <w:spacing w:val="-8"/>
          <w:sz w:val="22"/>
          <w:szCs w:val="22"/>
          <w:highlight w:val="none"/>
        </w:rPr>
        <w:t>如我方中标：</w:t>
      </w:r>
    </w:p>
    <w:p w14:paraId="0A9D8B07">
      <w:pPr>
        <w:spacing w:before="195" w:line="219" w:lineRule="auto"/>
        <w:ind w:left="840"/>
        <w:rPr>
          <w:rFonts w:ascii="宋体" w:hAnsi="宋体" w:eastAsia="宋体" w:cs="宋体"/>
          <w:sz w:val="21"/>
          <w:szCs w:val="21"/>
          <w:highlight w:val="none"/>
        </w:rPr>
      </w:pPr>
      <w:r>
        <w:rPr>
          <w:rFonts w:ascii="宋体" w:hAnsi="宋体" w:eastAsia="宋体" w:cs="宋体"/>
          <w:spacing w:val="2"/>
          <w:sz w:val="21"/>
          <w:szCs w:val="21"/>
          <w:highlight w:val="none"/>
        </w:rPr>
        <w:t>(1)我方承诺在收到中标通知书后，在中标通知书规定的期限内与你方签订合同。</w:t>
      </w:r>
    </w:p>
    <w:p w14:paraId="66EC804C">
      <w:pPr>
        <w:spacing w:before="191" w:line="219" w:lineRule="auto"/>
        <w:ind w:left="840"/>
        <w:rPr>
          <w:rFonts w:ascii="宋体" w:hAnsi="宋体" w:eastAsia="宋体" w:cs="宋体"/>
          <w:sz w:val="22"/>
          <w:szCs w:val="22"/>
          <w:highlight w:val="none"/>
        </w:rPr>
      </w:pPr>
      <w:r>
        <w:rPr>
          <w:rFonts w:ascii="宋体" w:hAnsi="宋体" w:eastAsia="宋体" w:cs="宋体"/>
          <w:spacing w:val="-7"/>
          <w:sz w:val="22"/>
          <w:szCs w:val="22"/>
          <w:highlight w:val="none"/>
        </w:rPr>
        <w:t>(2)随同本投标函递交的投标函附录属于合同文件的组成部分。</w:t>
      </w:r>
    </w:p>
    <w:p w14:paraId="5A27D8C2">
      <w:pPr>
        <w:spacing w:before="171" w:line="219" w:lineRule="auto"/>
        <w:ind w:left="840"/>
        <w:rPr>
          <w:rFonts w:ascii="宋体" w:hAnsi="宋体" w:eastAsia="宋体" w:cs="宋体"/>
          <w:sz w:val="22"/>
          <w:szCs w:val="22"/>
          <w:highlight w:val="none"/>
        </w:rPr>
      </w:pPr>
      <w:r>
        <w:rPr>
          <w:rFonts w:ascii="宋体" w:hAnsi="宋体" w:eastAsia="宋体" w:cs="宋体"/>
          <w:spacing w:val="-6"/>
          <w:sz w:val="22"/>
          <w:szCs w:val="22"/>
          <w:highlight w:val="none"/>
        </w:rPr>
        <w:t>(3)我方承诺按照招标文件规定向你方递交履约担保。</w:t>
      </w:r>
    </w:p>
    <w:p w14:paraId="2729704F">
      <w:pPr>
        <w:spacing w:before="188" w:line="219" w:lineRule="auto"/>
        <w:ind w:left="840"/>
        <w:rPr>
          <w:rFonts w:ascii="宋体" w:hAnsi="宋体" w:eastAsia="宋体" w:cs="宋体"/>
          <w:sz w:val="20"/>
          <w:szCs w:val="20"/>
          <w:highlight w:val="none"/>
        </w:rPr>
      </w:pPr>
      <w:r>
        <w:rPr>
          <w:rFonts w:ascii="宋体" w:hAnsi="宋体" w:eastAsia="宋体" w:cs="宋体"/>
          <w:spacing w:val="12"/>
          <w:sz w:val="20"/>
          <w:szCs w:val="20"/>
          <w:highlight w:val="none"/>
        </w:rPr>
        <w:t>(4)我方承诺在合同约定的期限内完成并移交全部合同工程。</w:t>
      </w:r>
    </w:p>
    <w:p w14:paraId="6DACA2F0">
      <w:pPr>
        <w:spacing w:before="172" w:line="307" w:lineRule="auto"/>
        <w:ind w:right="111"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6.</w:t>
      </w:r>
      <w:r>
        <w:rPr>
          <w:rFonts w:ascii="Times New Roman" w:hAnsi="Times New Roman" w:eastAsia="Times New Roman" w:cs="Times New Roman"/>
          <w:spacing w:val="23"/>
          <w:sz w:val="21"/>
          <w:szCs w:val="21"/>
          <w:highlight w:val="none"/>
        </w:rPr>
        <w:t xml:space="preserve">  </w:t>
      </w:r>
      <w:r>
        <w:rPr>
          <w:rFonts w:ascii="宋体" w:hAnsi="宋体" w:eastAsia="宋体" w:cs="宋体"/>
          <w:spacing w:val="1"/>
          <w:sz w:val="21"/>
          <w:szCs w:val="21"/>
          <w:highlight w:val="none"/>
        </w:rPr>
        <w:t>我方在此声明，所递交的投标文件及有关资料内</w:t>
      </w:r>
      <w:r>
        <w:rPr>
          <w:rFonts w:ascii="宋体" w:hAnsi="宋体" w:eastAsia="宋体" w:cs="宋体"/>
          <w:sz w:val="21"/>
          <w:szCs w:val="21"/>
          <w:highlight w:val="none"/>
        </w:rPr>
        <w:t>容完整、真实和准确，且不存在第</w:t>
      </w:r>
      <w:r>
        <w:rPr>
          <w:rFonts w:ascii="宋体" w:hAnsi="宋体" w:eastAsia="宋体" w:cs="宋体"/>
          <w:spacing w:val="1"/>
          <w:sz w:val="21"/>
          <w:szCs w:val="21"/>
          <w:highlight w:val="none"/>
        </w:rPr>
        <w:t xml:space="preserve"> </w:t>
      </w:r>
      <w:r>
        <w:rPr>
          <w:rFonts w:ascii="宋体" w:hAnsi="宋体" w:eastAsia="宋体" w:cs="宋体"/>
          <w:sz w:val="21"/>
          <w:szCs w:val="21"/>
          <w:highlight w:val="none"/>
        </w:rPr>
        <w:t>二章“投标人须知”第1.4.3项规定的任何</w:t>
      </w:r>
      <w:r>
        <w:rPr>
          <w:rFonts w:ascii="宋体" w:hAnsi="宋体" w:eastAsia="宋体" w:cs="宋体"/>
          <w:spacing w:val="-1"/>
          <w:sz w:val="21"/>
          <w:szCs w:val="21"/>
          <w:highlight w:val="none"/>
        </w:rPr>
        <w:t>一种情形。</w:t>
      </w:r>
    </w:p>
    <w:p w14:paraId="4EDD365A">
      <w:pPr>
        <w:spacing w:before="233" w:line="220" w:lineRule="auto"/>
        <w:ind w:left="430"/>
        <w:rPr>
          <w:rFonts w:ascii="宋体" w:hAnsi="宋体" w:eastAsia="宋体" w:cs="宋体"/>
          <w:sz w:val="22"/>
          <w:szCs w:val="22"/>
          <w:highlight w:val="none"/>
        </w:rPr>
      </w:pPr>
      <w:r>
        <w:rPr>
          <w:rFonts w:ascii="Times New Roman" w:hAnsi="Times New Roman" w:eastAsia="Times New Roman" w:cs="Times New Roman"/>
          <w:spacing w:val="-10"/>
          <w:position w:val="-3"/>
          <w:sz w:val="22"/>
          <w:szCs w:val="22"/>
          <w:highlight w:val="none"/>
        </w:rPr>
        <w:t>7.</w:t>
      </w:r>
      <w:r>
        <w:rPr>
          <w:rFonts w:ascii="Times New Roman" w:hAnsi="Times New Roman" w:eastAsia="Times New Roman" w:cs="Times New Roman"/>
          <w:spacing w:val="23"/>
          <w:w w:val="101"/>
          <w:position w:val="-3"/>
          <w:sz w:val="22"/>
          <w:szCs w:val="22"/>
          <w:highlight w:val="none"/>
        </w:rPr>
        <w:t xml:space="preserve">  </w:t>
      </w:r>
      <w:r>
        <w:rPr>
          <w:rFonts w:ascii="Times New Roman" w:hAnsi="Times New Roman" w:eastAsia="Times New Roman" w:cs="Times New Roman"/>
          <w:spacing w:val="1"/>
          <w:position w:val="-3"/>
          <w:sz w:val="22"/>
          <w:szCs w:val="22"/>
          <w:highlight w:val="none"/>
          <w:u w:val="single" w:color="auto"/>
        </w:rPr>
        <w:t xml:space="preserve">                             </w:t>
      </w:r>
      <w:r>
        <w:rPr>
          <w:rFonts w:ascii="Times New Roman" w:hAnsi="Times New Roman" w:eastAsia="Times New Roman" w:cs="Times New Roman"/>
          <w:position w:val="-3"/>
          <w:sz w:val="22"/>
          <w:szCs w:val="22"/>
          <w:highlight w:val="none"/>
          <w:u w:val="single" w:color="auto"/>
        </w:rPr>
        <w:t xml:space="preserve">                                             </w:t>
      </w:r>
      <w:r>
        <w:rPr>
          <w:rFonts w:ascii="Times New Roman" w:hAnsi="Times New Roman" w:eastAsia="Times New Roman" w:cs="Times New Roman"/>
          <w:spacing w:val="46"/>
          <w:w w:val="101"/>
          <w:position w:val="-3"/>
          <w:sz w:val="22"/>
          <w:szCs w:val="22"/>
          <w:highlight w:val="none"/>
        </w:rPr>
        <w:t xml:space="preserve"> </w:t>
      </w:r>
      <w:r>
        <w:rPr>
          <w:rFonts w:ascii="宋体" w:hAnsi="宋体" w:eastAsia="宋体" w:cs="宋体"/>
          <w:spacing w:val="-10"/>
          <w:sz w:val="22"/>
          <w:szCs w:val="22"/>
          <w:highlight w:val="none"/>
        </w:rPr>
        <w:t>(其他补充说明)。</w:t>
      </w:r>
    </w:p>
    <w:p w14:paraId="0A6A73AC">
      <w:pPr>
        <w:pStyle w:val="2"/>
        <w:spacing w:line="328" w:lineRule="auto"/>
        <w:rPr>
          <w:highlight w:val="none"/>
        </w:rPr>
      </w:pPr>
    </w:p>
    <w:p w14:paraId="7992CB9E">
      <w:pPr>
        <w:pStyle w:val="2"/>
        <w:spacing w:line="329" w:lineRule="auto"/>
        <w:rPr>
          <w:highlight w:val="none"/>
        </w:rPr>
      </w:pPr>
    </w:p>
    <w:p w14:paraId="2E834001">
      <w:pPr>
        <w:spacing w:before="72" w:line="230" w:lineRule="auto"/>
        <w:ind w:left="3690"/>
        <w:rPr>
          <w:rFonts w:ascii="宋体" w:hAnsi="宋体" w:eastAsia="宋体" w:cs="宋体"/>
          <w:sz w:val="21"/>
          <w:szCs w:val="21"/>
          <w:highlight w:val="none"/>
        </w:rPr>
      </w:pPr>
      <w:r>
        <w:rPr>
          <w:rFonts w:ascii="宋体" w:hAnsi="宋体" w:eastAsia="宋体" w:cs="宋体"/>
          <w:spacing w:val="-3"/>
          <w:position w:val="-1"/>
          <w:sz w:val="22"/>
          <w:szCs w:val="22"/>
          <w:highlight w:val="none"/>
        </w:rPr>
        <w:t>投</w:t>
      </w:r>
      <w:r>
        <w:rPr>
          <w:rFonts w:ascii="宋体" w:hAnsi="宋体" w:eastAsia="宋体" w:cs="宋体"/>
          <w:spacing w:val="-50"/>
          <w:position w:val="-1"/>
          <w:sz w:val="22"/>
          <w:szCs w:val="22"/>
          <w:highlight w:val="none"/>
        </w:rPr>
        <w:t xml:space="preserve"> </w:t>
      </w:r>
      <w:r>
        <w:rPr>
          <w:rFonts w:ascii="宋体" w:hAnsi="宋体" w:eastAsia="宋体" w:cs="宋体"/>
          <w:spacing w:val="-3"/>
          <w:position w:val="-1"/>
          <w:sz w:val="22"/>
          <w:szCs w:val="22"/>
          <w:highlight w:val="none"/>
        </w:rPr>
        <w:t>标</w:t>
      </w:r>
      <w:r>
        <w:rPr>
          <w:rFonts w:ascii="宋体" w:hAnsi="宋体" w:eastAsia="宋体" w:cs="宋体"/>
          <w:spacing w:val="-50"/>
          <w:position w:val="-1"/>
          <w:sz w:val="22"/>
          <w:szCs w:val="22"/>
          <w:highlight w:val="none"/>
        </w:rPr>
        <w:t xml:space="preserve"> </w:t>
      </w:r>
      <w:r>
        <w:rPr>
          <w:rFonts w:ascii="宋体" w:hAnsi="宋体" w:eastAsia="宋体" w:cs="宋体"/>
          <w:spacing w:val="-3"/>
          <w:position w:val="-1"/>
          <w:sz w:val="22"/>
          <w:szCs w:val="22"/>
          <w:highlight w:val="none"/>
        </w:rPr>
        <w:t>人</w:t>
      </w:r>
      <w:r>
        <w:rPr>
          <w:rFonts w:ascii="宋体" w:hAnsi="宋体" w:eastAsia="宋体" w:cs="宋体"/>
          <w:spacing w:val="-32"/>
          <w:position w:val="-1"/>
          <w:sz w:val="22"/>
          <w:szCs w:val="22"/>
          <w:highlight w:val="none"/>
        </w:rPr>
        <w:t xml:space="preserve"> </w:t>
      </w:r>
      <w:r>
        <w:rPr>
          <w:rFonts w:ascii="宋体" w:hAnsi="宋体" w:eastAsia="宋体" w:cs="宋体"/>
          <w:spacing w:val="-3"/>
          <w:position w:val="-1"/>
          <w:sz w:val="22"/>
          <w:szCs w:val="22"/>
          <w:highlight w:val="none"/>
        </w:rPr>
        <w:t>：</w:t>
      </w:r>
      <w:r>
        <w:rPr>
          <w:rFonts w:ascii="宋体" w:hAnsi="宋体" w:eastAsia="宋体" w:cs="宋体"/>
          <w:spacing w:val="-81"/>
          <w:position w:val="-1"/>
          <w:sz w:val="22"/>
          <w:szCs w:val="22"/>
          <w:highlight w:val="none"/>
        </w:rPr>
        <w:t xml:space="preserve"> </w:t>
      </w:r>
      <w:r>
        <w:rPr>
          <w:rFonts w:ascii="宋体" w:hAnsi="宋体" w:eastAsia="宋体" w:cs="宋体"/>
          <w:spacing w:val="1"/>
          <w:position w:val="-1"/>
          <w:sz w:val="22"/>
          <w:szCs w:val="22"/>
          <w:highlight w:val="none"/>
          <w:u w:val="single" w:color="auto"/>
        </w:rPr>
        <w:t xml:space="preserve">                     </w:t>
      </w:r>
      <w:r>
        <w:rPr>
          <w:rFonts w:ascii="宋体" w:hAnsi="宋体" w:eastAsia="宋体" w:cs="宋体"/>
          <w:spacing w:val="-3"/>
          <w:position w:val="-1"/>
          <w:sz w:val="22"/>
          <w:szCs w:val="22"/>
          <w:highlight w:val="none"/>
        </w:rPr>
        <w:t xml:space="preserve"> </w:t>
      </w:r>
      <w:r>
        <w:rPr>
          <w:rFonts w:ascii="宋体" w:hAnsi="宋体" w:eastAsia="宋体" w:cs="宋体"/>
          <w:spacing w:val="-3"/>
          <w:sz w:val="21"/>
          <w:szCs w:val="21"/>
          <w:highlight w:val="none"/>
        </w:rPr>
        <w:t>(盖单位章)</w:t>
      </w:r>
    </w:p>
    <w:p w14:paraId="4DDB260F">
      <w:pPr>
        <w:spacing w:before="176" w:line="220" w:lineRule="auto"/>
        <w:ind w:left="3690"/>
        <w:rPr>
          <w:rFonts w:ascii="宋体" w:hAnsi="宋体" w:eastAsia="宋体" w:cs="宋体"/>
          <w:sz w:val="21"/>
          <w:szCs w:val="21"/>
          <w:highlight w:val="none"/>
        </w:rPr>
      </w:pPr>
      <w:r>
        <w:rPr>
          <w:rFonts w:ascii="宋体" w:hAnsi="宋体" w:eastAsia="宋体" w:cs="宋体"/>
          <w:spacing w:val="-4"/>
          <w:sz w:val="22"/>
          <w:szCs w:val="22"/>
          <w:highlight w:val="none"/>
        </w:rPr>
        <w:t>法定代表人：</w:t>
      </w:r>
      <w:r>
        <w:rPr>
          <w:rFonts w:ascii="宋体" w:hAnsi="宋体" w:eastAsia="宋体" w:cs="宋体"/>
          <w:spacing w:val="1"/>
          <w:sz w:val="22"/>
          <w:szCs w:val="22"/>
          <w:highlight w:val="none"/>
          <w:u w:val="single" w:color="auto"/>
        </w:rPr>
        <w:t xml:space="preserve">                       </w:t>
      </w:r>
      <w:r>
        <w:rPr>
          <w:rFonts w:ascii="宋体" w:hAnsi="宋体" w:eastAsia="宋体" w:cs="宋体"/>
          <w:spacing w:val="-4"/>
          <w:sz w:val="22"/>
          <w:szCs w:val="22"/>
          <w:highlight w:val="none"/>
        </w:rPr>
        <w:t xml:space="preserve"> </w:t>
      </w:r>
      <w:r>
        <w:rPr>
          <w:rFonts w:ascii="宋体" w:hAnsi="宋体" w:eastAsia="宋体" w:cs="宋体"/>
          <w:spacing w:val="-4"/>
          <w:sz w:val="21"/>
          <w:szCs w:val="21"/>
          <w:highlight w:val="none"/>
        </w:rPr>
        <w:t>(签字)</w:t>
      </w:r>
    </w:p>
    <w:p w14:paraId="55715EA7">
      <w:pPr>
        <w:spacing w:before="190" w:line="229" w:lineRule="auto"/>
        <w:ind w:left="3690"/>
        <w:rPr>
          <w:rFonts w:ascii="宋体" w:hAnsi="宋体" w:eastAsia="宋体" w:cs="宋体"/>
          <w:sz w:val="23"/>
          <w:szCs w:val="23"/>
          <w:highlight w:val="none"/>
        </w:rPr>
      </w:pPr>
      <w:r>
        <w:rPr>
          <w:rFonts w:ascii="宋体" w:hAnsi="宋体" w:eastAsia="宋体" w:cs="宋体"/>
          <w:spacing w:val="-17"/>
          <w:sz w:val="23"/>
          <w:szCs w:val="23"/>
          <w:highlight w:val="none"/>
        </w:rPr>
        <w:t>地址：</w:t>
      </w:r>
      <w:r>
        <w:rPr>
          <w:rFonts w:ascii="宋体" w:hAnsi="宋体" w:eastAsia="宋体" w:cs="宋体"/>
          <w:sz w:val="23"/>
          <w:szCs w:val="23"/>
          <w:highlight w:val="none"/>
          <w:u w:val="single" w:color="auto"/>
        </w:rPr>
        <w:t xml:space="preserve">                                  </w:t>
      </w:r>
    </w:p>
    <w:p w14:paraId="40905AB3">
      <w:pPr>
        <w:spacing w:before="160" w:line="224" w:lineRule="auto"/>
        <w:ind w:left="3690"/>
        <w:rPr>
          <w:rFonts w:ascii="宋体" w:hAnsi="宋体" w:eastAsia="宋体" w:cs="宋体"/>
          <w:sz w:val="22"/>
          <w:szCs w:val="22"/>
          <w:highlight w:val="none"/>
        </w:rPr>
      </w:pPr>
      <w:r>
        <w:rPr>
          <w:rFonts w:ascii="宋体" w:hAnsi="宋体" w:eastAsia="宋体" w:cs="宋体"/>
          <w:spacing w:val="-36"/>
          <w:w w:val="93"/>
          <w:sz w:val="22"/>
          <w:szCs w:val="22"/>
          <w:highlight w:val="none"/>
        </w:rPr>
        <w:t>网址：</w:t>
      </w:r>
      <w:r>
        <w:rPr>
          <w:rFonts w:ascii="宋体" w:hAnsi="宋体" w:eastAsia="宋体" w:cs="宋体"/>
          <w:sz w:val="22"/>
          <w:szCs w:val="22"/>
          <w:highlight w:val="none"/>
          <w:u w:val="single" w:color="auto"/>
        </w:rPr>
        <w:t xml:space="preserve">                                     </w:t>
      </w:r>
    </w:p>
    <w:p w14:paraId="635F41F7">
      <w:pPr>
        <w:spacing w:before="180" w:line="221" w:lineRule="auto"/>
        <w:ind w:left="3690"/>
        <w:rPr>
          <w:rFonts w:ascii="宋体" w:hAnsi="宋体" w:eastAsia="宋体" w:cs="宋体"/>
          <w:sz w:val="22"/>
          <w:szCs w:val="22"/>
          <w:highlight w:val="none"/>
        </w:rPr>
      </w:pPr>
      <w:r>
        <w:rPr>
          <w:rFonts w:ascii="宋体" w:hAnsi="宋体" w:eastAsia="宋体" w:cs="宋体"/>
          <w:spacing w:val="-8"/>
          <w:sz w:val="22"/>
          <w:szCs w:val="22"/>
          <w:highlight w:val="none"/>
        </w:rPr>
        <w:t>电话：</w:t>
      </w:r>
      <w:r>
        <w:rPr>
          <w:rFonts w:ascii="宋体" w:hAnsi="宋体" w:eastAsia="宋体" w:cs="宋体"/>
          <w:spacing w:val="-8"/>
          <w:sz w:val="22"/>
          <w:szCs w:val="22"/>
          <w:highlight w:val="none"/>
          <w:u w:val="single" w:color="auto"/>
        </w:rPr>
        <w:t xml:space="preserve">                                      </w:t>
      </w:r>
    </w:p>
    <w:p w14:paraId="4E6A9834">
      <w:pPr>
        <w:spacing w:before="142" w:line="219" w:lineRule="auto"/>
        <w:ind w:left="3690"/>
        <w:rPr>
          <w:rFonts w:ascii="宋体" w:hAnsi="宋体" w:eastAsia="宋体" w:cs="宋体"/>
          <w:sz w:val="21"/>
          <w:szCs w:val="21"/>
          <w:highlight w:val="none"/>
        </w:rPr>
      </w:pPr>
      <w:r>
        <w:rPr>
          <w:rFonts w:ascii="宋体" w:hAnsi="宋体" w:eastAsia="宋体" w:cs="宋体"/>
          <w:spacing w:val="3"/>
          <w:sz w:val="21"/>
          <w:szCs w:val="21"/>
          <w:highlight w:val="none"/>
        </w:rPr>
        <w:t>传真：</w:t>
      </w:r>
      <w:r>
        <w:rPr>
          <w:rFonts w:ascii="宋体" w:hAnsi="宋体" w:eastAsia="宋体" w:cs="宋体"/>
          <w:sz w:val="21"/>
          <w:szCs w:val="21"/>
          <w:highlight w:val="none"/>
          <w:u w:val="single" w:color="auto"/>
        </w:rPr>
        <w:t xml:space="preserve">                                      </w:t>
      </w:r>
    </w:p>
    <w:p w14:paraId="05CD43E8">
      <w:pPr>
        <w:spacing w:before="202" w:line="219" w:lineRule="auto"/>
        <w:ind w:left="3690"/>
        <w:rPr>
          <w:rFonts w:ascii="宋体" w:hAnsi="宋体" w:eastAsia="宋体" w:cs="宋体"/>
          <w:sz w:val="22"/>
          <w:szCs w:val="22"/>
          <w:highlight w:val="none"/>
        </w:rPr>
      </w:pPr>
      <w:r>
        <w:rPr>
          <w:rFonts w:ascii="宋体" w:hAnsi="宋体" w:eastAsia="宋体" w:cs="宋体"/>
          <w:spacing w:val="-25"/>
          <w:w w:val="96"/>
          <w:sz w:val="22"/>
          <w:szCs w:val="22"/>
          <w:highlight w:val="none"/>
        </w:rPr>
        <w:t>邮政编码：</w:t>
      </w:r>
      <w:r>
        <w:rPr>
          <w:rFonts w:ascii="宋体" w:hAnsi="宋体" w:eastAsia="宋体" w:cs="宋体"/>
          <w:sz w:val="22"/>
          <w:szCs w:val="22"/>
          <w:highlight w:val="none"/>
          <w:u w:val="single" w:color="auto"/>
        </w:rPr>
        <w:t xml:space="preserve">                                 </w:t>
      </w:r>
    </w:p>
    <w:p w14:paraId="096C2CEE">
      <w:pPr>
        <w:tabs>
          <w:tab w:val="left" w:pos="5380"/>
        </w:tabs>
        <w:spacing w:before="188" w:line="229" w:lineRule="auto"/>
        <w:ind w:left="4740"/>
        <w:rPr>
          <w:rFonts w:ascii="宋体" w:hAnsi="宋体" w:eastAsia="宋体" w:cs="宋体"/>
          <w:sz w:val="19"/>
          <w:szCs w:val="19"/>
          <w:highlight w:val="none"/>
        </w:rPr>
      </w:pPr>
      <w:r>
        <w:rPr>
          <w:rFonts w:ascii="宋体" w:hAnsi="宋体" w:eastAsia="宋体" w:cs="宋体"/>
          <w:position w:val="-1"/>
          <w:sz w:val="20"/>
          <w:szCs w:val="20"/>
          <w:highlight w:val="none"/>
          <w:u w:val="single" w:color="auto"/>
        </w:rPr>
        <w:tab/>
      </w:r>
      <w:r>
        <w:rPr>
          <w:rFonts w:ascii="宋体" w:hAnsi="宋体" w:eastAsia="宋体" w:cs="宋体"/>
          <w:spacing w:val="-8"/>
          <w:position w:val="-1"/>
          <w:sz w:val="20"/>
          <w:szCs w:val="20"/>
          <w:highlight w:val="none"/>
        </w:rPr>
        <w:t>年</w:t>
      </w:r>
      <w:r>
        <w:rPr>
          <w:rFonts w:ascii="宋体" w:hAnsi="宋体" w:eastAsia="宋体" w:cs="宋体"/>
          <w:spacing w:val="-70"/>
          <w:position w:val="-1"/>
          <w:sz w:val="20"/>
          <w:szCs w:val="20"/>
          <w:highlight w:val="none"/>
        </w:rPr>
        <w:t xml:space="preserve"> </w:t>
      </w:r>
      <w:r>
        <w:rPr>
          <w:rFonts w:ascii="宋体" w:hAnsi="宋体" w:eastAsia="宋体" w:cs="宋体"/>
          <w:spacing w:val="6"/>
          <w:position w:val="-1"/>
          <w:sz w:val="20"/>
          <w:szCs w:val="20"/>
          <w:highlight w:val="none"/>
          <w:u w:val="single" w:color="auto"/>
        </w:rPr>
        <w:t xml:space="preserve">      </w:t>
      </w:r>
      <w:r>
        <w:rPr>
          <w:rFonts w:ascii="宋体" w:hAnsi="宋体" w:eastAsia="宋体" w:cs="宋体"/>
          <w:spacing w:val="-96"/>
          <w:position w:val="-1"/>
          <w:sz w:val="20"/>
          <w:szCs w:val="20"/>
          <w:highlight w:val="none"/>
        </w:rPr>
        <w:t xml:space="preserve"> </w:t>
      </w:r>
      <w:r>
        <w:rPr>
          <w:rFonts w:ascii="宋体" w:hAnsi="宋体" w:eastAsia="宋体" w:cs="宋体"/>
          <w:spacing w:val="-8"/>
          <w:sz w:val="20"/>
          <w:szCs w:val="20"/>
          <w:highlight w:val="none"/>
        </w:rPr>
        <w:t>月</w:t>
      </w:r>
      <w:r>
        <w:rPr>
          <w:rFonts w:ascii="宋体" w:hAnsi="宋体" w:eastAsia="宋体" w:cs="宋体"/>
          <w:spacing w:val="-87"/>
          <w:sz w:val="20"/>
          <w:szCs w:val="20"/>
          <w:highlight w:val="none"/>
        </w:rPr>
        <w:t xml:space="preserve"> </w:t>
      </w:r>
      <w:r>
        <w:rPr>
          <w:rFonts w:ascii="宋体" w:hAnsi="宋体" w:eastAsia="宋体" w:cs="宋体"/>
          <w:spacing w:val="6"/>
          <w:sz w:val="20"/>
          <w:szCs w:val="20"/>
          <w:highlight w:val="none"/>
          <w:u w:val="single" w:color="auto"/>
        </w:rPr>
        <w:t xml:space="preserve">      </w:t>
      </w:r>
      <w:r>
        <w:rPr>
          <w:rFonts w:ascii="宋体" w:hAnsi="宋体" w:eastAsia="宋体" w:cs="宋体"/>
          <w:spacing w:val="-76"/>
          <w:sz w:val="20"/>
          <w:szCs w:val="20"/>
          <w:highlight w:val="none"/>
        </w:rPr>
        <w:t xml:space="preserve"> </w:t>
      </w:r>
      <w:r>
        <w:rPr>
          <w:rFonts w:ascii="宋体" w:hAnsi="宋体" w:eastAsia="宋体" w:cs="宋体"/>
          <w:spacing w:val="-8"/>
          <w:sz w:val="19"/>
          <w:szCs w:val="19"/>
          <w:highlight w:val="none"/>
        </w:rPr>
        <w:t>日</w:t>
      </w:r>
    </w:p>
    <w:p w14:paraId="072D620D">
      <w:pPr>
        <w:pStyle w:val="2"/>
        <w:spacing w:line="338" w:lineRule="auto"/>
        <w:rPr>
          <w:highlight w:val="none"/>
        </w:rPr>
      </w:pPr>
    </w:p>
    <w:p w14:paraId="3A179E53">
      <w:pPr>
        <w:pStyle w:val="2"/>
        <w:spacing w:line="338" w:lineRule="auto"/>
        <w:rPr>
          <w:highlight w:val="none"/>
        </w:rPr>
      </w:pPr>
    </w:p>
    <w:p w14:paraId="296824F4">
      <w:pPr>
        <w:spacing w:before="72" w:line="219" w:lineRule="auto"/>
        <w:rPr>
          <w:rFonts w:ascii="宋体" w:hAnsi="宋体" w:eastAsia="宋体" w:cs="宋体"/>
          <w:sz w:val="22"/>
          <w:szCs w:val="22"/>
          <w:highlight w:val="none"/>
        </w:rPr>
      </w:pPr>
      <w:r>
        <w:rPr>
          <w:rFonts w:ascii="宋体" w:hAnsi="宋体" w:eastAsia="宋体" w:cs="宋体"/>
          <w:spacing w:val="-7"/>
          <w:sz w:val="22"/>
          <w:szCs w:val="22"/>
          <w:highlight w:val="none"/>
        </w:rPr>
        <w:t>备注：采用资格预审的，资格审查资料如有更新或补充，投标人应在第7条中说明。</w:t>
      </w:r>
    </w:p>
    <w:p w14:paraId="1904EB1B">
      <w:pPr>
        <w:spacing w:line="219" w:lineRule="auto"/>
        <w:rPr>
          <w:rFonts w:ascii="宋体" w:hAnsi="宋体" w:eastAsia="宋体" w:cs="宋体"/>
          <w:sz w:val="22"/>
          <w:szCs w:val="22"/>
          <w:highlight w:val="none"/>
        </w:rPr>
        <w:sectPr>
          <w:footerReference r:id="rId241" w:type="default"/>
          <w:pgSz w:w="11910" w:h="16840"/>
          <w:pgMar w:top="400" w:right="1704" w:bottom="1238" w:left="1769" w:header="0" w:footer="1007" w:gutter="0"/>
          <w:cols w:space="720" w:num="1"/>
        </w:sectPr>
      </w:pPr>
    </w:p>
    <w:p w14:paraId="47ECF35C">
      <w:pPr>
        <w:pStyle w:val="2"/>
        <w:spacing w:line="253" w:lineRule="auto"/>
        <w:rPr>
          <w:highlight w:val="none"/>
        </w:rPr>
      </w:pPr>
    </w:p>
    <w:p w14:paraId="757B5E5A">
      <w:pPr>
        <w:pStyle w:val="2"/>
        <w:spacing w:line="253" w:lineRule="auto"/>
        <w:rPr>
          <w:highlight w:val="none"/>
        </w:rPr>
      </w:pPr>
    </w:p>
    <w:p w14:paraId="7F3F115E">
      <w:pPr>
        <w:pStyle w:val="2"/>
        <w:spacing w:line="253" w:lineRule="auto"/>
        <w:rPr>
          <w:highlight w:val="none"/>
        </w:rPr>
      </w:pPr>
    </w:p>
    <w:p w14:paraId="579AAD14">
      <w:pPr>
        <w:pStyle w:val="2"/>
        <w:spacing w:line="253" w:lineRule="auto"/>
        <w:rPr>
          <w:highlight w:val="none"/>
        </w:rPr>
      </w:pPr>
    </w:p>
    <w:p w14:paraId="23603876">
      <w:pPr>
        <w:pStyle w:val="2"/>
        <w:spacing w:line="253" w:lineRule="auto"/>
        <w:rPr>
          <w:highlight w:val="none"/>
        </w:rPr>
      </w:pPr>
    </w:p>
    <w:p w14:paraId="61C2DFE8">
      <w:pPr>
        <w:pStyle w:val="2"/>
        <w:spacing w:line="253" w:lineRule="auto"/>
        <w:rPr>
          <w:highlight w:val="none"/>
        </w:rPr>
      </w:pPr>
    </w:p>
    <w:p w14:paraId="3D7539D4">
      <w:pPr>
        <w:pStyle w:val="2"/>
        <w:spacing w:line="254" w:lineRule="auto"/>
        <w:rPr>
          <w:highlight w:val="none"/>
        </w:rPr>
      </w:pPr>
    </w:p>
    <w:p w14:paraId="5767519C">
      <w:pPr>
        <w:pStyle w:val="2"/>
        <w:spacing w:line="254" w:lineRule="auto"/>
        <w:rPr>
          <w:highlight w:val="none"/>
        </w:rPr>
      </w:pPr>
    </w:p>
    <w:p w14:paraId="4F36498F">
      <w:pPr>
        <w:spacing w:before="91" w:line="222" w:lineRule="auto"/>
        <w:ind w:left="3405"/>
        <w:outlineLvl w:val="1"/>
        <w:rPr>
          <w:rFonts w:ascii="黑体" w:hAnsi="黑体" w:eastAsia="黑体" w:cs="黑体"/>
          <w:sz w:val="28"/>
          <w:szCs w:val="28"/>
          <w:highlight w:val="none"/>
        </w:rPr>
      </w:pPr>
      <w:bookmarkStart w:id="241" w:name="bookmark155"/>
      <w:bookmarkEnd w:id="241"/>
      <w:bookmarkStart w:id="242" w:name="bookmark298"/>
      <w:bookmarkEnd w:id="242"/>
      <w:r>
        <w:rPr>
          <w:rFonts w:ascii="黑体" w:hAnsi="黑体" w:eastAsia="黑体" w:cs="黑体"/>
          <w:spacing w:val="20"/>
          <w:sz w:val="28"/>
          <w:szCs w:val="28"/>
          <w:highlight w:val="none"/>
        </w:rPr>
        <w:t>(二)投标函附录</w:t>
      </w:r>
    </w:p>
    <w:p w14:paraId="2F90A7E1">
      <w:pPr>
        <w:spacing w:before="197"/>
        <w:rPr>
          <w:highlight w:val="none"/>
        </w:rPr>
      </w:pPr>
    </w:p>
    <w:tbl>
      <w:tblPr>
        <w:tblStyle w:val="5"/>
        <w:tblW w:w="87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3"/>
        <w:gridCol w:w="2158"/>
        <w:gridCol w:w="1968"/>
        <w:gridCol w:w="2527"/>
        <w:gridCol w:w="744"/>
      </w:tblGrid>
      <w:tr w14:paraId="1B149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383" w:type="dxa"/>
            <w:vAlign w:val="top"/>
          </w:tcPr>
          <w:p w14:paraId="037AC621">
            <w:pPr>
              <w:pStyle w:val="6"/>
              <w:spacing w:before="101" w:line="221" w:lineRule="auto"/>
              <w:ind w:left="478"/>
              <w:rPr>
                <w:highlight w:val="none"/>
              </w:rPr>
            </w:pPr>
            <w:r>
              <w:rPr>
                <w:b/>
                <w:bCs/>
                <w:spacing w:val="-5"/>
                <w:highlight w:val="none"/>
              </w:rPr>
              <w:t>序号</w:t>
            </w:r>
          </w:p>
        </w:tc>
        <w:tc>
          <w:tcPr>
            <w:tcW w:w="2158" w:type="dxa"/>
            <w:vAlign w:val="top"/>
          </w:tcPr>
          <w:p w14:paraId="08D6AA3F">
            <w:pPr>
              <w:pStyle w:val="6"/>
              <w:spacing w:before="100" w:line="219" w:lineRule="auto"/>
              <w:ind w:left="655"/>
              <w:rPr>
                <w:highlight w:val="none"/>
              </w:rPr>
            </w:pPr>
            <w:r>
              <w:rPr>
                <w:b/>
                <w:bCs/>
                <w:spacing w:val="-5"/>
                <w:highlight w:val="none"/>
              </w:rPr>
              <w:t>条款名称</w:t>
            </w:r>
          </w:p>
        </w:tc>
        <w:tc>
          <w:tcPr>
            <w:tcW w:w="1968" w:type="dxa"/>
            <w:vAlign w:val="top"/>
          </w:tcPr>
          <w:p w14:paraId="1A707AAF">
            <w:pPr>
              <w:pStyle w:val="6"/>
              <w:spacing w:before="100" w:line="219" w:lineRule="auto"/>
              <w:ind w:left="456"/>
              <w:rPr>
                <w:highlight w:val="none"/>
              </w:rPr>
            </w:pPr>
            <w:r>
              <w:rPr>
                <w:b/>
                <w:bCs/>
                <w:spacing w:val="-4"/>
                <w:highlight w:val="none"/>
              </w:rPr>
              <w:t>合同条款号</w:t>
            </w:r>
          </w:p>
        </w:tc>
        <w:tc>
          <w:tcPr>
            <w:tcW w:w="2527" w:type="dxa"/>
            <w:vAlign w:val="top"/>
          </w:tcPr>
          <w:p w14:paraId="62F50844">
            <w:pPr>
              <w:pStyle w:val="6"/>
              <w:spacing w:before="100" w:line="219" w:lineRule="auto"/>
              <w:ind w:left="839"/>
              <w:rPr>
                <w:highlight w:val="none"/>
              </w:rPr>
            </w:pPr>
            <w:r>
              <w:rPr>
                <w:b/>
                <w:bCs/>
                <w:spacing w:val="-5"/>
                <w:highlight w:val="none"/>
              </w:rPr>
              <w:t>约定内容</w:t>
            </w:r>
          </w:p>
        </w:tc>
        <w:tc>
          <w:tcPr>
            <w:tcW w:w="744" w:type="dxa"/>
            <w:vAlign w:val="top"/>
          </w:tcPr>
          <w:p w14:paraId="7438EF83">
            <w:pPr>
              <w:pStyle w:val="6"/>
              <w:spacing w:before="101" w:line="221" w:lineRule="auto"/>
              <w:ind w:left="152"/>
              <w:rPr>
                <w:highlight w:val="none"/>
              </w:rPr>
            </w:pPr>
            <w:r>
              <w:rPr>
                <w:b/>
                <w:bCs/>
                <w:spacing w:val="-5"/>
                <w:highlight w:val="none"/>
              </w:rPr>
              <w:t>备注</w:t>
            </w:r>
          </w:p>
        </w:tc>
      </w:tr>
      <w:tr w14:paraId="04386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383" w:type="dxa"/>
            <w:vAlign w:val="top"/>
          </w:tcPr>
          <w:p w14:paraId="0252F928">
            <w:pPr>
              <w:pStyle w:val="6"/>
              <w:spacing w:before="130" w:line="241" w:lineRule="auto"/>
              <w:ind w:left="625"/>
              <w:rPr>
                <w:highlight w:val="none"/>
              </w:rPr>
            </w:pPr>
            <w:r>
              <w:rPr>
                <w:highlight w:val="none"/>
              </w:rPr>
              <w:t>1</w:t>
            </w:r>
          </w:p>
        </w:tc>
        <w:tc>
          <w:tcPr>
            <w:tcW w:w="2158" w:type="dxa"/>
            <w:vAlign w:val="top"/>
          </w:tcPr>
          <w:p w14:paraId="2F8C758A">
            <w:pPr>
              <w:pStyle w:val="6"/>
              <w:spacing w:before="180" w:line="210" w:lineRule="auto"/>
              <w:ind w:left="652"/>
              <w:rPr>
                <w:highlight w:val="none"/>
              </w:rPr>
            </w:pPr>
            <w:r>
              <w:rPr>
                <w:spacing w:val="-3"/>
                <w:highlight w:val="none"/>
              </w:rPr>
              <w:t>项目经理</w:t>
            </w:r>
          </w:p>
        </w:tc>
        <w:tc>
          <w:tcPr>
            <w:tcW w:w="1968" w:type="dxa"/>
            <w:vAlign w:val="top"/>
          </w:tcPr>
          <w:p w14:paraId="70EB0A48">
            <w:pPr>
              <w:pStyle w:val="6"/>
              <w:spacing w:before="230" w:line="166" w:lineRule="auto"/>
              <w:ind w:left="604"/>
              <w:rPr>
                <w:highlight w:val="none"/>
              </w:rPr>
            </w:pPr>
            <w:r>
              <w:rPr>
                <w:spacing w:val="-3"/>
                <w:highlight w:val="none"/>
              </w:rPr>
              <w:t>1.1.2.7</w:t>
            </w:r>
          </w:p>
        </w:tc>
        <w:tc>
          <w:tcPr>
            <w:tcW w:w="2527" w:type="dxa"/>
            <w:vAlign w:val="top"/>
          </w:tcPr>
          <w:p w14:paraId="6C9A5971">
            <w:pPr>
              <w:pStyle w:val="6"/>
              <w:spacing w:before="199" w:line="193" w:lineRule="auto"/>
              <w:ind w:left="125"/>
              <w:rPr>
                <w:highlight w:val="none"/>
              </w:rPr>
            </w:pPr>
            <w:r>
              <w:rPr>
                <w:spacing w:val="-2"/>
                <w:highlight w:val="none"/>
              </w:rPr>
              <w:t>姓名：</w:t>
            </w:r>
            <w:r>
              <w:rPr>
                <w:spacing w:val="32"/>
                <w:highlight w:val="none"/>
              </w:rPr>
              <w:t xml:space="preserve">  </w:t>
            </w:r>
            <w:r>
              <w:rPr>
                <w:spacing w:val="-2"/>
                <w:highlight w:val="none"/>
              </w:rPr>
              <w:t>(见投标函)</w:t>
            </w:r>
          </w:p>
        </w:tc>
        <w:tc>
          <w:tcPr>
            <w:tcW w:w="744" w:type="dxa"/>
            <w:vAlign w:val="top"/>
          </w:tcPr>
          <w:p w14:paraId="0929D8F3">
            <w:pPr>
              <w:rPr>
                <w:rFonts w:ascii="Arial"/>
                <w:sz w:val="21"/>
                <w:highlight w:val="none"/>
              </w:rPr>
            </w:pPr>
          </w:p>
        </w:tc>
      </w:tr>
      <w:tr w14:paraId="08D5B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383" w:type="dxa"/>
            <w:vAlign w:val="top"/>
          </w:tcPr>
          <w:p w14:paraId="2FEA7F41">
            <w:pPr>
              <w:pStyle w:val="6"/>
              <w:spacing w:before="141" w:line="241" w:lineRule="auto"/>
              <w:ind w:left="625"/>
              <w:rPr>
                <w:highlight w:val="none"/>
              </w:rPr>
            </w:pPr>
            <w:r>
              <w:rPr>
                <w:highlight w:val="none"/>
              </w:rPr>
              <w:t>2</w:t>
            </w:r>
          </w:p>
        </w:tc>
        <w:tc>
          <w:tcPr>
            <w:tcW w:w="2158" w:type="dxa"/>
            <w:vAlign w:val="top"/>
          </w:tcPr>
          <w:p w14:paraId="511658CB">
            <w:pPr>
              <w:pStyle w:val="6"/>
              <w:spacing w:before="121" w:line="220" w:lineRule="auto"/>
              <w:ind w:left="862"/>
              <w:rPr>
                <w:highlight w:val="none"/>
              </w:rPr>
            </w:pPr>
            <w:r>
              <w:rPr>
                <w:spacing w:val="6"/>
                <w:highlight w:val="none"/>
              </w:rPr>
              <w:t>工期</w:t>
            </w:r>
          </w:p>
        </w:tc>
        <w:tc>
          <w:tcPr>
            <w:tcW w:w="1968" w:type="dxa"/>
            <w:vAlign w:val="top"/>
          </w:tcPr>
          <w:p w14:paraId="079DA594">
            <w:pPr>
              <w:pStyle w:val="6"/>
              <w:spacing w:before="141" w:line="239" w:lineRule="auto"/>
              <w:ind w:left="604"/>
              <w:rPr>
                <w:highlight w:val="none"/>
              </w:rPr>
            </w:pPr>
            <w:r>
              <w:rPr>
                <w:spacing w:val="-3"/>
                <w:highlight w:val="none"/>
              </w:rPr>
              <w:t>1.1.4.5</w:t>
            </w:r>
          </w:p>
        </w:tc>
        <w:tc>
          <w:tcPr>
            <w:tcW w:w="2527" w:type="dxa"/>
            <w:vAlign w:val="top"/>
          </w:tcPr>
          <w:p w14:paraId="59984A15">
            <w:pPr>
              <w:pStyle w:val="6"/>
              <w:spacing w:before="210" w:line="201" w:lineRule="auto"/>
              <w:ind w:left="125"/>
              <w:rPr>
                <w:highlight w:val="none"/>
              </w:rPr>
            </w:pPr>
            <w:r>
              <w:rPr>
                <w:spacing w:val="-2"/>
                <w:highlight w:val="none"/>
              </w:rPr>
              <w:t>天数：</w:t>
            </w:r>
            <w:r>
              <w:rPr>
                <w:spacing w:val="32"/>
                <w:highlight w:val="none"/>
              </w:rPr>
              <w:t xml:space="preserve">  </w:t>
            </w:r>
            <w:r>
              <w:rPr>
                <w:spacing w:val="-2"/>
                <w:highlight w:val="none"/>
              </w:rPr>
              <w:t>(见投标函)</w:t>
            </w:r>
          </w:p>
        </w:tc>
        <w:tc>
          <w:tcPr>
            <w:tcW w:w="744" w:type="dxa"/>
            <w:vAlign w:val="top"/>
          </w:tcPr>
          <w:p w14:paraId="16783D9C">
            <w:pPr>
              <w:rPr>
                <w:rFonts w:ascii="Arial"/>
                <w:sz w:val="21"/>
                <w:highlight w:val="none"/>
              </w:rPr>
            </w:pPr>
          </w:p>
        </w:tc>
      </w:tr>
      <w:tr w14:paraId="05AD4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383" w:type="dxa"/>
            <w:vAlign w:val="top"/>
          </w:tcPr>
          <w:p w14:paraId="4AE4BB37">
            <w:pPr>
              <w:pStyle w:val="6"/>
              <w:spacing w:before="132"/>
              <w:ind w:left="625"/>
              <w:rPr>
                <w:highlight w:val="none"/>
              </w:rPr>
            </w:pPr>
            <w:r>
              <w:rPr>
                <w:highlight w:val="none"/>
              </w:rPr>
              <w:t>3</w:t>
            </w:r>
          </w:p>
        </w:tc>
        <w:tc>
          <w:tcPr>
            <w:tcW w:w="2158" w:type="dxa"/>
            <w:vAlign w:val="top"/>
          </w:tcPr>
          <w:p w14:paraId="44BC0DEF">
            <w:pPr>
              <w:pStyle w:val="6"/>
              <w:spacing w:before="111" w:line="219" w:lineRule="auto"/>
              <w:ind w:left="542"/>
              <w:rPr>
                <w:highlight w:val="none"/>
              </w:rPr>
            </w:pPr>
            <w:r>
              <w:rPr>
                <w:spacing w:val="2"/>
                <w:highlight w:val="none"/>
              </w:rPr>
              <w:t>缺陷责任期</w:t>
            </w:r>
          </w:p>
        </w:tc>
        <w:tc>
          <w:tcPr>
            <w:tcW w:w="1968" w:type="dxa"/>
            <w:vAlign w:val="top"/>
          </w:tcPr>
          <w:p w14:paraId="00541B24">
            <w:pPr>
              <w:pStyle w:val="6"/>
              <w:spacing w:before="132" w:line="239" w:lineRule="auto"/>
              <w:ind w:left="604"/>
              <w:rPr>
                <w:highlight w:val="none"/>
              </w:rPr>
            </w:pPr>
            <w:r>
              <w:rPr>
                <w:spacing w:val="-3"/>
                <w:highlight w:val="none"/>
              </w:rPr>
              <w:t>1.1.4.6</w:t>
            </w:r>
          </w:p>
        </w:tc>
        <w:tc>
          <w:tcPr>
            <w:tcW w:w="2527" w:type="dxa"/>
            <w:vAlign w:val="top"/>
          </w:tcPr>
          <w:p w14:paraId="49157D09">
            <w:pPr>
              <w:pStyle w:val="6"/>
              <w:spacing w:before="211" w:line="182" w:lineRule="auto"/>
              <w:ind w:left="1046"/>
              <w:rPr>
                <w:highlight w:val="none"/>
              </w:rPr>
            </w:pPr>
            <w:r>
              <w:rPr>
                <w:spacing w:val="-6"/>
                <w:highlight w:val="none"/>
              </w:rPr>
              <w:t>……</w:t>
            </w:r>
          </w:p>
        </w:tc>
        <w:tc>
          <w:tcPr>
            <w:tcW w:w="744" w:type="dxa"/>
            <w:vAlign w:val="top"/>
          </w:tcPr>
          <w:p w14:paraId="55D58823">
            <w:pPr>
              <w:rPr>
                <w:rFonts w:ascii="Arial"/>
                <w:sz w:val="21"/>
                <w:highlight w:val="none"/>
              </w:rPr>
            </w:pPr>
          </w:p>
        </w:tc>
      </w:tr>
      <w:tr w14:paraId="2BF8F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383" w:type="dxa"/>
            <w:vAlign w:val="top"/>
          </w:tcPr>
          <w:p w14:paraId="7117DD8B">
            <w:pPr>
              <w:pStyle w:val="6"/>
              <w:spacing w:before="143" w:line="241" w:lineRule="auto"/>
              <w:ind w:left="625"/>
              <w:rPr>
                <w:highlight w:val="none"/>
              </w:rPr>
            </w:pPr>
            <w:r>
              <w:rPr>
                <w:highlight w:val="none"/>
              </w:rPr>
              <w:t>4</w:t>
            </w:r>
          </w:p>
        </w:tc>
        <w:tc>
          <w:tcPr>
            <w:tcW w:w="2158" w:type="dxa"/>
            <w:vAlign w:val="top"/>
          </w:tcPr>
          <w:p w14:paraId="25FDE439">
            <w:pPr>
              <w:pStyle w:val="6"/>
              <w:spacing w:before="123" w:line="220" w:lineRule="auto"/>
              <w:ind w:left="862"/>
              <w:rPr>
                <w:highlight w:val="none"/>
              </w:rPr>
            </w:pPr>
            <w:r>
              <w:rPr>
                <w:spacing w:val="4"/>
                <w:highlight w:val="none"/>
              </w:rPr>
              <w:t>分包</w:t>
            </w:r>
          </w:p>
        </w:tc>
        <w:tc>
          <w:tcPr>
            <w:tcW w:w="1968" w:type="dxa"/>
            <w:vAlign w:val="top"/>
          </w:tcPr>
          <w:p w14:paraId="731ABA11">
            <w:pPr>
              <w:pStyle w:val="6"/>
              <w:spacing w:before="143" w:line="239" w:lineRule="auto"/>
              <w:ind w:left="714"/>
              <w:rPr>
                <w:highlight w:val="none"/>
              </w:rPr>
            </w:pPr>
            <w:r>
              <w:rPr>
                <w:spacing w:val="-2"/>
                <w:highlight w:val="none"/>
              </w:rPr>
              <w:t>4.5.2</w:t>
            </w:r>
          </w:p>
        </w:tc>
        <w:tc>
          <w:tcPr>
            <w:tcW w:w="2527" w:type="dxa"/>
            <w:vAlign w:val="top"/>
          </w:tcPr>
          <w:p w14:paraId="7020B887">
            <w:pPr>
              <w:pStyle w:val="6"/>
              <w:spacing w:before="243" w:line="172" w:lineRule="auto"/>
              <w:ind w:left="1046"/>
              <w:rPr>
                <w:highlight w:val="none"/>
              </w:rPr>
            </w:pPr>
            <w:r>
              <w:rPr>
                <w:spacing w:val="-6"/>
                <w:highlight w:val="none"/>
              </w:rPr>
              <w:t>……</w:t>
            </w:r>
          </w:p>
        </w:tc>
        <w:tc>
          <w:tcPr>
            <w:tcW w:w="744" w:type="dxa"/>
            <w:vAlign w:val="top"/>
          </w:tcPr>
          <w:p w14:paraId="693DA22E">
            <w:pPr>
              <w:rPr>
                <w:rFonts w:ascii="Arial"/>
                <w:sz w:val="21"/>
                <w:highlight w:val="none"/>
              </w:rPr>
            </w:pPr>
          </w:p>
        </w:tc>
      </w:tr>
      <w:tr w14:paraId="57839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383" w:type="dxa"/>
            <w:vAlign w:val="top"/>
          </w:tcPr>
          <w:p w14:paraId="353618FD">
            <w:pPr>
              <w:pStyle w:val="6"/>
              <w:spacing w:before="144"/>
              <w:ind w:left="625"/>
              <w:rPr>
                <w:highlight w:val="none"/>
              </w:rPr>
            </w:pPr>
            <w:r>
              <w:rPr>
                <w:highlight w:val="none"/>
              </w:rPr>
              <w:t>5</w:t>
            </w:r>
          </w:p>
        </w:tc>
        <w:tc>
          <w:tcPr>
            <w:tcW w:w="2158" w:type="dxa"/>
            <w:vAlign w:val="top"/>
          </w:tcPr>
          <w:p w14:paraId="7F7F2092">
            <w:pPr>
              <w:pStyle w:val="6"/>
              <w:spacing w:before="121" w:line="218" w:lineRule="auto"/>
              <w:ind w:left="122"/>
              <w:rPr>
                <w:highlight w:val="none"/>
              </w:rPr>
            </w:pPr>
            <w:r>
              <w:rPr>
                <w:spacing w:val="-1"/>
                <w:highlight w:val="none"/>
              </w:rPr>
              <w:t>价格调整的差额计算</w:t>
            </w:r>
          </w:p>
        </w:tc>
        <w:tc>
          <w:tcPr>
            <w:tcW w:w="1968" w:type="dxa"/>
            <w:vAlign w:val="top"/>
          </w:tcPr>
          <w:p w14:paraId="14B7B1F1">
            <w:pPr>
              <w:pStyle w:val="6"/>
              <w:spacing w:before="234" w:line="171" w:lineRule="auto"/>
              <w:ind w:left="664"/>
              <w:rPr>
                <w:highlight w:val="none"/>
              </w:rPr>
            </w:pPr>
            <w:r>
              <w:rPr>
                <w:spacing w:val="-4"/>
                <w:highlight w:val="none"/>
              </w:rPr>
              <w:t>13.8.2</w:t>
            </w:r>
          </w:p>
        </w:tc>
        <w:tc>
          <w:tcPr>
            <w:tcW w:w="2527" w:type="dxa"/>
            <w:vAlign w:val="top"/>
          </w:tcPr>
          <w:p w14:paraId="48CEB70F">
            <w:pPr>
              <w:pStyle w:val="6"/>
              <w:spacing w:before="201" w:line="200" w:lineRule="auto"/>
              <w:ind w:left="415"/>
              <w:rPr>
                <w:highlight w:val="none"/>
              </w:rPr>
            </w:pPr>
            <w:r>
              <w:rPr>
                <w:spacing w:val="1"/>
                <w:highlight w:val="none"/>
              </w:rPr>
              <w:t>见价格指数权重表</w:t>
            </w:r>
          </w:p>
        </w:tc>
        <w:tc>
          <w:tcPr>
            <w:tcW w:w="744" w:type="dxa"/>
            <w:vAlign w:val="top"/>
          </w:tcPr>
          <w:p w14:paraId="7B1A0854">
            <w:pPr>
              <w:rPr>
                <w:rFonts w:ascii="Arial"/>
                <w:sz w:val="21"/>
                <w:highlight w:val="none"/>
              </w:rPr>
            </w:pPr>
          </w:p>
        </w:tc>
      </w:tr>
      <w:tr w14:paraId="42B3A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383" w:type="dxa"/>
            <w:vAlign w:val="top"/>
          </w:tcPr>
          <w:p w14:paraId="751C7392">
            <w:pPr>
              <w:pStyle w:val="6"/>
              <w:spacing w:before="135" w:line="284" w:lineRule="exact"/>
              <w:ind w:left="475"/>
              <w:rPr>
                <w:highlight w:val="none"/>
              </w:rPr>
            </w:pPr>
            <w:r>
              <w:rPr>
                <w:spacing w:val="-6"/>
                <w:position w:val="1"/>
                <w:highlight w:val="none"/>
              </w:rPr>
              <w:t>……</w:t>
            </w:r>
          </w:p>
        </w:tc>
        <w:tc>
          <w:tcPr>
            <w:tcW w:w="2158" w:type="dxa"/>
            <w:vAlign w:val="top"/>
          </w:tcPr>
          <w:p w14:paraId="0E0AEF7D">
            <w:pPr>
              <w:pStyle w:val="6"/>
              <w:spacing w:before="135" w:line="284" w:lineRule="exact"/>
              <w:ind w:left="862"/>
              <w:rPr>
                <w:highlight w:val="none"/>
              </w:rPr>
            </w:pPr>
            <w:r>
              <w:rPr>
                <w:spacing w:val="-6"/>
                <w:position w:val="1"/>
                <w:highlight w:val="none"/>
              </w:rPr>
              <w:t>……</w:t>
            </w:r>
          </w:p>
        </w:tc>
        <w:tc>
          <w:tcPr>
            <w:tcW w:w="1968" w:type="dxa"/>
            <w:vAlign w:val="top"/>
          </w:tcPr>
          <w:p w14:paraId="54210BD9">
            <w:pPr>
              <w:pStyle w:val="6"/>
              <w:spacing w:before="135" w:line="284" w:lineRule="exact"/>
              <w:ind w:left="763"/>
              <w:rPr>
                <w:highlight w:val="none"/>
              </w:rPr>
            </w:pPr>
            <w:r>
              <w:rPr>
                <w:spacing w:val="-6"/>
                <w:position w:val="1"/>
                <w:highlight w:val="none"/>
              </w:rPr>
              <w:t>……</w:t>
            </w:r>
          </w:p>
        </w:tc>
        <w:tc>
          <w:tcPr>
            <w:tcW w:w="2527" w:type="dxa"/>
            <w:vAlign w:val="top"/>
          </w:tcPr>
          <w:p w14:paraId="772BF175">
            <w:pPr>
              <w:pStyle w:val="6"/>
              <w:spacing w:before="235" w:line="161" w:lineRule="auto"/>
              <w:ind w:left="1046"/>
              <w:rPr>
                <w:highlight w:val="none"/>
              </w:rPr>
            </w:pPr>
            <w:r>
              <w:rPr>
                <w:spacing w:val="-6"/>
                <w:highlight w:val="none"/>
              </w:rPr>
              <w:t>……</w:t>
            </w:r>
          </w:p>
        </w:tc>
        <w:tc>
          <w:tcPr>
            <w:tcW w:w="744" w:type="dxa"/>
            <w:vAlign w:val="top"/>
          </w:tcPr>
          <w:p w14:paraId="0F0AAB5E">
            <w:pPr>
              <w:rPr>
                <w:rFonts w:ascii="Arial"/>
                <w:sz w:val="21"/>
                <w:highlight w:val="none"/>
              </w:rPr>
            </w:pPr>
          </w:p>
        </w:tc>
      </w:tr>
      <w:tr w14:paraId="71D79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383" w:type="dxa"/>
            <w:vAlign w:val="top"/>
          </w:tcPr>
          <w:p w14:paraId="5F93ADA5">
            <w:pPr>
              <w:pStyle w:val="6"/>
              <w:spacing w:before="146" w:line="293" w:lineRule="exact"/>
              <w:ind w:left="475"/>
              <w:rPr>
                <w:highlight w:val="none"/>
              </w:rPr>
            </w:pPr>
            <w:r>
              <w:rPr>
                <w:spacing w:val="-6"/>
                <w:position w:val="1"/>
                <w:highlight w:val="none"/>
              </w:rPr>
              <w:t>……</w:t>
            </w:r>
          </w:p>
        </w:tc>
        <w:tc>
          <w:tcPr>
            <w:tcW w:w="2158" w:type="dxa"/>
            <w:vAlign w:val="top"/>
          </w:tcPr>
          <w:p w14:paraId="05287497">
            <w:pPr>
              <w:pStyle w:val="6"/>
              <w:spacing w:before="146" w:line="293" w:lineRule="exact"/>
              <w:ind w:left="862"/>
              <w:rPr>
                <w:highlight w:val="none"/>
              </w:rPr>
            </w:pPr>
            <w:r>
              <w:rPr>
                <w:spacing w:val="-6"/>
                <w:position w:val="1"/>
                <w:highlight w:val="none"/>
              </w:rPr>
              <w:t>……</w:t>
            </w:r>
          </w:p>
        </w:tc>
        <w:tc>
          <w:tcPr>
            <w:tcW w:w="1968" w:type="dxa"/>
            <w:vAlign w:val="top"/>
          </w:tcPr>
          <w:p w14:paraId="271E09F7">
            <w:pPr>
              <w:pStyle w:val="6"/>
              <w:spacing w:before="146" w:line="293" w:lineRule="exact"/>
              <w:ind w:left="763"/>
              <w:rPr>
                <w:highlight w:val="none"/>
              </w:rPr>
            </w:pPr>
            <w:r>
              <w:rPr>
                <w:spacing w:val="-6"/>
                <w:position w:val="1"/>
                <w:highlight w:val="none"/>
              </w:rPr>
              <w:t>……</w:t>
            </w:r>
          </w:p>
        </w:tc>
        <w:tc>
          <w:tcPr>
            <w:tcW w:w="2527" w:type="dxa"/>
            <w:vAlign w:val="top"/>
          </w:tcPr>
          <w:p w14:paraId="1A7563E4">
            <w:pPr>
              <w:pStyle w:val="6"/>
              <w:spacing w:before="257" w:line="160" w:lineRule="auto"/>
              <w:ind w:left="1046"/>
              <w:rPr>
                <w:highlight w:val="none"/>
              </w:rPr>
            </w:pPr>
            <w:r>
              <w:rPr>
                <w:spacing w:val="-6"/>
                <w:highlight w:val="none"/>
              </w:rPr>
              <w:t>……</w:t>
            </w:r>
          </w:p>
        </w:tc>
        <w:tc>
          <w:tcPr>
            <w:tcW w:w="744" w:type="dxa"/>
            <w:vAlign w:val="top"/>
          </w:tcPr>
          <w:p w14:paraId="7ABE7AC8">
            <w:pPr>
              <w:rPr>
                <w:rFonts w:ascii="Arial"/>
                <w:sz w:val="21"/>
                <w:highlight w:val="none"/>
              </w:rPr>
            </w:pPr>
          </w:p>
        </w:tc>
      </w:tr>
      <w:tr w14:paraId="7BE7B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8780" w:type="dxa"/>
            <w:gridSpan w:val="5"/>
            <w:vAlign w:val="top"/>
          </w:tcPr>
          <w:p w14:paraId="47DA654D">
            <w:pPr>
              <w:pStyle w:val="6"/>
              <w:spacing w:before="85" w:line="265" w:lineRule="auto"/>
              <w:ind w:left="125" w:right="25" w:firstLine="20"/>
              <w:rPr>
                <w:highlight w:val="none"/>
              </w:rPr>
            </w:pPr>
            <w:r>
              <w:rPr>
                <w:highlight w:val="none"/>
              </w:rPr>
              <w:t>备注：投标人在响应招标文件中规定的实质性要求和条件的基础上</w:t>
            </w:r>
            <w:r>
              <w:rPr>
                <w:spacing w:val="-1"/>
                <w:highlight w:val="none"/>
              </w:rPr>
              <w:t>，可做出其他有利于招标人</w:t>
            </w:r>
            <w:r>
              <w:rPr>
                <w:highlight w:val="none"/>
              </w:rPr>
              <w:t xml:space="preserve"> 的承诺。此类承诺可在本表中予以补充填写。</w:t>
            </w:r>
          </w:p>
          <w:p w14:paraId="4B134084">
            <w:pPr>
              <w:pStyle w:val="6"/>
              <w:spacing w:before="36" w:line="199" w:lineRule="auto"/>
              <w:ind w:left="655"/>
              <w:rPr>
                <w:highlight w:val="none"/>
              </w:rPr>
            </w:pPr>
            <w:r>
              <w:rPr>
                <w:highlight w:val="none"/>
              </w:rPr>
              <w:t>本表适用于《建设项目工程总承包合同(示范文本)》(GF-2020-0216)。</w:t>
            </w:r>
          </w:p>
        </w:tc>
      </w:tr>
    </w:tbl>
    <w:p w14:paraId="4FD1DDB9">
      <w:pPr>
        <w:spacing w:before="79"/>
        <w:rPr>
          <w:highlight w:val="none"/>
        </w:rPr>
      </w:pPr>
    </w:p>
    <w:p w14:paraId="2FC1B900">
      <w:pPr>
        <w:spacing w:before="78"/>
        <w:rPr>
          <w:highlight w:val="none"/>
        </w:rPr>
      </w:pPr>
    </w:p>
    <w:tbl>
      <w:tblPr>
        <w:tblStyle w:val="5"/>
        <w:tblW w:w="87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3"/>
        <w:gridCol w:w="2158"/>
        <w:gridCol w:w="1968"/>
        <w:gridCol w:w="2527"/>
        <w:gridCol w:w="744"/>
      </w:tblGrid>
      <w:tr w14:paraId="179CB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383" w:type="dxa"/>
            <w:vAlign w:val="top"/>
          </w:tcPr>
          <w:p w14:paraId="56681444">
            <w:pPr>
              <w:pStyle w:val="6"/>
              <w:spacing w:before="101" w:line="221" w:lineRule="auto"/>
              <w:ind w:left="478"/>
              <w:rPr>
                <w:highlight w:val="none"/>
              </w:rPr>
            </w:pPr>
            <w:r>
              <w:rPr>
                <w:b/>
                <w:bCs/>
                <w:spacing w:val="-5"/>
                <w:highlight w:val="none"/>
              </w:rPr>
              <w:t>序号</w:t>
            </w:r>
          </w:p>
        </w:tc>
        <w:tc>
          <w:tcPr>
            <w:tcW w:w="2158" w:type="dxa"/>
            <w:vAlign w:val="top"/>
          </w:tcPr>
          <w:p w14:paraId="0B59C2B2">
            <w:pPr>
              <w:pStyle w:val="6"/>
              <w:spacing w:before="100" w:line="219" w:lineRule="auto"/>
              <w:ind w:left="655"/>
              <w:rPr>
                <w:highlight w:val="none"/>
              </w:rPr>
            </w:pPr>
            <w:r>
              <w:rPr>
                <w:b/>
                <w:bCs/>
                <w:spacing w:val="-5"/>
                <w:highlight w:val="none"/>
              </w:rPr>
              <w:t>条款名称</w:t>
            </w:r>
          </w:p>
        </w:tc>
        <w:tc>
          <w:tcPr>
            <w:tcW w:w="1968" w:type="dxa"/>
            <w:vAlign w:val="top"/>
          </w:tcPr>
          <w:p w14:paraId="375057E7">
            <w:pPr>
              <w:pStyle w:val="6"/>
              <w:spacing w:before="100" w:line="219" w:lineRule="auto"/>
              <w:ind w:left="456"/>
              <w:rPr>
                <w:highlight w:val="none"/>
              </w:rPr>
            </w:pPr>
            <w:r>
              <w:rPr>
                <w:b/>
                <w:bCs/>
                <w:spacing w:val="-4"/>
                <w:highlight w:val="none"/>
              </w:rPr>
              <w:t>合同条款号</w:t>
            </w:r>
          </w:p>
        </w:tc>
        <w:tc>
          <w:tcPr>
            <w:tcW w:w="2527" w:type="dxa"/>
            <w:vAlign w:val="top"/>
          </w:tcPr>
          <w:p w14:paraId="01D20EC9">
            <w:pPr>
              <w:pStyle w:val="6"/>
              <w:spacing w:before="100" w:line="219" w:lineRule="auto"/>
              <w:ind w:left="839"/>
              <w:rPr>
                <w:highlight w:val="none"/>
              </w:rPr>
            </w:pPr>
            <w:r>
              <w:rPr>
                <w:b/>
                <w:bCs/>
                <w:spacing w:val="-5"/>
                <w:highlight w:val="none"/>
              </w:rPr>
              <w:t>约定内容</w:t>
            </w:r>
          </w:p>
        </w:tc>
        <w:tc>
          <w:tcPr>
            <w:tcW w:w="744" w:type="dxa"/>
            <w:vAlign w:val="top"/>
          </w:tcPr>
          <w:p w14:paraId="1E9109E2">
            <w:pPr>
              <w:pStyle w:val="6"/>
              <w:spacing w:before="101" w:line="221" w:lineRule="auto"/>
              <w:ind w:left="152"/>
              <w:rPr>
                <w:highlight w:val="none"/>
              </w:rPr>
            </w:pPr>
            <w:r>
              <w:rPr>
                <w:b/>
                <w:bCs/>
                <w:spacing w:val="-5"/>
                <w:highlight w:val="none"/>
              </w:rPr>
              <w:t>备注</w:t>
            </w:r>
          </w:p>
        </w:tc>
      </w:tr>
      <w:tr w14:paraId="0C3B0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383" w:type="dxa"/>
            <w:vAlign w:val="top"/>
          </w:tcPr>
          <w:p w14:paraId="6CEA9D58">
            <w:pPr>
              <w:pStyle w:val="6"/>
              <w:spacing w:before="130" w:line="241" w:lineRule="auto"/>
              <w:ind w:left="625"/>
              <w:rPr>
                <w:highlight w:val="none"/>
              </w:rPr>
            </w:pPr>
            <w:r>
              <w:rPr>
                <w:highlight w:val="none"/>
              </w:rPr>
              <w:t>1</w:t>
            </w:r>
          </w:p>
        </w:tc>
        <w:tc>
          <w:tcPr>
            <w:tcW w:w="2158" w:type="dxa"/>
            <w:vAlign w:val="top"/>
          </w:tcPr>
          <w:p w14:paraId="6C3480B7">
            <w:pPr>
              <w:pStyle w:val="6"/>
              <w:spacing w:before="180" w:line="210" w:lineRule="auto"/>
              <w:ind w:left="652"/>
              <w:rPr>
                <w:highlight w:val="none"/>
              </w:rPr>
            </w:pPr>
            <w:r>
              <w:rPr>
                <w:spacing w:val="-3"/>
                <w:highlight w:val="none"/>
              </w:rPr>
              <w:t>项目经理</w:t>
            </w:r>
          </w:p>
        </w:tc>
        <w:tc>
          <w:tcPr>
            <w:tcW w:w="1968" w:type="dxa"/>
            <w:vAlign w:val="top"/>
          </w:tcPr>
          <w:p w14:paraId="5540AF47">
            <w:pPr>
              <w:pStyle w:val="6"/>
              <w:spacing w:before="221" w:line="174" w:lineRule="auto"/>
              <w:ind w:left="604"/>
              <w:rPr>
                <w:highlight w:val="none"/>
              </w:rPr>
            </w:pPr>
            <w:r>
              <w:rPr>
                <w:spacing w:val="-3"/>
                <w:highlight w:val="none"/>
              </w:rPr>
              <w:t>1.1.2.4</w:t>
            </w:r>
          </w:p>
        </w:tc>
        <w:tc>
          <w:tcPr>
            <w:tcW w:w="2527" w:type="dxa"/>
            <w:vAlign w:val="top"/>
          </w:tcPr>
          <w:p w14:paraId="3D29FF80">
            <w:pPr>
              <w:pStyle w:val="6"/>
              <w:spacing w:before="199" w:line="193" w:lineRule="auto"/>
              <w:ind w:left="125"/>
              <w:rPr>
                <w:highlight w:val="none"/>
              </w:rPr>
            </w:pPr>
            <w:r>
              <w:rPr>
                <w:spacing w:val="-2"/>
                <w:highlight w:val="none"/>
              </w:rPr>
              <w:t>姓名：</w:t>
            </w:r>
            <w:r>
              <w:rPr>
                <w:spacing w:val="32"/>
                <w:highlight w:val="none"/>
              </w:rPr>
              <w:t xml:space="preserve">  </w:t>
            </w:r>
            <w:r>
              <w:rPr>
                <w:spacing w:val="-2"/>
                <w:highlight w:val="none"/>
              </w:rPr>
              <w:t>(见投标函)</w:t>
            </w:r>
          </w:p>
        </w:tc>
        <w:tc>
          <w:tcPr>
            <w:tcW w:w="744" w:type="dxa"/>
            <w:vAlign w:val="top"/>
          </w:tcPr>
          <w:p w14:paraId="1007E6E2">
            <w:pPr>
              <w:rPr>
                <w:rFonts w:ascii="Arial"/>
                <w:sz w:val="21"/>
                <w:highlight w:val="none"/>
              </w:rPr>
            </w:pPr>
          </w:p>
        </w:tc>
      </w:tr>
      <w:tr w14:paraId="52812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383" w:type="dxa"/>
            <w:vAlign w:val="top"/>
          </w:tcPr>
          <w:p w14:paraId="7E2AD5BF">
            <w:pPr>
              <w:pStyle w:val="6"/>
              <w:spacing w:before="141" w:line="241" w:lineRule="auto"/>
              <w:ind w:left="625"/>
              <w:rPr>
                <w:highlight w:val="none"/>
              </w:rPr>
            </w:pPr>
            <w:r>
              <w:rPr>
                <w:highlight w:val="none"/>
              </w:rPr>
              <w:t>2</w:t>
            </w:r>
          </w:p>
        </w:tc>
        <w:tc>
          <w:tcPr>
            <w:tcW w:w="2158" w:type="dxa"/>
            <w:vAlign w:val="top"/>
          </w:tcPr>
          <w:p w14:paraId="06C419C2">
            <w:pPr>
              <w:pStyle w:val="6"/>
              <w:spacing w:before="121" w:line="220" w:lineRule="auto"/>
              <w:ind w:left="862"/>
              <w:rPr>
                <w:highlight w:val="none"/>
              </w:rPr>
            </w:pPr>
            <w:r>
              <w:rPr>
                <w:spacing w:val="6"/>
                <w:highlight w:val="none"/>
              </w:rPr>
              <w:t>工期</w:t>
            </w:r>
          </w:p>
        </w:tc>
        <w:tc>
          <w:tcPr>
            <w:tcW w:w="1968" w:type="dxa"/>
            <w:vAlign w:val="top"/>
          </w:tcPr>
          <w:p w14:paraId="2DA85D7E">
            <w:pPr>
              <w:pStyle w:val="6"/>
              <w:spacing w:before="141" w:line="239" w:lineRule="auto"/>
              <w:ind w:left="604"/>
              <w:rPr>
                <w:highlight w:val="none"/>
              </w:rPr>
            </w:pPr>
            <w:r>
              <w:rPr>
                <w:spacing w:val="-3"/>
                <w:highlight w:val="none"/>
              </w:rPr>
              <w:t>1.1.4.3</w:t>
            </w:r>
          </w:p>
        </w:tc>
        <w:tc>
          <w:tcPr>
            <w:tcW w:w="2527" w:type="dxa"/>
            <w:vAlign w:val="top"/>
          </w:tcPr>
          <w:p w14:paraId="0EF7A047">
            <w:pPr>
              <w:pStyle w:val="6"/>
              <w:spacing w:before="210" w:line="201" w:lineRule="auto"/>
              <w:ind w:left="125"/>
              <w:rPr>
                <w:highlight w:val="none"/>
              </w:rPr>
            </w:pPr>
            <w:r>
              <w:rPr>
                <w:spacing w:val="-2"/>
                <w:highlight w:val="none"/>
              </w:rPr>
              <w:t>天数：</w:t>
            </w:r>
            <w:r>
              <w:rPr>
                <w:spacing w:val="32"/>
                <w:highlight w:val="none"/>
              </w:rPr>
              <w:t xml:space="preserve">  </w:t>
            </w:r>
            <w:r>
              <w:rPr>
                <w:spacing w:val="-2"/>
                <w:highlight w:val="none"/>
              </w:rPr>
              <w:t>(见投标函)</w:t>
            </w:r>
          </w:p>
        </w:tc>
        <w:tc>
          <w:tcPr>
            <w:tcW w:w="744" w:type="dxa"/>
            <w:vAlign w:val="top"/>
          </w:tcPr>
          <w:p w14:paraId="456282FC">
            <w:pPr>
              <w:rPr>
                <w:rFonts w:ascii="Arial"/>
                <w:sz w:val="21"/>
                <w:highlight w:val="none"/>
              </w:rPr>
            </w:pPr>
          </w:p>
        </w:tc>
      </w:tr>
      <w:tr w14:paraId="322CF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383" w:type="dxa"/>
            <w:vAlign w:val="top"/>
          </w:tcPr>
          <w:p w14:paraId="4A35B9EF">
            <w:pPr>
              <w:pStyle w:val="6"/>
              <w:spacing w:before="132"/>
              <w:ind w:left="625"/>
              <w:rPr>
                <w:highlight w:val="none"/>
              </w:rPr>
            </w:pPr>
            <w:r>
              <w:rPr>
                <w:highlight w:val="none"/>
              </w:rPr>
              <w:t>3</w:t>
            </w:r>
          </w:p>
        </w:tc>
        <w:tc>
          <w:tcPr>
            <w:tcW w:w="2158" w:type="dxa"/>
            <w:vAlign w:val="top"/>
          </w:tcPr>
          <w:p w14:paraId="670CFD0C">
            <w:pPr>
              <w:pStyle w:val="6"/>
              <w:spacing w:before="111" w:line="219" w:lineRule="auto"/>
              <w:ind w:left="542"/>
              <w:rPr>
                <w:highlight w:val="none"/>
              </w:rPr>
            </w:pPr>
            <w:r>
              <w:rPr>
                <w:spacing w:val="2"/>
                <w:highlight w:val="none"/>
              </w:rPr>
              <w:t>缺陷责任期</w:t>
            </w:r>
          </w:p>
        </w:tc>
        <w:tc>
          <w:tcPr>
            <w:tcW w:w="1968" w:type="dxa"/>
            <w:vAlign w:val="top"/>
          </w:tcPr>
          <w:p w14:paraId="7043E53C">
            <w:pPr>
              <w:pStyle w:val="6"/>
              <w:spacing w:before="132" w:line="239" w:lineRule="auto"/>
              <w:ind w:left="604"/>
              <w:rPr>
                <w:highlight w:val="none"/>
              </w:rPr>
            </w:pPr>
            <w:r>
              <w:rPr>
                <w:spacing w:val="-3"/>
                <w:highlight w:val="none"/>
              </w:rPr>
              <w:t>1.1.4.5</w:t>
            </w:r>
          </w:p>
        </w:tc>
        <w:tc>
          <w:tcPr>
            <w:tcW w:w="2527" w:type="dxa"/>
            <w:vAlign w:val="top"/>
          </w:tcPr>
          <w:p w14:paraId="790E6D9F">
            <w:pPr>
              <w:pStyle w:val="6"/>
              <w:spacing w:before="232" w:line="164" w:lineRule="auto"/>
              <w:ind w:left="1046"/>
              <w:rPr>
                <w:highlight w:val="none"/>
              </w:rPr>
            </w:pPr>
            <w:r>
              <w:rPr>
                <w:spacing w:val="-6"/>
                <w:highlight w:val="none"/>
              </w:rPr>
              <w:t>……</w:t>
            </w:r>
          </w:p>
        </w:tc>
        <w:tc>
          <w:tcPr>
            <w:tcW w:w="744" w:type="dxa"/>
            <w:vAlign w:val="top"/>
          </w:tcPr>
          <w:p w14:paraId="342DA767">
            <w:pPr>
              <w:rPr>
                <w:rFonts w:ascii="Arial"/>
                <w:sz w:val="21"/>
                <w:highlight w:val="none"/>
              </w:rPr>
            </w:pPr>
          </w:p>
        </w:tc>
      </w:tr>
      <w:tr w14:paraId="3210E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383" w:type="dxa"/>
            <w:vAlign w:val="top"/>
          </w:tcPr>
          <w:p w14:paraId="41F76423">
            <w:pPr>
              <w:pStyle w:val="6"/>
              <w:spacing w:before="143" w:line="241" w:lineRule="auto"/>
              <w:ind w:left="625"/>
              <w:rPr>
                <w:highlight w:val="none"/>
              </w:rPr>
            </w:pPr>
            <w:r>
              <w:rPr>
                <w:highlight w:val="none"/>
              </w:rPr>
              <w:t>4</w:t>
            </w:r>
          </w:p>
        </w:tc>
        <w:tc>
          <w:tcPr>
            <w:tcW w:w="2158" w:type="dxa"/>
            <w:vAlign w:val="top"/>
          </w:tcPr>
          <w:p w14:paraId="3988726E">
            <w:pPr>
              <w:pStyle w:val="6"/>
              <w:spacing w:before="123" w:line="220" w:lineRule="auto"/>
              <w:ind w:left="862"/>
              <w:rPr>
                <w:highlight w:val="none"/>
              </w:rPr>
            </w:pPr>
            <w:r>
              <w:rPr>
                <w:spacing w:val="4"/>
                <w:highlight w:val="none"/>
              </w:rPr>
              <w:t>分包</w:t>
            </w:r>
          </w:p>
        </w:tc>
        <w:tc>
          <w:tcPr>
            <w:tcW w:w="1968" w:type="dxa"/>
            <w:vAlign w:val="top"/>
          </w:tcPr>
          <w:p w14:paraId="45390388">
            <w:pPr>
              <w:pStyle w:val="6"/>
              <w:spacing w:before="143" w:line="239" w:lineRule="auto"/>
              <w:ind w:left="714"/>
              <w:rPr>
                <w:highlight w:val="none"/>
              </w:rPr>
            </w:pPr>
            <w:r>
              <w:rPr>
                <w:spacing w:val="-2"/>
                <w:highlight w:val="none"/>
              </w:rPr>
              <w:t>4.3.4</w:t>
            </w:r>
          </w:p>
        </w:tc>
        <w:tc>
          <w:tcPr>
            <w:tcW w:w="2527" w:type="dxa"/>
            <w:vAlign w:val="top"/>
          </w:tcPr>
          <w:p w14:paraId="4DC0444B">
            <w:pPr>
              <w:pStyle w:val="6"/>
              <w:spacing w:before="243" w:line="172" w:lineRule="auto"/>
              <w:ind w:left="1046"/>
              <w:rPr>
                <w:highlight w:val="none"/>
              </w:rPr>
            </w:pPr>
            <w:r>
              <w:rPr>
                <w:spacing w:val="-6"/>
                <w:highlight w:val="none"/>
              </w:rPr>
              <w:t>……</w:t>
            </w:r>
          </w:p>
        </w:tc>
        <w:tc>
          <w:tcPr>
            <w:tcW w:w="744" w:type="dxa"/>
            <w:vAlign w:val="top"/>
          </w:tcPr>
          <w:p w14:paraId="6E977D16">
            <w:pPr>
              <w:rPr>
                <w:rFonts w:ascii="Arial"/>
                <w:sz w:val="21"/>
                <w:highlight w:val="none"/>
              </w:rPr>
            </w:pPr>
          </w:p>
        </w:tc>
      </w:tr>
      <w:tr w14:paraId="24071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383" w:type="dxa"/>
            <w:vAlign w:val="top"/>
          </w:tcPr>
          <w:p w14:paraId="21A0EA55">
            <w:pPr>
              <w:pStyle w:val="6"/>
              <w:spacing w:before="144"/>
              <w:ind w:left="625"/>
              <w:rPr>
                <w:highlight w:val="none"/>
              </w:rPr>
            </w:pPr>
            <w:r>
              <w:rPr>
                <w:highlight w:val="none"/>
              </w:rPr>
              <w:t>5</w:t>
            </w:r>
          </w:p>
        </w:tc>
        <w:tc>
          <w:tcPr>
            <w:tcW w:w="2158" w:type="dxa"/>
            <w:vAlign w:val="top"/>
          </w:tcPr>
          <w:p w14:paraId="652F058B">
            <w:pPr>
              <w:pStyle w:val="6"/>
              <w:spacing w:before="121" w:line="218" w:lineRule="auto"/>
              <w:ind w:left="122"/>
              <w:rPr>
                <w:highlight w:val="none"/>
              </w:rPr>
            </w:pPr>
            <w:r>
              <w:rPr>
                <w:spacing w:val="-1"/>
                <w:highlight w:val="none"/>
              </w:rPr>
              <w:t>价格调整的差额计算</w:t>
            </w:r>
          </w:p>
        </w:tc>
        <w:tc>
          <w:tcPr>
            <w:tcW w:w="1968" w:type="dxa"/>
            <w:vAlign w:val="top"/>
          </w:tcPr>
          <w:p w14:paraId="099DD0CF">
            <w:pPr>
              <w:pStyle w:val="6"/>
              <w:spacing w:before="144" w:line="239" w:lineRule="auto"/>
              <w:ind w:left="664"/>
              <w:rPr>
                <w:highlight w:val="none"/>
              </w:rPr>
            </w:pPr>
            <w:r>
              <w:rPr>
                <w:spacing w:val="-4"/>
                <w:highlight w:val="none"/>
              </w:rPr>
              <w:t>16.1.1</w:t>
            </w:r>
          </w:p>
        </w:tc>
        <w:tc>
          <w:tcPr>
            <w:tcW w:w="2527" w:type="dxa"/>
            <w:vAlign w:val="top"/>
          </w:tcPr>
          <w:p w14:paraId="05F3D55E">
            <w:pPr>
              <w:pStyle w:val="6"/>
              <w:spacing w:before="201" w:line="200" w:lineRule="auto"/>
              <w:ind w:left="415"/>
              <w:rPr>
                <w:highlight w:val="none"/>
              </w:rPr>
            </w:pPr>
            <w:r>
              <w:rPr>
                <w:spacing w:val="1"/>
                <w:highlight w:val="none"/>
              </w:rPr>
              <w:t>见价格指数权重表</w:t>
            </w:r>
          </w:p>
        </w:tc>
        <w:tc>
          <w:tcPr>
            <w:tcW w:w="744" w:type="dxa"/>
            <w:vAlign w:val="top"/>
          </w:tcPr>
          <w:p w14:paraId="723ED133">
            <w:pPr>
              <w:rPr>
                <w:rFonts w:ascii="Arial"/>
                <w:sz w:val="21"/>
                <w:highlight w:val="none"/>
              </w:rPr>
            </w:pPr>
          </w:p>
        </w:tc>
      </w:tr>
      <w:tr w14:paraId="59F83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383" w:type="dxa"/>
            <w:vAlign w:val="top"/>
          </w:tcPr>
          <w:p w14:paraId="38F45C3B">
            <w:pPr>
              <w:pStyle w:val="6"/>
              <w:spacing w:before="135" w:line="284" w:lineRule="exact"/>
              <w:ind w:left="475"/>
              <w:rPr>
                <w:highlight w:val="none"/>
              </w:rPr>
            </w:pPr>
            <w:r>
              <w:rPr>
                <w:spacing w:val="-6"/>
                <w:position w:val="1"/>
                <w:highlight w:val="none"/>
              </w:rPr>
              <w:t>……</w:t>
            </w:r>
          </w:p>
        </w:tc>
        <w:tc>
          <w:tcPr>
            <w:tcW w:w="2158" w:type="dxa"/>
            <w:vAlign w:val="top"/>
          </w:tcPr>
          <w:p w14:paraId="11D414B5">
            <w:pPr>
              <w:pStyle w:val="6"/>
              <w:spacing w:before="135" w:line="284" w:lineRule="exact"/>
              <w:ind w:left="862"/>
              <w:rPr>
                <w:highlight w:val="none"/>
              </w:rPr>
            </w:pPr>
            <w:r>
              <w:rPr>
                <w:spacing w:val="-6"/>
                <w:position w:val="1"/>
                <w:highlight w:val="none"/>
              </w:rPr>
              <w:t>……</w:t>
            </w:r>
          </w:p>
        </w:tc>
        <w:tc>
          <w:tcPr>
            <w:tcW w:w="1968" w:type="dxa"/>
            <w:vAlign w:val="top"/>
          </w:tcPr>
          <w:p w14:paraId="5D8072B3">
            <w:pPr>
              <w:pStyle w:val="6"/>
              <w:spacing w:before="135" w:line="284" w:lineRule="exact"/>
              <w:ind w:left="763"/>
              <w:rPr>
                <w:highlight w:val="none"/>
              </w:rPr>
            </w:pPr>
            <w:r>
              <w:rPr>
                <w:spacing w:val="-6"/>
                <w:position w:val="1"/>
                <w:highlight w:val="none"/>
              </w:rPr>
              <w:t>……</w:t>
            </w:r>
          </w:p>
        </w:tc>
        <w:tc>
          <w:tcPr>
            <w:tcW w:w="2527" w:type="dxa"/>
            <w:vAlign w:val="top"/>
          </w:tcPr>
          <w:p w14:paraId="59375BA0">
            <w:pPr>
              <w:pStyle w:val="6"/>
              <w:spacing w:before="235" w:line="161" w:lineRule="auto"/>
              <w:ind w:left="1046"/>
              <w:rPr>
                <w:highlight w:val="none"/>
              </w:rPr>
            </w:pPr>
            <w:r>
              <w:rPr>
                <w:spacing w:val="-6"/>
                <w:highlight w:val="none"/>
              </w:rPr>
              <w:t>……</w:t>
            </w:r>
          </w:p>
        </w:tc>
        <w:tc>
          <w:tcPr>
            <w:tcW w:w="744" w:type="dxa"/>
            <w:vAlign w:val="top"/>
          </w:tcPr>
          <w:p w14:paraId="1CCDAAD0">
            <w:pPr>
              <w:rPr>
                <w:rFonts w:ascii="Arial"/>
                <w:sz w:val="21"/>
                <w:highlight w:val="none"/>
              </w:rPr>
            </w:pPr>
          </w:p>
        </w:tc>
      </w:tr>
      <w:tr w14:paraId="797C4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383" w:type="dxa"/>
            <w:vAlign w:val="top"/>
          </w:tcPr>
          <w:p w14:paraId="411EF2DC">
            <w:pPr>
              <w:pStyle w:val="6"/>
              <w:spacing w:before="146" w:line="292" w:lineRule="exact"/>
              <w:ind w:left="475"/>
              <w:rPr>
                <w:highlight w:val="none"/>
              </w:rPr>
            </w:pPr>
            <w:r>
              <w:rPr>
                <w:spacing w:val="-6"/>
                <w:position w:val="1"/>
                <w:highlight w:val="none"/>
              </w:rPr>
              <w:t>……</w:t>
            </w:r>
          </w:p>
        </w:tc>
        <w:tc>
          <w:tcPr>
            <w:tcW w:w="2158" w:type="dxa"/>
            <w:vAlign w:val="top"/>
          </w:tcPr>
          <w:p w14:paraId="30EA7526">
            <w:pPr>
              <w:pStyle w:val="6"/>
              <w:spacing w:before="146" w:line="292" w:lineRule="exact"/>
              <w:ind w:left="862"/>
              <w:rPr>
                <w:highlight w:val="none"/>
              </w:rPr>
            </w:pPr>
            <w:r>
              <w:rPr>
                <w:spacing w:val="-6"/>
                <w:position w:val="1"/>
                <w:highlight w:val="none"/>
              </w:rPr>
              <w:t>……</w:t>
            </w:r>
          </w:p>
        </w:tc>
        <w:tc>
          <w:tcPr>
            <w:tcW w:w="1968" w:type="dxa"/>
            <w:vAlign w:val="top"/>
          </w:tcPr>
          <w:p w14:paraId="4707B20F">
            <w:pPr>
              <w:pStyle w:val="6"/>
              <w:spacing w:before="146" w:line="292" w:lineRule="exact"/>
              <w:ind w:left="763"/>
              <w:rPr>
                <w:highlight w:val="none"/>
              </w:rPr>
            </w:pPr>
            <w:r>
              <w:rPr>
                <w:spacing w:val="-6"/>
                <w:position w:val="1"/>
                <w:highlight w:val="none"/>
              </w:rPr>
              <w:t>……</w:t>
            </w:r>
          </w:p>
        </w:tc>
        <w:tc>
          <w:tcPr>
            <w:tcW w:w="2527" w:type="dxa"/>
            <w:vAlign w:val="top"/>
          </w:tcPr>
          <w:p w14:paraId="15F62EAB">
            <w:pPr>
              <w:pStyle w:val="6"/>
              <w:spacing w:before="256" w:line="160" w:lineRule="auto"/>
              <w:ind w:left="1046"/>
              <w:rPr>
                <w:highlight w:val="none"/>
              </w:rPr>
            </w:pPr>
            <w:r>
              <w:rPr>
                <w:spacing w:val="-6"/>
                <w:highlight w:val="none"/>
              </w:rPr>
              <w:t>……</w:t>
            </w:r>
          </w:p>
        </w:tc>
        <w:tc>
          <w:tcPr>
            <w:tcW w:w="744" w:type="dxa"/>
            <w:vAlign w:val="top"/>
          </w:tcPr>
          <w:p w14:paraId="6B4AA408">
            <w:pPr>
              <w:rPr>
                <w:rFonts w:ascii="Arial"/>
                <w:sz w:val="21"/>
                <w:highlight w:val="none"/>
              </w:rPr>
            </w:pPr>
          </w:p>
        </w:tc>
      </w:tr>
      <w:tr w14:paraId="3872C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3" w:hRule="atLeast"/>
        </w:trPr>
        <w:tc>
          <w:tcPr>
            <w:tcW w:w="8780" w:type="dxa"/>
            <w:gridSpan w:val="5"/>
            <w:vAlign w:val="top"/>
          </w:tcPr>
          <w:p w14:paraId="7935A06F">
            <w:pPr>
              <w:pStyle w:val="6"/>
              <w:spacing w:before="85" w:line="277" w:lineRule="auto"/>
              <w:ind w:left="145" w:right="25"/>
              <w:rPr>
                <w:highlight w:val="none"/>
              </w:rPr>
            </w:pPr>
            <w:r>
              <w:rPr>
                <w:highlight w:val="none"/>
              </w:rPr>
              <w:t>备注：投标人在响应招标文件中规定的实质性要求和条件的基础上</w:t>
            </w:r>
            <w:r>
              <w:rPr>
                <w:spacing w:val="-1"/>
                <w:highlight w:val="none"/>
              </w:rPr>
              <w:t>，可做出其他有利于招标人</w:t>
            </w:r>
            <w:r>
              <w:rPr>
                <w:highlight w:val="none"/>
              </w:rPr>
              <w:t xml:space="preserve"> 的承诺。此类承诺可在本表中予以补充填写。</w:t>
            </w:r>
          </w:p>
          <w:p w14:paraId="02748DE8">
            <w:pPr>
              <w:pStyle w:val="6"/>
              <w:spacing w:line="199" w:lineRule="auto"/>
              <w:ind w:left="675"/>
              <w:rPr>
                <w:highlight w:val="none"/>
              </w:rPr>
            </w:pPr>
            <w:r>
              <w:rPr>
                <w:highlight w:val="none"/>
              </w:rPr>
              <w:t>本表适用于2012版《标准设计施工总承包招标文件》中合同</w:t>
            </w:r>
            <w:r>
              <w:rPr>
                <w:spacing w:val="-1"/>
                <w:highlight w:val="none"/>
              </w:rPr>
              <w:t>条款及格式。</w:t>
            </w:r>
          </w:p>
        </w:tc>
      </w:tr>
    </w:tbl>
    <w:p w14:paraId="2C234313">
      <w:pPr>
        <w:pStyle w:val="2"/>
        <w:spacing w:line="246" w:lineRule="auto"/>
        <w:rPr>
          <w:highlight w:val="none"/>
        </w:rPr>
      </w:pPr>
    </w:p>
    <w:p w14:paraId="0D122578">
      <w:pPr>
        <w:pStyle w:val="2"/>
        <w:spacing w:line="246" w:lineRule="auto"/>
        <w:rPr>
          <w:highlight w:val="none"/>
        </w:rPr>
      </w:pPr>
    </w:p>
    <w:p w14:paraId="46359115">
      <w:pPr>
        <w:pStyle w:val="2"/>
        <w:spacing w:line="247" w:lineRule="auto"/>
        <w:rPr>
          <w:highlight w:val="none"/>
        </w:rPr>
      </w:pPr>
    </w:p>
    <w:p w14:paraId="51E0C97E">
      <w:pPr>
        <w:tabs>
          <w:tab w:val="left" w:pos="4853"/>
        </w:tabs>
        <w:spacing w:before="72" w:line="359" w:lineRule="auto"/>
        <w:ind w:left="3905" w:right="267" w:firstLine="30"/>
        <w:jc w:val="right"/>
        <w:rPr>
          <w:rFonts w:ascii="宋体" w:hAnsi="宋体" w:eastAsia="宋体" w:cs="宋体"/>
          <w:sz w:val="20"/>
          <w:szCs w:val="20"/>
          <w:highlight w:val="none"/>
        </w:rPr>
      </w:pPr>
      <w:r>
        <w:rPr>
          <w:rFonts w:ascii="宋体" w:hAnsi="宋体" w:eastAsia="宋体" w:cs="宋体"/>
          <w:spacing w:val="1"/>
          <w:sz w:val="22"/>
          <w:szCs w:val="22"/>
          <w:highlight w:val="none"/>
        </w:rPr>
        <w:t>投</w:t>
      </w:r>
      <w:r>
        <w:rPr>
          <w:rFonts w:ascii="宋体" w:hAnsi="宋体" w:eastAsia="宋体" w:cs="宋体"/>
          <w:spacing w:val="-41"/>
          <w:sz w:val="22"/>
          <w:szCs w:val="22"/>
          <w:highlight w:val="none"/>
        </w:rPr>
        <w:t xml:space="preserve"> </w:t>
      </w:r>
      <w:r>
        <w:rPr>
          <w:rFonts w:ascii="宋体" w:hAnsi="宋体" w:eastAsia="宋体" w:cs="宋体"/>
          <w:spacing w:val="1"/>
          <w:sz w:val="22"/>
          <w:szCs w:val="22"/>
          <w:highlight w:val="none"/>
        </w:rPr>
        <w:t>标</w:t>
      </w:r>
      <w:r>
        <w:rPr>
          <w:rFonts w:ascii="宋体" w:hAnsi="宋体" w:eastAsia="宋体" w:cs="宋体"/>
          <w:spacing w:val="-42"/>
          <w:sz w:val="22"/>
          <w:szCs w:val="22"/>
          <w:highlight w:val="none"/>
        </w:rPr>
        <w:t xml:space="preserve"> </w:t>
      </w:r>
      <w:r>
        <w:rPr>
          <w:rFonts w:ascii="宋体" w:hAnsi="宋体" w:eastAsia="宋体" w:cs="宋体"/>
          <w:spacing w:val="1"/>
          <w:sz w:val="22"/>
          <w:szCs w:val="22"/>
          <w:highlight w:val="none"/>
        </w:rPr>
        <w:t>人</w:t>
      </w:r>
      <w:r>
        <w:rPr>
          <w:rFonts w:ascii="宋体" w:hAnsi="宋体" w:eastAsia="宋体" w:cs="宋体"/>
          <w:spacing w:val="-26"/>
          <w:sz w:val="22"/>
          <w:szCs w:val="22"/>
          <w:highlight w:val="none"/>
        </w:rPr>
        <w:t xml:space="preserve"> </w:t>
      </w:r>
      <w:r>
        <w:rPr>
          <w:rFonts w:ascii="宋体" w:hAnsi="宋体" w:eastAsia="宋体" w:cs="宋体"/>
          <w:spacing w:val="1"/>
          <w:sz w:val="22"/>
          <w:szCs w:val="22"/>
          <w:highlight w:val="none"/>
        </w:rPr>
        <w:t>：</w:t>
      </w:r>
      <w:r>
        <w:rPr>
          <w:rFonts w:ascii="宋体" w:hAnsi="宋体" w:eastAsia="宋体" w:cs="宋体"/>
          <w:spacing w:val="1"/>
          <w:sz w:val="22"/>
          <w:szCs w:val="22"/>
          <w:highlight w:val="none"/>
          <w:u w:val="single" w:color="auto"/>
        </w:rPr>
        <w:t xml:space="preserve">                   </w:t>
      </w:r>
      <w:r>
        <w:rPr>
          <w:rFonts w:ascii="宋体" w:hAnsi="宋体" w:eastAsia="宋体" w:cs="宋体"/>
          <w:sz w:val="22"/>
          <w:szCs w:val="22"/>
          <w:highlight w:val="none"/>
          <w:u w:val="single" w:color="auto"/>
        </w:rPr>
        <w:t xml:space="preserve">  </w:t>
      </w:r>
      <w:r>
        <w:rPr>
          <w:rFonts w:ascii="宋体" w:hAnsi="宋体" w:eastAsia="宋体" w:cs="宋体"/>
          <w:spacing w:val="1"/>
          <w:sz w:val="22"/>
          <w:szCs w:val="22"/>
          <w:highlight w:val="none"/>
        </w:rPr>
        <w:t xml:space="preserve"> </w:t>
      </w:r>
      <w:r>
        <w:rPr>
          <w:rFonts w:ascii="宋体" w:hAnsi="宋体" w:eastAsia="宋体" w:cs="宋体"/>
          <w:spacing w:val="1"/>
          <w:sz w:val="20"/>
          <w:szCs w:val="20"/>
          <w:highlight w:val="none"/>
        </w:rPr>
        <w:t xml:space="preserve">(盖单位章) </w:t>
      </w:r>
      <w:r>
        <w:rPr>
          <w:rFonts w:ascii="宋体" w:hAnsi="宋体" w:eastAsia="宋体" w:cs="宋体"/>
          <w:spacing w:val="-15"/>
          <w:position w:val="-1"/>
          <w:sz w:val="22"/>
          <w:szCs w:val="22"/>
          <w:highlight w:val="none"/>
        </w:rPr>
        <w:t>法定代表人：:</w:t>
      </w:r>
      <w:r>
        <w:rPr>
          <w:rFonts w:ascii="宋体" w:hAnsi="宋体" w:eastAsia="宋体" w:cs="宋体"/>
          <w:spacing w:val="14"/>
          <w:position w:val="-1"/>
          <w:sz w:val="22"/>
          <w:szCs w:val="22"/>
          <w:highlight w:val="none"/>
        </w:rPr>
        <w:t xml:space="preserve"> </w:t>
      </w:r>
      <w:r>
        <w:rPr>
          <w:rFonts w:ascii="宋体" w:hAnsi="宋体" w:eastAsia="宋体" w:cs="宋体"/>
          <w:spacing w:val="-15"/>
          <w:position w:val="-1"/>
          <w:sz w:val="22"/>
          <w:szCs w:val="22"/>
          <w:highlight w:val="none"/>
          <w:u w:val="single" w:color="auto"/>
        </w:rPr>
        <w:t xml:space="preserve">                          </w:t>
      </w:r>
      <w:r>
        <w:rPr>
          <w:rFonts w:ascii="宋体" w:hAnsi="宋体" w:eastAsia="宋体" w:cs="宋体"/>
          <w:spacing w:val="-15"/>
          <w:position w:val="-1"/>
          <w:sz w:val="22"/>
          <w:szCs w:val="22"/>
          <w:highlight w:val="none"/>
        </w:rPr>
        <w:t xml:space="preserve"> </w:t>
      </w:r>
      <w:r>
        <w:rPr>
          <w:rFonts w:ascii="宋体" w:hAnsi="宋体" w:eastAsia="宋体" w:cs="宋体"/>
          <w:spacing w:val="-15"/>
          <w:position w:val="2"/>
          <w:sz w:val="21"/>
          <w:szCs w:val="21"/>
          <w:highlight w:val="none"/>
        </w:rPr>
        <w:t>(签字)</w:t>
      </w:r>
      <w:r>
        <w:rPr>
          <w:rFonts w:ascii="宋体" w:hAnsi="宋体" w:eastAsia="宋体" w:cs="宋体"/>
          <w:position w:val="2"/>
          <w:sz w:val="21"/>
          <w:szCs w:val="21"/>
          <w:highlight w:val="none"/>
        </w:rPr>
        <w:t xml:space="preserve"> </w:t>
      </w:r>
      <w:r>
        <w:rPr>
          <w:rFonts w:ascii="宋体" w:hAnsi="宋体" w:eastAsia="宋体" w:cs="宋体"/>
          <w:sz w:val="22"/>
          <w:szCs w:val="22"/>
          <w:highlight w:val="none"/>
          <w:u w:val="single" w:color="auto"/>
        </w:rPr>
        <w:tab/>
      </w:r>
      <w:r>
        <w:rPr>
          <w:rFonts w:ascii="宋体" w:hAnsi="宋体" w:eastAsia="宋体" w:cs="宋体"/>
          <w:spacing w:val="-100"/>
          <w:sz w:val="22"/>
          <w:szCs w:val="22"/>
          <w:highlight w:val="none"/>
        </w:rPr>
        <w:t xml:space="preserve"> </w:t>
      </w:r>
      <w:r>
        <w:rPr>
          <w:rFonts w:ascii="宋体" w:hAnsi="宋体" w:eastAsia="宋体" w:cs="宋体"/>
          <w:spacing w:val="-11"/>
          <w:w w:val="71"/>
          <w:sz w:val="22"/>
          <w:szCs w:val="22"/>
          <w:highlight w:val="none"/>
        </w:rPr>
        <w:t>年</w:t>
      </w:r>
      <w:r>
        <w:rPr>
          <w:rFonts w:ascii="宋体" w:hAnsi="宋体" w:eastAsia="宋体" w:cs="宋体"/>
          <w:spacing w:val="14"/>
          <w:sz w:val="22"/>
          <w:szCs w:val="22"/>
          <w:highlight w:val="none"/>
          <w:u w:val="single" w:color="auto"/>
        </w:rPr>
        <w:t xml:space="preserve">       </w:t>
      </w:r>
      <w:r>
        <w:rPr>
          <w:rFonts w:ascii="宋体" w:hAnsi="宋体" w:eastAsia="宋体" w:cs="宋体"/>
          <w:spacing w:val="-11"/>
          <w:w w:val="71"/>
          <w:sz w:val="23"/>
          <w:szCs w:val="23"/>
          <w:highlight w:val="none"/>
        </w:rPr>
        <w:t>月_</w:t>
      </w:r>
      <w:r>
        <w:rPr>
          <w:rFonts w:ascii="宋体" w:hAnsi="宋体" w:eastAsia="宋体" w:cs="宋体"/>
          <w:spacing w:val="-92"/>
          <w:sz w:val="23"/>
          <w:szCs w:val="23"/>
          <w:highlight w:val="none"/>
        </w:rPr>
        <w:t xml:space="preserve"> </w:t>
      </w:r>
      <w:r>
        <w:rPr>
          <w:rFonts w:ascii="宋体" w:hAnsi="宋体" w:eastAsia="宋体" w:cs="宋体"/>
          <w:spacing w:val="6"/>
          <w:sz w:val="23"/>
          <w:szCs w:val="23"/>
          <w:highlight w:val="none"/>
          <w:u w:val="single" w:color="auto"/>
        </w:rPr>
        <w:t xml:space="preserve">       </w:t>
      </w:r>
      <w:r>
        <w:rPr>
          <w:rFonts w:ascii="宋体" w:hAnsi="宋体" w:eastAsia="宋体" w:cs="宋体"/>
          <w:spacing w:val="-102"/>
          <w:sz w:val="23"/>
          <w:szCs w:val="23"/>
          <w:highlight w:val="none"/>
        </w:rPr>
        <w:t xml:space="preserve"> </w:t>
      </w:r>
      <w:r>
        <w:rPr>
          <w:rFonts w:ascii="宋体" w:hAnsi="宋体" w:eastAsia="宋体" w:cs="宋体"/>
          <w:position w:val="1"/>
          <w:sz w:val="20"/>
          <w:szCs w:val="20"/>
          <w:highlight w:val="none"/>
        </w:rPr>
        <w:t>日</w:t>
      </w:r>
    </w:p>
    <w:p w14:paraId="115AF84F">
      <w:pPr>
        <w:spacing w:line="359" w:lineRule="auto"/>
        <w:rPr>
          <w:rFonts w:ascii="宋体" w:hAnsi="宋体" w:eastAsia="宋体" w:cs="宋体"/>
          <w:sz w:val="20"/>
          <w:szCs w:val="20"/>
          <w:highlight w:val="none"/>
        </w:rPr>
        <w:sectPr>
          <w:footerReference r:id="rId242" w:type="default"/>
          <w:pgSz w:w="11910" w:h="16840"/>
          <w:pgMar w:top="400" w:right="1574" w:bottom="1238" w:left="1544" w:header="0" w:footer="1007" w:gutter="0"/>
          <w:cols w:space="720" w:num="1"/>
        </w:sectPr>
      </w:pPr>
    </w:p>
    <w:p w14:paraId="5BA7E37D">
      <w:pPr>
        <w:pStyle w:val="2"/>
        <w:spacing w:line="241" w:lineRule="auto"/>
        <w:rPr>
          <w:highlight w:val="none"/>
        </w:rPr>
      </w:pPr>
    </w:p>
    <w:p w14:paraId="57179177">
      <w:pPr>
        <w:pStyle w:val="2"/>
        <w:spacing w:line="241" w:lineRule="auto"/>
        <w:rPr>
          <w:highlight w:val="none"/>
        </w:rPr>
      </w:pPr>
    </w:p>
    <w:p w14:paraId="24D70C95">
      <w:pPr>
        <w:pStyle w:val="2"/>
        <w:spacing w:line="241" w:lineRule="auto"/>
        <w:rPr>
          <w:highlight w:val="none"/>
        </w:rPr>
      </w:pPr>
    </w:p>
    <w:p w14:paraId="02AF0DCE">
      <w:pPr>
        <w:pStyle w:val="2"/>
        <w:spacing w:line="241" w:lineRule="auto"/>
        <w:rPr>
          <w:highlight w:val="none"/>
        </w:rPr>
      </w:pPr>
    </w:p>
    <w:p w14:paraId="78DC2FDD">
      <w:pPr>
        <w:pStyle w:val="2"/>
        <w:spacing w:line="241" w:lineRule="auto"/>
        <w:rPr>
          <w:highlight w:val="none"/>
        </w:rPr>
      </w:pPr>
    </w:p>
    <w:p w14:paraId="36FC8FFB">
      <w:pPr>
        <w:pStyle w:val="2"/>
        <w:spacing w:line="241" w:lineRule="auto"/>
        <w:rPr>
          <w:highlight w:val="none"/>
        </w:rPr>
      </w:pPr>
    </w:p>
    <w:p w14:paraId="0BF6F548">
      <w:pPr>
        <w:pStyle w:val="2"/>
        <w:spacing w:line="242" w:lineRule="auto"/>
        <w:rPr>
          <w:highlight w:val="none"/>
        </w:rPr>
      </w:pPr>
    </w:p>
    <w:p w14:paraId="0E177794">
      <w:pPr>
        <w:spacing w:before="91" w:line="222" w:lineRule="auto"/>
        <w:ind w:left="3255"/>
        <w:rPr>
          <w:rFonts w:ascii="黑体" w:hAnsi="黑体" w:eastAsia="黑体" w:cs="黑体"/>
          <w:sz w:val="28"/>
          <w:szCs w:val="28"/>
          <w:highlight w:val="none"/>
        </w:rPr>
      </w:pPr>
      <w:r>
        <w:rPr>
          <w:rFonts w:ascii="黑体" w:hAnsi="黑体" w:eastAsia="黑体" w:cs="黑体"/>
          <w:spacing w:val="4"/>
          <w:sz w:val="28"/>
          <w:szCs w:val="28"/>
          <w:highlight w:val="none"/>
        </w:rPr>
        <w:t>价格指数权重表</w:t>
      </w:r>
    </w:p>
    <w:p w14:paraId="2510D7AE">
      <w:pPr>
        <w:spacing w:before="187"/>
        <w:rPr>
          <w:highlight w:val="none"/>
        </w:rPr>
      </w:pPr>
    </w:p>
    <w:tbl>
      <w:tblPr>
        <w:tblStyle w:val="5"/>
        <w:tblW w:w="8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4"/>
        <w:gridCol w:w="909"/>
        <w:gridCol w:w="719"/>
        <w:gridCol w:w="1069"/>
        <w:gridCol w:w="719"/>
        <w:gridCol w:w="1258"/>
        <w:gridCol w:w="1618"/>
        <w:gridCol w:w="1813"/>
      </w:tblGrid>
      <w:tr w14:paraId="7CE83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1363" w:type="dxa"/>
            <w:gridSpan w:val="2"/>
            <w:vMerge w:val="restart"/>
            <w:tcBorders>
              <w:bottom w:val="nil"/>
            </w:tcBorders>
            <w:vAlign w:val="top"/>
          </w:tcPr>
          <w:p w14:paraId="0043B9DC">
            <w:pPr>
              <w:pStyle w:val="6"/>
              <w:spacing w:before="306" w:line="221" w:lineRule="auto"/>
              <w:ind w:left="305"/>
              <w:rPr>
                <w:highlight w:val="none"/>
              </w:rPr>
            </w:pPr>
            <w:r>
              <w:rPr>
                <w:spacing w:val="-6"/>
                <w:highlight w:val="none"/>
              </w:rPr>
              <w:t>名</w:t>
            </w:r>
            <w:r>
              <w:rPr>
                <w:spacing w:val="1"/>
                <w:highlight w:val="none"/>
              </w:rPr>
              <w:t xml:space="preserve">   </w:t>
            </w:r>
            <w:r>
              <w:rPr>
                <w:spacing w:val="-6"/>
                <w:highlight w:val="none"/>
              </w:rPr>
              <w:t>称</w:t>
            </w:r>
          </w:p>
        </w:tc>
        <w:tc>
          <w:tcPr>
            <w:tcW w:w="1788" w:type="dxa"/>
            <w:gridSpan w:val="2"/>
            <w:vAlign w:val="top"/>
          </w:tcPr>
          <w:p w14:paraId="4797A5A5">
            <w:pPr>
              <w:pStyle w:val="6"/>
              <w:spacing w:before="101" w:line="218" w:lineRule="auto"/>
              <w:ind w:left="262"/>
              <w:rPr>
                <w:highlight w:val="none"/>
              </w:rPr>
            </w:pPr>
            <w:r>
              <w:rPr>
                <w:spacing w:val="-2"/>
                <w:highlight w:val="none"/>
              </w:rPr>
              <w:t>基本价格指数</w:t>
            </w:r>
          </w:p>
        </w:tc>
        <w:tc>
          <w:tcPr>
            <w:tcW w:w="3595" w:type="dxa"/>
            <w:gridSpan w:val="3"/>
            <w:vAlign w:val="top"/>
          </w:tcPr>
          <w:p w14:paraId="622D9F0F">
            <w:pPr>
              <w:pStyle w:val="6"/>
              <w:spacing w:before="103" w:line="219" w:lineRule="auto"/>
              <w:ind w:left="1174"/>
              <w:rPr>
                <w:highlight w:val="none"/>
              </w:rPr>
            </w:pPr>
            <w:r>
              <w:rPr>
                <w:spacing w:val="-4"/>
                <w:position w:val="-1"/>
                <w:highlight w:val="none"/>
              </w:rPr>
              <w:t>权</w:t>
            </w:r>
            <w:r>
              <w:rPr>
                <w:spacing w:val="14"/>
                <w:position w:val="-1"/>
                <w:highlight w:val="none"/>
              </w:rPr>
              <w:t xml:space="preserve">       </w:t>
            </w:r>
            <w:r>
              <w:rPr>
                <w:spacing w:val="-4"/>
                <w:position w:val="1"/>
                <w:highlight w:val="none"/>
              </w:rPr>
              <w:t>重</w:t>
            </w:r>
          </w:p>
        </w:tc>
        <w:tc>
          <w:tcPr>
            <w:tcW w:w="1813" w:type="dxa"/>
            <w:vMerge w:val="restart"/>
            <w:tcBorders>
              <w:bottom w:val="nil"/>
            </w:tcBorders>
            <w:vAlign w:val="top"/>
          </w:tcPr>
          <w:p w14:paraId="0484039D">
            <w:pPr>
              <w:pStyle w:val="6"/>
              <w:spacing w:before="301" w:line="218" w:lineRule="auto"/>
              <w:ind w:left="268"/>
              <w:rPr>
                <w:highlight w:val="none"/>
              </w:rPr>
            </w:pPr>
            <w:r>
              <w:rPr>
                <w:spacing w:val="-2"/>
                <w:highlight w:val="none"/>
              </w:rPr>
              <w:t>价格指数来源</w:t>
            </w:r>
          </w:p>
        </w:tc>
      </w:tr>
      <w:tr w14:paraId="4A628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363" w:type="dxa"/>
            <w:gridSpan w:val="2"/>
            <w:vMerge w:val="continue"/>
            <w:tcBorders>
              <w:top w:val="nil"/>
            </w:tcBorders>
            <w:vAlign w:val="top"/>
          </w:tcPr>
          <w:p w14:paraId="585B84CF">
            <w:pPr>
              <w:rPr>
                <w:rFonts w:ascii="Arial"/>
                <w:sz w:val="21"/>
                <w:highlight w:val="none"/>
              </w:rPr>
            </w:pPr>
          </w:p>
        </w:tc>
        <w:tc>
          <w:tcPr>
            <w:tcW w:w="719" w:type="dxa"/>
            <w:vAlign w:val="top"/>
          </w:tcPr>
          <w:p w14:paraId="479D21BB">
            <w:pPr>
              <w:pStyle w:val="6"/>
              <w:spacing w:before="89" w:line="219" w:lineRule="auto"/>
              <w:ind w:left="141"/>
              <w:rPr>
                <w:highlight w:val="none"/>
              </w:rPr>
            </w:pPr>
            <w:r>
              <w:rPr>
                <w:spacing w:val="6"/>
                <w:highlight w:val="none"/>
              </w:rPr>
              <w:t>代号</w:t>
            </w:r>
          </w:p>
        </w:tc>
        <w:tc>
          <w:tcPr>
            <w:tcW w:w="1069" w:type="dxa"/>
            <w:vAlign w:val="top"/>
          </w:tcPr>
          <w:p w14:paraId="2F8499C3">
            <w:pPr>
              <w:pStyle w:val="6"/>
              <w:spacing w:before="89" w:line="219" w:lineRule="auto"/>
              <w:ind w:left="212"/>
              <w:rPr>
                <w:highlight w:val="none"/>
              </w:rPr>
            </w:pPr>
            <w:r>
              <w:rPr>
                <w:spacing w:val="-3"/>
                <w:highlight w:val="none"/>
              </w:rPr>
              <w:t>指数值</w:t>
            </w:r>
          </w:p>
        </w:tc>
        <w:tc>
          <w:tcPr>
            <w:tcW w:w="719" w:type="dxa"/>
            <w:vAlign w:val="top"/>
          </w:tcPr>
          <w:p w14:paraId="7EBCE1BF">
            <w:pPr>
              <w:pStyle w:val="6"/>
              <w:spacing w:before="89" w:line="219" w:lineRule="auto"/>
              <w:ind w:left="144"/>
              <w:rPr>
                <w:highlight w:val="none"/>
              </w:rPr>
            </w:pPr>
            <w:r>
              <w:rPr>
                <w:spacing w:val="6"/>
                <w:highlight w:val="none"/>
              </w:rPr>
              <w:t>代号</w:t>
            </w:r>
          </w:p>
        </w:tc>
        <w:tc>
          <w:tcPr>
            <w:tcW w:w="1258" w:type="dxa"/>
            <w:vAlign w:val="top"/>
          </w:tcPr>
          <w:p w14:paraId="20EB3A50">
            <w:pPr>
              <w:pStyle w:val="6"/>
              <w:spacing w:before="89" w:line="219" w:lineRule="auto"/>
              <w:ind w:left="205"/>
              <w:rPr>
                <w:highlight w:val="none"/>
              </w:rPr>
            </w:pPr>
            <w:r>
              <w:rPr>
                <w:spacing w:val="4"/>
                <w:highlight w:val="none"/>
              </w:rPr>
              <w:t>允许范围</w:t>
            </w:r>
          </w:p>
        </w:tc>
        <w:tc>
          <w:tcPr>
            <w:tcW w:w="1618" w:type="dxa"/>
            <w:vAlign w:val="top"/>
          </w:tcPr>
          <w:p w14:paraId="15884746">
            <w:pPr>
              <w:pStyle w:val="6"/>
              <w:spacing w:before="89" w:line="219" w:lineRule="auto"/>
              <w:ind w:left="176"/>
              <w:rPr>
                <w:highlight w:val="none"/>
              </w:rPr>
            </w:pPr>
            <w:r>
              <w:rPr>
                <w:spacing w:val="-2"/>
                <w:highlight w:val="none"/>
              </w:rPr>
              <w:t>投标人建议值</w:t>
            </w:r>
          </w:p>
        </w:tc>
        <w:tc>
          <w:tcPr>
            <w:tcW w:w="1813" w:type="dxa"/>
            <w:vMerge w:val="continue"/>
            <w:tcBorders>
              <w:top w:val="nil"/>
            </w:tcBorders>
            <w:vAlign w:val="top"/>
          </w:tcPr>
          <w:p w14:paraId="48CC07D4">
            <w:pPr>
              <w:rPr>
                <w:rFonts w:ascii="Arial"/>
                <w:sz w:val="21"/>
                <w:highlight w:val="none"/>
              </w:rPr>
            </w:pPr>
          </w:p>
        </w:tc>
      </w:tr>
      <w:tr w14:paraId="5A71D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363" w:type="dxa"/>
            <w:gridSpan w:val="2"/>
            <w:vAlign w:val="top"/>
          </w:tcPr>
          <w:p w14:paraId="45EA820D">
            <w:pPr>
              <w:pStyle w:val="6"/>
              <w:spacing w:before="90" w:line="219" w:lineRule="auto"/>
              <w:ind w:left="254"/>
              <w:rPr>
                <w:highlight w:val="none"/>
              </w:rPr>
            </w:pPr>
            <w:r>
              <w:rPr>
                <w:spacing w:val="2"/>
                <w:highlight w:val="none"/>
              </w:rPr>
              <w:t>定值部分</w:t>
            </w:r>
          </w:p>
        </w:tc>
        <w:tc>
          <w:tcPr>
            <w:tcW w:w="719" w:type="dxa"/>
            <w:vAlign w:val="top"/>
          </w:tcPr>
          <w:p w14:paraId="756DA613">
            <w:pPr>
              <w:rPr>
                <w:rFonts w:ascii="Arial"/>
                <w:sz w:val="21"/>
                <w:highlight w:val="none"/>
              </w:rPr>
            </w:pPr>
          </w:p>
        </w:tc>
        <w:tc>
          <w:tcPr>
            <w:tcW w:w="1069" w:type="dxa"/>
            <w:vAlign w:val="top"/>
          </w:tcPr>
          <w:p w14:paraId="4213C1FA">
            <w:pPr>
              <w:rPr>
                <w:rFonts w:ascii="Arial"/>
                <w:sz w:val="21"/>
                <w:highlight w:val="none"/>
              </w:rPr>
            </w:pPr>
          </w:p>
        </w:tc>
        <w:tc>
          <w:tcPr>
            <w:tcW w:w="719" w:type="dxa"/>
            <w:vAlign w:val="top"/>
          </w:tcPr>
          <w:p w14:paraId="0ADB216F">
            <w:pPr>
              <w:pStyle w:val="6"/>
              <w:spacing w:before="143" w:line="184" w:lineRule="auto"/>
              <w:ind w:left="293"/>
              <w:rPr>
                <w:highlight w:val="none"/>
              </w:rPr>
            </w:pPr>
            <w:r>
              <w:rPr>
                <w:highlight w:val="none"/>
              </w:rPr>
              <w:t>A</w:t>
            </w:r>
          </w:p>
        </w:tc>
        <w:tc>
          <w:tcPr>
            <w:tcW w:w="1258" w:type="dxa"/>
            <w:vAlign w:val="top"/>
          </w:tcPr>
          <w:p w14:paraId="7964CD56">
            <w:pPr>
              <w:rPr>
                <w:rFonts w:ascii="Arial"/>
                <w:sz w:val="21"/>
                <w:highlight w:val="none"/>
              </w:rPr>
            </w:pPr>
          </w:p>
        </w:tc>
        <w:tc>
          <w:tcPr>
            <w:tcW w:w="1618" w:type="dxa"/>
            <w:vAlign w:val="top"/>
          </w:tcPr>
          <w:p w14:paraId="7B1243C7">
            <w:pPr>
              <w:rPr>
                <w:rFonts w:ascii="Arial"/>
                <w:sz w:val="21"/>
                <w:highlight w:val="none"/>
              </w:rPr>
            </w:pPr>
          </w:p>
        </w:tc>
        <w:tc>
          <w:tcPr>
            <w:tcW w:w="1813" w:type="dxa"/>
            <w:vAlign w:val="top"/>
          </w:tcPr>
          <w:p w14:paraId="39A5679C">
            <w:pPr>
              <w:rPr>
                <w:rFonts w:ascii="Arial"/>
                <w:sz w:val="21"/>
                <w:highlight w:val="none"/>
              </w:rPr>
            </w:pPr>
          </w:p>
        </w:tc>
      </w:tr>
      <w:tr w14:paraId="153DB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454" w:type="dxa"/>
            <w:vMerge w:val="restart"/>
            <w:tcBorders>
              <w:bottom w:val="nil"/>
            </w:tcBorders>
            <w:textDirection w:val="tbRlV"/>
            <w:vAlign w:val="top"/>
          </w:tcPr>
          <w:p w14:paraId="1CD89474">
            <w:pPr>
              <w:pStyle w:val="6"/>
              <w:spacing w:before="126" w:line="201" w:lineRule="auto"/>
              <w:ind w:left="83"/>
              <w:rPr>
                <w:highlight w:val="none"/>
              </w:rPr>
            </w:pPr>
            <w:r>
              <w:rPr>
                <w:highlight w:val="none"/>
              </w:rPr>
              <w:t>变</w:t>
            </w:r>
            <w:r>
              <w:rPr>
                <w:spacing w:val="86"/>
                <w:highlight w:val="none"/>
              </w:rPr>
              <w:t xml:space="preserve"> </w:t>
            </w:r>
            <w:r>
              <w:rPr>
                <w:highlight w:val="none"/>
              </w:rPr>
              <w:t>值</w:t>
            </w:r>
            <w:r>
              <w:rPr>
                <w:spacing w:val="86"/>
                <w:highlight w:val="none"/>
              </w:rPr>
              <w:t xml:space="preserve"> </w:t>
            </w:r>
            <w:r>
              <w:rPr>
                <w:highlight w:val="none"/>
              </w:rPr>
              <w:t>部</w:t>
            </w:r>
            <w:r>
              <w:rPr>
                <w:spacing w:val="86"/>
                <w:highlight w:val="none"/>
              </w:rPr>
              <w:t xml:space="preserve"> </w:t>
            </w:r>
            <w:r>
              <w:rPr>
                <w:highlight w:val="none"/>
              </w:rPr>
              <w:t>分</w:t>
            </w:r>
          </w:p>
        </w:tc>
        <w:tc>
          <w:tcPr>
            <w:tcW w:w="909" w:type="dxa"/>
            <w:vAlign w:val="top"/>
          </w:tcPr>
          <w:p w14:paraId="5B64136F">
            <w:pPr>
              <w:pStyle w:val="6"/>
              <w:spacing w:before="92" w:line="220" w:lineRule="auto"/>
              <w:ind w:left="131"/>
              <w:rPr>
                <w:highlight w:val="none"/>
              </w:rPr>
            </w:pPr>
            <w:r>
              <w:rPr>
                <w:spacing w:val="4"/>
                <w:highlight w:val="none"/>
              </w:rPr>
              <w:t>人工费</w:t>
            </w:r>
          </w:p>
        </w:tc>
        <w:tc>
          <w:tcPr>
            <w:tcW w:w="719" w:type="dxa"/>
            <w:vAlign w:val="top"/>
          </w:tcPr>
          <w:p w14:paraId="425075AA">
            <w:pPr>
              <w:pStyle w:val="6"/>
              <w:spacing w:before="144" w:line="184" w:lineRule="auto"/>
              <w:ind w:left="191"/>
              <w:rPr>
                <w:highlight w:val="none"/>
              </w:rPr>
            </w:pPr>
            <w:r>
              <w:rPr>
                <w:spacing w:val="-2"/>
                <w:highlight w:val="none"/>
              </w:rPr>
              <w:t>Fo1</w:t>
            </w:r>
          </w:p>
        </w:tc>
        <w:tc>
          <w:tcPr>
            <w:tcW w:w="1069" w:type="dxa"/>
            <w:vAlign w:val="top"/>
          </w:tcPr>
          <w:p w14:paraId="434C258D">
            <w:pPr>
              <w:pStyle w:val="6"/>
              <w:spacing w:before="141" w:line="205" w:lineRule="exact"/>
              <w:ind w:left="393"/>
              <w:rPr>
                <w:sz w:val="13"/>
                <w:szCs w:val="13"/>
                <w:highlight w:val="none"/>
              </w:rPr>
            </w:pPr>
            <w:r>
              <w:rPr>
                <w:spacing w:val="-4"/>
                <w:position w:val="1"/>
                <w:sz w:val="13"/>
                <w:szCs w:val="13"/>
                <w:highlight w:val="none"/>
              </w:rPr>
              <w:t>……</w:t>
            </w:r>
          </w:p>
        </w:tc>
        <w:tc>
          <w:tcPr>
            <w:tcW w:w="719" w:type="dxa"/>
            <w:vAlign w:val="top"/>
          </w:tcPr>
          <w:p w14:paraId="0C5450D6">
            <w:pPr>
              <w:pStyle w:val="6"/>
              <w:spacing w:before="125" w:line="182" w:lineRule="auto"/>
              <w:ind w:left="193"/>
              <w:rPr>
                <w:rFonts w:ascii="Calibri" w:hAnsi="Calibri" w:eastAsia="Calibri" w:cs="Calibri"/>
                <w:highlight w:val="none"/>
              </w:rPr>
            </w:pPr>
            <w:r>
              <w:rPr>
                <w:spacing w:val="-2"/>
                <w:highlight w:val="none"/>
              </w:rPr>
              <w:t>B</w:t>
            </w:r>
            <w:r>
              <w:rPr>
                <w:rFonts w:ascii="Calibri" w:hAnsi="Calibri" w:eastAsia="Calibri" w:cs="Calibri"/>
                <w:spacing w:val="-2"/>
                <w:highlight w:val="none"/>
              </w:rPr>
              <w:t>₁</w:t>
            </w:r>
          </w:p>
        </w:tc>
        <w:tc>
          <w:tcPr>
            <w:tcW w:w="1258" w:type="dxa"/>
            <w:vAlign w:val="top"/>
          </w:tcPr>
          <w:p w14:paraId="6773C287">
            <w:pPr>
              <w:pStyle w:val="6"/>
              <w:spacing w:before="83" w:line="213" w:lineRule="auto"/>
              <w:ind w:left="465"/>
              <w:rPr>
                <w:highlight w:val="none"/>
              </w:rPr>
            </w:pPr>
            <w:r>
              <w:rPr>
                <w:spacing w:val="-5"/>
                <w:highlight w:val="none"/>
              </w:rPr>
              <w:t>至_</w:t>
            </w:r>
          </w:p>
        </w:tc>
        <w:tc>
          <w:tcPr>
            <w:tcW w:w="1618" w:type="dxa"/>
            <w:vAlign w:val="top"/>
          </w:tcPr>
          <w:p w14:paraId="4A60CEDA">
            <w:pPr>
              <w:pStyle w:val="6"/>
              <w:spacing w:before="112" w:line="234" w:lineRule="auto"/>
              <w:ind w:left="597"/>
              <w:rPr>
                <w:highlight w:val="none"/>
              </w:rPr>
            </w:pPr>
            <w:r>
              <w:rPr>
                <w:spacing w:val="-6"/>
                <w:highlight w:val="none"/>
              </w:rPr>
              <w:t>……</w:t>
            </w:r>
          </w:p>
        </w:tc>
        <w:tc>
          <w:tcPr>
            <w:tcW w:w="1813" w:type="dxa"/>
            <w:vAlign w:val="top"/>
          </w:tcPr>
          <w:p w14:paraId="5188081A">
            <w:pPr>
              <w:pStyle w:val="6"/>
              <w:spacing w:before="141" w:line="205" w:lineRule="exact"/>
              <w:ind w:left="768"/>
              <w:rPr>
                <w:sz w:val="13"/>
                <w:szCs w:val="13"/>
                <w:highlight w:val="none"/>
              </w:rPr>
            </w:pPr>
            <w:r>
              <w:rPr>
                <w:spacing w:val="-4"/>
                <w:position w:val="1"/>
                <w:sz w:val="13"/>
                <w:szCs w:val="13"/>
                <w:highlight w:val="none"/>
              </w:rPr>
              <w:t>……</w:t>
            </w:r>
          </w:p>
        </w:tc>
      </w:tr>
      <w:tr w14:paraId="3765B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454" w:type="dxa"/>
            <w:vMerge w:val="continue"/>
            <w:tcBorders>
              <w:top w:val="nil"/>
              <w:bottom w:val="nil"/>
            </w:tcBorders>
            <w:textDirection w:val="tbRlV"/>
            <w:vAlign w:val="top"/>
          </w:tcPr>
          <w:p w14:paraId="3FE7AC80">
            <w:pPr>
              <w:rPr>
                <w:rFonts w:ascii="Arial"/>
                <w:sz w:val="21"/>
                <w:highlight w:val="none"/>
              </w:rPr>
            </w:pPr>
          </w:p>
        </w:tc>
        <w:tc>
          <w:tcPr>
            <w:tcW w:w="909" w:type="dxa"/>
            <w:vAlign w:val="top"/>
          </w:tcPr>
          <w:p w14:paraId="186B79A9">
            <w:pPr>
              <w:pStyle w:val="6"/>
              <w:spacing w:before="111" w:line="219" w:lineRule="auto"/>
              <w:ind w:left="230"/>
              <w:rPr>
                <w:highlight w:val="none"/>
              </w:rPr>
            </w:pPr>
            <w:r>
              <w:rPr>
                <w:spacing w:val="-2"/>
                <w:highlight w:val="none"/>
              </w:rPr>
              <w:t>钢材</w:t>
            </w:r>
          </w:p>
        </w:tc>
        <w:tc>
          <w:tcPr>
            <w:tcW w:w="719" w:type="dxa"/>
            <w:vAlign w:val="top"/>
          </w:tcPr>
          <w:p w14:paraId="7DF36DD6">
            <w:pPr>
              <w:pStyle w:val="6"/>
              <w:spacing w:before="147" w:line="182" w:lineRule="auto"/>
              <w:ind w:left="141"/>
              <w:rPr>
                <w:rFonts w:ascii="Calibri" w:hAnsi="Calibri" w:eastAsia="Calibri" w:cs="Calibri"/>
                <w:highlight w:val="none"/>
              </w:rPr>
            </w:pPr>
            <w:r>
              <w:rPr>
                <w:spacing w:val="-2"/>
                <w:highlight w:val="none"/>
              </w:rPr>
              <w:t>Fo</w:t>
            </w:r>
            <w:r>
              <w:rPr>
                <w:rFonts w:ascii="Calibri" w:hAnsi="Calibri" w:eastAsia="Calibri" w:cs="Calibri"/>
                <w:spacing w:val="-2"/>
                <w:highlight w:val="none"/>
              </w:rPr>
              <w:t>₂</w:t>
            </w:r>
          </w:p>
        </w:tc>
        <w:tc>
          <w:tcPr>
            <w:tcW w:w="1069" w:type="dxa"/>
            <w:vAlign w:val="top"/>
          </w:tcPr>
          <w:p w14:paraId="116BBB5E">
            <w:pPr>
              <w:pStyle w:val="6"/>
              <w:spacing w:before="182" w:line="94" w:lineRule="exact"/>
              <w:ind w:left="462"/>
              <w:rPr>
                <w:sz w:val="6"/>
                <w:szCs w:val="6"/>
                <w:highlight w:val="none"/>
              </w:rPr>
            </w:pPr>
            <w:r>
              <w:rPr>
                <w:spacing w:val="-2"/>
                <w:position w:val="1"/>
                <w:sz w:val="6"/>
                <w:szCs w:val="6"/>
                <w:highlight w:val="none"/>
              </w:rPr>
              <w:t>……</w:t>
            </w:r>
          </w:p>
        </w:tc>
        <w:tc>
          <w:tcPr>
            <w:tcW w:w="719" w:type="dxa"/>
            <w:vAlign w:val="top"/>
          </w:tcPr>
          <w:p w14:paraId="323281E1">
            <w:pPr>
              <w:pStyle w:val="6"/>
              <w:spacing w:before="147" w:line="182" w:lineRule="auto"/>
              <w:ind w:left="193"/>
              <w:rPr>
                <w:rFonts w:ascii="Calibri" w:hAnsi="Calibri" w:eastAsia="Calibri" w:cs="Calibri"/>
                <w:highlight w:val="none"/>
              </w:rPr>
            </w:pPr>
            <w:r>
              <w:rPr>
                <w:spacing w:val="-2"/>
                <w:highlight w:val="none"/>
              </w:rPr>
              <w:t>B</w:t>
            </w:r>
            <w:r>
              <w:rPr>
                <w:rFonts w:ascii="Calibri" w:hAnsi="Calibri" w:eastAsia="Calibri" w:cs="Calibri"/>
                <w:spacing w:val="-2"/>
                <w:highlight w:val="none"/>
              </w:rPr>
              <w:t>₂</w:t>
            </w:r>
          </w:p>
        </w:tc>
        <w:tc>
          <w:tcPr>
            <w:tcW w:w="1258" w:type="dxa"/>
            <w:vAlign w:val="top"/>
          </w:tcPr>
          <w:p w14:paraId="669E67E4">
            <w:pPr>
              <w:pStyle w:val="6"/>
              <w:spacing w:before="125" w:line="232" w:lineRule="auto"/>
              <w:ind w:left="465"/>
              <w:rPr>
                <w:highlight w:val="none"/>
              </w:rPr>
            </w:pPr>
            <w:r>
              <w:rPr>
                <w:spacing w:val="-10"/>
                <w:highlight w:val="none"/>
              </w:rPr>
              <w:t>至</w:t>
            </w:r>
            <w:r>
              <w:rPr>
                <w:highlight w:val="none"/>
                <w:u w:val="single" w:color="auto"/>
              </w:rPr>
              <w:t xml:space="preserve"> </w:t>
            </w:r>
          </w:p>
        </w:tc>
        <w:tc>
          <w:tcPr>
            <w:tcW w:w="1618" w:type="dxa"/>
            <w:vAlign w:val="top"/>
          </w:tcPr>
          <w:p w14:paraId="3DE5C9B3">
            <w:pPr>
              <w:pStyle w:val="6"/>
              <w:spacing w:before="133" w:line="242" w:lineRule="auto"/>
              <w:ind w:left="597"/>
              <w:rPr>
                <w:highlight w:val="none"/>
              </w:rPr>
            </w:pPr>
            <w:r>
              <w:rPr>
                <w:spacing w:val="-6"/>
                <w:highlight w:val="none"/>
              </w:rPr>
              <w:t>……</w:t>
            </w:r>
          </w:p>
        </w:tc>
        <w:tc>
          <w:tcPr>
            <w:tcW w:w="1813" w:type="dxa"/>
            <w:vAlign w:val="top"/>
          </w:tcPr>
          <w:p w14:paraId="6F2EC08C">
            <w:pPr>
              <w:pStyle w:val="6"/>
              <w:spacing w:before="182" w:line="94" w:lineRule="exact"/>
              <w:ind w:left="839"/>
              <w:rPr>
                <w:sz w:val="6"/>
                <w:szCs w:val="6"/>
                <w:highlight w:val="none"/>
              </w:rPr>
            </w:pPr>
            <w:r>
              <w:rPr>
                <w:spacing w:val="-2"/>
                <w:position w:val="1"/>
                <w:sz w:val="6"/>
                <w:szCs w:val="6"/>
                <w:highlight w:val="none"/>
              </w:rPr>
              <w:t>……</w:t>
            </w:r>
          </w:p>
        </w:tc>
      </w:tr>
      <w:tr w14:paraId="45962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454" w:type="dxa"/>
            <w:vMerge w:val="continue"/>
            <w:tcBorders>
              <w:top w:val="nil"/>
              <w:bottom w:val="nil"/>
            </w:tcBorders>
            <w:textDirection w:val="tbRlV"/>
            <w:vAlign w:val="top"/>
          </w:tcPr>
          <w:p w14:paraId="3714DEFE">
            <w:pPr>
              <w:rPr>
                <w:rFonts w:ascii="Arial"/>
                <w:sz w:val="21"/>
                <w:highlight w:val="none"/>
              </w:rPr>
            </w:pPr>
          </w:p>
        </w:tc>
        <w:tc>
          <w:tcPr>
            <w:tcW w:w="909" w:type="dxa"/>
            <w:vAlign w:val="top"/>
          </w:tcPr>
          <w:p w14:paraId="6C9BBEE9">
            <w:pPr>
              <w:pStyle w:val="6"/>
              <w:spacing w:before="93" w:line="219" w:lineRule="auto"/>
              <w:ind w:left="230"/>
              <w:rPr>
                <w:highlight w:val="none"/>
              </w:rPr>
            </w:pPr>
            <w:r>
              <w:rPr>
                <w:spacing w:val="5"/>
                <w:highlight w:val="none"/>
              </w:rPr>
              <w:t>水泥</w:t>
            </w:r>
          </w:p>
        </w:tc>
        <w:tc>
          <w:tcPr>
            <w:tcW w:w="719" w:type="dxa"/>
            <w:vAlign w:val="top"/>
          </w:tcPr>
          <w:p w14:paraId="0D6BEFE6">
            <w:pPr>
              <w:pStyle w:val="6"/>
              <w:spacing w:before="147" w:line="183" w:lineRule="auto"/>
              <w:ind w:left="191"/>
              <w:rPr>
                <w:highlight w:val="none"/>
              </w:rPr>
            </w:pPr>
            <w:r>
              <w:rPr>
                <w:spacing w:val="-2"/>
                <w:highlight w:val="none"/>
              </w:rPr>
              <w:t>Fo3</w:t>
            </w:r>
          </w:p>
        </w:tc>
        <w:tc>
          <w:tcPr>
            <w:tcW w:w="1069" w:type="dxa"/>
            <w:vAlign w:val="top"/>
          </w:tcPr>
          <w:p w14:paraId="1EAEB623">
            <w:pPr>
              <w:pStyle w:val="6"/>
              <w:spacing w:before="173" w:line="94" w:lineRule="exact"/>
              <w:ind w:left="462"/>
              <w:rPr>
                <w:sz w:val="6"/>
                <w:szCs w:val="6"/>
                <w:highlight w:val="none"/>
              </w:rPr>
            </w:pPr>
            <w:r>
              <w:rPr>
                <w:spacing w:val="-2"/>
                <w:position w:val="1"/>
                <w:sz w:val="6"/>
                <w:szCs w:val="6"/>
                <w:highlight w:val="none"/>
              </w:rPr>
              <w:t>……</w:t>
            </w:r>
          </w:p>
        </w:tc>
        <w:tc>
          <w:tcPr>
            <w:tcW w:w="719" w:type="dxa"/>
            <w:vAlign w:val="top"/>
          </w:tcPr>
          <w:p w14:paraId="7ABA3F25">
            <w:pPr>
              <w:pStyle w:val="6"/>
              <w:spacing w:before="126" w:line="182" w:lineRule="auto"/>
              <w:ind w:left="193"/>
              <w:rPr>
                <w:rFonts w:ascii="Calibri" w:hAnsi="Calibri" w:eastAsia="Calibri" w:cs="Calibri"/>
                <w:highlight w:val="none"/>
              </w:rPr>
            </w:pPr>
            <w:r>
              <w:rPr>
                <w:spacing w:val="-2"/>
                <w:highlight w:val="none"/>
              </w:rPr>
              <w:t>B</w:t>
            </w:r>
            <w:r>
              <w:rPr>
                <w:rFonts w:ascii="Calibri" w:hAnsi="Calibri" w:eastAsia="Calibri" w:cs="Calibri"/>
                <w:spacing w:val="-2"/>
                <w:highlight w:val="none"/>
              </w:rPr>
              <w:t>₃</w:t>
            </w:r>
          </w:p>
        </w:tc>
        <w:tc>
          <w:tcPr>
            <w:tcW w:w="1258" w:type="dxa"/>
            <w:vAlign w:val="top"/>
          </w:tcPr>
          <w:p w14:paraId="1635751F">
            <w:pPr>
              <w:pStyle w:val="6"/>
              <w:spacing w:before="85" w:line="213" w:lineRule="auto"/>
              <w:ind w:left="465"/>
              <w:rPr>
                <w:highlight w:val="none"/>
              </w:rPr>
            </w:pPr>
            <w:r>
              <w:rPr>
                <w:spacing w:val="-5"/>
                <w:highlight w:val="none"/>
              </w:rPr>
              <w:t>至_</w:t>
            </w:r>
          </w:p>
        </w:tc>
        <w:tc>
          <w:tcPr>
            <w:tcW w:w="1618" w:type="dxa"/>
            <w:vAlign w:val="top"/>
          </w:tcPr>
          <w:p w14:paraId="6F68A3E2">
            <w:pPr>
              <w:pStyle w:val="6"/>
              <w:spacing w:before="115" w:line="232" w:lineRule="auto"/>
              <w:ind w:left="597"/>
              <w:rPr>
                <w:highlight w:val="none"/>
              </w:rPr>
            </w:pPr>
            <w:r>
              <w:rPr>
                <w:spacing w:val="-6"/>
                <w:highlight w:val="none"/>
              </w:rPr>
              <w:t>……</w:t>
            </w:r>
          </w:p>
        </w:tc>
        <w:tc>
          <w:tcPr>
            <w:tcW w:w="1813" w:type="dxa"/>
            <w:vAlign w:val="top"/>
          </w:tcPr>
          <w:p w14:paraId="2D8DE3E1">
            <w:pPr>
              <w:pStyle w:val="6"/>
              <w:spacing w:before="173" w:line="94" w:lineRule="exact"/>
              <w:ind w:left="839"/>
              <w:rPr>
                <w:sz w:val="6"/>
                <w:szCs w:val="6"/>
                <w:highlight w:val="none"/>
              </w:rPr>
            </w:pPr>
            <w:r>
              <w:rPr>
                <w:spacing w:val="-2"/>
                <w:position w:val="1"/>
                <w:sz w:val="6"/>
                <w:szCs w:val="6"/>
                <w:highlight w:val="none"/>
              </w:rPr>
              <w:t>……</w:t>
            </w:r>
          </w:p>
        </w:tc>
      </w:tr>
      <w:tr w14:paraId="4931C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454" w:type="dxa"/>
            <w:vMerge w:val="continue"/>
            <w:tcBorders>
              <w:top w:val="nil"/>
              <w:bottom w:val="nil"/>
            </w:tcBorders>
            <w:textDirection w:val="tbRlV"/>
            <w:vAlign w:val="top"/>
          </w:tcPr>
          <w:p w14:paraId="1D965F7C">
            <w:pPr>
              <w:rPr>
                <w:rFonts w:ascii="Arial"/>
                <w:sz w:val="21"/>
                <w:highlight w:val="none"/>
              </w:rPr>
            </w:pPr>
          </w:p>
        </w:tc>
        <w:tc>
          <w:tcPr>
            <w:tcW w:w="909" w:type="dxa"/>
            <w:vAlign w:val="top"/>
          </w:tcPr>
          <w:p w14:paraId="3E4274E3">
            <w:pPr>
              <w:pStyle w:val="6"/>
              <w:spacing w:before="115" w:line="232" w:lineRule="auto"/>
              <w:ind w:left="230"/>
              <w:rPr>
                <w:highlight w:val="none"/>
              </w:rPr>
            </w:pPr>
            <w:r>
              <w:rPr>
                <w:spacing w:val="-6"/>
                <w:highlight w:val="none"/>
              </w:rPr>
              <w:t>……</w:t>
            </w:r>
          </w:p>
        </w:tc>
        <w:tc>
          <w:tcPr>
            <w:tcW w:w="719" w:type="dxa"/>
            <w:vAlign w:val="top"/>
          </w:tcPr>
          <w:p w14:paraId="677382DE">
            <w:pPr>
              <w:pStyle w:val="6"/>
              <w:spacing w:before="115" w:line="232" w:lineRule="auto"/>
              <w:ind w:left="141"/>
              <w:rPr>
                <w:highlight w:val="none"/>
              </w:rPr>
            </w:pPr>
            <w:r>
              <w:rPr>
                <w:spacing w:val="-6"/>
                <w:highlight w:val="none"/>
              </w:rPr>
              <w:t>……</w:t>
            </w:r>
          </w:p>
        </w:tc>
        <w:tc>
          <w:tcPr>
            <w:tcW w:w="1069" w:type="dxa"/>
            <w:vAlign w:val="top"/>
          </w:tcPr>
          <w:p w14:paraId="1E422F9F">
            <w:pPr>
              <w:pStyle w:val="6"/>
              <w:spacing w:before="174" w:line="95" w:lineRule="exact"/>
              <w:ind w:left="462"/>
              <w:rPr>
                <w:sz w:val="6"/>
                <w:szCs w:val="6"/>
                <w:highlight w:val="none"/>
              </w:rPr>
            </w:pPr>
            <w:r>
              <w:rPr>
                <w:spacing w:val="-2"/>
                <w:position w:val="1"/>
                <w:sz w:val="6"/>
                <w:szCs w:val="6"/>
                <w:highlight w:val="none"/>
              </w:rPr>
              <w:t>……</w:t>
            </w:r>
          </w:p>
        </w:tc>
        <w:tc>
          <w:tcPr>
            <w:tcW w:w="719" w:type="dxa"/>
            <w:vAlign w:val="top"/>
          </w:tcPr>
          <w:p w14:paraId="6BC9C10A">
            <w:pPr>
              <w:pStyle w:val="6"/>
              <w:spacing w:before="115" w:line="232" w:lineRule="auto"/>
              <w:ind w:left="144"/>
              <w:rPr>
                <w:highlight w:val="none"/>
              </w:rPr>
            </w:pPr>
            <w:r>
              <w:rPr>
                <w:spacing w:val="-6"/>
                <w:highlight w:val="none"/>
              </w:rPr>
              <w:t>……</w:t>
            </w:r>
          </w:p>
        </w:tc>
        <w:tc>
          <w:tcPr>
            <w:tcW w:w="1258" w:type="dxa"/>
            <w:vAlign w:val="top"/>
          </w:tcPr>
          <w:p w14:paraId="40EA8D68">
            <w:pPr>
              <w:pStyle w:val="6"/>
              <w:spacing w:before="115" w:line="232" w:lineRule="auto"/>
              <w:ind w:left="414"/>
              <w:rPr>
                <w:highlight w:val="none"/>
              </w:rPr>
            </w:pPr>
            <w:r>
              <w:rPr>
                <w:spacing w:val="-6"/>
                <w:highlight w:val="none"/>
              </w:rPr>
              <w:t>……</w:t>
            </w:r>
          </w:p>
        </w:tc>
        <w:tc>
          <w:tcPr>
            <w:tcW w:w="1618" w:type="dxa"/>
            <w:vAlign w:val="top"/>
          </w:tcPr>
          <w:p w14:paraId="256203BC">
            <w:pPr>
              <w:pStyle w:val="6"/>
              <w:spacing w:before="115" w:line="232" w:lineRule="auto"/>
              <w:ind w:left="597"/>
              <w:rPr>
                <w:highlight w:val="none"/>
              </w:rPr>
            </w:pPr>
            <w:r>
              <w:rPr>
                <w:spacing w:val="-6"/>
                <w:highlight w:val="none"/>
              </w:rPr>
              <w:t>……</w:t>
            </w:r>
          </w:p>
        </w:tc>
        <w:tc>
          <w:tcPr>
            <w:tcW w:w="1813" w:type="dxa"/>
            <w:vAlign w:val="top"/>
          </w:tcPr>
          <w:p w14:paraId="368187AA">
            <w:pPr>
              <w:pStyle w:val="6"/>
              <w:spacing w:before="174" w:line="95" w:lineRule="exact"/>
              <w:ind w:left="839"/>
              <w:rPr>
                <w:sz w:val="6"/>
                <w:szCs w:val="6"/>
                <w:highlight w:val="none"/>
              </w:rPr>
            </w:pPr>
            <w:r>
              <w:rPr>
                <w:spacing w:val="-2"/>
                <w:position w:val="1"/>
                <w:sz w:val="6"/>
                <w:szCs w:val="6"/>
                <w:highlight w:val="none"/>
              </w:rPr>
              <w:t>……</w:t>
            </w:r>
          </w:p>
        </w:tc>
      </w:tr>
      <w:tr w14:paraId="03AFF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454" w:type="dxa"/>
            <w:vMerge w:val="continue"/>
            <w:tcBorders>
              <w:top w:val="nil"/>
              <w:bottom w:val="nil"/>
            </w:tcBorders>
            <w:textDirection w:val="tbRlV"/>
            <w:vAlign w:val="top"/>
          </w:tcPr>
          <w:p w14:paraId="11E88825">
            <w:pPr>
              <w:rPr>
                <w:rFonts w:ascii="Arial"/>
                <w:sz w:val="21"/>
                <w:highlight w:val="none"/>
              </w:rPr>
            </w:pPr>
          </w:p>
        </w:tc>
        <w:tc>
          <w:tcPr>
            <w:tcW w:w="909" w:type="dxa"/>
            <w:vAlign w:val="top"/>
          </w:tcPr>
          <w:p w14:paraId="207AF3BA">
            <w:pPr>
              <w:pStyle w:val="6"/>
              <w:spacing w:before="126" w:line="231" w:lineRule="auto"/>
              <w:ind w:left="230"/>
              <w:rPr>
                <w:highlight w:val="none"/>
              </w:rPr>
            </w:pPr>
            <w:r>
              <w:rPr>
                <w:spacing w:val="-6"/>
                <w:highlight w:val="none"/>
              </w:rPr>
              <w:t>……</w:t>
            </w:r>
          </w:p>
        </w:tc>
        <w:tc>
          <w:tcPr>
            <w:tcW w:w="719" w:type="dxa"/>
            <w:vAlign w:val="top"/>
          </w:tcPr>
          <w:p w14:paraId="2F529702">
            <w:pPr>
              <w:pStyle w:val="6"/>
              <w:spacing w:before="126" w:line="231" w:lineRule="auto"/>
              <w:ind w:left="141"/>
              <w:rPr>
                <w:highlight w:val="none"/>
              </w:rPr>
            </w:pPr>
            <w:r>
              <w:rPr>
                <w:spacing w:val="-6"/>
                <w:highlight w:val="none"/>
              </w:rPr>
              <w:t>……</w:t>
            </w:r>
          </w:p>
        </w:tc>
        <w:tc>
          <w:tcPr>
            <w:tcW w:w="1069" w:type="dxa"/>
            <w:vAlign w:val="top"/>
          </w:tcPr>
          <w:p w14:paraId="796C8DC1">
            <w:pPr>
              <w:pStyle w:val="6"/>
              <w:spacing w:before="175" w:line="94" w:lineRule="exact"/>
              <w:ind w:left="462"/>
              <w:rPr>
                <w:sz w:val="6"/>
                <w:szCs w:val="6"/>
                <w:highlight w:val="none"/>
              </w:rPr>
            </w:pPr>
            <w:r>
              <w:rPr>
                <w:spacing w:val="-2"/>
                <w:position w:val="1"/>
                <w:sz w:val="6"/>
                <w:szCs w:val="6"/>
                <w:highlight w:val="none"/>
              </w:rPr>
              <w:t>……</w:t>
            </w:r>
          </w:p>
        </w:tc>
        <w:tc>
          <w:tcPr>
            <w:tcW w:w="719" w:type="dxa"/>
            <w:vAlign w:val="top"/>
          </w:tcPr>
          <w:p w14:paraId="1C1E881D">
            <w:pPr>
              <w:pStyle w:val="6"/>
              <w:spacing w:before="126" w:line="231" w:lineRule="auto"/>
              <w:ind w:left="144"/>
              <w:rPr>
                <w:highlight w:val="none"/>
              </w:rPr>
            </w:pPr>
            <w:r>
              <w:rPr>
                <w:spacing w:val="-6"/>
                <w:highlight w:val="none"/>
              </w:rPr>
              <w:t>……</w:t>
            </w:r>
          </w:p>
        </w:tc>
        <w:tc>
          <w:tcPr>
            <w:tcW w:w="1258" w:type="dxa"/>
            <w:vAlign w:val="top"/>
          </w:tcPr>
          <w:p w14:paraId="0BC4A530">
            <w:pPr>
              <w:pStyle w:val="6"/>
              <w:spacing w:before="126" w:line="231" w:lineRule="auto"/>
              <w:ind w:left="414"/>
              <w:rPr>
                <w:highlight w:val="none"/>
              </w:rPr>
            </w:pPr>
            <w:r>
              <w:rPr>
                <w:spacing w:val="-6"/>
                <w:highlight w:val="none"/>
              </w:rPr>
              <w:t>……</w:t>
            </w:r>
          </w:p>
        </w:tc>
        <w:tc>
          <w:tcPr>
            <w:tcW w:w="1618" w:type="dxa"/>
            <w:vAlign w:val="top"/>
          </w:tcPr>
          <w:p w14:paraId="0CEC6441">
            <w:pPr>
              <w:pStyle w:val="6"/>
              <w:spacing w:before="126" w:line="231" w:lineRule="auto"/>
              <w:ind w:left="597"/>
              <w:rPr>
                <w:highlight w:val="none"/>
              </w:rPr>
            </w:pPr>
            <w:r>
              <w:rPr>
                <w:spacing w:val="-6"/>
                <w:highlight w:val="none"/>
              </w:rPr>
              <w:t>……</w:t>
            </w:r>
          </w:p>
        </w:tc>
        <w:tc>
          <w:tcPr>
            <w:tcW w:w="1813" w:type="dxa"/>
            <w:vAlign w:val="top"/>
          </w:tcPr>
          <w:p w14:paraId="34818F1B">
            <w:pPr>
              <w:pStyle w:val="6"/>
              <w:spacing w:before="175" w:line="94" w:lineRule="exact"/>
              <w:ind w:left="839"/>
              <w:rPr>
                <w:sz w:val="6"/>
                <w:szCs w:val="6"/>
                <w:highlight w:val="none"/>
              </w:rPr>
            </w:pPr>
            <w:r>
              <w:rPr>
                <w:spacing w:val="-2"/>
                <w:position w:val="1"/>
                <w:sz w:val="6"/>
                <w:szCs w:val="6"/>
                <w:highlight w:val="none"/>
              </w:rPr>
              <w:t>……</w:t>
            </w:r>
          </w:p>
        </w:tc>
      </w:tr>
      <w:tr w14:paraId="24198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454" w:type="dxa"/>
            <w:vMerge w:val="continue"/>
            <w:tcBorders>
              <w:top w:val="nil"/>
            </w:tcBorders>
            <w:textDirection w:val="tbRlV"/>
            <w:vAlign w:val="top"/>
          </w:tcPr>
          <w:p w14:paraId="53059CA2">
            <w:pPr>
              <w:rPr>
                <w:rFonts w:ascii="Arial"/>
                <w:sz w:val="21"/>
                <w:highlight w:val="none"/>
              </w:rPr>
            </w:pPr>
          </w:p>
        </w:tc>
        <w:tc>
          <w:tcPr>
            <w:tcW w:w="909" w:type="dxa"/>
            <w:vAlign w:val="top"/>
          </w:tcPr>
          <w:p w14:paraId="6D5EC539">
            <w:pPr>
              <w:pStyle w:val="6"/>
              <w:spacing w:before="127" w:line="239" w:lineRule="auto"/>
              <w:ind w:left="230"/>
              <w:rPr>
                <w:highlight w:val="none"/>
              </w:rPr>
            </w:pPr>
            <w:r>
              <w:rPr>
                <w:spacing w:val="-6"/>
                <w:highlight w:val="none"/>
              </w:rPr>
              <w:t>……</w:t>
            </w:r>
          </w:p>
        </w:tc>
        <w:tc>
          <w:tcPr>
            <w:tcW w:w="719" w:type="dxa"/>
            <w:vAlign w:val="top"/>
          </w:tcPr>
          <w:p w14:paraId="182891E9">
            <w:pPr>
              <w:pStyle w:val="6"/>
              <w:spacing w:before="127" w:line="239" w:lineRule="auto"/>
              <w:ind w:left="141"/>
              <w:rPr>
                <w:highlight w:val="none"/>
              </w:rPr>
            </w:pPr>
            <w:r>
              <w:rPr>
                <w:spacing w:val="-6"/>
                <w:highlight w:val="none"/>
              </w:rPr>
              <w:t>……</w:t>
            </w:r>
          </w:p>
        </w:tc>
        <w:tc>
          <w:tcPr>
            <w:tcW w:w="1069" w:type="dxa"/>
            <w:vAlign w:val="top"/>
          </w:tcPr>
          <w:p w14:paraId="5B5A7820">
            <w:pPr>
              <w:pStyle w:val="6"/>
              <w:spacing w:before="186" w:line="94" w:lineRule="exact"/>
              <w:ind w:left="462"/>
              <w:rPr>
                <w:sz w:val="6"/>
                <w:szCs w:val="6"/>
                <w:highlight w:val="none"/>
              </w:rPr>
            </w:pPr>
            <w:r>
              <w:rPr>
                <w:spacing w:val="-2"/>
                <w:position w:val="1"/>
                <w:sz w:val="6"/>
                <w:szCs w:val="6"/>
                <w:highlight w:val="none"/>
              </w:rPr>
              <w:t>……</w:t>
            </w:r>
          </w:p>
        </w:tc>
        <w:tc>
          <w:tcPr>
            <w:tcW w:w="719" w:type="dxa"/>
            <w:vAlign w:val="top"/>
          </w:tcPr>
          <w:p w14:paraId="2955442F">
            <w:pPr>
              <w:pStyle w:val="6"/>
              <w:spacing w:before="127" w:line="239" w:lineRule="auto"/>
              <w:ind w:left="144"/>
              <w:rPr>
                <w:highlight w:val="none"/>
              </w:rPr>
            </w:pPr>
            <w:r>
              <w:rPr>
                <w:spacing w:val="-6"/>
                <w:highlight w:val="none"/>
              </w:rPr>
              <w:t>……</w:t>
            </w:r>
          </w:p>
        </w:tc>
        <w:tc>
          <w:tcPr>
            <w:tcW w:w="1258" w:type="dxa"/>
            <w:vAlign w:val="top"/>
          </w:tcPr>
          <w:p w14:paraId="5CD91739">
            <w:pPr>
              <w:pStyle w:val="6"/>
              <w:spacing w:before="127" w:line="239" w:lineRule="auto"/>
              <w:ind w:left="414"/>
              <w:rPr>
                <w:highlight w:val="none"/>
              </w:rPr>
            </w:pPr>
            <w:r>
              <w:rPr>
                <w:spacing w:val="-6"/>
                <w:highlight w:val="none"/>
              </w:rPr>
              <w:t>……</w:t>
            </w:r>
          </w:p>
        </w:tc>
        <w:tc>
          <w:tcPr>
            <w:tcW w:w="1618" w:type="dxa"/>
            <w:vAlign w:val="top"/>
          </w:tcPr>
          <w:p w14:paraId="444D05A4">
            <w:pPr>
              <w:pStyle w:val="6"/>
              <w:spacing w:before="127" w:line="239" w:lineRule="auto"/>
              <w:ind w:left="597"/>
              <w:rPr>
                <w:highlight w:val="none"/>
              </w:rPr>
            </w:pPr>
            <w:r>
              <w:rPr>
                <w:spacing w:val="-6"/>
                <w:highlight w:val="none"/>
              </w:rPr>
              <w:t>……</w:t>
            </w:r>
          </w:p>
        </w:tc>
        <w:tc>
          <w:tcPr>
            <w:tcW w:w="1813" w:type="dxa"/>
            <w:vAlign w:val="top"/>
          </w:tcPr>
          <w:p w14:paraId="191543B1">
            <w:pPr>
              <w:pStyle w:val="6"/>
              <w:spacing w:before="186" w:line="94" w:lineRule="exact"/>
              <w:ind w:left="839"/>
              <w:rPr>
                <w:sz w:val="6"/>
                <w:szCs w:val="6"/>
                <w:highlight w:val="none"/>
              </w:rPr>
            </w:pPr>
            <w:r>
              <w:rPr>
                <w:spacing w:val="-2"/>
                <w:position w:val="1"/>
                <w:sz w:val="6"/>
                <w:szCs w:val="6"/>
                <w:highlight w:val="none"/>
              </w:rPr>
              <w:t>……</w:t>
            </w:r>
          </w:p>
        </w:tc>
      </w:tr>
      <w:tr w14:paraId="05BFB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5128" w:type="dxa"/>
            <w:gridSpan w:val="6"/>
            <w:vAlign w:val="top"/>
          </w:tcPr>
          <w:p w14:paraId="04875A76">
            <w:pPr>
              <w:pStyle w:val="6"/>
              <w:spacing w:before="109" w:line="223" w:lineRule="auto"/>
              <w:ind w:left="1464"/>
              <w:rPr>
                <w:highlight w:val="none"/>
              </w:rPr>
            </w:pPr>
            <w:r>
              <w:rPr>
                <w:spacing w:val="-5"/>
                <w:highlight w:val="none"/>
              </w:rPr>
              <w:t>合</w:t>
            </w:r>
            <w:r>
              <w:rPr>
                <w:spacing w:val="8"/>
                <w:highlight w:val="none"/>
              </w:rPr>
              <w:t xml:space="preserve">           </w:t>
            </w:r>
            <w:r>
              <w:rPr>
                <w:spacing w:val="-5"/>
                <w:highlight w:val="none"/>
              </w:rPr>
              <w:t>计</w:t>
            </w:r>
          </w:p>
        </w:tc>
        <w:tc>
          <w:tcPr>
            <w:tcW w:w="1618" w:type="dxa"/>
            <w:vAlign w:val="top"/>
          </w:tcPr>
          <w:p w14:paraId="0E0C6047">
            <w:pPr>
              <w:pStyle w:val="6"/>
              <w:spacing w:before="118" w:line="225" w:lineRule="auto"/>
              <w:ind w:left="766"/>
              <w:rPr>
                <w:highlight w:val="none"/>
              </w:rPr>
            </w:pPr>
            <w:r>
              <w:rPr>
                <w:spacing w:val="-5"/>
                <w:highlight w:val="none"/>
              </w:rPr>
              <w:t>1.00</w:t>
            </w:r>
          </w:p>
        </w:tc>
        <w:tc>
          <w:tcPr>
            <w:tcW w:w="1813" w:type="dxa"/>
            <w:vAlign w:val="top"/>
          </w:tcPr>
          <w:p w14:paraId="42FE6BF9">
            <w:pPr>
              <w:rPr>
                <w:rFonts w:ascii="Arial"/>
                <w:sz w:val="21"/>
                <w:highlight w:val="none"/>
              </w:rPr>
            </w:pPr>
          </w:p>
        </w:tc>
      </w:tr>
    </w:tbl>
    <w:p w14:paraId="5C86FE32">
      <w:pPr>
        <w:pStyle w:val="2"/>
        <w:rPr>
          <w:highlight w:val="none"/>
        </w:rPr>
      </w:pPr>
    </w:p>
    <w:p w14:paraId="26C64756">
      <w:pPr>
        <w:rPr>
          <w:highlight w:val="none"/>
        </w:rPr>
        <w:sectPr>
          <w:footerReference r:id="rId243" w:type="default"/>
          <w:pgSz w:w="11910" w:h="16840"/>
          <w:pgMar w:top="400" w:right="1655" w:bottom="1228" w:left="1685" w:header="0" w:footer="1010" w:gutter="0"/>
          <w:cols w:space="720" w:num="1"/>
        </w:sectPr>
      </w:pPr>
    </w:p>
    <w:p w14:paraId="1BA3F48E">
      <w:pPr>
        <w:pStyle w:val="2"/>
        <w:spacing w:line="269" w:lineRule="auto"/>
        <w:rPr>
          <w:highlight w:val="none"/>
        </w:rPr>
      </w:pPr>
    </w:p>
    <w:p w14:paraId="14D4C387">
      <w:pPr>
        <w:pStyle w:val="2"/>
        <w:spacing w:line="270" w:lineRule="auto"/>
        <w:rPr>
          <w:highlight w:val="none"/>
        </w:rPr>
      </w:pPr>
    </w:p>
    <w:p w14:paraId="66E41492">
      <w:pPr>
        <w:pStyle w:val="2"/>
        <w:spacing w:line="270" w:lineRule="auto"/>
        <w:rPr>
          <w:highlight w:val="none"/>
        </w:rPr>
      </w:pPr>
    </w:p>
    <w:p w14:paraId="76ACFFE5">
      <w:pPr>
        <w:pStyle w:val="2"/>
        <w:spacing w:line="270" w:lineRule="auto"/>
        <w:rPr>
          <w:highlight w:val="none"/>
        </w:rPr>
      </w:pPr>
    </w:p>
    <w:p w14:paraId="78A23F61">
      <w:pPr>
        <w:spacing w:before="104" w:line="221" w:lineRule="auto"/>
        <w:outlineLvl w:val="1"/>
        <w:rPr>
          <w:rFonts w:ascii="黑体" w:hAnsi="黑体" w:eastAsia="黑体" w:cs="黑体"/>
          <w:sz w:val="32"/>
          <w:szCs w:val="32"/>
          <w:highlight w:val="none"/>
        </w:rPr>
      </w:pPr>
      <w:bookmarkStart w:id="243" w:name="bookmark156"/>
      <w:bookmarkEnd w:id="243"/>
      <w:bookmarkStart w:id="244" w:name="bookmark299"/>
      <w:bookmarkEnd w:id="244"/>
      <w:r>
        <w:rPr>
          <w:rFonts w:ascii="黑体" w:hAnsi="黑体" w:eastAsia="黑体" w:cs="黑体"/>
          <w:spacing w:val="2"/>
          <w:sz w:val="32"/>
          <w:szCs w:val="32"/>
          <w:highlight w:val="none"/>
        </w:rPr>
        <w:t>二、法定代表人身份证明</w:t>
      </w:r>
    </w:p>
    <w:p w14:paraId="34999D67">
      <w:pPr>
        <w:pStyle w:val="2"/>
        <w:spacing w:line="331" w:lineRule="auto"/>
        <w:rPr>
          <w:highlight w:val="none"/>
        </w:rPr>
      </w:pPr>
    </w:p>
    <w:p w14:paraId="2DDEB64B">
      <w:pPr>
        <w:pStyle w:val="2"/>
        <w:spacing w:line="332" w:lineRule="auto"/>
        <w:rPr>
          <w:highlight w:val="none"/>
        </w:rPr>
      </w:pPr>
    </w:p>
    <w:p w14:paraId="341A2F0B">
      <w:pPr>
        <w:spacing w:before="68" w:line="220" w:lineRule="auto"/>
        <w:rPr>
          <w:rFonts w:ascii="宋体" w:hAnsi="宋体" w:eastAsia="宋体" w:cs="宋体"/>
          <w:sz w:val="21"/>
          <w:szCs w:val="21"/>
          <w:highlight w:val="none"/>
        </w:rPr>
      </w:pPr>
      <w:r>
        <w:rPr>
          <w:rFonts w:ascii="宋体" w:hAnsi="宋体" w:eastAsia="宋体" w:cs="宋体"/>
          <w:sz w:val="21"/>
          <w:szCs w:val="21"/>
          <w:highlight w:val="none"/>
        </w:rPr>
        <w:t>投标人名称：</w:t>
      </w:r>
      <w:r>
        <w:rPr>
          <w:rFonts w:ascii="宋体" w:hAnsi="宋体" w:eastAsia="宋体" w:cs="宋体"/>
          <w:sz w:val="21"/>
          <w:szCs w:val="21"/>
          <w:highlight w:val="none"/>
          <w:u w:val="single" w:color="auto"/>
        </w:rPr>
        <w:t xml:space="preserve">                                                </w:t>
      </w:r>
    </w:p>
    <w:p w14:paraId="2C772515">
      <w:pPr>
        <w:spacing w:before="179" w:line="220" w:lineRule="auto"/>
        <w:rPr>
          <w:rFonts w:ascii="宋体" w:hAnsi="宋体" w:eastAsia="宋体" w:cs="宋体"/>
          <w:sz w:val="21"/>
          <w:szCs w:val="21"/>
          <w:highlight w:val="none"/>
        </w:rPr>
      </w:pPr>
      <w:r>
        <w:rPr>
          <w:rFonts w:ascii="宋体" w:hAnsi="宋体" w:eastAsia="宋体" w:cs="宋体"/>
          <w:spacing w:val="1"/>
          <w:sz w:val="21"/>
          <w:szCs w:val="21"/>
          <w:highlight w:val="none"/>
        </w:rPr>
        <w:t>单位性质：</w:t>
      </w:r>
      <w:r>
        <w:rPr>
          <w:rFonts w:ascii="宋体" w:hAnsi="宋体" w:eastAsia="宋体" w:cs="宋体"/>
          <w:spacing w:val="1"/>
          <w:sz w:val="21"/>
          <w:szCs w:val="21"/>
          <w:highlight w:val="none"/>
          <w:u w:val="single" w:color="auto"/>
        </w:rPr>
        <w:t xml:space="preserve">                   </w:t>
      </w:r>
      <w:r>
        <w:rPr>
          <w:rFonts w:ascii="宋体" w:hAnsi="宋体" w:eastAsia="宋体" w:cs="宋体"/>
          <w:sz w:val="21"/>
          <w:szCs w:val="21"/>
          <w:highlight w:val="none"/>
          <w:u w:val="single" w:color="auto"/>
        </w:rPr>
        <w:t xml:space="preserve">                              </w:t>
      </w:r>
    </w:p>
    <w:p w14:paraId="3CA72A9B">
      <w:pPr>
        <w:spacing w:before="189" w:line="229" w:lineRule="auto"/>
        <w:rPr>
          <w:rFonts w:ascii="宋体" w:hAnsi="宋体" w:eastAsia="宋体" w:cs="宋体"/>
          <w:sz w:val="21"/>
          <w:szCs w:val="21"/>
          <w:highlight w:val="none"/>
        </w:rPr>
      </w:pPr>
      <w:r>
        <w:rPr>
          <w:rFonts w:ascii="宋体" w:hAnsi="宋体" w:eastAsia="宋体" w:cs="宋体"/>
          <w:spacing w:val="-27"/>
          <w:w w:val="95"/>
          <w:sz w:val="21"/>
          <w:szCs w:val="21"/>
          <w:highlight w:val="none"/>
        </w:rPr>
        <w:t>地址：</w:t>
      </w:r>
      <w:r>
        <w:rPr>
          <w:rFonts w:ascii="宋体" w:hAnsi="宋体" w:eastAsia="宋体" w:cs="宋体"/>
          <w:sz w:val="21"/>
          <w:szCs w:val="21"/>
          <w:highlight w:val="none"/>
          <w:u w:val="single" w:color="auto"/>
        </w:rPr>
        <w:t xml:space="preserve">                                                        </w:t>
      </w:r>
    </w:p>
    <w:p w14:paraId="3678066C">
      <w:pPr>
        <w:spacing w:before="169" w:line="219" w:lineRule="auto"/>
        <w:rPr>
          <w:rFonts w:ascii="宋体" w:hAnsi="宋体" w:eastAsia="宋体" w:cs="宋体"/>
          <w:sz w:val="21"/>
          <w:szCs w:val="21"/>
          <w:highlight w:val="none"/>
        </w:rPr>
      </w:pPr>
      <w:r>
        <w:rPr>
          <w:rFonts w:ascii="宋体" w:hAnsi="宋体" w:eastAsia="宋体" w:cs="宋体"/>
          <w:spacing w:val="-2"/>
          <w:sz w:val="21"/>
          <w:szCs w:val="21"/>
          <w:highlight w:val="none"/>
        </w:rPr>
        <w:t>成立时间：</w:t>
      </w:r>
      <w:r>
        <w:rPr>
          <w:rFonts w:ascii="宋体" w:hAnsi="宋体" w:eastAsia="宋体" w:cs="宋体"/>
          <w:spacing w:val="-2"/>
          <w:sz w:val="21"/>
          <w:szCs w:val="21"/>
          <w:highlight w:val="none"/>
          <w:u w:val="single" w:color="auto"/>
        </w:rPr>
        <w:t xml:space="preserve">         </w:t>
      </w:r>
      <w:r>
        <w:rPr>
          <w:rFonts w:ascii="宋体" w:hAnsi="宋体" w:eastAsia="宋体" w:cs="宋体"/>
          <w:spacing w:val="-2"/>
          <w:sz w:val="21"/>
          <w:szCs w:val="21"/>
          <w:highlight w:val="none"/>
        </w:rPr>
        <w:t>年</w:t>
      </w:r>
      <w:r>
        <w:rPr>
          <w:rFonts w:ascii="宋体" w:hAnsi="宋体" w:eastAsia="宋体" w:cs="宋体"/>
          <w:spacing w:val="-71"/>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2"/>
          <w:sz w:val="21"/>
          <w:szCs w:val="21"/>
          <w:highlight w:val="none"/>
        </w:rPr>
        <w:t>月</w:t>
      </w:r>
      <w:r>
        <w:rPr>
          <w:rFonts w:ascii="宋体" w:hAnsi="宋体" w:eastAsia="宋体" w:cs="宋体"/>
          <w:spacing w:val="-96"/>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90"/>
          <w:sz w:val="21"/>
          <w:szCs w:val="21"/>
          <w:highlight w:val="none"/>
        </w:rPr>
        <w:t xml:space="preserve"> </w:t>
      </w:r>
      <w:r>
        <w:rPr>
          <w:rFonts w:ascii="宋体" w:hAnsi="宋体" w:eastAsia="宋体" w:cs="宋体"/>
          <w:spacing w:val="-2"/>
          <w:sz w:val="21"/>
          <w:szCs w:val="21"/>
          <w:highlight w:val="none"/>
        </w:rPr>
        <w:t>日</w:t>
      </w:r>
    </w:p>
    <w:p w14:paraId="08D775FC">
      <w:pPr>
        <w:spacing w:before="182" w:line="220" w:lineRule="auto"/>
        <w:rPr>
          <w:rFonts w:ascii="宋体" w:hAnsi="宋体" w:eastAsia="宋体" w:cs="宋体"/>
          <w:sz w:val="21"/>
          <w:szCs w:val="21"/>
          <w:highlight w:val="none"/>
        </w:rPr>
      </w:pPr>
      <w:r>
        <w:rPr>
          <w:rFonts w:ascii="宋体" w:hAnsi="宋体" w:eastAsia="宋体" w:cs="宋体"/>
          <w:spacing w:val="-1"/>
          <w:sz w:val="21"/>
          <w:szCs w:val="21"/>
          <w:highlight w:val="none"/>
        </w:rPr>
        <w:t>经营期限：</w:t>
      </w:r>
      <w:r>
        <w:rPr>
          <w:rFonts w:ascii="宋体" w:hAnsi="宋体" w:eastAsia="宋体" w:cs="宋体"/>
          <w:spacing w:val="-1"/>
          <w:sz w:val="21"/>
          <w:szCs w:val="21"/>
          <w:highlight w:val="none"/>
          <w:u w:val="single" w:color="auto"/>
        </w:rPr>
        <w:t xml:space="preserve">                                                   </w:t>
      </w:r>
    </w:p>
    <w:p w14:paraId="741D2047">
      <w:pPr>
        <w:spacing w:before="179" w:line="219" w:lineRule="auto"/>
        <w:rPr>
          <w:rFonts w:ascii="宋体" w:hAnsi="宋体" w:eastAsia="宋体" w:cs="宋体"/>
          <w:sz w:val="21"/>
          <w:szCs w:val="21"/>
          <w:highlight w:val="none"/>
        </w:rPr>
      </w:pPr>
      <w:r>
        <w:rPr>
          <w:rFonts w:ascii="宋体" w:hAnsi="宋体" w:eastAsia="宋体" w:cs="宋体"/>
          <w:spacing w:val="15"/>
          <w:sz w:val="21"/>
          <w:szCs w:val="21"/>
          <w:highlight w:val="none"/>
        </w:rPr>
        <w:t>姓名：</w:t>
      </w:r>
      <w:r>
        <w:rPr>
          <w:rFonts w:ascii="宋体" w:hAnsi="宋体" w:eastAsia="宋体" w:cs="宋体"/>
          <w:spacing w:val="87"/>
          <w:sz w:val="21"/>
          <w:szCs w:val="21"/>
          <w:highlight w:val="none"/>
          <w:u w:val="single" w:color="auto"/>
        </w:rPr>
        <w:t xml:space="preserve"> </w:t>
      </w:r>
      <w:r>
        <w:rPr>
          <w:rFonts w:ascii="宋体" w:hAnsi="宋体" w:eastAsia="宋体" w:cs="宋体"/>
          <w:spacing w:val="15"/>
          <w:sz w:val="21"/>
          <w:szCs w:val="21"/>
          <w:highlight w:val="none"/>
          <w:u w:val="single" w:color="auto"/>
        </w:rPr>
        <w:t>(法定代表人签字)</w:t>
      </w:r>
      <w:r>
        <w:rPr>
          <w:rFonts w:ascii="宋体" w:hAnsi="宋体" w:eastAsia="宋体" w:cs="宋体"/>
          <w:spacing w:val="15"/>
          <w:sz w:val="21"/>
          <w:szCs w:val="21"/>
          <w:highlight w:val="none"/>
        </w:rPr>
        <w:t xml:space="preserve">  性别：</w:t>
      </w:r>
      <w:r>
        <w:rPr>
          <w:rFonts w:ascii="宋体" w:hAnsi="宋体" w:eastAsia="宋体" w:cs="宋体"/>
          <w:spacing w:val="15"/>
          <w:sz w:val="21"/>
          <w:szCs w:val="21"/>
          <w:highlight w:val="none"/>
          <w:u w:val="single" w:color="auto"/>
        </w:rPr>
        <w:t xml:space="preserve">   </w:t>
      </w:r>
      <w:r>
        <w:rPr>
          <w:rFonts w:ascii="宋体" w:hAnsi="宋体" w:eastAsia="宋体" w:cs="宋体"/>
          <w:spacing w:val="14"/>
          <w:sz w:val="21"/>
          <w:szCs w:val="21"/>
          <w:highlight w:val="none"/>
          <w:u w:val="single" w:color="auto"/>
        </w:rPr>
        <w:t xml:space="preserve">                   </w:t>
      </w:r>
    </w:p>
    <w:p w14:paraId="0D6AA43D">
      <w:pPr>
        <w:spacing w:before="181" w:line="219" w:lineRule="auto"/>
        <w:rPr>
          <w:rFonts w:ascii="宋体" w:hAnsi="宋体" w:eastAsia="宋体" w:cs="宋体"/>
          <w:sz w:val="21"/>
          <w:szCs w:val="21"/>
          <w:highlight w:val="none"/>
        </w:rPr>
      </w:pPr>
      <w:r>
        <w:rPr>
          <w:rFonts w:ascii="宋体" w:hAnsi="宋体" w:eastAsia="宋体" w:cs="宋体"/>
          <w:spacing w:val="-20"/>
          <w:sz w:val="21"/>
          <w:szCs w:val="21"/>
          <w:highlight w:val="none"/>
        </w:rPr>
        <w:t>年龄：</w:t>
      </w:r>
      <w:r>
        <w:rPr>
          <w:rFonts w:ascii="宋体" w:hAnsi="宋体" w:eastAsia="宋体" w:cs="宋体"/>
          <w:sz w:val="21"/>
          <w:szCs w:val="21"/>
          <w:highlight w:val="none"/>
          <w:u w:val="single" w:color="auto"/>
        </w:rPr>
        <w:t xml:space="preserve">                        </w:t>
      </w:r>
      <w:r>
        <w:rPr>
          <w:rFonts w:ascii="宋体" w:hAnsi="宋体" w:eastAsia="宋体" w:cs="宋体"/>
          <w:spacing w:val="-20"/>
          <w:sz w:val="21"/>
          <w:szCs w:val="21"/>
          <w:highlight w:val="none"/>
        </w:rPr>
        <w:t>职务：</w:t>
      </w:r>
      <w:r>
        <w:rPr>
          <w:rFonts w:ascii="宋体" w:hAnsi="宋体" w:eastAsia="宋体" w:cs="宋体"/>
          <w:sz w:val="21"/>
          <w:szCs w:val="21"/>
          <w:highlight w:val="none"/>
          <w:u w:val="single" w:color="auto"/>
        </w:rPr>
        <w:t xml:space="preserve">                          </w:t>
      </w:r>
    </w:p>
    <w:p w14:paraId="70D04D58">
      <w:pPr>
        <w:spacing w:before="180" w:line="224" w:lineRule="auto"/>
        <w:rPr>
          <w:rFonts w:ascii="宋体" w:hAnsi="宋体" w:eastAsia="宋体" w:cs="宋体"/>
          <w:sz w:val="21"/>
          <w:szCs w:val="21"/>
          <w:highlight w:val="none"/>
        </w:rPr>
      </w:pPr>
      <w:r>
        <w:rPr>
          <w:rFonts w:ascii="仿宋" w:hAnsi="仿宋" w:eastAsia="仿宋" w:cs="仿宋"/>
          <w:spacing w:val="3"/>
          <w:sz w:val="21"/>
          <w:szCs w:val="21"/>
          <w:highlight w:val="none"/>
        </w:rPr>
        <w:t>系</w:t>
      </w:r>
      <w:r>
        <w:rPr>
          <w:rFonts w:ascii="仿宋" w:hAnsi="仿宋" w:eastAsia="仿宋" w:cs="仿宋"/>
          <w:spacing w:val="-82"/>
          <w:sz w:val="21"/>
          <w:szCs w:val="21"/>
          <w:highlight w:val="none"/>
        </w:rPr>
        <w:t xml:space="preserve"> </w:t>
      </w:r>
      <w:r>
        <w:rPr>
          <w:rFonts w:ascii="仿宋" w:hAnsi="仿宋" w:eastAsia="仿宋" w:cs="仿宋"/>
          <w:sz w:val="21"/>
          <w:szCs w:val="21"/>
          <w:highlight w:val="none"/>
          <w:u w:val="single" w:color="auto"/>
        </w:rPr>
        <w:t xml:space="preserve">                             </w:t>
      </w:r>
      <w:r>
        <w:rPr>
          <w:rFonts w:ascii="仿宋" w:hAnsi="仿宋" w:eastAsia="仿宋" w:cs="仿宋"/>
          <w:spacing w:val="3"/>
          <w:sz w:val="21"/>
          <w:szCs w:val="21"/>
          <w:highlight w:val="none"/>
        </w:rPr>
        <w:t xml:space="preserve">  </w:t>
      </w:r>
      <w:r>
        <w:rPr>
          <w:rFonts w:ascii="宋体" w:hAnsi="宋体" w:eastAsia="宋体" w:cs="宋体"/>
          <w:spacing w:val="3"/>
          <w:sz w:val="21"/>
          <w:szCs w:val="21"/>
          <w:highlight w:val="none"/>
        </w:rPr>
        <w:t>(投标人名称)的法定代表人。</w:t>
      </w:r>
    </w:p>
    <w:p w14:paraId="2BC2F9A8">
      <w:pPr>
        <w:spacing w:before="216" w:line="219" w:lineRule="auto"/>
        <w:ind w:left="420"/>
        <w:rPr>
          <w:rFonts w:ascii="宋体" w:hAnsi="宋体" w:eastAsia="宋体" w:cs="宋体"/>
          <w:sz w:val="22"/>
          <w:szCs w:val="22"/>
          <w:highlight w:val="none"/>
        </w:rPr>
      </w:pPr>
      <w:r>
        <w:rPr>
          <w:rFonts w:ascii="宋体" w:hAnsi="宋体" w:eastAsia="宋体" w:cs="宋体"/>
          <w:spacing w:val="-13"/>
          <w:sz w:val="22"/>
          <w:szCs w:val="22"/>
          <w:highlight w:val="none"/>
        </w:rPr>
        <w:t>特此证明。</w:t>
      </w:r>
    </w:p>
    <w:p w14:paraId="0F7B77A8">
      <w:pPr>
        <w:pStyle w:val="2"/>
        <w:rPr>
          <w:highlight w:val="none"/>
        </w:rPr>
      </w:pPr>
    </w:p>
    <w:p w14:paraId="21B1CF68">
      <w:pPr>
        <w:pStyle w:val="2"/>
        <w:rPr>
          <w:highlight w:val="none"/>
        </w:rPr>
      </w:pPr>
    </w:p>
    <w:p w14:paraId="26738B04">
      <w:pPr>
        <w:pStyle w:val="2"/>
        <w:rPr>
          <w:highlight w:val="none"/>
        </w:rPr>
      </w:pPr>
    </w:p>
    <w:p w14:paraId="32B271A7">
      <w:pPr>
        <w:pStyle w:val="2"/>
        <w:spacing w:line="241" w:lineRule="auto"/>
        <w:rPr>
          <w:highlight w:val="none"/>
        </w:rPr>
      </w:pPr>
    </w:p>
    <w:p w14:paraId="54CAE191">
      <w:pPr>
        <w:pStyle w:val="2"/>
        <w:spacing w:line="241" w:lineRule="auto"/>
        <w:rPr>
          <w:highlight w:val="none"/>
        </w:rPr>
      </w:pPr>
    </w:p>
    <w:p w14:paraId="2F18F5A8">
      <w:pPr>
        <w:pStyle w:val="2"/>
        <w:spacing w:line="241" w:lineRule="auto"/>
        <w:rPr>
          <w:highlight w:val="none"/>
        </w:rPr>
      </w:pPr>
    </w:p>
    <w:p w14:paraId="2D72A486">
      <w:pPr>
        <w:tabs>
          <w:tab w:val="left" w:pos="4310"/>
        </w:tabs>
        <w:spacing w:before="66" w:line="374" w:lineRule="auto"/>
        <w:ind w:left="3390" w:right="1789" w:hanging="630"/>
        <w:rPr>
          <w:rFonts w:ascii="宋体" w:hAnsi="宋体" w:eastAsia="宋体" w:cs="宋体"/>
          <w:sz w:val="18"/>
          <w:szCs w:val="18"/>
          <w:highlight w:val="none"/>
        </w:rPr>
      </w:pPr>
      <w:r>
        <w:rPr>
          <w:rFonts w:ascii="宋体" w:hAnsi="宋体" w:eastAsia="宋体" w:cs="宋体"/>
          <w:spacing w:val="5"/>
          <w:position w:val="-1"/>
          <w:sz w:val="20"/>
          <w:szCs w:val="20"/>
          <w:highlight w:val="none"/>
        </w:rPr>
        <w:t>投标人：</w:t>
      </w:r>
      <w:r>
        <w:rPr>
          <w:rFonts w:ascii="宋体" w:hAnsi="宋体" w:eastAsia="宋体" w:cs="宋体"/>
          <w:spacing w:val="-48"/>
          <w:position w:val="-1"/>
          <w:sz w:val="20"/>
          <w:szCs w:val="20"/>
          <w:highlight w:val="none"/>
        </w:rPr>
        <w:t xml:space="preserve"> </w:t>
      </w:r>
      <w:r>
        <w:rPr>
          <w:rFonts w:ascii="宋体" w:hAnsi="宋体" w:eastAsia="宋体" w:cs="宋体"/>
          <w:spacing w:val="5"/>
          <w:position w:val="-1"/>
          <w:sz w:val="20"/>
          <w:szCs w:val="20"/>
          <w:highlight w:val="none"/>
          <w:u w:val="single" w:color="auto"/>
        </w:rPr>
        <w:t xml:space="preserve">                 </w:t>
      </w:r>
      <w:r>
        <w:rPr>
          <w:rFonts w:ascii="宋体" w:hAnsi="宋体" w:eastAsia="宋体" w:cs="宋体"/>
          <w:spacing w:val="5"/>
          <w:position w:val="-1"/>
          <w:sz w:val="20"/>
          <w:szCs w:val="20"/>
          <w:highlight w:val="none"/>
        </w:rPr>
        <w:t xml:space="preserve"> </w:t>
      </w:r>
      <w:r>
        <w:rPr>
          <w:rFonts w:ascii="宋体" w:hAnsi="宋体" w:eastAsia="宋体" w:cs="宋体"/>
          <w:spacing w:val="5"/>
          <w:sz w:val="20"/>
          <w:szCs w:val="20"/>
          <w:highlight w:val="none"/>
        </w:rPr>
        <w:t>(盖单位章)</w:t>
      </w:r>
      <w:r>
        <w:rPr>
          <w:rFonts w:ascii="宋体" w:hAnsi="宋体" w:eastAsia="宋体" w:cs="宋体"/>
          <w:sz w:val="20"/>
          <w:szCs w:val="20"/>
          <w:highlight w:val="none"/>
        </w:rPr>
        <w:t xml:space="preserve"> </w:t>
      </w:r>
      <w:r>
        <w:rPr>
          <w:rFonts w:ascii="宋体" w:hAnsi="宋体" w:eastAsia="宋体" w:cs="宋体"/>
          <w:sz w:val="23"/>
          <w:szCs w:val="23"/>
          <w:highlight w:val="none"/>
          <w:u w:val="single" w:color="auto"/>
        </w:rPr>
        <w:tab/>
      </w:r>
      <w:r>
        <w:rPr>
          <w:rFonts w:ascii="宋体" w:hAnsi="宋体" w:eastAsia="宋体" w:cs="宋体"/>
          <w:spacing w:val="-5"/>
          <w:w w:val="58"/>
          <w:sz w:val="23"/>
          <w:szCs w:val="23"/>
          <w:highlight w:val="none"/>
        </w:rPr>
        <w:t>年_</w:t>
      </w:r>
      <w:r>
        <w:rPr>
          <w:rFonts w:ascii="宋体" w:hAnsi="宋体" w:eastAsia="宋体" w:cs="宋体"/>
          <w:spacing w:val="-96"/>
          <w:sz w:val="23"/>
          <w:szCs w:val="23"/>
          <w:highlight w:val="none"/>
        </w:rPr>
        <w:t xml:space="preserve"> </w:t>
      </w:r>
      <w:r>
        <w:rPr>
          <w:rFonts w:ascii="宋体" w:hAnsi="宋体" w:eastAsia="宋体" w:cs="宋体"/>
          <w:spacing w:val="15"/>
          <w:sz w:val="23"/>
          <w:szCs w:val="23"/>
          <w:highlight w:val="none"/>
          <w:u w:val="single" w:color="auto"/>
        </w:rPr>
        <w:t xml:space="preserve">     </w:t>
      </w:r>
      <w:r>
        <w:rPr>
          <w:rFonts w:ascii="宋体" w:hAnsi="宋体" w:eastAsia="宋体" w:cs="宋体"/>
          <w:spacing w:val="-115"/>
          <w:sz w:val="23"/>
          <w:szCs w:val="23"/>
          <w:highlight w:val="none"/>
        </w:rPr>
        <w:t xml:space="preserve"> </w:t>
      </w:r>
      <w:r>
        <w:rPr>
          <w:rFonts w:ascii="宋体" w:hAnsi="宋体" w:eastAsia="宋体" w:cs="宋体"/>
          <w:spacing w:val="-7"/>
          <w:position w:val="-1"/>
          <w:sz w:val="22"/>
          <w:szCs w:val="22"/>
          <w:highlight w:val="none"/>
        </w:rPr>
        <w:t>月</w:t>
      </w:r>
      <w:r>
        <w:rPr>
          <w:rFonts w:ascii="宋体" w:hAnsi="宋体" w:eastAsia="宋体" w:cs="宋体"/>
          <w:spacing w:val="46"/>
          <w:position w:val="-1"/>
          <w:sz w:val="22"/>
          <w:szCs w:val="22"/>
          <w:highlight w:val="none"/>
          <w:u w:val="single" w:color="auto"/>
        </w:rPr>
        <w:t xml:space="preserve">  </w:t>
      </w:r>
      <w:r>
        <w:rPr>
          <w:rFonts w:ascii="宋体" w:hAnsi="宋体" w:eastAsia="宋体" w:cs="宋体"/>
          <w:spacing w:val="31"/>
          <w:position w:val="-1"/>
          <w:sz w:val="22"/>
          <w:szCs w:val="22"/>
          <w:highlight w:val="none"/>
        </w:rPr>
        <w:t xml:space="preserve"> </w:t>
      </w:r>
      <w:r>
        <w:rPr>
          <w:rFonts w:ascii="宋体" w:hAnsi="宋体" w:eastAsia="宋体" w:cs="宋体"/>
          <w:spacing w:val="-7"/>
          <w:position w:val="1"/>
          <w:sz w:val="18"/>
          <w:szCs w:val="18"/>
          <w:highlight w:val="none"/>
        </w:rPr>
        <w:t>日</w:t>
      </w:r>
    </w:p>
    <w:p w14:paraId="522A83BD">
      <w:pPr>
        <w:pStyle w:val="2"/>
        <w:spacing w:line="247" w:lineRule="auto"/>
        <w:rPr>
          <w:highlight w:val="none"/>
        </w:rPr>
      </w:pPr>
    </w:p>
    <w:p w14:paraId="1447E7DD">
      <w:pPr>
        <w:pStyle w:val="2"/>
        <w:spacing w:line="247" w:lineRule="auto"/>
        <w:rPr>
          <w:highlight w:val="none"/>
        </w:rPr>
      </w:pPr>
    </w:p>
    <w:p w14:paraId="05C62A2D">
      <w:pPr>
        <w:pStyle w:val="2"/>
        <w:spacing w:line="247" w:lineRule="auto"/>
        <w:rPr>
          <w:highlight w:val="none"/>
        </w:rPr>
      </w:pPr>
    </w:p>
    <w:p w14:paraId="69EF21C4">
      <w:pPr>
        <w:pStyle w:val="2"/>
        <w:spacing w:line="247" w:lineRule="auto"/>
        <w:rPr>
          <w:highlight w:val="none"/>
        </w:rPr>
      </w:pPr>
    </w:p>
    <w:p w14:paraId="312EF8E8">
      <w:pPr>
        <w:pStyle w:val="2"/>
        <w:spacing w:line="247" w:lineRule="auto"/>
        <w:rPr>
          <w:highlight w:val="none"/>
        </w:rPr>
      </w:pPr>
    </w:p>
    <w:p w14:paraId="76195D45">
      <w:pPr>
        <w:pStyle w:val="2"/>
        <w:spacing w:line="248" w:lineRule="auto"/>
        <w:rPr>
          <w:highlight w:val="none"/>
        </w:rPr>
      </w:pPr>
    </w:p>
    <w:p w14:paraId="54D76A66">
      <w:pPr>
        <w:pStyle w:val="2"/>
        <w:spacing w:line="248" w:lineRule="auto"/>
        <w:rPr>
          <w:highlight w:val="none"/>
        </w:rPr>
      </w:pPr>
    </w:p>
    <w:p w14:paraId="0B83A821">
      <w:pPr>
        <w:pStyle w:val="2"/>
        <w:spacing w:line="248" w:lineRule="auto"/>
        <w:rPr>
          <w:highlight w:val="none"/>
        </w:rPr>
      </w:pPr>
    </w:p>
    <w:p w14:paraId="2D7B7290">
      <w:pPr>
        <w:pStyle w:val="2"/>
        <w:spacing w:line="248" w:lineRule="auto"/>
        <w:rPr>
          <w:highlight w:val="none"/>
        </w:rPr>
      </w:pPr>
    </w:p>
    <w:p w14:paraId="57CFDE45">
      <w:pPr>
        <w:pStyle w:val="2"/>
        <w:spacing w:line="248" w:lineRule="auto"/>
        <w:rPr>
          <w:highlight w:val="none"/>
        </w:rPr>
      </w:pPr>
    </w:p>
    <w:p w14:paraId="74360383">
      <w:pPr>
        <w:pStyle w:val="2"/>
        <w:spacing w:line="248" w:lineRule="auto"/>
        <w:rPr>
          <w:highlight w:val="none"/>
        </w:rPr>
      </w:pPr>
    </w:p>
    <w:p w14:paraId="6744A34F">
      <w:pPr>
        <w:pStyle w:val="2"/>
        <w:spacing w:line="248" w:lineRule="auto"/>
        <w:rPr>
          <w:highlight w:val="none"/>
        </w:rPr>
      </w:pPr>
    </w:p>
    <w:p w14:paraId="7AF6DF3A">
      <w:pPr>
        <w:spacing w:before="73" w:line="219" w:lineRule="auto"/>
        <w:rPr>
          <w:rFonts w:ascii="宋体" w:hAnsi="宋体" w:eastAsia="宋体" w:cs="宋体"/>
          <w:sz w:val="22"/>
          <w:szCs w:val="22"/>
          <w:highlight w:val="none"/>
        </w:rPr>
      </w:pPr>
      <w:r>
        <w:rPr>
          <w:rFonts w:ascii="宋体" w:hAnsi="宋体" w:eastAsia="宋体" w:cs="宋体"/>
          <w:spacing w:val="-17"/>
          <w:sz w:val="22"/>
          <w:szCs w:val="22"/>
          <w:highlight w:val="none"/>
        </w:rPr>
        <w:t>备注：附法定代表人身份证扫描件</w:t>
      </w:r>
    </w:p>
    <w:p w14:paraId="3F887C91">
      <w:pPr>
        <w:spacing w:line="219" w:lineRule="auto"/>
        <w:rPr>
          <w:rFonts w:ascii="宋体" w:hAnsi="宋体" w:eastAsia="宋体" w:cs="宋体"/>
          <w:sz w:val="22"/>
          <w:szCs w:val="22"/>
          <w:highlight w:val="none"/>
        </w:rPr>
        <w:sectPr>
          <w:footerReference r:id="rId244" w:type="default"/>
          <w:pgSz w:w="11910" w:h="16840"/>
          <w:pgMar w:top="400" w:right="1786" w:bottom="1238" w:left="1779" w:header="0" w:footer="1007" w:gutter="0"/>
          <w:cols w:space="720" w:num="1"/>
        </w:sectPr>
      </w:pPr>
    </w:p>
    <w:p w14:paraId="6D8ECC9D">
      <w:pPr>
        <w:pStyle w:val="2"/>
        <w:spacing w:line="268" w:lineRule="auto"/>
        <w:rPr>
          <w:highlight w:val="none"/>
        </w:rPr>
      </w:pPr>
    </w:p>
    <w:p w14:paraId="126736EC">
      <w:pPr>
        <w:pStyle w:val="2"/>
        <w:spacing w:line="268" w:lineRule="auto"/>
        <w:rPr>
          <w:highlight w:val="none"/>
        </w:rPr>
      </w:pPr>
    </w:p>
    <w:p w14:paraId="77D747B8">
      <w:pPr>
        <w:pStyle w:val="2"/>
        <w:spacing w:line="268" w:lineRule="auto"/>
        <w:rPr>
          <w:highlight w:val="none"/>
        </w:rPr>
      </w:pPr>
    </w:p>
    <w:p w14:paraId="5D878A2D">
      <w:pPr>
        <w:pStyle w:val="2"/>
        <w:spacing w:line="268" w:lineRule="auto"/>
        <w:rPr>
          <w:highlight w:val="none"/>
        </w:rPr>
      </w:pPr>
    </w:p>
    <w:p w14:paraId="7FC6FC44">
      <w:pPr>
        <w:spacing w:before="104" w:line="222" w:lineRule="auto"/>
        <w:outlineLvl w:val="1"/>
        <w:rPr>
          <w:rFonts w:ascii="黑体" w:hAnsi="黑体" w:eastAsia="黑体" w:cs="黑体"/>
          <w:sz w:val="32"/>
          <w:szCs w:val="32"/>
          <w:highlight w:val="none"/>
        </w:rPr>
      </w:pPr>
      <w:bookmarkStart w:id="245" w:name="bookmark300"/>
      <w:bookmarkEnd w:id="245"/>
      <w:bookmarkStart w:id="246" w:name="bookmark157"/>
      <w:bookmarkEnd w:id="246"/>
      <w:r>
        <w:rPr>
          <w:rFonts w:ascii="黑体" w:hAnsi="黑体" w:eastAsia="黑体" w:cs="黑体"/>
          <w:spacing w:val="6"/>
          <w:sz w:val="32"/>
          <w:szCs w:val="32"/>
          <w:highlight w:val="none"/>
        </w:rPr>
        <w:t>三、投标保证金</w:t>
      </w:r>
    </w:p>
    <w:p w14:paraId="3FACAFB7">
      <w:pPr>
        <w:spacing w:before="232" w:line="220" w:lineRule="auto"/>
        <w:ind w:left="3860"/>
        <w:rPr>
          <w:rFonts w:ascii="宋体" w:hAnsi="宋体" w:eastAsia="宋体" w:cs="宋体"/>
          <w:sz w:val="24"/>
          <w:szCs w:val="24"/>
          <w:highlight w:val="none"/>
        </w:rPr>
      </w:pPr>
      <w:r>
        <w:rPr>
          <w:rFonts w:ascii="宋体" w:hAnsi="宋体" w:eastAsia="宋体" w:cs="宋体"/>
          <w:spacing w:val="-2"/>
          <w:sz w:val="24"/>
          <w:szCs w:val="24"/>
          <w:highlight w:val="none"/>
        </w:rPr>
        <w:t>投标保证金</w:t>
      </w:r>
    </w:p>
    <w:p w14:paraId="10744A31">
      <w:pPr>
        <w:spacing w:before="160" w:line="219" w:lineRule="auto"/>
        <w:ind w:left="550"/>
        <w:rPr>
          <w:rFonts w:ascii="宋体" w:hAnsi="宋体" w:eastAsia="宋体" w:cs="宋体"/>
          <w:sz w:val="22"/>
          <w:szCs w:val="22"/>
          <w:highlight w:val="none"/>
        </w:rPr>
      </w:pPr>
      <w:r>
        <w:rPr>
          <w:rFonts w:ascii="宋体" w:hAnsi="宋体" w:eastAsia="宋体" w:cs="宋体"/>
          <w:spacing w:val="-11"/>
          <w:sz w:val="22"/>
          <w:szCs w:val="22"/>
          <w:highlight w:val="none"/>
        </w:rPr>
        <w:t>若采用现金或支票，投标人应在此提供汇款凭证的扫描件。</w:t>
      </w:r>
    </w:p>
    <w:p w14:paraId="2EA941DD">
      <w:pPr>
        <w:spacing w:before="239" w:line="219" w:lineRule="auto"/>
        <w:ind w:left="560"/>
        <w:rPr>
          <w:rFonts w:ascii="宋体" w:hAnsi="宋体" w:eastAsia="宋体" w:cs="宋体"/>
          <w:sz w:val="22"/>
          <w:szCs w:val="22"/>
          <w:highlight w:val="none"/>
        </w:rPr>
      </w:pPr>
      <w:r>
        <w:rPr>
          <w:rFonts w:ascii="宋体" w:hAnsi="宋体" w:eastAsia="宋体" w:cs="宋体"/>
          <w:spacing w:val="-11"/>
          <w:sz w:val="22"/>
          <w:szCs w:val="22"/>
          <w:highlight w:val="none"/>
        </w:rPr>
        <w:t>如采用银行保函，格式如下。</w:t>
      </w:r>
    </w:p>
    <w:p w14:paraId="2C0093E8">
      <w:pPr>
        <w:pStyle w:val="2"/>
        <w:spacing w:line="279" w:lineRule="auto"/>
        <w:rPr>
          <w:highlight w:val="none"/>
        </w:rPr>
      </w:pPr>
    </w:p>
    <w:p w14:paraId="2D2FEEAE">
      <w:pPr>
        <w:pStyle w:val="2"/>
        <w:spacing w:line="279" w:lineRule="auto"/>
        <w:rPr>
          <w:highlight w:val="none"/>
        </w:rPr>
      </w:pPr>
    </w:p>
    <w:p w14:paraId="4F218C95">
      <w:pPr>
        <w:pStyle w:val="2"/>
        <w:spacing w:line="280" w:lineRule="auto"/>
        <w:rPr>
          <w:highlight w:val="none"/>
        </w:rPr>
      </w:pPr>
    </w:p>
    <w:p w14:paraId="65B41CD0">
      <w:pPr>
        <w:pStyle w:val="2"/>
        <w:spacing w:line="280" w:lineRule="auto"/>
        <w:rPr>
          <w:highlight w:val="none"/>
        </w:rPr>
      </w:pPr>
    </w:p>
    <w:p w14:paraId="4C1577F3">
      <w:pPr>
        <w:tabs>
          <w:tab w:val="left" w:pos="1940"/>
        </w:tabs>
        <w:spacing w:before="65" w:line="220" w:lineRule="auto"/>
        <w:rPr>
          <w:rFonts w:ascii="宋体" w:hAnsi="宋体" w:eastAsia="宋体" w:cs="宋体"/>
          <w:sz w:val="20"/>
          <w:szCs w:val="20"/>
          <w:highlight w:val="none"/>
        </w:rPr>
      </w:pPr>
      <w:r>
        <w:rPr>
          <w:rFonts w:ascii="宋体" w:hAnsi="宋体" w:eastAsia="宋体" w:cs="宋体"/>
          <w:sz w:val="20"/>
          <w:szCs w:val="20"/>
          <w:highlight w:val="none"/>
          <w:u w:val="single" w:color="auto"/>
        </w:rPr>
        <w:tab/>
      </w:r>
      <w:r>
        <w:rPr>
          <w:rFonts w:ascii="宋体" w:hAnsi="宋体" w:eastAsia="宋体" w:cs="宋体"/>
          <w:spacing w:val="-9"/>
          <w:sz w:val="20"/>
          <w:szCs w:val="20"/>
          <w:highlight w:val="none"/>
        </w:rPr>
        <w:t xml:space="preserve"> </w:t>
      </w:r>
      <w:r>
        <w:rPr>
          <w:rFonts w:ascii="宋体" w:hAnsi="宋体" w:eastAsia="宋体" w:cs="宋体"/>
          <w:spacing w:val="6"/>
          <w:sz w:val="20"/>
          <w:szCs w:val="20"/>
          <w:highlight w:val="none"/>
        </w:rPr>
        <w:t>(招标人名称):</w:t>
      </w:r>
    </w:p>
    <w:p w14:paraId="7E1E27D7">
      <w:pPr>
        <w:spacing w:before="242" w:line="219" w:lineRule="auto"/>
        <w:ind w:left="450"/>
        <w:rPr>
          <w:rFonts w:ascii="宋体" w:hAnsi="宋体" w:eastAsia="宋体" w:cs="宋体"/>
          <w:sz w:val="21"/>
          <w:szCs w:val="21"/>
          <w:highlight w:val="none"/>
        </w:rPr>
      </w:pPr>
      <w:r>
        <w:rPr>
          <w:rFonts w:ascii="宋体" w:hAnsi="宋体" w:eastAsia="宋体" w:cs="宋体"/>
          <w:spacing w:val="3"/>
          <w:sz w:val="21"/>
          <w:szCs w:val="21"/>
          <w:highlight w:val="none"/>
        </w:rPr>
        <w:t>鉴于</w:t>
      </w:r>
      <w:r>
        <w:rPr>
          <w:rFonts w:ascii="宋体" w:hAnsi="宋体" w:eastAsia="宋体" w:cs="宋体"/>
          <w:spacing w:val="-102"/>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 xml:space="preserve"> (投标人名称)(以下称“投标人”)于</w:t>
      </w:r>
      <w:r>
        <w:rPr>
          <w:rFonts w:ascii="宋体" w:hAnsi="宋体" w:eastAsia="宋体" w:cs="宋体"/>
          <w:spacing w:val="-87"/>
          <w:sz w:val="21"/>
          <w:szCs w:val="21"/>
          <w:highlight w:val="none"/>
        </w:rPr>
        <w:t xml:space="preserve"> </w:t>
      </w:r>
      <w:r>
        <w:rPr>
          <w:rFonts w:ascii="宋体" w:hAnsi="宋体" w:eastAsia="宋体" w:cs="宋体"/>
          <w:spacing w:val="11"/>
          <w:sz w:val="21"/>
          <w:szCs w:val="21"/>
          <w:highlight w:val="none"/>
          <w:u w:val="single" w:color="auto"/>
        </w:rPr>
        <w:t xml:space="preserve">     </w:t>
      </w:r>
      <w:r>
        <w:rPr>
          <w:rFonts w:ascii="宋体" w:hAnsi="宋体" w:eastAsia="宋体" w:cs="宋体"/>
          <w:spacing w:val="-95"/>
          <w:sz w:val="21"/>
          <w:szCs w:val="21"/>
          <w:highlight w:val="none"/>
        </w:rPr>
        <w:t xml:space="preserve"> </w:t>
      </w:r>
      <w:r>
        <w:rPr>
          <w:rFonts w:ascii="宋体" w:hAnsi="宋体" w:eastAsia="宋体" w:cs="宋体"/>
          <w:spacing w:val="3"/>
          <w:sz w:val="21"/>
          <w:szCs w:val="21"/>
          <w:highlight w:val="none"/>
        </w:rPr>
        <w:t>年</w:t>
      </w:r>
      <w:r>
        <w:rPr>
          <w:rFonts w:ascii="宋体" w:hAnsi="宋体" w:eastAsia="宋体" w:cs="宋体"/>
          <w:spacing w:val="-92"/>
          <w:sz w:val="21"/>
          <w:szCs w:val="21"/>
          <w:highlight w:val="none"/>
        </w:rPr>
        <w:t xml:space="preserve"> </w:t>
      </w:r>
      <w:r>
        <w:rPr>
          <w:rFonts w:ascii="宋体" w:hAnsi="宋体" w:eastAsia="宋体" w:cs="宋体"/>
          <w:spacing w:val="17"/>
          <w:sz w:val="21"/>
          <w:szCs w:val="21"/>
          <w:highlight w:val="none"/>
          <w:u w:val="single" w:color="auto"/>
        </w:rPr>
        <w:t xml:space="preserve">    </w:t>
      </w:r>
      <w:r>
        <w:rPr>
          <w:rFonts w:ascii="宋体" w:hAnsi="宋体" w:eastAsia="宋体" w:cs="宋体"/>
          <w:spacing w:val="-102"/>
          <w:sz w:val="21"/>
          <w:szCs w:val="21"/>
          <w:highlight w:val="none"/>
        </w:rPr>
        <w:t xml:space="preserve"> </w:t>
      </w:r>
      <w:r>
        <w:rPr>
          <w:rFonts w:ascii="宋体" w:hAnsi="宋体" w:eastAsia="宋体" w:cs="宋体"/>
          <w:spacing w:val="3"/>
          <w:sz w:val="21"/>
          <w:szCs w:val="21"/>
          <w:highlight w:val="none"/>
        </w:rPr>
        <w:t>月</w:t>
      </w:r>
    </w:p>
    <w:p w14:paraId="36C4D1A8">
      <w:pPr>
        <w:tabs>
          <w:tab w:val="left" w:pos="500"/>
        </w:tabs>
        <w:spacing w:before="241" w:line="416" w:lineRule="auto"/>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1"/>
          <w:sz w:val="21"/>
          <w:szCs w:val="21"/>
          <w:highlight w:val="none"/>
        </w:rPr>
        <w:t>日参加</w:t>
      </w:r>
      <w:r>
        <w:rPr>
          <w:rFonts w:ascii="宋体" w:hAnsi="宋体" w:eastAsia="宋体" w:cs="宋体"/>
          <w:spacing w:val="15"/>
          <w:sz w:val="21"/>
          <w:szCs w:val="21"/>
          <w:highlight w:val="none"/>
          <w:u w:val="single" w:color="auto"/>
        </w:rPr>
        <w:t xml:space="preserve">       </w:t>
      </w:r>
      <w:r>
        <w:rPr>
          <w:rFonts w:ascii="宋体" w:hAnsi="宋体" w:eastAsia="宋体" w:cs="宋体"/>
          <w:spacing w:val="-1"/>
          <w:sz w:val="21"/>
          <w:szCs w:val="21"/>
          <w:highlight w:val="none"/>
        </w:rPr>
        <w:t xml:space="preserve"> (项目名称)</w:t>
      </w:r>
      <w:r>
        <w:rPr>
          <w:rFonts w:ascii="宋体" w:hAnsi="宋体" w:eastAsia="宋体" w:cs="宋体"/>
          <w:spacing w:val="-68"/>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
          <w:sz w:val="21"/>
          <w:szCs w:val="21"/>
          <w:highlight w:val="none"/>
        </w:rPr>
        <w:t xml:space="preserve"> (标段名称)工程总承包的投标，</w:t>
      </w:r>
      <w:r>
        <w:rPr>
          <w:rFonts w:ascii="宋体" w:hAnsi="宋体" w:eastAsia="宋体" w:cs="宋体"/>
          <w:spacing w:val="85"/>
          <w:sz w:val="21"/>
          <w:szCs w:val="21"/>
          <w:highlight w:val="none"/>
        </w:rPr>
        <w:t xml:space="preserve"> </w:t>
      </w:r>
      <w:r>
        <w:rPr>
          <w:rFonts w:ascii="宋体" w:hAnsi="宋体" w:eastAsia="宋体" w:cs="宋体"/>
          <w:spacing w:val="6"/>
          <w:sz w:val="21"/>
          <w:szCs w:val="21"/>
          <w:highlight w:val="none"/>
          <w:u w:val="single" w:color="auto"/>
        </w:rPr>
        <w:t xml:space="preserve">         </w:t>
      </w:r>
      <w:r>
        <w:rPr>
          <w:rFonts w:ascii="宋体" w:hAnsi="宋体" w:eastAsia="宋体" w:cs="宋体"/>
          <w:spacing w:val="-1"/>
          <w:sz w:val="21"/>
          <w:szCs w:val="21"/>
          <w:highlight w:val="none"/>
        </w:rPr>
        <w:t xml:space="preserve"> (担</w:t>
      </w:r>
      <w:r>
        <w:rPr>
          <w:rFonts w:ascii="宋体" w:hAnsi="宋体" w:eastAsia="宋体" w:cs="宋体"/>
          <w:spacing w:val="1"/>
          <w:sz w:val="21"/>
          <w:szCs w:val="21"/>
          <w:highlight w:val="none"/>
        </w:rPr>
        <w:t xml:space="preserve"> </w:t>
      </w:r>
      <w:r>
        <w:rPr>
          <w:rFonts w:ascii="宋体" w:hAnsi="宋体" w:eastAsia="宋体" w:cs="宋体"/>
          <w:sz w:val="21"/>
          <w:szCs w:val="21"/>
          <w:highlight w:val="none"/>
        </w:rPr>
        <w:t>保人名称，以下简称“我方”)无条件地、不可撤销地保证：若投</w:t>
      </w:r>
      <w:r>
        <w:rPr>
          <w:rFonts w:ascii="宋体" w:hAnsi="宋体" w:eastAsia="宋体" w:cs="宋体"/>
          <w:spacing w:val="-1"/>
          <w:sz w:val="21"/>
          <w:szCs w:val="21"/>
          <w:highlight w:val="none"/>
        </w:rPr>
        <w:t>标人在投标有效期内撤销</w:t>
      </w:r>
      <w:r>
        <w:rPr>
          <w:rFonts w:ascii="宋体" w:hAnsi="宋体" w:eastAsia="宋体" w:cs="宋体"/>
          <w:sz w:val="21"/>
          <w:szCs w:val="21"/>
          <w:highlight w:val="none"/>
        </w:rPr>
        <w:t xml:space="preserve">  投标文件，中标后无正当理由不与招标人订立合同，在</w:t>
      </w:r>
      <w:r>
        <w:rPr>
          <w:rFonts w:ascii="宋体" w:hAnsi="宋体" w:eastAsia="宋体" w:cs="宋体"/>
          <w:spacing w:val="-1"/>
          <w:sz w:val="21"/>
          <w:szCs w:val="21"/>
          <w:highlight w:val="none"/>
        </w:rPr>
        <w:t>签订合同时向招标人提出附加条件，</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不按照招标文件要求提交履约保证金，或者发生招标文件明确规定可以不予退还投标保证金</w:t>
      </w:r>
      <w:r>
        <w:rPr>
          <w:rFonts w:ascii="宋体" w:hAnsi="宋体" w:eastAsia="宋体" w:cs="宋体"/>
          <w:spacing w:val="3"/>
          <w:sz w:val="21"/>
          <w:szCs w:val="21"/>
          <w:highlight w:val="none"/>
        </w:rPr>
        <w:t xml:space="preserve">  </w:t>
      </w:r>
      <w:r>
        <w:rPr>
          <w:rFonts w:ascii="宋体" w:hAnsi="宋体" w:eastAsia="宋体" w:cs="宋体"/>
          <w:spacing w:val="2"/>
          <w:sz w:val="21"/>
          <w:szCs w:val="21"/>
          <w:highlight w:val="none"/>
        </w:rPr>
        <w:t>的其他情形，我方承担保证责任。收到你方书面通知后，我方在7 日内向你方无条件支付</w:t>
      </w:r>
      <w:r>
        <w:rPr>
          <w:rFonts w:ascii="宋体" w:hAnsi="宋体" w:eastAsia="宋体" w:cs="宋体"/>
          <w:spacing w:val="8"/>
          <w:sz w:val="21"/>
          <w:szCs w:val="21"/>
          <w:highlight w:val="none"/>
        </w:rPr>
        <w:t xml:space="preserve">  </w:t>
      </w:r>
      <w:r>
        <w:rPr>
          <w:rFonts w:ascii="宋体" w:hAnsi="宋体" w:eastAsia="宋体" w:cs="宋体"/>
          <w:spacing w:val="16"/>
          <w:sz w:val="21"/>
          <w:szCs w:val="21"/>
          <w:highlight w:val="none"/>
        </w:rPr>
        <w:t>人民币(大写)</w:t>
      </w:r>
      <w:r>
        <w:rPr>
          <w:rFonts w:ascii="宋体" w:hAnsi="宋体" w:eastAsia="宋体" w:cs="宋体"/>
          <w:spacing w:val="90"/>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100"/>
          <w:sz w:val="21"/>
          <w:szCs w:val="21"/>
          <w:highlight w:val="none"/>
        </w:rPr>
        <w:t xml:space="preserve"> </w:t>
      </w:r>
      <w:r>
        <w:rPr>
          <w:rFonts w:ascii="宋体" w:hAnsi="宋体" w:eastAsia="宋体" w:cs="宋体"/>
          <w:spacing w:val="16"/>
          <w:sz w:val="21"/>
          <w:szCs w:val="21"/>
          <w:highlight w:val="none"/>
        </w:rPr>
        <w:t>元。</w:t>
      </w:r>
    </w:p>
    <w:p w14:paraId="72AFA744">
      <w:pPr>
        <w:spacing w:before="1" w:line="407" w:lineRule="auto"/>
        <w:ind w:right="37" w:firstLine="460"/>
        <w:rPr>
          <w:rFonts w:ascii="宋体" w:hAnsi="宋体" w:eastAsia="宋体" w:cs="宋体"/>
          <w:sz w:val="22"/>
          <w:szCs w:val="22"/>
          <w:highlight w:val="none"/>
        </w:rPr>
      </w:pPr>
      <w:r>
        <w:rPr>
          <w:rFonts w:ascii="宋体" w:hAnsi="宋体" w:eastAsia="宋体" w:cs="宋体"/>
          <w:spacing w:val="-12"/>
          <w:sz w:val="22"/>
          <w:szCs w:val="22"/>
          <w:highlight w:val="none"/>
        </w:rPr>
        <w:t>本保函在投标有效期内保持有效。要求我方承担</w:t>
      </w:r>
      <w:r>
        <w:rPr>
          <w:rFonts w:ascii="宋体" w:hAnsi="宋体" w:eastAsia="宋体" w:cs="宋体"/>
          <w:spacing w:val="-13"/>
          <w:sz w:val="22"/>
          <w:szCs w:val="22"/>
          <w:highlight w:val="none"/>
        </w:rPr>
        <w:t>保证责任的通知应在投标有效期内送达</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我方。</w:t>
      </w:r>
    </w:p>
    <w:p w14:paraId="2972C009">
      <w:pPr>
        <w:pStyle w:val="2"/>
        <w:spacing w:line="273" w:lineRule="auto"/>
        <w:rPr>
          <w:highlight w:val="none"/>
        </w:rPr>
      </w:pPr>
    </w:p>
    <w:p w14:paraId="4DD8D45C">
      <w:pPr>
        <w:pStyle w:val="2"/>
        <w:spacing w:line="273" w:lineRule="auto"/>
        <w:rPr>
          <w:highlight w:val="none"/>
        </w:rPr>
      </w:pPr>
    </w:p>
    <w:p w14:paraId="051DB90A">
      <w:pPr>
        <w:pStyle w:val="2"/>
        <w:spacing w:line="273" w:lineRule="auto"/>
        <w:rPr>
          <w:highlight w:val="none"/>
        </w:rPr>
      </w:pPr>
    </w:p>
    <w:p w14:paraId="66D8BB8A">
      <w:pPr>
        <w:pStyle w:val="2"/>
        <w:spacing w:line="273" w:lineRule="auto"/>
        <w:rPr>
          <w:highlight w:val="none"/>
        </w:rPr>
      </w:pPr>
    </w:p>
    <w:p w14:paraId="4B102C57">
      <w:pPr>
        <w:pStyle w:val="2"/>
        <w:spacing w:line="273" w:lineRule="auto"/>
        <w:rPr>
          <w:highlight w:val="none"/>
        </w:rPr>
      </w:pPr>
    </w:p>
    <w:p w14:paraId="0FD336CC">
      <w:pPr>
        <w:spacing w:before="65" w:line="227" w:lineRule="auto"/>
        <w:ind w:left="3180"/>
        <w:rPr>
          <w:rFonts w:ascii="宋体" w:hAnsi="宋体" w:eastAsia="宋体" w:cs="宋体"/>
          <w:sz w:val="20"/>
          <w:szCs w:val="20"/>
          <w:highlight w:val="none"/>
        </w:rPr>
      </w:pPr>
      <w:r>
        <w:rPr>
          <w:rFonts w:ascii="宋体" w:hAnsi="宋体" w:eastAsia="宋体" w:cs="宋体"/>
          <w:spacing w:val="4"/>
          <w:position w:val="1"/>
          <w:sz w:val="20"/>
          <w:szCs w:val="20"/>
          <w:highlight w:val="none"/>
        </w:rPr>
        <w:t>担保人名称：</w:t>
      </w:r>
      <w:r>
        <w:rPr>
          <w:rFonts w:ascii="宋体" w:hAnsi="宋体" w:eastAsia="宋体" w:cs="宋体"/>
          <w:position w:val="1"/>
          <w:sz w:val="20"/>
          <w:szCs w:val="20"/>
          <w:highlight w:val="none"/>
          <w:u w:val="single" w:color="auto"/>
        </w:rPr>
        <w:t xml:space="preserve">                         </w:t>
      </w:r>
      <w:r>
        <w:rPr>
          <w:rFonts w:ascii="宋体" w:hAnsi="宋体" w:eastAsia="宋体" w:cs="宋体"/>
          <w:spacing w:val="4"/>
          <w:position w:val="-1"/>
          <w:sz w:val="20"/>
          <w:szCs w:val="20"/>
          <w:highlight w:val="none"/>
        </w:rPr>
        <w:t>(盖单位章)</w:t>
      </w:r>
    </w:p>
    <w:p w14:paraId="237D0210">
      <w:pPr>
        <w:spacing w:before="214" w:line="220" w:lineRule="auto"/>
        <w:ind w:left="2560"/>
        <w:rPr>
          <w:rFonts w:ascii="宋体" w:hAnsi="宋体" w:eastAsia="宋体" w:cs="宋体"/>
          <w:sz w:val="20"/>
          <w:szCs w:val="20"/>
          <w:highlight w:val="none"/>
        </w:rPr>
      </w:pPr>
      <w:r>
        <w:rPr>
          <w:rFonts w:ascii="宋体" w:hAnsi="宋体" w:eastAsia="宋体" w:cs="宋体"/>
          <w:spacing w:val="3"/>
          <w:sz w:val="22"/>
          <w:szCs w:val="22"/>
          <w:highlight w:val="none"/>
        </w:rPr>
        <w:t>法定代表人(单位负责人)或委托代理人：</w:t>
      </w:r>
      <w:r>
        <w:rPr>
          <w:rFonts w:ascii="宋体" w:hAnsi="宋体" w:eastAsia="宋体" w:cs="宋体"/>
          <w:spacing w:val="18"/>
          <w:sz w:val="22"/>
          <w:szCs w:val="22"/>
          <w:highlight w:val="none"/>
          <w:u w:val="single" w:color="auto"/>
        </w:rPr>
        <w:t xml:space="preserve">     </w:t>
      </w:r>
      <w:r>
        <w:rPr>
          <w:rFonts w:ascii="宋体" w:hAnsi="宋体" w:eastAsia="宋体" w:cs="宋体"/>
          <w:spacing w:val="3"/>
          <w:sz w:val="22"/>
          <w:szCs w:val="22"/>
          <w:highlight w:val="none"/>
        </w:rPr>
        <w:t xml:space="preserve"> </w:t>
      </w:r>
      <w:r>
        <w:rPr>
          <w:rFonts w:ascii="宋体" w:hAnsi="宋体" w:eastAsia="宋体" w:cs="宋体"/>
          <w:spacing w:val="3"/>
          <w:position w:val="1"/>
          <w:sz w:val="20"/>
          <w:szCs w:val="20"/>
          <w:highlight w:val="none"/>
        </w:rPr>
        <w:t>(签字)</w:t>
      </w:r>
    </w:p>
    <w:p w14:paraId="71D0AD76">
      <w:pPr>
        <w:spacing w:before="220" w:line="229" w:lineRule="auto"/>
        <w:ind w:left="3180"/>
        <w:rPr>
          <w:rFonts w:ascii="宋体" w:hAnsi="宋体" w:eastAsia="宋体" w:cs="宋体"/>
          <w:sz w:val="22"/>
          <w:szCs w:val="22"/>
          <w:highlight w:val="none"/>
        </w:rPr>
      </w:pPr>
      <w:r>
        <w:rPr>
          <w:rFonts w:ascii="宋体" w:hAnsi="宋体" w:eastAsia="宋体" w:cs="宋体"/>
          <w:spacing w:val="-23"/>
          <w:sz w:val="22"/>
          <w:szCs w:val="22"/>
          <w:highlight w:val="none"/>
        </w:rPr>
        <w:t>地</w:t>
      </w:r>
      <w:r>
        <w:rPr>
          <w:rFonts w:ascii="宋体" w:hAnsi="宋体" w:eastAsia="宋体" w:cs="宋体"/>
          <w:spacing w:val="26"/>
          <w:sz w:val="22"/>
          <w:szCs w:val="22"/>
          <w:highlight w:val="none"/>
        </w:rPr>
        <w:t xml:space="preserve">   </w:t>
      </w:r>
      <w:r>
        <w:rPr>
          <w:rFonts w:ascii="宋体" w:hAnsi="宋体" w:eastAsia="宋体" w:cs="宋体"/>
          <w:spacing w:val="-23"/>
          <w:sz w:val="22"/>
          <w:szCs w:val="22"/>
          <w:highlight w:val="none"/>
        </w:rPr>
        <w:t>址：</w:t>
      </w:r>
      <w:r>
        <w:rPr>
          <w:rFonts w:ascii="宋体" w:hAnsi="宋体" w:eastAsia="宋体" w:cs="宋体"/>
          <w:sz w:val="22"/>
          <w:szCs w:val="22"/>
          <w:highlight w:val="none"/>
          <w:u w:val="single" w:color="auto"/>
        </w:rPr>
        <w:t xml:space="preserve">                                 </w:t>
      </w:r>
    </w:p>
    <w:p w14:paraId="7034AFD4">
      <w:pPr>
        <w:spacing w:before="236" w:line="219" w:lineRule="auto"/>
        <w:ind w:left="3180"/>
        <w:rPr>
          <w:rFonts w:ascii="宋体" w:hAnsi="宋体" w:eastAsia="宋体" w:cs="宋体"/>
          <w:sz w:val="20"/>
          <w:szCs w:val="20"/>
          <w:highlight w:val="none"/>
        </w:rPr>
      </w:pPr>
      <w:r>
        <w:rPr>
          <w:rFonts w:ascii="宋体" w:hAnsi="宋体" w:eastAsia="宋体" w:cs="宋体"/>
          <w:sz w:val="20"/>
          <w:szCs w:val="20"/>
          <w:highlight w:val="none"/>
        </w:rPr>
        <w:t>邮政编码：</w:t>
      </w:r>
      <w:r>
        <w:rPr>
          <w:rFonts w:ascii="宋体" w:hAnsi="宋体" w:eastAsia="宋体" w:cs="宋体"/>
          <w:spacing w:val="-61"/>
          <w:sz w:val="20"/>
          <w:szCs w:val="20"/>
          <w:highlight w:val="none"/>
        </w:rPr>
        <w:t xml:space="preserve"> </w:t>
      </w:r>
      <w:r>
        <w:rPr>
          <w:rFonts w:ascii="宋体" w:hAnsi="宋体" w:eastAsia="宋体" w:cs="宋体"/>
          <w:sz w:val="20"/>
          <w:szCs w:val="20"/>
          <w:highlight w:val="none"/>
          <w:u w:val="single" w:color="auto"/>
        </w:rPr>
        <w:t xml:space="preserve">                                     </w:t>
      </w:r>
    </w:p>
    <w:p w14:paraId="2D06D1DA">
      <w:pPr>
        <w:spacing w:before="236" w:line="221" w:lineRule="auto"/>
        <w:ind w:left="3180"/>
        <w:rPr>
          <w:rFonts w:ascii="宋体" w:hAnsi="宋体" w:eastAsia="宋体" w:cs="宋体"/>
          <w:sz w:val="22"/>
          <w:szCs w:val="22"/>
          <w:highlight w:val="none"/>
        </w:rPr>
      </w:pPr>
      <w:r>
        <w:rPr>
          <w:rFonts w:ascii="宋体" w:hAnsi="宋体" w:eastAsia="宋体" w:cs="宋体"/>
          <w:spacing w:val="-27"/>
          <w:w w:val="85"/>
          <w:sz w:val="22"/>
          <w:szCs w:val="22"/>
          <w:highlight w:val="none"/>
        </w:rPr>
        <w:t>电</w:t>
      </w:r>
      <w:r>
        <w:rPr>
          <w:rFonts w:ascii="宋体" w:hAnsi="宋体" w:eastAsia="宋体" w:cs="宋体"/>
          <w:spacing w:val="36"/>
          <w:sz w:val="22"/>
          <w:szCs w:val="22"/>
          <w:highlight w:val="none"/>
        </w:rPr>
        <w:t xml:space="preserve">   </w:t>
      </w:r>
      <w:r>
        <w:rPr>
          <w:rFonts w:ascii="宋体" w:hAnsi="宋体" w:eastAsia="宋体" w:cs="宋体"/>
          <w:spacing w:val="-27"/>
          <w:w w:val="85"/>
          <w:sz w:val="22"/>
          <w:szCs w:val="22"/>
          <w:highlight w:val="none"/>
        </w:rPr>
        <w:t>话：</w:t>
      </w:r>
      <w:r>
        <w:rPr>
          <w:rFonts w:ascii="宋体" w:hAnsi="宋体" w:eastAsia="宋体" w:cs="宋体"/>
          <w:sz w:val="22"/>
          <w:szCs w:val="22"/>
          <w:highlight w:val="none"/>
          <w:u w:val="single" w:color="auto"/>
        </w:rPr>
        <w:t xml:space="preserve">                                   </w:t>
      </w:r>
    </w:p>
    <w:p w14:paraId="204E31A8">
      <w:pPr>
        <w:spacing w:before="182" w:line="219" w:lineRule="auto"/>
        <w:ind w:left="3180"/>
        <w:rPr>
          <w:rFonts w:ascii="宋体" w:hAnsi="宋体" w:eastAsia="宋体" w:cs="宋体"/>
          <w:sz w:val="22"/>
          <w:szCs w:val="22"/>
          <w:highlight w:val="none"/>
        </w:rPr>
      </w:pPr>
      <w:r>
        <w:rPr>
          <w:rFonts w:ascii="宋体" w:hAnsi="宋体" w:eastAsia="宋体" w:cs="宋体"/>
          <w:spacing w:val="-23"/>
          <w:sz w:val="22"/>
          <w:szCs w:val="22"/>
          <w:highlight w:val="none"/>
        </w:rPr>
        <w:t>传</w:t>
      </w:r>
      <w:r>
        <w:rPr>
          <w:rFonts w:ascii="宋体" w:hAnsi="宋体" w:eastAsia="宋体" w:cs="宋体"/>
          <w:spacing w:val="29"/>
          <w:sz w:val="22"/>
          <w:szCs w:val="22"/>
          <w:highlight w:val="none"/>
        </w:rPr>
        <w:t xml:space="preserve">   </w:t>
      </w:r>
      <w:r>
        <w:rPr>
          <w:rFonts w:ascii="宋体" w:hAnsi="宋体" w:eastAsia="宋体" w:cs="宋体"/>
          <w:spacing w:val="-23"/>
          <w:sz w:val="22"/>
          <w:szCs w:val="22"/>
          <w:highlight w:val="none"/>
        </w:rPr>
        <w:t>真：</w:t>
      </w:r>
      <w:r>
        <w:rPr>
          <w:rFonts w:ascii="宋体" w:hAnsi="宋体" w:eastAsia="宋体" w:cs="宋体"/>
          <w:sz w:val="22"/>
          <w:szCs w:val="22"/>
          <w:highlight w:val="none"/>
          <w:u w:val="single" w:color="auto"/>
        </w:rPr>
        <w:t xml:space="preserve">                                  </w:t>
      </w:r>
    </w:p>
    <w:p w14:paraId="0347D198">
      <w:pPr>
        <w:tabs>
          <w:tab w:val="left" w:pos="5500"/>
        </w:tabs>
        <w:spacing w:before="203" w:line="224" w:lineRule="auto"/>
        <w:ind w:left="4950"/>
        <w:rPr>
          <w:rFonts w:ascii="宋体" w:hAnsi="宋体" w:eastAsia="宋体" w:cs="宋体"/>
          <w:sz w:val="20"/>
          <w:szCs w:val="20"/>
          <w:highlight w:val="none"/>
        </w:rPr>
      </w:pPr>
      <w:r>
        <w:rPr>
          <w:rFonts w:ascii="宋体" w:hAnsi="宋体" w:eastAsia="宋体" w:cs="宋体"/>
          <w:sz w:val="21"/>
          <w:szCs w:val="21"/>
          <w:highlight w:val="none"/>
          <w:u w:val="single" w:color="auto"/>
        </w:rPr>
        <w:tab/>
      </w:r>
      <w:r>
        <w:rPr>
          <w:rFonts w:ascii="宋体" w:hAnsi="宋体" w:eastAsia="宋体" w:cs="宋体"/>
          <w:spacing w:val="-16"/>
          <w:sz w:val="21"/>
          <w:szCs w:val="21"/>
          <w:highlight w:val="none"/>
        </w:rPr>
        <w:t>年</w:t>
      </w:r>
      <w:r>
        <w:rPr>
          <w:rFonts w:ascii="宋体" w:hAnsi="宋体" w:eastAsia="宋体" w:cs="宋体"/>
          <w:spacing w:val="9"/>
          <w:sz w:val="21"/>
          <w:szCs w:val="21"/>
          <w:highlight w:val="none"/>
          <w:u w:val="single" w:color="auto"/>
        </w:rPr>
        <w:t xml:space="preserve">     </w:t>
      </w:r>
      <w:r>
        <w:rPr>
          <w:rFonts w:ascii="宋体" w:hAnsi="宋体" w:eastAsia="宋体" w:cs="宋体"/>
          <w:spacing w:val="-16"/>
          <w:sz w:val="21"/>
          <w:szCs w:val="21"/>
          <w:highlight w:val="none"/>
        </w:rPr>
        <w:t>月</w:t>
      </w:r>
      <w:r>
        <w:rPr>
          <w:rFonts w:ascii="宋体" w:hAnsi="宋体" w:eastAsia="宋体" w:cs="宋体"/>
          <w:color w:val="808080"/>
          <w:spacing w:val="-7"/>
          <w:w w:val="29"/>
          <w:sz w:val="21"/>
          <w:szCs w:val="21"/>
          <w:highlight w:val="none"/>
        </w:rPr>
        <w:t>_</w:t>
      </w:r>
      <w:r>
        <w:rPr>
          <w:rFonts w:ascii="宋体" w:hAnsi="宋体" w:eastAsia="宋体" w:cs="宋体"/>
          <w:color w:val="808080"/>
          <w:spacing w:val="25"/>
          <w:sz w:val="21"/>
          <w:szCs w:val="21"/>
          <w:highlight w:val="none"/>
        </w:rPr>
        <w:t xml:space="preserve">    </w:t>
      </w:r>
      <w:r>
        <w:rPr>
          <w:rFonts w:ascii="宋体" w:hAnsi="宋体" w:eastAsia="宋体" w:cs="宋体"/>
          <w:spacing w:val="-16"/>
          <w:sz w:val="20"/>
          <w:szCs w:val="20"/>
          <w:highlight w:val="none"/>
        </w:rPr>
        <w:t>日</w:t>
      </w:r>
    </w:p>
    <w:p w14:paraId="64B78348">
      <w:pPr>
        <w:spacing w:before="221" w:line="219" w:lineRule="auto"/>
        <w:rPr>
          <w:rFonts w:ascii="宋体" w:hAnsi="宋体" w:eastAsia="宋体" w:cs="宋体"/>
          <w:sz w:val="22"/>
          <w:szCs w:val="22"/>
          <w:highlight w:val="none"/>
        </w:rPr>
      </w:pPr>
      <w:r>
        <w:rPr>
          <w:rFonts w:ascii="宋体" w:hAnsi="宋体" w:eastAsia="宋体" w:cs="宋体"/>
          <w:spacing w:val="-11"/>
          <w:sz w:val="22"/>
          <w:szCs w:val="22"/>
          <w:highlight w:val="none"/>
        </w:rPr>
        <w:t>备注：1.投标人采用保函形式提交投标保证金的采用本格式。</w:t>
      </w:r>
    </w:p>
    <w:p w14:paraId="0C40A510">
      <w:pPr>
        <w:spacing w:before="150" w:line="372" w:lineRule="auto"/>
        <w:ind w:left="869" w:right="36" w:hanging="219"/>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2. </w:t>
      </w:r>
      <w:r>
        <w:rPr>
          <w:rFonts w:ascii="宋体" w:hAnsi="宋体" w:eastAsia="宋体" w:cs="宋体"/>
          <w:spacing w:val="-2"/>
          <w:sz w:val="21"/>
          <w:szCs w:val="21"/>
          <w:highlight w:val="none"/>
        </w:rPr>
        <w:t>投标人可采用银行提供的保函格式，但担保内容不得背离招标文件约定的实质性内</w:t>
      </w:r>
      <w:r>
        <w:rPr>
          <w:rFonts w:ascii="宋体" w:hAnsi="宋体" w:eastAsia="宋体" w:cs="宋体"/>
          <w:spacing w:val="5"/>
          <w:sz w:val="21"/>
          <w:szCs w:val="21"/>
          <w:highlight w:val="none"/>
        </w:rPr>
        <w:t xml:space="preserve"> </w:t>
      </w:r>
      <w:r>
        <w:rPr>
          <w:rFonts w:ascii="宋体" w:hAnsi="宋体" w:eastAsia="宋体" w:cs="宋体"/>
          <w:spacing w:val="-1"/>
          <w:sz w:val="21"/>
          <w:szCs w:val="21"/>
          <w:highlight w:val="none"/>
        </w:rPr>
        <w:t>容或对招标人的权利造成实质性的限制。</w:t>
      </w:r>
    </w:p>
    <w:p w14:paraId="39FF2501">
      <w:pPr>
        <w:spacing w:line="372" w:lineRule="auto"/>
        <w:rPr>
          <w:rFonts w:ascii="宋体" w:hAnsi="宋体" w:eastAsia="宋体" w:cs="宋体"/>
          <w:sz w:val="21"/>
          <w:szCs w:val="21"/>
          <w:highlight w:val="none"/>
        </w:rPr>
        <w:sectPr>
          <w:footerReference r:id="rId245" w:type="default"/>
          <w:pgSz w:w="11910" w:h="16840"/>
          <w:pgMar w:top="400" w:right="1764" w:bottom="1238" w:left="1759" w:header="0" w:footer="1006" w:gutter="0"/>
          <w:cols w:space="720" w:num="1"/>
        </w:sectPr>
      </w:pPr>
    </w:p>
    <w:p w14:paraId="2A7AA0A5">
      <w:pPr>
        <w:pStyle w:val="2"/>
        <w:spacing w:line="267" w:lineRule="auto"/>
        <w:rPr>
          <w:highlight w:val="none"/>
        </w:rPr>
      </w:pPr>
    </w:p>
    <w:p w14:paraId="442BA862">
      <w:pPr>
        <w:pStyle w:val="2"/>
        <w:spacing w:line="267" w:lineRule="auto"/>
        <w:rPr>
          <w:highlight w:val="none"/>
        </w:rPr>
      </w:pPr>
    </w:p>
    <w:p w14:paraId="07291AA2">
      <w:pPr>
        <w:pStyle w:val="2"/>
        <w:spacing w:line="268" w:lineRule="auto"/>
        <w:rPr>
          <w:highlight w:val="none"/>
        </w:rPr>
      </w:pPr>
    </w:p>
    <w:p w14:paraId="0D015C2B">
      <w:pPr>
        <w:pStyle w:val="2"/>
        <w:spacing w:line="268" w:lineRule="auto"/>
        <w:rPr>
          <w:highlight w:val="none"/>
        </w:rPr>
      </w:pPr>
    </w:p>
    <w:p w14:paraId="5E8F8884">
      <w:pPr>
        <w:spacing w:before="104" w:line="222" w:lineRule="auto"/>
        <w:outlineLvl w:val="1"/>
        <w:rPr>
          <w:rFonts w:ascii="黑体" w:hAnsi="黑体" w:eastAsia="黑体" w:cs="黑体"/>
          <w:sz w:val="32"/>
          <w:szCs w:val="32"/>
          <w:highlight w:val="none"/>
        </w:rPr>
      </w:pPr>
      <w:bookmarkStart w:id="247" w:name="bookmark158"/>
      <w:bookmarkEnd w:id="247"/>
      <w:r>
        <w:rPr>
          <w:rFonts w:ascii="黑体" w:hAnsi="黑体" w:eastAsia="黑体" w:cs="黑体"/>
          <w:sz w:val="32"/>
          <w:szCs w:val="32"/>
          <w:highlight w:val="none"/>
        </w:rPr>
        <w:t>四、联合体协议书</w:t>
      </w:r>
    </w:p>
    <w:p w14:paraId="09972FFF">
      <w:pPr>
        <w:pStyle w:val="2"/>
        <w:spacing w:line="312" w:lineRule="auto"/>
        <w:rPr>
          <w:highlight w:val="none"/>
        </w:rPr>
      </w:pPr>
    </w:p>
    <w:p w14:paraId="30E13A5D">
      <w:pPr>
        <w:pStyle w:val="2"/>
        <w:spacing w:line="312" w:lineRule="auto"/>
        <w:rPr>
          <w:highlight w:val="none"/>
        </w:rPr>
      </w:pPr>
    </w:p>
    <w:p w14:paraId="58F4A21B">
      <w:pPr>
        <w:pStyle w:val="2"/>
        <w:spacing w:line="313" w:lineRule="auto"/>
        <w:rPr>
          <w:highlight w:val="none"/>
        </w:rPr>
      </w:pPr>
    </w:p>
    <w:p w14:paraId="7D6D75D1">
      <w:pPr>
        <w:tabs>
          <w:tab w:val="left" w:pos="2130"/>
        </w:tabs>
        <w:spacing w:before="68" w:line="354" w:lineRule="auto"/>
        <w:ind w:right="24" w:firstLine="550"/>
        <w:jc w:val="both"/>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1"/>
          <w:sz w:val="21"/>
          <w:szCs w:val="21"/>
          <w:highlight w:val="none"/>
        </w:rPr>
        <w:t xml:space="preserve"> </w:t>
      </w:r>
      <w:r>
        <w:rPr>
          <w:rFonts w:ascii="宋体" w:hAnsi="宋体" w:eastAsia="宋体" w:cs="宋体"/>
          <w:spacing w:val="4"/>
          <w:sz w:val="21"/>
          <w:szCs w:val="21"/>
          <w:highlight w:val="none"/>
        </w:rPr>
        <w:t>(所有成员单位名称)自愿组成</w:t>
      </w:r>
      <w:r>
        <w:rPr>
          <w:rFonts w:ascii="宋体" w:hAnsi="宋体" w:eastAsia="宋体" w:cs="宋体"/>
          <w:spacing w:val="-10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4"/>
          <w:sz w:val="21"/>
          <w:szCs w:val="21"/>
          <w:highlight w:val="none"/>
        </w:rPr>
        <w:t xml:space="preserve"> (联合体名称)联合体，共</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同参加</w:t>
      </w:r>
      <w:r>
        <w:rPr>
          <w:rFonts w:ascii="宋体" w:hAnsi="宋体" w:eastAsia="宋体" w:cs="宋体"/>
          <w:spacing w:val="-52"/>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3"/>
          <w:sz w:val="21"/>
          <w:szCs w:val="21"/>
          <w:highlight w:val="none"/>
        </w:rPr>
        <w:t xml:space="preserve"> (项目名称)</w:t>
      </w:r>
      <w:r>
        <w:rPr>
          <w:rFonts w:ascii="宋体" w:hAnsi="宋体" w:eastAsia="宋体" w:cs="宋体"/>
          <w:spacing w:val="-56"/>
          <w:sz w:val="21"/>
          <w:szCs w:val="21"/>
          <w:highlight w:val="none"/>
        </w:rPr>
        <w:t xml:space="preserve"> </w:t>
      </w:r>
      <w:r>
        <w:rPr>
          <w:rFonts w:ascii="宋体" w:hAnsi="宋体" w:eastAsia="宋体" w:cs="宋体"/>
          <w:spacing w:val="12"/>
          <w:sz w:val="21"/>
          <w:szCs w:val="21"/>
          <w:highlight w:val="none"/>
          <w:u w:val="single" w:color="auto"/>
        </w:rPr>
        <w:t xml:space="preserve">    </w:t>
      </w:r>
      <w:r>
        <w:rPr>
          <w:rFonts w:ascii="宋体" w:hAnsi="宋体" w:eastAsia="宋体" w:cs="宋体"/>
          <w:spacing w:val="-33"/>
          <w:sz w:val="21"/>
          <w:szCs w:val="21"/>
          <w:highlight w:val="none"/>
        </w:rPr>
        <w:t xml:space="preserve"> </w:t>
      </w:r>
      <w:r>
        <w:rPr>
          <w:rFonts w:ascii="宋体" w:hAnsi="宋体" w:eastAsia="宋体" w:cs="宋体"/>
          <w:spacing w:val="3"/>
          <w:sz w:val="21"/>
          <w:szCs w:val="21"/>
          <w:highlight w:val="none"/>
        </w:rPr>
        <w:t>(标段名称)工程总承包投标。现就联合体投标事宜订立</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如下协议：</w:t>
      </w:r>
    </w:p>
    <w:p w14:paraId="7C67A212">
      <w:pPr>
        <w:spacing w:before="2" w:line="219" w:lineRule="auto"/>
        <w:ind w:left="420"/>
        <w:rPr>
          <w:rFonts w:ascii="宋体" w:hAnsi="宋体" w:eastAsia="宋体" w:cs="宋体"/>
          <w:sz w:val="21"/>
          <w:szCs w:val="21"/>
          <w:highlight w:val="none"/>
        </w:rPr>
      </w:pPr>
      <w:r>
        <w:rPr>
          <w:rFonts w:ascii="宋体" w:hAnsi="宋体" w:eastAsia="宋体" w:cs="宋体"/>
          <w:spacing w:val="2"/>
          <w:sz w:val="21"/>
          <w:szCs w:val="21"/>
          <w:highlight w:val="none"/>
        </w:rPr>
        <w:t>1.</w:t>
      </w:r>
      <w:r>
        <w:rPr>
          <w:rFonts w:ascii="宋体" w:hAnsi="宋体" w:eastAsia="宋体" w:cs="宋体"/>
          <w:spacing w:val="-61"/>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2"/>
          <w:sz w:val="21"/>
          <w:szCs w:val="21"/>
          <w:highlight w:val="none"/>
        </w:rPr>
        <w:t xml:space="preserve"> (某成员单位名称)为</w:t>
      </w:r>
      <w:r>
        <w:rPr>
          <w:rFonts w:ascii="宋体" w:hAnsi="宋体" w:eastAsia="宋体" w:cs="宋体"/>
          <w:spacing w:val="-90"/>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2"/>
          <w:sz w:val="21"/>
          <w:szCs w:val="21"/>
          <w:highlight w:val="none"/>
        </w:rPr>
        <w:t xml:space="preserve"> (联合体名称)牵头人。</w:t>
      </w:r>
    </w:p>
    <w:p w14:paraId="4C532443">
      <w:pPr>
        <w:spacing w:before="140" w:line="302" w:lineRule="auto"/>
        <w:ind w:right="43" w:firstLine="42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w:t>
      </w:r>
      <w:r>
        <w:rPr>
          <w:rFonts w:ascii="Times New Roman" w:hAnsi="Times New Roman" w:eastAsia="Times New Roman" w:cs="Times New Roman"/>
          <w:spacing w:val="21"/>
          <w:sz w:val="21"/>
          <w:szCs w:val="21"/>
          <w:highlight w:val="none"/>
        </w:rPr>
        <w:t xml:space="preserve">  </w:t>
      </w:r>
      <w:r>
        <w:rPr>
          <w:rFonts w:ascii="宋体" w:hAnsi="宋体" w:eastAsia="宋体" w:cs="宋体"/>
          <w:spacing w:val="1"/>
          <w:sz w:val="21"/>
          <w:szCs w:val="21"/>
          <w:highlight w:val="none"/>
        </w:rPr>
        <w:t>联合体牵头人合法代表联合体各成员负责本招标</w:t>
      </w:r>
      <w:r>
        <w:rPr>
          <w:rFonts w:ascii="宋体" w:hAnsi="宋体" w:eastAsia="宋体" w:cs="宋体"/>
          <w:sz w:val="21"/>
          <w:szCs w:val="21"/>
          <w:highlight w:val="none"/>
        </w:rPr>
        <w:t xml:space="preserve">项目资格预审申请文件、投标文件 </w:t>
      </w:r>
      <w:r>
        <w:rPr>
          <w:rFonts w:ascii="宋体" w:hAnsi="宋体" w:eastAsia="宋体" w:cs="宋体"/>
          <w:spacing w:val="-2"/>
          <w:sz w:val="21"/>
          <w:szCs w:val="21"/>
          <w:highlight w:val="none"/>
        </w:rPr>
        <w:t>编制和合同谈判活动，并代表联合体提交和接收相关的资料、信</w:t>
      </w:r>
      <w:r>
        <w:rPr>
          <w:rFonts w:ascii="宋体" w:hAnsi="宋体" w:eastAsia="宋体" w:cs="宋体"/>
          <w:spacing w:val="-3"/>
          <w:sz w:val="21"/>
          <w:szCs w:val="21"/>
          <w:highlight w:val="none"/>
        </w:rPr>
        <w:t>息及指示，并处理与之有关</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的一切事务，负责合同实施阶段的主办、组织和协调工作。</w:t>
      </w:r>
    </w:p>
    <w:p w14:paraId="47AD9E57">
      <w:pPr>
        <w:spacing w:before="120" w:line="286" w:lineRule="auto"/>
        <w:ind w:right="36" w:firstLine="420"/>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 xml:space="preserve">3.  </w:t>
      </w:r>
      <w:r>
        <w:rPr>
          <w:rFonts w:ascii="宋体" w:hAnsi="宋体" w:eastAsia="宋体" w:cs="宋体"/>
          <w:spacing w:val="-7"/>
          <w:sz w:val="22"/>
          <w:szCs w:val="22"/>
          <w:highlight w:val="none"/>
        </w:rPr>
        <w:t>联合体将严格按照资格预审文件和招标</w:t>
      </w:r>
      <w:r>
        <w:rPr>
          <w:rFonts w:ascii="宋体" w:hAnsi="宋体" w:eastAsia="宋体" w:cs="宋体"/>
          <w:spacing w:val="-8"/>
          <w:sz w:val="22"/>
          <w:szCs w:val="22"/>
          <w:highlight w:val="none"/>
        </w:rPr>
        <w:t>文件的各项要求，递交资格预审申请文件和</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投标文件，履行合同，并对外承担连带责任。</w:t>
      </w:r>
    </w:p>
    <w:p w14:paraId="71A03476">
      <w:pPr>
        <w:spacing w:before="128" w:line="286" w:lineRule="auto"/>
        <w:ind w:right="53" w:firstLine="42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 xml:space="preserve">4.  </w:t>
      </w:r>
      <w:r>
        <w:rPr>
          <w:rFonts w:ascii="宋体" w:hAnsi="宋体" w:eastAsia="宋体" w:cs="宋体"/>
          <w:spacing w:val="-11"/>
          <w:sz w:val="22"/>
          <w:szCs w:val="22"/>
          <w:highlight w:val="none"/>
        </w:rPr>
        <w:t>联合体各成员单位内部的职责分工如下：</w:t>
      </w:r>
      <w:r>
        <w:rPr>
          <w:rFonts w:ascii="宋体" w:hAnsi="宋体" w:eastAsia="宋体" w:cs="宋体"/>
          <w:spacing w:val="-11"/>
          <w:sz w:val="22"/>
          <w:szCs w:val="22"/>
          <w:highlight w:val="none"/>
          <w:u w:val="single" w:color="auto"/>
        </w:rPr>
        <w:t xml:space="preserve">                            </w:t>
      </w:r>
      <w:r>
        <w:rPr>
          <w:rFonts w:ascii="宋体" w:hAnsi="宋体" w:eastAsia="宋体" w:cs="宋体"/>
          <w:spacing w:val="-12"/>
          <w:sz w:val="22"/>
          <w:szCs w:val="22"/>
          <w:highlight w:val="none"/>
          <w:u w:val="single" w:color="auto"/>
        </w:rPr>
        <w:t xml:space="preserve">     </w:t>
      </w:r>
      <w:r>
        <w:rPr>
          <w:rFonts w:ascii="宋体" w:hAnsi="宋体" w:eastAsia="宋体" w:cs="宋体"/>
          <w:spacing w:val="-12"/>
          <w:sz w:val="22"/>
          <w:szCs w:val="22"/>
          <w:highlight w:val="none"/>
        </w:rPr>
        <w:t>。按照</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上述分工，联合体成员单位各自所承担的合同工作量比例如下：</w:t>
      </w:r>
      <w:r>
        <w:rPr>
          <w:rFonts w:ascii="宋体" w:hAnsi="宋体" w:eastAsia="宋体" w:cs="宋体"/>
          <w:sz w:val="22"/>
          <w:szCs w:val="22"/>
          <w:highlight w:val="none"/>
          <w:u w:val="single" w:color="auto"/>
        </w:rPr>
        <w:t xml:space="preserve">                      </w:t>
      </w:r>
    </w:p>
    <w:p w14:paraId="227C00A8">
      <w:pPr>
        <w:spacing w:before="88" w:line="219" w:lineRule="auto"/>
        <w:ind w:left="42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5.</w:t>
      </w:r>
      <w:r>
        <w:rPr>
          <w:rFonts w:ascii="Times New Roman" w:hAnsi="Times New Roman" w:eastAsia="Times New Roman" w:cs="Times New Roman"/>
          <w:spacing w:val="22"/>
          <w:sz w:val="22"/>
          <w:szCs w:val="22"/>
          <w:highlight w:val="none"/>
        </w:rPr>
        <w:t xml:space="preserve">  </w:t>
      </w:r>
      <w:r>
        <w:rPr>
          <w:rFonts w:ascii="宋体" w:hAnsi="宋体" w:eastAsia="宋体" w:cs="宋体"/>
          <w:spacing w:val="-10"/>
          <w:sz w:val="22"/>
          <w:szCs w:val="22"/>
          <w:highlight w:val="none"/>
        </w:rPr>
        <w:t>本协议书自签署之日起生效，合同履行完毕后自动失效。</w:t>
      </w:r>
    </w:p>
    <w:p w14:paraId="4B2282C3">
      <w:pPr>
        <w:spacing w:before="169" w:line="219" w:lineRule="auto"/>
        <w:ind w:left="42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 xml:space="preserve">8.   </w:t>
      </w:r>
      <w:r>
        <w:rPr>
          <w:rFonts w:ascii="宋体" w:hAnsi="宋体" w:eastAsia="宋体" w:cs="宋体"/>
          <w:spacing w:val="-11"/>
          <w:sz w:val="22"/>
          <w:szCs w:val="22"/>
          <w:highlight w:val="none"/>
        </w:rPr>
        <w:t>本协议书一式</w:t>
      </w:r>
      <w:r>
        <w:rPr>
          <w:rFonts w:ascii="宋体" w:hAnsi="宋体" w:eastAsia="宋体" w:cs="宋体"/>
          <w:spacing w:val="-85"/>
          <w:sz w:val="22"/>
          <w:szCs w:val="22"/>
          <w:highlight w:val="none"/>
        </w:rPr>
        <w:t xml:space="preserve"> </w:t>
      </w:r>
      <w:r>
        <w:rPr>
          <w:rFonts w:ascii="宋体" w:hAnsi="宋体" w:eastAsia="宋体" w:cs="宋体"/>
          <w:spacing w:val="-11"/>
          <w:sz w:val="22"/>
          <w:szCs w:val="22"/>
          <w:highlight w:val="none"/>
          <w:u w:val="single" w:color="auto"/>
        </w:rPr>
        <w:t xml:space="preserve">       </w:t>
      </w:r>
      <w:r>
        <w:rPr>
          <w:rFonts w:ascii="宋体" w:hAnsi="宋体" w:eastAsia="宋体" w:cs="宋体"/>
          <w:spacing w:val="-11"/>
          <w:sz w:val="22"/>
          <w:szCs w:val="22"/>
          <w:highlight w:val="none"/>
        </w:rPr>
        <w:t>份，联合体成员和招标人各执一份。</w:t>
      </w:r>
    </w:p>
    <w:p w14:paraId="6166C6E6">
      <w:pPr>
        <w:pStyle w:val="2"/>
        <w:spacing w:line="274" w:lineRule="auto"/>
        <w:rPr>
          <w:highlight w:val="none"/>
        </w:rPr>
      </w:pPr>
    </w:p>
    <w:p w14:paraId="5082D47E">
      <w:pPr>
        <w:pStyle w:val="2"/>
        <w:spacing w:line="274" w:lineRule="auto"/>
        <w:rPr>
          <w:highlight w:val="none"/>
        </w:rPr>
      </w:pPr>
    </w:p>
    <w:p w14:paraId="4DE2136B">
      <w:pPr>
        <w:pStyle w:val="2"/>
        <w:spacing w:line="274" w:lineRule="auto"/>
        <w:rPr>
          <w:highlight w:val="none"/>
        </w:rPr>
      </w:pPr>
    </w:p>
    <w:p w14:paraId="2252057F">
      <w:pPr>
        <w:spacing w:before="73" w:line="227" w:lineRule="auto"/>
        <w:ind w:left="1800"/>
        <w:rPr>
          <w:rFonts w:ascii="宋体" w:hAnsi="宋体" w:eastAsia="宋体" w:cs="宋体"/>
          <w:sz w:val="22"/>
          <w:szCs w:val="22"/>
          <w:highlight w:val="none"/>
        </w:rPr>
      </w:pPr>
      <w:r>
        <w:rPr>
          <w:rFonts w:ascii="宋体" w:hAnsi="宋体" w:eastAsia="宋体" w:cs="宋体"/>
          <w:spacing w:val="-3"/>
          <w:sz w:val="22"/>
          <w:szCs w:val="22"/>
          <w:highlight w:val="none"/>
        </w:rPr>
        <w:t>牵头人名称：</w:t>
      </w:r>
      <w:r>
        <w:rPr>
          <w:rFonts w:ascii="宋体" w:hAnsi="宋体" w:eastAsia="宋体" w:cs="宋体"/>
          <w:spacing w:val="-3"/>
          <w:sz w:val="22"/>
          <w:szCs w:val="22"/>
          <w:highlight w:val="none"/>
          <w:u w:val="single" w:color="auto"/>
        </w:rPr>
        <w:t xml:space="preserve">                                   </w:t>
      </w:r>
      <w:r>
        <w:rPr>
          <w:rFonts w:ascii="宋体" w:hAnsi="宋体" w:eastAsia="宋体" w:cs="宋体"/>
          <w:spacing w:val="-3"/>
          <w:sz w:val="22"/>
          <w:szCs w:val="22"/>
          <w:highlight w:val="none"/>
        </w:rPr>
        <w:t xml:space="preserve"> (盖单位章)</w:t>
      </w:r>
    </w:p>
    <w:p w14:paraId="28F0F1D4">
      <w:pPr>
        <w:spacing w:before="129" w:line="229" w:lineRule="auto"/>
        <w:ind w:left="1800"/>
        <w:rPr>
          <w:rFonts w:ascii="宋体" w:hAnsi="宋体" w:eastAsia="宋体" w:cs="宋体"/>
          <w:sz w:val="22"/>
          <w:szCs w:val="22"/>
          <w:highlight w:val="none"/>
        </w:rPr>
      </w:pPr>
      <w:r>
        <w:rPr>
          <w:rFonts w:ascii="宋体" w:hAnsi="宋体" w:eastAsia="宋体" w:cs="宋体"/>
          <w:spacing w:val="1"/>
          <w:sz w:val="20"/>
          <w:szCs w:val="20"/>
          <w:highlight w:val="none"/>
        </w:rPr>
        <w:t>法定代表人或其委托代理人：</w:t>
      </w:r>
      <w:r>
        <w:rPr>
          <w:rFonts w:ascii="宋体" w:hAnsi="宋体" w:eastAsia="宋体" w:cs="宋体"/>
          <w:spacing w:val="32"/>
          <w:sz w:val="20"/>
          <w:szCs w:val="20"/>
          <w:highlight w:val="none"/>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1"/>
          <w:sz w:val="20"/>
          <w:szCs w:val="20"/>
          <w:highlight w:val="none"/>
        </w:rPr>
        <w:t xml:space="preserve"> </w:t>
      </w:r>
      <w:r>
        <w:rPr>
          <w:rFonts w:ascii="宋体" w:hAnsi="宋体" w:eastAsia="宋体" w:cs="宋体"/>
          <w:spacing w:val="1"/>
          <w:position w:val="2"/>
          <w:sz w:val="22"/>
          <w:szCs w:val="22"/>
          <w:highlight w:val="none"/>
        </w:rPr>
        <w:t>(签字)</w:t>
      </w:r>
    </w:p>
    <w:p w14:paraId="4C686359">
      <w:pPr>
        <w:pStyle w:val="2"/>
        <w:spacing w:line="443" w:lineRule="auto"/>
        <w:rPr>
          <w:highlight w:val="none"/>
        </w:rPr>
      </w:pPr>
    </w:p>
    <w:p w14:paraId="6E97C5F0">
      <w:pPr>
        <w:spacing w:before="66" w:line="223" w:lineRule="auto"/>
        <w:ind w:left="1800"/>
        <w:rPr>
          <w:rFonts w:ascii="宋体" w:hAnsi="宋体" w:eastAsia="宋体" w:cs="宋体"/>
          <w:sz w:val="20"/>
          <w:szCs w:val="20"/>
          <w:highlight w:val="none"/>
        </w:rPr>
      </w:pPr>
      <w:r>
        <w:rPr>
          <w:rFonts w:ascii="宋体" w:hAnsi="宋体" w:eastAsia="宋体" w:cs="宋体"/>
          <w:spacing w:val="6"/>
          <w:position w:val="-1"/>
          <w:sz w:val="20"/>
          <w:szCs w:val="20"/>
          <w:highlight w:val="none"/>
        </w:rPr>
        <w:t>成员一名称：</w:t>
      </w:r>
      <w:r>
        <w:rPr>
          <w:rFonts w:ascii="宋体" w:hAnsi="宋体" w:eastAsia="宋体" w:cs="宋体"/>
          <w:spacing w:val="-62"/>
          <w:position w:val="-1"/>
          <w:sz w:val="20"/>
          <w:szCs w:val="20"/>
          <w:highlight w:val="none"/>
        </w:rPr>
        <w:t xml:space="preserve"> </w:t>
      </w:r>
      <w:r>
        <w:rPr>
          <w:rFonts w:ascii="宋体" w:hAnsi="宋体" w:eastAsia="宋体" w:cs="宋体"/>
          <w:spacing w:val="6"/>
          <w:position w:val="-1"/>
          <w:sz w:val="20"/>
          <w:szCs w:val="20"/>
          <w:highlight w:val="none"/>
          <w:u w:val="single" w:color="auto"/>
        </w:rPr>
        <w:t xml:space="preserve">                                    </w:t>
      </w:r>
      <w:r>
        <w:rPr>
          <w:rFonts w:ascii="宋体" w:hAnsi="宋体" w:eastAsia="宋体" w:cs="宋体"/>
          <w:spacing w:val="6"/>
          <w:position w:val="-1"/>
          <w:sz w:val="20"/>
          <w:szCs w:val="20"/>
          <w:highlight w:val="none"/>
        </w:rPr>
        <w:t xml:space="preserve"> </w:t>
      </w:r>
      <w:r>
        <w:rPr>
          <w:rFonts w:ascii="宋体" w:hAnsi="宋体" w:eastAsia="宋体" w:cs="宋体"/>
          <w:spacing w:val="6"/>
          <w:position w:val="1"/>
          <w:sz w:val="20"/>
          <w:szCs w:val="20"/>
          <w:highlight w:val="none"/>
        </w:rPr>
        <w:t>(盖单位章)</w:t>
      </w:r>
    </w:p>
    <w:p w14:paraId="3749CA6B">
      <w:pPr>
        <w:spacing w:before="120" w:line="229" w:lineRule="auto"/>
        <w:ind w:left="1800"/>
        <w:rPr>
          <w:rFonts w:ascii="宋体" w:hAnsi="宋体" w:eastAsia="宋体" w:cs="宋体"/>
          <w:sz w:val="22"/>
          <w:szCs w:val="22"/>
          <w:highlight w:val="none"/>
        </w:rPr>
      </w:pPr>
      <w:r>
        <w:rPr>
          <w:rFonts w:ascii="宋体" w:hAnsi="宋体" w:eastAsia="宋体" w:cs="宋体"/>
          <w:spacing w:val="2"/>
          <w:sz w:val="20"/>
          <w:szCs w:val="20"/>
          <w:highlight w:val="none"/>
        </w:rPr>
        <w:t>法定代表人或其委托代理人：</w:t>
      </w:r>
      <w:r>
        <w:rPr>
          <w:rFonts w:ascii="宋体" w:hAnsi="宋体" w:eastAsia="宋体" w:cs="宋体"/>
          <w:spacing w:val="-90"/>
          <w:sz w:val="20"/>
          <w:szCs w:val="20"/>
          <w:highlight w:val="none"/>
        </w:rPr>
        <w:t xml:space="preserve"> </w:t>
      </w:r>
      <w:r>
        <w:rPr>
          <w:rFonts w:ascii="宋体" w:hAnsi="宋体" w:eastAsia="宋体" w:cs="宋体"/>
          <w:spacing w:val="2"/>
          <w:sz w:val="20"/>
          <w:szCs w:val="20"/>
          <w:highlight w:val="none"/>
          <w:u w:val="single" w:color="auto"/>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1"/>
          <w:sz w:val="20"/>
          <w:szCs w:val="20"/>
          <w:highlight w:val="none"/>
        </w:rPr>
        <w:t xml:space="preserve"> </w:t>
      </w:r>
      <w:r>
        <w:rPr>
          <w:rFonts w:ascii="宋体" w:hAnsi="宋体" w:eastAsia="宋体" w:cs="宋体"/>
          <w:spacing w:val="1"/>
          <w:position w:val="2"/>
          <w:sz w:val="22"/>
          <w:szCs w:val="22"/>
          <w:highlight w:val="none"/>
        </w:rPr>
        <w:t>(签字)</w:t>
      </w:r>
    </w:p>
    <w:p w14:paraId="0A9F0DAE">
      <w:pPr>
        <w:pStyle w:val="2"/>
        <w:spacing w:line="412" w:lineRule="auto"/>
        <w:rPr>
          <w:highlight w:val="none"/>
        </w:rPr>
      </w:pPr>
    </w:p>
    <w:p w14:paraId="20C7FF3C">
      <w:pPr>
        <w:tabs>
          <w:tab w:val="left" w:pos="4840"/>
        </w:tabs>
        <w:spacing w:before="75" w:line="231" w:lineRule="auto"/>
        <w:ind w:left="4000"/>
        <w:rPr>
          <w:rFonts w:ascii="宋体" w:hAnsi="宋体" w:eastAsia="宋体" w:cs="宋体"/>
          <w:sz w:val="22"/>
          <w:szCs w:val="22"/>
          <w:highlight w:val="none"/>
        </w:rPr>
      </w:pPr>
      <w:r>
        <w:rPr>
          <w:rFonts w:ascii="宋体" w:hAnsi="宋体" w:eastAsia="宋体" w:cs="宋体"/>
          <w:position w:val="-1"/>
          <w:sz w:val="22"/>
          <w:szCs w:val="22"/>
          <w:highlight w:val="none"/>
          <w:u w:val="single" w:color="auto"/>
        </w:rPr>
        <w:tab/>
      </w:r>
      <w:r>
        <w:rPr>
          <w:rFonts w:ascii="宋体" w:hAnsi="宋体" w:eastAsia="宋体" w:cs="宋体"/>
          <w:spacing w:val="-40"/>
          <w:w w:val="95"/>
          <w:position w:val="-1"/>
          <w:sz w:val="22"/>
          <w:szCs w:val="22"/>
          <w:highlight w:val="none"/>
        </w:rPr>
        <w:t>年</w:t>
      </w:r>
      <w:r>
        <w:rPr>
          <w:rFonts w:ascii="宋体" w:hAnsi="宋体" w:eastAsia="宋体" w:cs="宋体"/>
          <w:spacing w:val="1"/>
          <w:position w:val="-1"/>
          <w:sz w:val="22"/>
          <w:szCs w:val="22"/>
          <w:highlight w:val="none"/>
          <w:u w:val="single" w:color="auto"/>
        </w:rPr>
        <w:t xml:space="preserve">        </w:t>
      </w:r>
      <w:r>
        <w:rPr>
          <w:rFonts w:ascii="宋体" w:hAnsi="宋体" w:eastAsia="宋体" w:cs="宋体"/>
          <w:spacing w:val="-102"/>
          <w:position w:val="-1"/>
          <w:sz w:val="22"/>
          <w:szCs w:val="22"/>
          <w:highlight w:val="none"/>
        </w:rPr>
        <w:t xml:space="preserve"> </w:t>
      </w:r>
      <w:r>
        <w:rPr>
          <w:rFonts w:ascii="宋体" w:hAnsi="宋体" w:eastAsia="宋体" w:cs="宋体"/>
          <w:spacing w:val="-40"/>
          <w:w w:val="95"/>
          <w:sz w:val="23"/>
          <w:szCs w:val="23"/>
          <w:highlight w:val="none"/>
        </w:rPr>
        <w:t>月</w:t>
      </w:r>
      <w:r>
        <w:rPr>
          <w:rFonts w:ascii="宋体" w:hAnsi="宋体" w:eastAsia="宋体" w:cs="宋体"/>
          <w:spacing w:val="-5"/>
          <w:w w:val="45"/>
          <w:sz w:val="23"/>
          <w:szCs w:val="23"/>
          <w:highlight w:val="none"/>
        </w:rPr>
        <w:t>_</w:t>
      </w:r>
      <w:r>
        <w:rPr>
          <w:rFonts w:ascii="宋体" w:hAnsi="宋体" w:eastAsia="宋体" w:cs="宋体"/>
          <w:spacing w:val="-96"/>
          <w:sz w:val="23"/>
          <w:szCs w:val="23"/>
          <w:highlight w:val="none"/>
        </w:rPr>
        <w:t xml:space="preserve"> </w:t>
      </w:r>
      <w:r>
        <w:rPr>
          <w:rFonts w:ascii="宋体" w:hAnsi="宋体" w:eastAsia="宋体" w:cs="宋体"/>
          <w:spacing w:val="6"/>
          <w:sz w:val="23"/>
          <w:szCs w:val="23"/>
          <w:highlight w:val="none"/>
          <w:u w:val="single" w:color="auto"/>
        </w:rPr>
        <w:t xml:space="preserve">       </w:t>
      </w:r>
      <w:r>
        <w:rPr>
          <w:rFonts w:ascii="宋体" w:hAnsi="宋体" w:eastAsia="宋体" w:cs="宋体"/>
          <w:spacing w:val="-82"/>
          <w:sz w:val="23"/>
          <w:szCs w:val="23"/>
          <w:highlight w:val="none"/>
        </w:rPr>
        <w:t xml:space="preserve"> </w:t>
      </w:r>
      <w:r>
        <w:rPr>
          <w:rFonts w:ascii="宋体" w:hAnsi="宋体" w:eastAsia="宋体" w:cs="宋体"/>
          <w:spacing w:val="-40"/>
          <w:w w:val="95"/>
          <w:position w:val="1"/>
          <w:sz w:val="22"/>
          <w:szCs w:val="22"/>
          <w:highlight w:val="none"/>
        </w:rPr>
        <w:t>日</w:t>
      </w:r>
    </w:p>
    <w:p w14:paraId="5403B0FE">
      <w:pPr>
        <w:pStyle w:val="2"/>
        <w:spacing w:line="250" w:lineRule="auto"/>
        <w:rPr>
          <w:highlight w:val="none"/>
        </w:rPr>
      </w:pPr>
    </w:p>
    <w:p w14:paraId="6E4BEDF9">
      <w:pPr>
        <w:pStyle w:val="2"/>
        <w:spacing w:line="250" w:lineRule="auto"/>
        <w:rPr>
          <w:highlight w:val="none"/>
        </w:rPr>
      </w:pPr>
    </w:p>
    <w:p w14:paraId="4355566C">
      <w:pPr>
        <w:pStyle w:val="2"/>
        <w:spacing w:line="251" w:lineRule="auto"/>
        <w:rPr>
          <w:highlight w:val="none"/>
        </w:rPr>
      </w:pPr>
    </w:p>
    <w:p w14:paraId="08FF00EF">
      <w:pPr>
        <w:pStyle w:val="2"/>
        <w:spacing w:line="251" w:lineRule="auto"/>
        <w:rPr>
          <w:highlight w:val="none"/>
        </w:rPr>
      </w:pPr>
    </w:p>
    <w:p w14:paraId="0E4769BC">
      <w:pPr>
        <w:pStyle w:val="2"/>
        <w:spacing w:line="251" w:lineRule="auto"/>
        <w:rPr>
          <w:highlight w:val="none"/>
        </w:rPr>
      </w:pPr>
    </w:p>
    <w:p w14:paraId="16A6F11F">
      <w:pPr>
        <w:pStyle w:val="2"/>
        <w:spacing w:line="251" w:lineRule="auto"/>
        <w:rPr>
          <w:highlight w:val="none"/>
        </w:rPr>
      </w:pPr>
    </w:p>
    <w:p w14:paraId="21B25A0B">
      <w:pPr>
        <w:pStyle w:val="2"/>
        <w:spacing w:line="251" w:lineRule="auto"/>
        <w:rPr>
          <w:highlight w:val="none"/>
        </w:rPr>
      </w:pPr>
    </w:p>
    <w:p w14:paraId="23727A2B">
      <w:pPr>
        <w:pStyle w:val="2"/>
        <w:spacing w:line="251" w:lineRule="auto"/>
        <w:rPr>
          <w:highlight w:val="none"/>
        </w:rPr>
      </w:pPr>
    </w:p>
    <w:p w14:paraId="176774C5">
      <w:pPr>
        <w:spacing w:before="69" w:line="219" w:lineRule="auto"/>
        <w:rPr>
          <w:rFonts w:ascii="宋体" w:hAnsi="宋体" w:eastAsia="宋体" w:cs="宋体"/>
          <w:sz w:val="21"/>
          <w:szCs w:val="21"/>
          <w:highlight w:val="none"/>
        </w:rPr>
      </w:pPr>
      <w:r>
        <w:rPr>
          <w:rFonts w:ascii="宋体" w:hAnsi="宋体" w:eastAsia="宋体" w:cs="宋体"/>
          <w:sz w:val="21"/>
          <w:szCs w:val="21"/>
          <w:highlight w:val="none"/>
        </w:rPr>
        <w:t>备注：1.本协议书由委托代理人签字的，</w:t>
      </w:r>
      <w:r>
        <w:rPr>
          <w:rFonts w:ascii="宋体" w:hAnsi="宋体" w:eastAsia="宋体" w:cs="宋体"/>
          <w:spacing w:val="-1"/>
          <w:sz w:val="21"/>
          <w:szCs w:val="21"/>
          <w:highlight w:val="none"/>
        </w:rPr>
        <w:t>应附法定代表人签字的授权委托书。</w:t>
      </w:r>
    </w:p>
    <w:p w14:paraId="50F465F5">
      <w:pPr>
        <w:spacing w:before="112" w:line="281" w:lineRule="auto"/>
        <w:ind w:right="24" w:firstLine="64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2. </w:t>
      </w:r>
      <w:r>
        <w:rPr>
          <w:rFonts w:ascii="宋体" w:hAnsi="宋体" w:eastAsia="宋体" w:cs="宋体"/>
          <w:spacing w:val="-2"/>
          <w:sz w:val="21"/>
          <w:szCs w:val="21"/>
          <w:highlight w:val="none"/>
        </w:rPr>
        <w:t>投标人未采用联合体投标的，投标文件中不需联合体协议书，也无须盖单</w:t>
      </w:r>
      <w:r>
        <w:rPr>
          <w:rFonts w:ascii="宋体" w:hAnsi="宋体" w:eastAsia="宋体" w:cs="宋体"/>
          <w:spacing w:val="-3"/>
          <w:sz w:val="21"/>
          <w:szCs w:val="21"/>
          <w:highlight w:val="none"/>
        </w:rPr>
        <w:t>位章和签</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字。</w:t>
      </w:r>
    </w:p>
    <w:p w14:paraId="7C2A38A0">
      <w:pPr>
        <w:spacing w:before="180" w:line="219" w:lineRule="auto"/>
        <w:ind w:right="25"/>
        <w:jc w:val="right"/>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3.</w:t>
      </w:r>
      <w:r>
        <w:rPr>
          <w:rFonts w:ascii="宋体" w:hAnsi="宋体" w:eastAsia="宋体" w:cs="宋体"/>
          <w:spacing w:val="-10"/>
          <w:sz w:val="22"/>
          <w:szCs w:val="22"/>
          <w:highlight w:val="none"/>
        </w:rPr>
        <w:t>政府采购工程部分预留专门面向中小企业</w:t>
      </w:r>
      <w:r>
        <w:rPr>
          <w:rFonts w:ascii="宋体" w:hAnsi="宋体" w:eastAsia="宋体" w:cs="宋体"/>
          <w:spacing w:val="-11"/>
          <w:sz w:val="22"/>
          <w:szCs w:val="22"/>
          <w:highlight w:val="none"/>
        </w:rPr>
        <w:t>采购的项目，招标人要求大型企业与中小</w:t>
      </w:r>
    </w:p>
    <w:p w14:paraId="695B05E6">
      <w:pPr>
        <w:spacing w:line="219" w:lineRule="auto"/>
        <w:rPr>
          <w:rFonts w:ascii="宋体" w:hAnsi="宋体" w:eastAsia="宋体" w:cs="宋体"/>
          <w:sz w:val="22"/>
          <w:szCs w:val="22"/>
          <w:highlight w:val="none"/>
        </w:rPr>
        <w:sectPr>
          <w:footerReference r:id="rId246" w:type="default"/>
          <w:pgSz w:w="11910" w:h="16840"/>
          <w:pgMar w:top="400" w:right="1786" w:bottom="1184" w:left="1769" w:header="0" w:footer="1024" w:gutter="0"/>
          <w:cols w:space="720" w:num="1"/>
        </w:sectPr>
      </w:pPr>
    </w:p>
    <w:p w14:paraId="4D3675F3">
      <w:pPr>
        <w:pStyle w:val="2"/>
        <w:spacing w:line="274" w:lineRule="auto"/>
        <w:rPr>
          <w:highlight w:val="none"/>
        </w:rPr>
      </w:pPr>
    </w:p>
    <w:p w14:paraId="6B8810E8">
      <w:pPr>
        <w:pStyle w:val="2"/>
        <w:spacing w:line="274" w:lineRule="auto"/>
        <w:rPr>
          <w:highlight w:val="none"/>
        </w:rPr>
      </w:pPr>
    </w:p>
    <w:p w14:paraId="113DA7CE">
      <w:pPr>
        <w:pStyle w:val="2"/>
        <w:spacing w:line="275" w:lineRule="auto"/>
        <w:rPr>
          <w:highlight w:val="none"/>
        </w:rPr>
      </w:pPr>
    </w:p>
    <w:p w14:paraId="4FEFD5AD">
      <w:pPr>
        <w:pStyle w:val="2"/>
        <w:spacing w:line="275" w:lineRule="auto"/>
        <w:rPr>
          <w:highlight w:val="none"/>
        </w:rPr>
      </w:pPr>
    </w:p>
    <w:p w14:paraId="517951E5">
      <w:pPr>
        <w:spacing w:before="68" w:line="342" w:lineRule="auto"/>
        <w:jc w:val="both"/>
        <w:rPr>
          <w:rFonts w:ascii="宋体" w:hAnsi="宋体" w:eastAsia="宋体" w:cs="宋体"/>
          <w:sz w:val="21"/>
          <w:szCs w:val="21"/>
          <w:highlight w:val="none"/>
        </w:rPr>
      </w:pPr>
      <w:r>
        <w:rPr>
          <w:rFonts w:ascii="宋体" w:hAnsi="宋体" w:eastAsia="宋体" w:cs="宋体"/>
          <w:spacing w:val="5"/>
          <w:sz w:val="21"/>
          <w:szCs w:val="21"/>
          <w:highlight w:val="none"/>
        </w:rPr>
        <w:t>微企业组成联合体形式申请(投标),且联合体中的中小企业承</w:t>
      </w:r>
      <w:r>
        <w:rPr>
          <w:rFonts w:ascii="宋体" w:hAnsi="宋体" w:eastAsia="宋体" w:cs="宋体"/>
          <w:spacing w:val="4"/>
          <w:sz w:val="21"/>
          <w:szCs w:val="21"/>
          <w:highlight w:val="none"/>
        </w:rPr>
        <w:t>担的部分达到一定比例的，</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联合体协议书第4条中应当按照第二章申请(投标)人须知附录二“政府采购工程预留工作</w:t>
      </w:r>
      <w:r>
        <w:rPr>
          <w:rFonts w:ascii="宋体" w:hAnsi="宋体" w:eastAsia="宋体" w:cs="宋体"/>
          <w:spacing w:val="18"/>
          <w:sz w:val="21"/>
          <w:szCs w:val="21"/>
          <w:highlight w:val="none"/>
        </w:rPr>
        <w:t xml:space="preserve"> </w:t>
      </w:r>
      <w:r>
        <w:rPr>
          <w:rFonts w:ascii="宋体" w:hAnsi="宋体" w:eastAsia="宋体" w:cs="宋体"/>
          <w:spacing w:val="-3"/>
          <w:sz w:val="21"/>
          <w:szCs w:val="21"/>
          <w:highlight w:val="none"/>
        </w:rPr>
        <w:t>及金额”的范围，明确联合体各方承担的合同工作内容、合同金额及合同金额与项目合同金</w:t>
      </w:r>
      <w:r>
        <w:rPr>
          <w:rFonts w:ascii="宋体" w:hAnsi="宋体" w:eastAsia="宋体" w:cs="宋体"/>
          <w:spacing w:val="8"/>
          <w:sz w:val="21"/>
          <w:szCs w:val="21"/>
          <w:highlight w:val="none"/>
        </w:rPr>
        <w:t xml:space="preserve">  </w:t>
      </w:r>
      <w:r>
        <w:rPr>
          <w:rFonts w:ascii="宋体" w:hAnsi="宋体" w:eastAsia="宋体" w:cs="宋体"/>
          <w:sz w:val="21"/>
          <w:szCs w:val="21"/>
          <w:highlight w:val="none"/>
        </w:rPr>
        <w:t>额的占比。同时，声明组成联合体的中小企业与联合体内其他企业之间是否</w:t>
      </w:r>
      <w:r>
        <w:rPr>
          <w:rFonts w:ascii="宋体" w:hAnsi="宋体" w:eastAsia="宋体" w:cs="宋体"/>
          <w:spacing w:val="-1"/>
          <w:sz w:val="21"/>
          <w:szCs w:val="21"/>
          <w:highlight w:val="none"/>
        </w:rPr>
        <w:t>存在直接控股、</w:t>
      </w:r>
      <w:r>
        <w:rPr>
          <w:rFonts w:ascii="宋体" w:hAnsi="宋体" w:eastAsia="宋体" w:cs="宋体"/>
          <w:sz w:val="21"/>
          <w:szCs w:val="21"/>
          <w:highlight w:val="none"/>
        </w:rPr>
        <w:t xml:space="preserve"> </w:t>
      </w:r>
      <w:r>
        <w:rPr>
          <w:rFonts w:ascii="宋体" w:hAnsi="宋体" w:eastAsia="宋体" w:cs="宋体"/>
          <w:spacing w:val="-7"/>
          <w:sz w:val="21"/>
          <w:szCs w:val="21"/>
          <w:highlight w:val="none"/>
        </w:rPr>
        <w:t>管理关系。</w:t>
      </w:r>
    </w:p>
    <w:p w14:paraId="493878EF">
      <w:pPr>
        <w:spacing w:before="5" w:line="329" w:lineRule="auto"/>
        <w:ind w:right="38" w:firstLine="640"/>
        <w:jc w:val="both"/>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4.</w:t>
      </w:r>
      <w:r>
        <w:rPr>
          <w:rFonts w:ascii="宋体" w:hAnsi="宋体" w:eastAsia="宋体" w:cs="宋体"/>
          <w:spacing w:val="-11"/>
          <w:sz w:val="22"/>
          <w:szCs w:val="22"/>
          <w:highlight w:val="none"/>
        </w:rPr>
        <w:t>政府采购工程未预留份额专门面向中小企业采购的项目，招标人接受大中型企业与</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小微企业组成联合体形式申请(投标),且联合体中的小微企业</w:t>
      </w:r>
      <w:r>
        <w:rPr>
          <w:rFonts w:ascii="宋体" w:hAnsi="宋体" w:eastAsia="宋体" w:cs="宋体"/>
          <w:spacing w:val="-5"/>
          <w:sz w:val="22"/>
          <w:szCs w:val="22"/>
          <w:highlight w:val="none"/>
        </w:rPr>
        <w:t>承担的部分达到一定比例可</w:t>
      </w:r>
      <w:r>
        <w:rPr>
          <w:rFonts w:ascii="宋体" w:hAnsi="宋体" w:eastAsia="宋体" w:cs="宋体"/>
          <w:sz w:val="22"/>
          <w:szCs w:val="22"/>
          <w:highlight w:val="none"/>
        </w:rPr>
        <w:t xml:space="preserve"> </w:t>
      </w:r>
      <w:r>
        <w:rPr>
          <w:rFonts w:ascii="宋体" w:hAnsi="宋体" w:eastAsia="宋体" w:cs="宋体"/>
          <w:spacing w:val="-8"/>
          <w:sz w:val="22"/>
          <w:szCs w:val="22"/>
          <w:highlight w:val="none"/>
        </w:rPr>
        <w:t>享受价格扣除或增加价格分优惠政策的，联合体协议书第4条中可以参照第二</w:t>
      </w:r>
      <w:r>
        <w:rPr>
          <w:rFonts w:ascii="宋体" w:hAnsi="宋体" w:eastAsia="宋体" w:cs="宋体"/>
          <w:spacing w:val="-9"/>
          <w:sz w:val="22"/>
          <w:szCs w:val="22"/>
          <w:highlight w:val="none"/>
        </w:rPr>
        <w:t>章申请(投标)</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人须知附录三“政府采购工程适合小微企业承担的工作及金额”的范围，明确联合体各方承</w:t>
      </w:r>
      <w:r>
        <w:rPr>
          <w:rFonts w:ascii="宋体" w:hAnsi="宋体" w:eastAsia="宋体" w:cs="宋体"/>
          <w:spacing w:val="18"/>
          <w:sz w:val="22"/>
          <w:szCs w:val="22"/>
          <w:highlight w:val="none"/>
        </w:rPr>
        <w:t xml:space="preserve"> </w:t>
      </w:r>
      <w:r>
        <w:rPr>
          <w:rFonts w:ascii="宋体" w:hAnsi="宋体" w:eastAsia="宋体" w:cs="宋体"/>
          <w:spacing w:val="-12"/>
          <w:sz w:val="22"/>
          <w:szCs w:val="22"/>
          <w:highlight w:val="none"/>
        </w:rPr>
        <w:t>担的合同工作内容、合同金额及合同金额与项目合同金额</w:t>
      </w:r>
      <w:r>
        <w:rPr>
          <w:rFonts w:ascii="宋体" w:hAnsi="宋体" w:eastAsia="宋体" w:cs="宋体"/>
          <w:spacing w:val="-13"/>
          <w:sz w:val="22"/>
          <w:szCs w:val="22"/>
          <w:highlight w:val="none"/>
        </w:rPr>
        <w:t>的占比。同时，声明组成联合体的</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小微企业与联合体内其他企业是否存在直接控股、管理关系。</w:t>
      </w:r>
    </w:p>
    <w:p w14:paraId="67EA5BF4">
      <w:pPr>
        <w:spacing w:line="329" w:lineRule="auto"/>
        <w:rPr>
          <w:rFonts w:ascii="宋体" w:hAnsi="宋体" w:eastAsia="宋体" w:cs="宋体"/>
          <w:sz w:val="22"/>
          <w:szCs w:val="22"/>
          <w:highlight w:val="none"/>
        </w:rPr>
        <w:sectPr>
          <w:footerReference r:id="rId247" w:type="default"/>
          <w:pgSz w:w="11910" w:h="16840"/>
          <w:pgMar w:top="400" w:right="1735" w:bottom="1184" w:left="1779" w:header="0" w:footer="1024" w:gutter="0"/>
          <w:cols w:space="720" w:num="1"/>
        </w:sectPr>
      </w:pPr>
    </w:p>
    <w:p w14:paraId="53D4B5BC">
      <w:pPr>
        <w:pStyle w:val="2"/>
        <w:spacing w:line="274" w:lineRule="auto"/>
        <w:rPr>
          <w:highlight w:val="none"/>
        </w:rPr>
      </w:pPr>
    </w:p>
    <w:p w14:paraId="76667A80">
      <w:pPr>
        <w:pStyle w:val="2"/>
        <w:spacing w:line="274" w:lineRule="auto"/>
        <w:rPr>
          <w:highlight w:val="none"/>
        </w:rPr>
      </w:pPr>
    </w:p>
    <w:p w14:paraId="71AD8119">
      <w:pPr>
        <w:pStyle w:val="2"/>
        <w:spacing w:line="274" w:lineRule="auto"/>
        <w:rPr>
          <w:highlight w:val="none"/>
        </w:rPr>
      </w:pPr>
    </w:p>
    <w:p w14:paraId="47D9BB9F">
      <w:pPr>
        <w:pStyle w:val="2"/>
        <w:spacing w:line="274" w:lineRule="auto"/>
        <w:rPr>
          <w:highlight w:val="none"/>
        </w:rPr>
      </w:pPr>
    </w:p>
    <w:p w14:paraId="5385FE66">
      <w:pPr>
        <w:spacing w:before="97" w:line="222" w:lineRule="auto"/>
        <w:ind w:left="114"/>
        <w:outlineLvl w:val="1"/>
        <w:rPr>
          <w:rFonts w:ascii="黑体" w:hAnsi="黑体" w:eastAsia="黑体" w:cs="黑体"/>
          <w:sz w:val="30"/>
          <w:szCs w:val="30"/>
          <w:highlight w:val="none"/>
        </w:rPr>
      </w:pPr>
      <w:bookmarkStart w:id="248" w:name="bookmark159"/>
      <w:bookmarkEnd w:id="248"/>
      <w:r>
        <w:rPr>
          <w:rFonts w:ascii="黑体" w:hAnsi="黑体" w:eastAsia="黑体" w:cs="黑体"/>
          <w:spacing w:val="23"/>
          <w:sz w:val="30"/>
          <w:szCs w:val="30"/>
          <w:highlight w:val="none"/>
        </w:rPr>
        <w:t>五、拟分包项目情况表</w:t>
      </w:r>
    </w:p>
    <w:p w14:paraId="3A75E91B">
      <w:pPr>
        <w:spacing w:before="35"/>
        <w:rPr>
          <w:highlight w:val="none"/>
        </w:rPr>
      </w:pPr>
    </w:p>
    <w:p w14:paraId="77D4237D">
      <w:pPr>
        <w:spacing w:before="35"/>
        <w:rPr>
          <w:highlight w:val="none"/>
        </w:rPr>
      </w:pPr>
    </w:p>
    <w:tbl>
      <w:tblPr>
        <w:tblStyle w:val="5"/>
        <w:tblW w:w="85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3"/>
        <w:gridCol w:w="2956"/>
        <w:gridCol w:w="1438"/>
        <w:gridCol w:w="2542"/>
      </w:tblGrid>
      <w:tr w14:paraId="28587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1663" w:type="dxa"/>
            <w:vAlign w:val="top"/>
          </w:tcPr>
          <w:p w14:paraId="54F1A8E4">
            <w:pPr>
              <w:pStyle w:val="6"/>
              <w:spacing w:before="184" w:line="202" w:lineRule="auto"/>
              <w:ind w:left="275"/>
              <w:rPr>
                <w:sz w:val="22"/>
                <w:szCs w:val="22"/>
                <w:highlight w:val="none"/>
              </w:rPr>
            </w:pPr>
            <w:r>
              <w:rPr>
                <w:spacing w:val="2"/>
                <w:sz w:val="22"/>
                <w:szCs w:val="22"/>
                <w:highlight w:val="none"/>
              </w:rPr>
              <w:t>分包人名称</w:t>
            </w:r>
          </w:p>
        </w:tc>
        <w:tc>
          <w:tcPr>
            <w:tcW w:w="6936" w:type="dxa"/>
            <w:gridSpan w:val="3"/>
            <w:vAlign w:val="top"/>
          </w:tcPr>
          <w:p w14:paraId="0B70BF11">
            <w:pPr>
              <w:rPr>
                <w:rFonts w:ascii="Arial"/>
                <w:sz w:val="21"/>
                <w:highlight w:val="none"/>
              </w:rPr>
            </w:pPr>
          </w:p>
        </w:tc>
      </w:tr>
      <w:tr w14:paraId="2A2DC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663" w:type="dxa"/>
            <w:vAlign w:val="top"/>
          </w:tcPr>
          <w:p w14:paraId="249A33F1">
            <w:pPr>
              <w:pStyle w:val="6"/>
              <w:spacing w:before="200" w:line="192" w:lineRule="auto"/>
              <w:ind w:left="325"/>
              <w:rPr>
                <w:sz w:val="22"/>
                <w:szCs w:val="22"/>
                <w:highlight w:val="none"/>
              </w:rPr>
            </w:pPr>
            <w:r>
              <w:rPr>
                <w:spacing w:val="-5"/>
                <w:sz w:val="22"/>
                <w:szCs w:val="22"/>
                <w:highlight w:val="none"/>
              </w:rPr>
              <w:t>地</w:t>
            </w:r>
            <w:r>
              <w:rPr>
                <w:spacing w:val="14"/>
                <w:sz w:val="22"/>
                <w:szCs w:val="22"/>
                <w:highlight w:val="none"/>
              </w:rPr>
              <w:t xml:space="preserve">    </w:t>
            </w:r>
            <w:r>
              <w:rPr>
                <w:spacing w:val="-5"/>
                <w:sz w:val="22"/>
                <w:szCs w:val="22"/>
                <w:highlight w:val="none"/>
              </w:rPr>
              <w:t>址</w:t>
            </w:r>
          </w:p>
        </w:tc>
        <w:tc>
          <w:tcPr>
            <w:tcW w:w="6936" w:type="dxa"/>
            <w:gridSpan w:val="3"/>
            <w:vAlign w:val="top"/>
          </w:tcPr>
          <w:p w14:paraId="70BE7851">
            <w:pPr>
              <w:rPr>
                <w:rFonts w:ascii="Arial"/>
                <w:sz w:val="21"/>
                <w:highlight w:val="none"/>
              </w:rPr>
            </w:pPr>
          </w:p>
        </w:tc>
      </w:tr>
      <w:tr w14:paraId="5013C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663" w:type="dxa"/>
            <w:vAlign w:val="top"/>
          </w:tcPr>
          <w:p w14:paraId="41A3B364">
            <w:pPr>
              <w:pStyle w:val="6"/>
              <w:spacing w:before="190" w:line="193" w:lineRule="auto"/>
              <w:ind w:left="275"/>
              <w:rPr>
                <w:sz w:val="22"/>
                <w:szCs w:val="22"/>
                <w:highlight w:val="none"/>
              </w:rPr>
            </w:pPr>
            <w:r>
              <w:rPr>
                <w:spacing w:val="-2"/>
                <w:sz w:val="22"/>
                <w:szCs w:val="22"/>
                <w:highlight w:val="none"/>
              </w:rPr>
              <w:t>法定代表人</w:t>
            </w:r>
          </w:p>
        </w:tc>
        <w:tc>
          <w:tcPr>
            <w:tcW w:w="2956" w:type="dxa"/>
            <w:vAlign w:val="top"/>
          </w:tcPr>
          <w:p w14:paraId="07579FAA">
            <w:pPr>
              <w:rPr>
                <w:rFonts w:ascii="Arial"/>
                <w:sz w:val="21"/>
                <w:highlight w:val="none"/>
              </w:rPr>
            </w:pPr>
          </w:p>
        </w:tc>
        <w:tc>
          <w:tcPr>
            <w:tcW w:w="1438" w:type="dxa"/>
            <w:vAlign w:val="top"/>
          </w:tcPr>
          <w:p w14:paraId="4CC3DB30">
            <w:pPr>
              <w:pStyle w:val="6"/>
              <w:spacing w:before="182" w:line="199" w:lineRule="auto"/>
              <w:ind w:left="235"/>
              <w:rPr>
                <w:sz w:val="22"/>
                <w:szCs w:val="22"/>
                <w:highlight w:val="none"/>
              </w:rPr>
            </w:pPr>
            <w:r>
              <w:rPr>
                <w:spacing w:val="-18"/>
                <w:sz w:val="22"/>
                <w:szCs w:val="22"/>
                <w:highlight w:val="none"/>
              </w:rPr>
              <w:t>电</w:t>
            </w:r>
            <w:r>
              <w:rPr>
                <w:spacing w:val="13"/>
                <w:sz w:val="22"/>
                <w:szCs w:val="22"/>
                <w:highlight w:val="none"/>
              </w:rPr>
              <w:t xml:space="preserve">    </w:t>
            </w:r>
            <w:r>
              <w:rPr>
                <w:spacing w:val="-18"/>
                <w:sz w:val="22"/>
                <w:szCs w:val="22"/>
                <w:highlight w:val="none"/>
              </w:rPr>
              <w:t>话</w:t>
            </w:r>
          </w:p>
        </w:tc>
        <w:tc>
          <w:tcPr>
            <w:tcW w:w="2542" w:type="dxa"/>
            <w:vAlign w:val="top"/>
          </w:tcPr>
          <w:p w14:paraId="65C15DCF">
            <w:pPr>
              <w:rPr>
                <w:rFonts w:ascii="Arial"/>
                <w:sz w:val="21"/>
                <w:highlight w:val="none"/>
              </w:rPr>
            </w:pPr>
          </w:p>
        </w:tc>
      </w:tr>
      <w:tr w14:paraId="3FF00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663" w:type="dxa"/>
            <w:vAlign w:val="top"/>
          </w:tcPr>
          <w:p w14:paraId="62E01F38">
            <w:pPr>
              <w:pStyle w:val="6"/>
              <w:spacing w:before="190" w:line="218" w:lineRule="auto"/>
              <w:ind w:left="164"/>
              <w:rPr>
                <w:sz w:val="22"/>
                <w:szCs w:val="22"/>
                <w:highlight w:val="none"/>
              </w:rPr>
            </w:pPr>
            <w:r>
              <w:rPr>
                <w:spacing w:val="1"/>
                <w:sz w:val="22"/>
                <w:szCs w:val="22"/>
                <w:highlight w:val="none"/>
              </w:rPr>
              <w:t>营业执照号码</w:t>
            </w:r>
          </w:p>
        </w:tc>
        <w:tc>
          <w:tcPr>
            <w:tcW w:w="2956" w:type="dxa"/>
            <w:vAlign w:val="top"/>
          </w:tcPr>
          <w:p w14:paraId="4AD6E106">
            <w:pPr>
              <w:rPr>
                <w:rFonts w:ascii="Arial"/>
                <w:sz w:val="21"/>
                <w:highlight w:val="none"/>
              </w:rPr>
            </w:pPr>
          </w:p>
        </w:tc>
        <w:tc>
          <w:tcPr>
            <w:tcW w:w="1438" w:type="dxa"/>
            <w:vAlign w:val="top"/>
          </w:tcPr>
          <w:p w14:paraId="4BAE5792">
            <w:pPr>
              <w:pStyle w:val="6"/>
              <w:spacing w:before="190" w:line="218" w:lineRule="auto"/>
              <w:ind w:left="276"/>
              <w:rPr>
                <w:sz w:val="22"/>
                <w:szCs w:val="22"/>
                <w:highlight w:val="none"/>
              </w:rPr>
            </w:pPr>
            <w:r>
              <w:rPr>
                <w:spacing w:val="3"/>
                <w:sz w:val="22"/>
                <w:szCs w:val="22"/>
                <w:highlight w:val="none"/>
              </w:rPr>
              <w:t>资质等级</w:t>
            </w:r>
          </w:p>
        </w:tc>
        <w:tc>
          <w:tcPr>
            <w:tcW w:w="2542" w:type="dxa"/>
            <w:vAlign w:val="top"/>
          </w:tcPr>
          <w:p w14:paraId="3F570311">
            <w:pPr>
              <w:rPr>
                <w:rFonts w:ascii="Arial"/>
                <w:sz w:val="21"/>
                <w:highlight w:val="none"/>
              </w:rPr>
            </w:pPr>
          </w:p>
        </w:tc>
      </w:tr>
      <w:tr w14:paraId="5AA99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1663" w:type="dxa"/>
            <w:vAlign w:val="top"/>
          </w:tcPr>
          <w:p w14:paraId="121DB623">
            <w:pPr>
              <w:spacing w:line="315" w:lineRule="auto"/>
              <w:rPr>
                <w:rFonts w:ascii="Arial"/>
                <w:sz w:val="21"/>
                <w:highlight w:val="none"/>
              </w:rPr>
            </w:pPr>
          </w:p>
          <w:p w14:paraId="573D429D">
            <w:pPr>
              <w:pStyle w:val="6"/>
              <w:spacing w:before="71" w:line="219" w:lineRule="auto"/>
              <w:ind w:left="164"/>
              <w:rPr>
                <w:sz w:val="22"/>
                <w:szCs w:val="22"/>
                <w:highlight w:val="none"/>
              </w:rPr>
            </w:pPr>
            <w:r>
              <w:rPr>
                <w:spacing w:val="7"/>
                <w:sz w:val="22"/>
                <w:szCs w:val="22"/>
                <w:highlight w:val="none"/>
              </w:rPr>
              <w:t>拟分包的项目</w:t>
            </w:r>
          </w:p>
        </w:tc>
        <w:tc>
          <w:tcPr>
            <w:tcW w:w="2956" w:type="dxa"/>
            <w:vAlign w:val="top"/>
          </w:tcPr>
          <w:p w14:paraId="6941DF53">
            <w:pPr>
              <w:spacing w:line="316" w:lineRule="auto"/>
              <w:rPr>
                <w:rFonts w:ascii="Arial"/>
                <w:sz w:val="21"/>
                <w:highlight w:val="none"/>
              </w:rPr>
            </w:pPr>
          </w:p>
          <w:p w14:paraId="2F9A9B50">
            <w:pPr>
              <w:pStyle w:val="6"/>
              <w:spacing w:before="72" w:line="219" w:lineRule="auto"/>
              <w:ind w:left="891"/>
              <w:rPr>
                <w:sz w:val="22"/>
                <w:szCs w:val="22"/>
                <w:highlight w:val="none"/>
              </w:rPr>
            </w:pPr>
            <w:r>
              <w:rPr>
                <w:spacing w:val="-11"/>
                <w:sz w:val="22"/>
                <w:szCs w:val="22"/>
                <w:highlight w:val="none"/>
              </w:rPr>
              <w:t>主 要</w:t>
            </w:r>
            <w:r>
              <w:rPr>
                <w:spacing w:val="25"/>
                <w:sz w:val="22"/>
                <w:szCs w:val="22"/>
                <w:highlight w:val="none"/>
              </w:rPr>
              <w:t xml:space="preserve"> </w:t>
            </w:r>
            <w:r>
              <w:rPr>
                <w:spacing w:val="-11"/>
                <w:sz w:val="22"/>
                <w:szCs w:val="22"/>
                <w:highlight w:val="none"/>
              </w:rPr>
              <w:t>内</w:t>
            </w:r>
            <w:r>
              <w:rPr>
                <w:spacing w:val="1"/>
                <w:sz w:val="22"/>
                <w:szCs w:val="22"/>
                <w:highlight w:val="none"/>
              </w:rPr>
              <w:t xml:space="preserve"> </w:t>
            </w:r>
            <w:r>
              <w:rPr>
                <w:spacing w:val="-11"/>
                <w:sz w:val="22"/>
                <w:szCs w:val="22"/>
                <w:highlight w:val="none"/>
              </w:rPr>
              <w:t>容</w:t>
            </w:r>
          </w:p>
        </w:tc>
        <w:tc>
          <w:tcPr>
            <w:tcW w:w="1438" w:type="dxa"/>
            <w:vAlign w:val="top"/>
          </w:tcPr>
          <w:p w14:paraId="6D7238A5">
            <w:pPr>
              <w:pStyle w:val="6"/>
              <w:spacing w:before="168" w:line="218" w:lineRule="auto"/>
              <w:ind w:left="165"/>
              <w:rPr>
                <w:sz w:val="22"/>
                <w:szCs w:val="22"/>
                <w:highlight w:val="none"/>
              </w:rPr>
            </w:pPr>
            <w:r>
              <w:rPr>
                <w:spacing w:val="-2"/>
                <w:sz w:val="22"/>
                <w:szCs w:val="22"/>
                <w:highlight w:val="none"/>
              </w:rPr>
              <w:t>合同估算价</w:t>
            </w:r>
          </w:p>
          <w:p w14:paraId="618525F0">
            <w:pPr>
              <w:pStyle w:val="6"/>
              <w:spacing w:before="192" w:line="192" w:lineRule="auto"/>
              <w:ind w:left="385"/>
              <w:rPr>
                <w:sz w:val="22"/>
                <w:szCs w:val="22"/>
                <w:highlight w:val="none"/>
              </w:rPr>
            </w:pPr>
            <w:r>
              <w:rPr>
                <w:spacing w:val="12"/>
                <w:sz w:val="22"/>
                <w:szCs w:val="22"/>
                <w:highlight w:val="none"/>
              </w:rPr>
              <w:t>(万元)</w:t>
            </w:r>
          </w:p>
        </w:tc>
        <w:tc>
          <w:tcPr>
            <w:tcW w:w="2542" w:type="dxa"/>
            <w:vAlign w:val="top"/>
          </w:tcPr>
          <w:p w14:paraId="63968677">
            <w:pPr>
              <w:spacing w:line="326" w:lineRule="auto"/>
              <w:rPr>
                <w:rFonts w:ascii="Arial"/>
                <w:sz w:val="21"/>
                <w:highlight w:val="none"/>
              </w:rPr>
            </w:pPr>
          </w:p>
          <w:p w14:paraId="7399B3E7">
            <w:pPr>
              <w:pStyle w:val="6"/>
              <w:spacing w:before="72" w:line="219" w:lineRule="auto"/>
              <w:ind w:left="387"/>
              <w:rPr>
                <w:sz w:val="22"/>
                <w:szCs w:val="22"/>
                <w:highlight w:val="none"/>
              </w:rPr>
            </w:pPr>
            <w:r>
              <w:rPr>
                <w:sz w:val="22"/>
                <w:szCs w:val="22"/>
                <w:highlight w:val="none"/>
              </w:rPr>
              <w:t>已完类似项目业绩</w:t>
            </w:r>
          </w:p>
        </w:tc>
      </w:tr>
      <w:tr w14:paraId="34199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 w:hRule="atLeast"/>
        </w:trPr>
        <w:tc>
          <w:tcPr>
            <w:tcW w:w="1663" w:type="dxa"/>
            <w:vAlign w:val="top"/>
          </w:tcPr>
          <w:p w14:paraId="59B30910">
            <w:pPr>
              <w:rPr>
                <w:rFonts w:ascii="Arial"/>
                <w:sz w:val="21"/>
                <w:highlight w:val="none"/>
              </w:rPr>
            </w:pPr>
          </w:p>
        </w:tc>
        <w:tc>
          <w:tcPr>
            <w:tcW w:w="2956" w:type="dxa"/>
            <w:vAlign w:val="top"/>
          </w:tcPr>
          <w:p w14:paraId="059F46FA">
            <w:pPr>
              <w:rPr>
                <w:rFonts w:ascii="Arial"/>
                <w:sz w:val="21"/>
                <w:highlight w:val="none"/>
              </w:rPr>
            </w:pPr>
          </w:p>
        </w:tc>
        <w:tc>
          <w:tcPr>
            <w:tcW w:w="1438" w:type="dxa"/>
            <w:vAlign w:val="top"/>
          </w:tcPr>
          <w:p w14:paraId="7B8EF4BD">
            <w:pPr>
              <w:rPr>
                <w:rFonts w:ascii="Arial"/>
                <w:sz w:val="21"/>
                <w:highlight w:val="none"/>
              </w:rPr>
            </w:pPr>
          </w:p>
        </w:tc>
        <w:tc>
          <w:tcPr>
            <w:tcW w:w="2542" w:type="dxa"/>
            <w:vAlign w:val="top"/>
          </w:tcPr>
          <w:p w14:paraId="4C25566B">
            <w:pPr>
              <w:rPr>
                <w:rFonts w:ascii="Arial"/>
                <w:sz w:val="21"/>
                <w:highlight w:val="none"/>
              </w:rPr>
            </w:pPr>
          </w:p>
        </w:tc>
      </w:tr>
      <w:tr w14:paraId="11758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1663" w:type="dxa"/>
            <w:vAlign w:val="top"/>
          </w:tcPr>
          <w:p w14:paraId="08259EC0">
            <w:pPr>
              <w:rPr>
                <w:rFonts w:ascii="Arial"/>
                <w:sz w:val="21"/>
                <w:highlight w:val="none"/>
              </w:rPr>
            </w:pPr>
          </w:p>
        </w:tc>
        <w:tc>
          <w:tcPr>
            <w:tcW w:w="2956" w:type="dxa"/>
            <w:vAlign w:val="top"/>
          </w:tcPr>
          <w:p w14:paraId="429F132D">
            <w:pPr>
              <w:rPr>
                <w:rFonts w:ascii="Arial"/>
                <w:sz w:val="21"/>
                <w:highlight w:val="none"/>
              </w:rPr>
            </w:pPr>
          </w:p>
        </w:tc>
        <w:tc>
          <w:tcPr>
            <w:tcW w:w="1438" w:type="dxa"/>
            <w:vAlign w:val="top"/>
          </w:tcPr>
          <w:p w14:paraId="238ADFCC">
            <w:pPr>
              <w:rPr>
                <w:rFonts w:ascii="Arial"/>
                <w:sz w:val="21"/>
                <w:highlight w:val="none"/>
              </w:rPr>
            </w:pPr>
          </w:p>
        </w:tc>
        <w:tc>
          <w:tcPr>
            <w:tcW w:w="2542" w:type="dxa"/>
            <w:vAlign w:val="top"/>
          </w:tcPr>
          <w:p w14:paraId="22487B8F">
            <w:pPr>
              <w:rPr>
                <w:rFonts w:ascii="Arial"/>
                <w:sz w:val="21"/>
                <w:highlight w:val="none"/>
              </w:rPr>
            </w:pPr>
          </w:p>
        </w:tc>
      </w:tr>
      <w:tr w14:paraId="70B5B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599" w:type="dxa"/>
            <w:gridSpan w:val="4"/>
            <w:vAlign w:val="top"/>
          </w:tcPr>
          <w:p w14:paraId="07477D5B">
            <w:pPr>
              <w:rPr>
                <w:rFonts w:ascii="Arial"/>
                <w:sz w:val="21"/>
                <w:highlight w:val="none"/>
              </w:rPr>
            </w:pPr>
          </w:p>
        </w:tc>
      </w:tr>
      <w:tr w14:paraId="1535F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663" w:type="dxa"/>
            <w:vAlign w:val="top"/>
          </w:tcPr>
          <w:p w14:paraId="259D145E">
            <w:pPr>
              <w:pStyle w:val="6"/>
              <w:spacing w:before="173" w:line="214" w:lineRule="auto"/>
              <w:ind w:left="275"/>
              <w:rPr>
                <w:sz w:val="22"/>
                <w:szCs w:val="22"/>
                <w:highlight w:val="none"/>
              </w:rPr>
            </w:pPr>
            <w:r>
              <w:rPr>
                <w:spacing w:val="2"/>
                <w:sz w:val="22"/>
                <w:szCs w:val="22"/>
                <w:highlight w:val="none"/>
              </w:rPr>
              <w:t>分包人名称</w:t>
            </w:r>
          </w:p>
        </w:tc>
        <w:tc>
          <w:tcPr>
            <w:tcW w:w="6936" w:type="dxa"/>
            <w:gridSpan w:val="3"/>
            <w:vAlign w:val="top"/>
          </w:tcPr>
          <w:p w14:paraId="4E09308E">
            <w:pPr>
              <w:rPr>
                <w:rFonts w:ascii="Arial"/>
                <w:sz w:val="21"/>
                <w:highlight w:val="none"/>
              </w:rPr>
            </w:pPr>
          </w:p>
        </w:tc>
      </w:tr>
      <w:tr w14:paraId="71373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663" w:type="dxa"/>
            <w:vAlign w:val="top"/>
          </w:tcPr>
          <w:p w14:paraId="21FF55E8">
            <w:pPr>
              <w:pStyle w:val="6"/>
              <w:spacing w:before="185" w:line="197" w:lineRule="auto"/>
              <w:ind w:left="325"/>
              <w:rPr>
                <w:sz w:val="22"/>
                <w:szCs w:val="22"/>
                <w:highlight w:val="none"/>
              </w:rPr>
            </w:pPr>
            <w:r>
              <w:rPr>
                <w:spacing w:val="-5"/>
                <w:sz w:val="22"/>
                <w:szCs w:val="22"/>
                <w:highlight w:val="none"/>
              </w:rPr>
              <w:t>地</w:t>
            </w:r>
            <w:r>
              <w:rPr>
                <w:spacing w:val="14"/>
                <w:sz w:val="22"/>
                <w:szCs w:val="22"/>
                <w:highlight w:val="none"/>
              </w:rPr>
              <w:t xml:space="preserve">    </w:t>
            </w:r>
            <w:r>
              <w:rPr>
                <w:spacing w:val="-5"/>
                <w:sz w:val="22"/>
                <w:szCs w:val="22"/>
                <w:highlight w:val="none"/>
              </w:rPr>
              <w:t>址</w:t>
            </w:r>
          </w:p>
        </w:tc>
        <w:tc>
          <w:tcPr>
            <w:tcW w:w="6936" w:type="dxa"/>
            <w:gridSpan w:val="3"/>
            <w:vAlign w:val="top"/>
          </w:tcPr>
          <w:p w14:paraId="272FD49F">
            <w:pPr>
              <w:rPr>
                <w:rFonts w:ascii="Arial"/>
                <w:sz w:val="21"/>
                <w:highlight w:val="none"/>
              </w:rPr>
            </w:pPr>
          </w:p>
        </w:tc>
      </w:tr>
      <w:tr w14:paraId="74B16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663" w:type="dxa"/>
            <w:vAlign w:val="top"/>
          </w:tcPr>
          <w:p w14:paraId="24C6D9EC">
            <w:pPr>
              <w:pStyle w:val="6"/>
              <w:spacing w:before="183" w:line="206" w:lineRule="auto"/>
              <w:ind w:left="275"/>
              <w:rPr>
                <w:sz w:val="22"/>
                <w:szCs w:val="22"/>
                <w:highlight w:val="none"/>
              </w:rPr>
            </w:pPr>
            <w:r>
              <w:rPr>
                <w:spacing w:val="-2"/>
                <w:sz w:val="22"/>
                <w:szCs w:val="22"/>
                <w:highlight w:val="none"/>
              </w:rPr>
              <w:t>法定代表人</w:t>
            </w:r>
          </w:p>
        </w:tc>
        <w:tc>
          <w:tcPr>
            <w:tcW w:w="2956" w:type="dxa"/>
            <w:vAlign w:val="top"/>
          </w:tcPr>
          <w:p w14:paraId="7A04EFDE">
            <w:pPr>
              <w:rPr>
                <w:rFonts w:ascii="Arial"/>
                <w:sz w:val="21"/>
                <w:highlight w:val="none"/>
              </w:rPr>
            </w:pPr>
          </w:p>
        </w:tc>
        <w:tc>
          <w:tcPr>
            <w:tcW w:w="1438" w:type="dxa"/>
            <w:vAlign w:val="top"/>
          </w:tcPr>
          <w:p w14:paraId="1A66B9FE">
            <w:pPr>
              <w:pStyle w:val="6"/>
              <w:spacing w:before="166" w:line="220" w:lineRule="auto"/>
              <w:ind w:left="215"/>
              <w:rPr>
                <w:sz w:val="22"/>
                <w:szCs w:val="22"/>
                <w:highlight w:val="none"/>
              </w:rPr>
            </w:pPr>
            <w:r>
              <w:rPr>
                <w:spacing w:val="-18"/>
                <w:sz w:val="22"/>
                <w:szCs w:val="22"/>
                <w:highlight w:val="none"/>
              </w:rPr>
              <w:t>电</w:t>
            </w:r>
            <w:r>
              <w:rPr>
                <w:spacing w:val="21"/>
                <w:sz w:val="22"/>
                <w:szCs w:val="22"/>
                <w:highlight w:val="none"/>
              </w:rPr>
              <w:t xml:space="preserve">    </w:t>
            </w:r>
            <w:r>
              <w:rPr>
                <w:spacing w:val="-18"/>
                <w:sz w:val="22"/>
                <w:szCs w:val="22"/>
                <w:highlight w:val="none"/>
              </w:rPr>
              <w:t>话</w:t>
            </w:r>
          </w:p>
        </w:tc>
        <w:tc>
          <w:tcPr>
            <w:tcW w:w="2542" w:type="dxa"/>
            <w:vAlign w:val="top"/>
          </w:tcPr>
          <w:p w14:paraId="1DF7C12F">
            <w:pPr>
              <w:rPr>
                <w:rFonts w:ascii="Arial"/>
                <w:sz w:val="21"/>
                <w:highlight w:val="none"/>
              </w:rPr>
            </w:pPr>
          </w:p>
        </w:tc>
      </w:tr>
      <w:tr w14:paraId="79EED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663" w:type="dxa"/>
            <w:vAlign w:val="top"/>
          </w:tcPr>
          <w:p w14:paraId="7153897D">
            <w:pPr>
              <w:pStyle w:val="6"/>
              <w:spacing w:before="184" w:line="206" w:lineRule="auto"/>
              <w:ind w:left="164"/>
              <w:rPr>
                <w:sz w:val="22"/>
                <w:szCs w:val="22"/>
                <w:highlight w:val="none"/>
              </w:rPr>
            </w:pPr>
            <w:r>
              <w:rPr>
                <w:spacing w:val="1"/>
                <w:sz w:val="22"/>
                <w:szCs w:val="22"/>
                <w:highlight w:val="none"/>
              </w:rPr>
              <w:t>营业执照号码</w:t>
            </w:r>
          </w:p>
        </w:tc>
        <w:tc>
          <w:tcPr>
            <w:tcW w:w="2956" w:type="dxa"/>
            <w:vAlign w:val="top"/>
          </w:tcPr>
          <w:p w14:paraId="43D19880">
            <w:pPr>
              <w:rPr>
                <w:rFonts w:ascii="Arial"/>
                <w:sz w:val="21"/>
                <w:highlight w:val="none"/>
              </w:rPr>
            </w:pPr>
          </w:p>
        </w:tc>
        <w:tc>
          <w:tcPr>
            <w:tcW w:w="1438" w:type="dxa"/>
            <w:vAlign w:val="top"/>
          </w:tcPr>
          <w:p w14:paraId="3D9208FA">
            <w:pPr>
              <w:pStyle w:val="6"/>
              <w:spacing w:before="195" w:line="197" w:lineRule="auto"/>
              <w:ind w:left="276"/>
              <w:rPr>
                <w:sz w:val="22"/>
                <w:szCs w:val="22"/>
                <w:highlight w:val="none"/>
              </w:rPr>
            </w:pPr>
            <w:r>
              <w:rPr>
                <w:spacing w:val="3"/>
                <w:sz w:val="22"/>
                <w:szCs w:val="22"/>
                <w:highlight w:val="none"/>
              </w:rPr>
              <w:t>资质等级</w:t>
            </w:r>
          </w:p>
        </w:tc>
        <w:tc>
          <w:tcPr>
            <w:tcW w:w="2542" w:type="dxa"/>
            <w:vAlign w:val="top"/>
          </w:tcPr>
          <w:p w14:paraId="300AEAFD">
            <w:pPr>
              <w:rPr>
                <w:rFonts w:ascii="Arial"/>
                <w:sz w:val="21"/>
                <w:highlight w:val="none"/>
              </w:rPr>
            </w:pPr>
          </w:p>
        </w:tc>
      </w:tr>
      <w:tr w14:paraId="3E57E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1663" w:type="dxa"/>
            <w:vAlign w:val="top"/>
          </w:tcPr>
          <w:p w14:paraId="2D808345">
            <w:pPr>
              <w:spacing w:line="330" w:lineRule="auto"/>
              <w:rPr>
                <w:rFonts w:ascii="Arial"/>
                <w:sz w:val="21"/>
                <w:highlight w:val="none"/>
              </w:rPr>
            </w:pPr>
          </w:p>
          <w:p w14:paraId="2F8EFCCF">
            <w:pPr>
              <w:pStyle w:val="6"/>
              <w:spacing w:before="71" w:line="219" w:lineRule="auto"/>
              <w:ind w:left="164"/>
              <w:rPr>
                <w:sz w:val="22"/>
                <w:szCs w:val="22"/>
                <w:highlight w:val="none"/>
              </w:rPr>
            </w:pPr>
            <w:r>
              <w:rPr>
                <w:spacing w:val="7"/>
                <w:sz w:val="22"/>
                <w:szCs w:val="22"/>
                <w:highlight w:val="none"/>
              </w:rPr>
              <w:t>拟分包的项目</w:t>
            </w:r>
          </w:p>
        </w:tc>
        <w:tc>
          <w:tcPr>
            <w:tcW w:w="2956" w:type="dxa"/>
            <w:vAlign w:val="top"/>
          </w:tcPr>
          <w:p w14:paraId="5584B33E">
            <w:pPr>
              <w:spacing w:line="331" w:lineRule="auto"/>
              <w:rPr>
                <w:rFonts w:ascii="Arial"/>
                <w:sz w:val="21"/>
                <w:highlight w:val="none"/>
              </w:rPr>
            </w:pPr>
          </w:p>
          <w:p w14:paraId="570DE13D">
            <w:pPr>
              <w:pStyle w:val="6"/>
              <w:spacing w:before="72" w:line="219" w:lineRule="auto"/>
              <w:ind w:left="891"/>
              <w:rPr>
                <w:sz w:val="22"/>
                <w:szCs w:val="22"/>
                <w:highlight w:val="none"/>
              </w:rPr>
            </w:pPr>
            <w:r>
              <w:rPr>
                <w:spacing w:val="-11"/>
                <w:sz w:val="22"/>
                <w:szCs w:val="22"/>
                <w:highlight w:val="none"/>
              </w:rPr>
              <w:t>主 要</w:t>
            </w:r>
            <w:r>
              <w:rPr>
                <w:spacing w:val="25"/>
                <w:sz w:val="22"/>
                <w:szCs w:val="22"/>
                <w:highlight w:val="none"/>
              </w:rPr>
              <w:t xml:space="preserve"> </w:t>
            </w:r>
            <w:r>
              <w:rPr>
                <w:spacing w:val="-11"/>
                <w:sz w:val="22"/>
                <w:szCs w:val="22"/>
                <w:highlight w:val="none"/>
              </w:rPr>
              <w:t>内</w:t>
            </w:r>
            <w:r>
              <w:rPr>
                <w:spacing w:val="1"/>
                <w:sz w:val="22"/>
                <w:szCs w:val="22"/>
                <w:highlight w:val="none"/>
              </w:rPr>
              <w:t xml:space="preserve"> </w:t>
            </w:r>
            <w:r>
              <w:rPr>
                <w:spacing w:val="-11"/>
                <w:sz w:val="22"/>
                <w:szCs w:val="22"/>
                <w:highlight w:val="none"/>
              </w:rPr>
              <w:t>容</w:t>
            </w:r>
          </w:p>
        </w:tc>
        <w:tc>
          <w:tcPr>
            <w:tcW w:w="1438" w:type="dxa"/>
            <w:vAlign w:val="top"/>
          </w:tcPr>
          <w:p w14:paraId="39B78DEC">
            <w:pPr>
              <w:pStyle w:val="6"/>
              <w:spacing w:before="203" w:line="218" w:lineRule="auto"/>
              <w:ind w:left="165"/>
              <w:rPr>
                <w:sz w:val="22"/>
                <w:szCs w:val="22"/>
                <w:highlight w:val="none"/>
              </w:rPr>
            </w:pPr>
            <w:r>
              <w:rPr>
                <w:spacing w:val="-2"/>
                <w:sz w:val="22"/>
                <w:szCs w:val="22"/>
                <w:highlight w:val="none"/>
              </w:rPr>
              <w:t>合同估算价</w:t>
            </w:r>
          </w:p>
          <w:p w14:paraId="61B7B300">
            <w:pPr>
              <w:pStyle w:val="6"/>
              <w:spacing w:before="172" w:line="196" w:lineRule="auto"/>
              <w:ind w:left="385"/>
              <w:rPr>
                <w:sz w:val="22"/>
                <w:szCs w:val="22"/>
                <w:highlight w:val="none"/>
              </w:rPr>
            </w:pPr>
            <w:r>
              <w:rPr>
                <w:spacing w:val="12"/>
                <w:sz w:val="22"/>
                <w:szCs w:val="22"/>
                <w:highlight w:val="none"/>
              </w:rPr>
              <w:t>(万元)</w:t>
            </w:r>
          </w:p>
        </w:tc>
        <w:tc>
          <w:tcPr>
            <w:tcW w:w="2542" w:type="dxa"/>
            <w:vAlign w:val="top"/>
          </w:tcPr>
          <w:p w14:paraId="6D2E1032">
            <w:pPr>
              <w:spacing w:line="331" w:lineRule="auto"/>
              <w:rPr>
                <w:rFonts w:ascii="Arial"/>
                <w:sz w:val="21"/>
                <w:highlight w:val="none"/>
              </w:rPr>
            </w:pPr>
          </w:p>
          <w:p w14:paraId="5DF1DF98">
            <w:pPr>
              <w:pStyle w:val="6"/>
              <w:spacing w:before="72" w:line="219" w:lineRule="auto"/>
              <w:ind w:left="387"/>
              <w:rPr>
                <w:sz w:val="22"/>
                <w:szCs w:val="22"/>
                <w:highlight w:val="none"/>
              </w:rPr>
            </w:pPr>
            <w:r>
              <w:rPr>
                <w:sz w:val="22"/>
                <w:szCs w:val="22"/>
                <w:highlight w:val="none"/>
              </w:rPr>
              <w:t>已完类似项目业绩</w:t>
            </w:r>
          </w:p>
        </w:tc>
      </w:tr>
      <w:tr w14:paraId="7B616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1663" w:type="dxa"/>
            <w:vAlign w:val="top"/>
          </w:tcPr>
          <w:p w14:paraId="36EAE1CD">
            <w:pPr>
              <w:rPr>
                <w:rFonts w:ascii="Arial"/>
                <w:sz w:val="21"/>
                <w:highlight w:val="none"/>
              </w:rPr>
            </w:pPr>
          </w:p>
        </w:tc>
        <w:tc>
          <w:tcPr>
            <w:tcW w:w="2956" w:type="dxa"/>
            <w:vAlign w:val="top"/>
          </w:tcPr>
          <w:p w14:paraId="570A5FDC">
            <w:pPr>
              <w:rPr>
                <w:rFonts w:ascii="Arial"/>
                <w:sz w:val="21"/>
                <w:highlight w:val="none"/>
              </w:rPr>
            </w:pPr>
          </w:p>
        </w:tc>
        <w:tc>
          <w:tcPr>
            <w:tcW w:w="1438" w:type="dxa"/>
            <w:vAlign w:val="top"/>
          </w:tcPr>
          <w:p w14:paraId="3312D393">
            <w:pPr>
              <w:rPr>
                <w:rFonts w:ascii="Arial"/>
                <w:sz w:val="21"/>
                <w:highlight w:val="none"/>
              </w:rPr>
            </w:pPr>
          </w:p>
        </w:tc>
        <w:tc>
          <w:tcPr>
            <w:tcW w:w="2542" w:type="dxa"/>
            <w:vAlign w:val="top"/>
          </w:tcPr>
          <w:p w14:paraId="472CEC0D">
            <w:pPr>
              <w:rPr>
                <w:rFonts w:ascii="Arial"/>
                <w:sz w:val="21"/>
                <w:highlight w:val="none"/>
              </w:rPr>
            </w:pPr>
          </w:p>
        </w:tc>
      </w:tr>
      <w:tr w14:paraId="3F36B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1663" w:type="dxa"/>
            <w:vAlign w:val="top"/>
          </w:tcPr>
          <w:p w14:paraId="0B404E04">
            <w:pPr>
              <w:rPr>
                <w:rFonts w:ascii="Arial"/>
                <w:sz w:val="21"/>
                <w:highlight w:val="none"/>
              </w:rPr>
            </w:pPr>
          </w:p>
        </w:tc>
        <w:tc>
          <w:tcPr>
            <w:tcW w:w="2956" w:type="dxa"/>
            <w:vAlign w:val="top"/>
          </w:tcPr>
          <w:p w14:paraId="617AE0D1">
            <w:pPr>
              <w:rPr>
                <w:rFonts w:ascii="Arial"/>
                <w:sz w:val="21"/>
                <w:highlight w:val="none"/>
              </w:rPr>
            </w:pPr>
          </w:p>
        </w:tc>
        <w:tc>
          <w:tcPr>
            <w:tcW w:w="1438" w:type="dxa"/>
            <w:vAlign w:val="top"/>
          </w:tcPr>
          <w:p w14:paraId="0080C7AB">
            <w:pPr>
              <w:rPr>
                <w:rFonts w:ascii="Arial"/>
                <w:sz w:val="21"/>
                <w:highlight w:val="none"/>
              </w:rPr>
            </w:pPr>
          </w:p>
        </w:tc>
        <w:tc>
          <w:tcPr>
            <w:tcW w:w="2542" w:type="dxa"/>
            <w:vAlign w:val="top"/>
          </w:tcPr>
          <w:p w14:paraId="13320B83">
            <w:pPr>
              <w:rPr>
                <w:rFonts w:ascii="Arial"/>
                <w:sz w:val="21"/>
                <w:highlight w:val="none"/>
              </w:rPr>
            </w:pPr>
          </w:p>
        </w:tc>
      </w:tr>
    </w:tbl>
    <w:p w14:paraId="38D74BFE">
      <w:pPr>
        <w:pStyle w:val="2"/>
        <w:spacing w:line="261" w:lineRule="auto"/>
        <w:rPr>
          <w:highlight w:val="none"/>
        </w:rPr>
      </w:pPr>
    </w:p>
    <w:p w14:paraId="4832F107">
      <w:pPr>
        <w:pStyle w:val="2"/>
        <w:spacing w:line="261" w:lineRule="auto"/>
        <w:rPr>
          <w:highlight w:val="none"/>
        </w:rPr>
      </w:pPr>
    </w:p>
    <w:p w14:paraId="36DC40AD">
      <w:pPr>
        <w:tabs>
          <w:tab w:val="left" w:pos="6194"/>
        </w:tabs>
        <w:spacing w:before="75" w:line="216" w:lineRule="auto"/>
        <w:ind w:left="5465"/>
        <w:rPr>
          <w:rFonts w:ascii="宋体" w:hAnsi="宋体" w:eastAsia="宋体" w:cs="宋体"/>
          <w:sz w:val="23"/>
          <w:szCs w:val="23"/>
          <w:highlight w:val="none"/>
        </w:rPr>
      </w:pPr>
      <w:r>
        <w:rPr>
          <w:rFonts w:ascii="宋体" w:hAnsi="宋体" w:eastAsia="宋体" w:cs="宋体"/>
          <w:position w:val="-1"/>
          <w:sz w:val="20"/>
          <w:szCs w:val="20"/>
          <w:highlight w:val="none"/>
          <w:u w:val="single" w:color="auto"/>
        </w:rPr>
        <w:tab/>
      </w:r>
      <w:r>
        <w:rPr>
          <w:rFonts w:ascii="宋体" w:hAnsi="宋体" w:eastAsia="宋体" w:cs="宋体"/>
          <w:spacing w:val="-15"/>
          <w:position w:val="-1"/>
          <w:sz w:val="20"/>
          <w:szCs w:val="20"/>
          <w:highlight w:val="none"/>
        </w:rPr>
        <w:t>年</w:t>
      </w:r>
      <w:r>
        <w:rPr>
          <w:rFonts w:ascii="宋体" w:hAnsi="宋体" w:eastAsia="宋体" w:cs="宋体"/>
          <w:spacing w:val="18"/>
          <w:position w:val="-1"/>
          <w:sz w:val="20"/>
          <w:szCs w:val="20"/>
          <w:highlight w:val="none"/>
          <w:u w:val="single" w:color="auto"/>
        </w:rPr>
        <w:t xml:space="preserve">     </w:t>
      </w:r>
      <w:r>
        <w:rPr>
          <w:rFonts w:ascii="宋体" w:hAnsi="宋体" w:eastAsia="宋体" w:cs="宋体"/>
          <w:spacing w:val="-15"/>
          <w:position w:val="1"/>
          <w:sz w:val="20"/>
          <w:szCs w:val="20"/>
          <w:highlight w:val="none"/>
        </w:rPr>
        <w:t>月</w:t>
      </w:r>
      <w:r>
        <w:rPr>
          <w:rFonts w:ascii="宋体" w:hAnsi="宋体" w:eastAsia="宋体" w:cs="宋体"/>
          <w:spacing w:val="-46"/>
          <w:position w:val="1"/>
          <w:sz w:val="20"/>
          <w:szCs w:val="20"/>
          <w:highlight w:val="none"/>
        </w:rPr>
        <w:t xml:space="preserve"> </w:t>
      </w:r>
      <w:r>
        <w:rPr>
          <w:rFonts w:ascii="宋体" w:hAnsi="宋体" w:eastAsia="宋体" w:cs="宋体"/>
          <w:spacing w:val="12"/>
          <w:sz w:val="23"/>
          <w:szCs w:val="23"/>
          <w:highlight w:val="none"/>
          <w:u w:val="single" w:color="auto"/>
        </w:rPr>
        <w:t xml:space="preserve">    </w:t>
      </w:r>
      <w:r>
        <w:rPr>
          <w:rFonts w:ascii="宋体" w:hAnsi="宋体" w:eastAsia="宋体" w:cs="宋体"/>
          <w:spacing w:val="-15"/>
          <w:sz w:val="23"/>
          <w:szCs w:val="23"/>
          <w:highlight w:val="none"/>
          <w:u w:val="single" w:color="auto"/>
        </w:rPr>
        <w:t>日</w:t>
      </w:r>
    </w:p>
    <w:p w14:paraId="070E6822">
      <w:pPr>
        <w:spacing w:line="216" w:lineRule="auto"/>
        <w:rPr>
          <w:rFonts w:ascii="宋体" w:hAnsi="宋体" w:eastAsia="宋体" w:cs="宋体"/>
          <w:sz w:val="23"/>
          <w:szCs w:val="23"/>
          <w:highlight w:val="none"/>
        </w:rPr>
        <w:sectPr>
          <w:footerReference r:id="rId248" w:type="default"/>
          <w:pgSz w:w="11910" w:h="16840"/>
          <w:pgMar w:top="400" w:right="1614" w:bottom="1238" w:left="1685" w:header="0" w:footer="1007" w:gutter="0"/>
          <w:cols w:space="720" w:num="1"/>
        </w:sectPr>
      </w:pPr>
    </w:p>
    <w:p w14:paraId="76982380">
      <w:pPr>
        <w:pStyle w:val="2"/>
        <w:spacing w:line="267" w:lineRule="auto"/>
        <w:rPr>
          <w:highlight w:val="none"/>
        </w:rPr>
      </w:pPr>
    </w:p>
    <w:p w14:paraId="1D20E0CE">
      <w:pPr>
        <w:pStyle w:val="2"/>
        <w:spacing w:line="267" w:lineRule="auto"/>
        <w:rPr>
          <w:highlight w:val="none"/>
        </w:rPr>
      </w:pPr>
    </w:p>
    <w:p w14:paraId="27A200C0">
      <w:pPr>
        <w:pStyle w:val="2"/>
        <w:spacing w:line="268" w:lineRule="auto"/>
        <w:rPr>
          <w:highlight w:val="none"/>
        </w:rPr>
      </w:pPr>
    </w:p>
    <w:p w14:paraId="67984B06">
      <w:pPr>
        <w:pStyle w:val="2"/>
        <w:spacing w:line="268" w:lineRule="auto"/>
        <w:rPr>
          <w:highlight w:val="none"/>
        </w:rPr>
      </w:pPr>
    </w:p>
    <w:p w14:paraId="33BE1921">
      <w:pPr>
        <w:spacing w:before="104" w:line="222" w:lineRule="auto"/>
        <w:ind w:left="94"/>
        <w:outlineLvl w:val="1"/>
        <w:rPr>
          <w:rFonts w:ascii="黑体" w:hAnsi="黑体" w:eastAsia="黑体" w:cs="黑体"/>
          <w:sz w:val="32"/>
          <w:szCs w:val="32"/>
          <w:highlight w:val="none"/>
        </w:rPr>
      </w:pPr>
      <w:bookmarkStart w:id="249" w:name="bookmark160"/>
      <w:bookmarkEnd w:id="249"/>
      <w:r>
        <w:rPr>
          <w:rFonts w:ascii="黑体" w:hAnsi="黑体" w:eastAsia="黑体" w:cs="黑体"/>
          <w:spacing w:val="2"/>
          <w:sz w:val="32"/>
          <w:szCs w:val="32"/>
          <w:highlight w:val="none"/>
        </w:rPr>
        <w:t>六、分包意向协议书</w:t>
      </w:r>
    </w:p>
    <w:p w14:paraId="70A6295D">
      <w:pPr>
        <w:spacing w:before="233" w:line="220" w:lineRule="auto"/>
        <w:ind w:left="524"/>
        <w:rPr>
          <w:rFonts w:ascii="宋体" w:hAnsi="宋体" w:eastAsia="宋体" w:cs="宋体"/>
          <w:sz w:val="22"/>
          <w:szCs w:val="22"/>
          <w:highlight w:val="none"/>
        </w:rPr>
      </w:pPr>
      <w:r>
        <w:rPr>
          <w:rFonts w:ascii="宋体" w:hAnsi="宋体" w:eastAsia="宋体" w:cs="宋体"/>
          <w:spacing w:val="-5"/>
          <w:sz w:val="20"/>
          <w:szCs w:val="20"/>
          <w:highlight w:val="none"/>
        </w:rPr>
        <w:t>甲方：</w:t>
      </w:r>
      <w:r>
        <w:rPr>
          <w:rFonts w:ascii="宋体" w:hAnsi="宋体" w:eastAsia="宋体" w:cs="宋体"/>
          <w:spacing w:val="2"/>
          <w:sz w:val="20"/>
          <w:szCs w:val="20"/>
          <w:highlight w:val="none"/>
          <w:u w:val="single" w:color="auto"/>
        </w:rPr>
        <w:t xml:space="preserve">               </w:t>
      </w:r>
      <w:r>
        <w:rPr>
          <w:rFonts w:ascii="宋体" w:hAnsi="宋体" w:eastAsia="宋体" w:cs="宋体"/>
          <w:spacing w:val="-22"/>
          <w:sz w:val="20"/>
          <w:szCs w:val="20"/>
          <w:highlight w:val="none"/>
        </w:rPr>
        <w:t xml:space="preserve"> </w:t>
      </w:r>
      <w:r>
        <w:rPr>
          <w:rFonts w:ascii="宋体" w:hAnsi="宋体" w:eastAsia="宋体" w:cs="宋体"/>
          <w:spacing w:val="-5"/>
          <w:sz w:val="22"/>
          <w:szCs w:val="22"/>
          <w:highlight w:val="none"/>
        </w:rPr>
        <w:t>(投标人名称)</w:t>
      </w:r>
    </w:p>
    <w:p w14:paraId="63189345">
      <w:pPr>
        <w:spacing w:before="147" w:line="222" w:lineRule="auto"/>
        <w:ind w:left="524"/>
        <w:rPr>
          <w:rFonts w:ascii="宋体" w:hAnsi="宋体" w:eastAsia="宋体" w:cs="宋体"/>
          <w:sz w:val="20"/>
          <w:szCs w:val="20"/>
          <w:highlight w:val="none"/>
        </w:rPr>
      </w:pPr>
      <w:r>
        <w:rPr>
          <w:rFonts w:ascii="宋体" w:hAnsi="宋体" w:eastAsia="宋体" w:cs="宋体"/>
          <w:spacing w:val="8"/>
          <w:position w:val="-1"/>
          <w:sz w:val="22"/>
          <w:szCs w:val="22"/>
          <w:highlight w:val="none"/>
        </w:rPr>
        <w:t>乙方：</w:t>
      </w:r>
      <w:r>
        <w:rPr>
          <w:rFonts w:ascii="宋体" w:hAnsi="宋体" w:eastAsia="宋体" w:cs="宋体"/>
          <w:spacing w:val="4"/>
          <w:position w:val="-1"/>
          <w:sz w:val="22"/>
          <w:szCs w:val="22"/>
          <w:highlight w:val="none"/>
          <w:u w:val="single" w:color="auto"/>
        </w:rPr>
        <w:t xml:space="preserve">             </w:t>
      </w:r>
      <w:r>
        <w:rPr>
          <w:rFonts w:ascii="宋体" w:hAnsi="宋体" w:eastAsia="宋体" w:cs="宋体"/>
          <w:spacing w:val="-20"/>
          <w:position w:val="-1"/>
          <w:sz w:val="22"/>
          <w:szCs w:val="22"/>
          <w:highlight w:val="none"/>
        </w:rPr>
        <w:t xml:space="preserve"> </w:t>
      </w:r>
      <w:r>
        <w:rPr>
          <w:rFonts w:ascii="宋体" w:hAnsi="宋体" w:eastAsia="宋体" w:cs="宋体"/>
          <w:spacing w:val="8"/>
          <w:sz w:val="20"/>
          <w:szCs w:val="20"/>
          <w:highlight w:val="none"/>
        </w:rPr>
        <w:t>(接受分包合同企业名称)</w:t>
      </w:r>
    </w:p>
    <w:p w14:paraId="2A2E6FA3">
      <w:pPr>
        <w:spacing w:before="125" w:line="222" w:lineRule="auto"/>
        <w:ind w:left="524"/>
        <w:rPr>
          <w:rFonts w:ascii="宋体" w:hAnsi="宋体" w:eastAsia="宋体" w:cs="宋体"/>
          <w:sz w:val="20"/>
          <w:szCs w:val="20"/>
          <w:highlight w:val="none"/>
        </w:rPr>
      </w:pPr>
      <w:r>
        <w:rPr>
          <w:rFonts w:ascii="宋体" w:hAnsi="宋体" w:eastAsia="宋体" w:cs="宋体"/>
          <w:spacing w:val="8"/>
          <w:position w:val="-1"/>
          <w:sz w:val="22"/>
          <w:szCs w:val="22"/>
          <w:highlight w:val="none"/>
        </w:rPr>
        <w:t>乙方：</w:t>
      </w:r>
      <w:r>
        <w:rPr>
          <w:rFonts w:ascii="宋体" w:hAnsi="宋体" w:eastAsia="宋体" w:cs="宋体"/>
          <w:spacing w:val="4"/>
          <w:position w:val="-1"/>
          <w:sz w:val="22"/>
          <w:szCs w:val="22"/>
          <w:highlight w:val="none"/>
          <w:u w:val="single" w:color="auto"/>
        </w:rPr>
        <w:t xml:space="preserve">             </w:t>
      </w:r>
      <w:r>
        <w:rPr>
          <w:rFonts w:ascii="宋体" w:hAnsi="宋体" w:eastAsia="宋体" w:cs="宋体"/>
          <w:spacing w:val="-20"/>
          <w:position w:val="-1"/>
          <w:sz w:val="22"/>
          <w:szCs w:val="22"/>
          <w:highlight w:val="none"/>
        </w:rPr>
        <w:t xml:space="preserve"> </w:t>
      </w:r>
      <w:r>
        <w:rPr>
          <w:rFonts w:ascii="宋体" w:hAnsi="宋体" w:eastAsia="宋体" w:cs="宋体"/>
          <w:spacing w:val="8"/>
          <w:sz w:val="20"/>
          <w:szCs w:val="20"/>
          <w:highlight w:val="none"/>
        </w:rPr>
        <w:t>(接受分包合同企业名称)</w:t>
      </w:r>
    </w:p>
    <w:p w14:paraId="06ACD21B">
      <w:pPr>
        <w:pStyle w:val="2"/>
        <w:spacing w:line="254" w:lineRule="auto"/>
        <w:rPr>
          <w:highlight w:val="none"/>
        </w:rPr>
      </w:pPr>
    </w:p>
    <w:p w14:paraId="65D9037D">
      <w:pPr>
        <w:spacing w:line="40" w:lineRule="exact"/>
        <w:ind w:left="545"/>
        <w:rPr>
          <w:highlight w:val="none"/>
        </w:rPr>
      </w:pPr>
      <w:r>
        <w:rPr>
          <w:position w:val="-1"/>
          <w:highlight w:val="none"/>
        </w:rPr>
        <w:drawing>
          <wp:inline distT="0" distB="0" distL="0" distR="0">
            <wp:extent cx="120015" cy="2476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329"/>
                    <a:stretch>
                      <a:fillRect/>
                    </a:stretch>
                  </pic:blipFill>
                  <pic:spPr>
                    <a:xfrm>
                      <a:off x="0" y="0"/>
                      <a:ext cx="120627" cy="25343"/>
                    </a:xfrm>
                    <a:prstGeom prst="rect">
                      <a:avLst/>
                    </a:prstGeom>
                  </pic:spPr>
                </pic:pic>
              </a:graphicData>
            </a:graphic>
          </wp:inline>
        </w:drawing>
      </w:r>
    </w:p>
    <w:p w14:paraId="2A82C522">
      <w:pPr>
        <w:spacing w:before="237" w:line="338" w:lineRule="auto"/>
        <w:ind w:left="94" w:right="51" w:firstLine="430"/>
        <w:jc w:val="both"/>
        <w:rPr>
          <w:rFonts w:ascii="宋体" w:hAnsi="宋体" w:eastAsia="宋体" w:cs="宋体"/>
          <w:sz w:val="21"/>
          <w:szCs w:val="21"/>
          <w:highlight w:val="none"/>
        </w:rPr>
      </w:pPr>
      <w:r>
        <w:rPr>
          <w:rFonts w:ascii="宋体" w:hAnsi="宋体" w:eastAsia="宋体" w:cs="宋体"/>
          <w:spacing w:val="-1"/>
          <w:sz w:val="21"/>
          <w:szCs w:val="21"/>
          <w:highlight w:val="none"/>
        </w:rPr>
        <w:t>鉴于甲方参加</w:t>
      </w:r>
      <w:r>
        <w:rPr>
          <w:rFonts w:ascii="宋体" w:hAnsi="宋体" w:eastAsia="宋体" w:cs="宋体"/>
          <w:spacing w:val="-1"/>
          <w:sz w:val="21"/>
          <w:szCs w:val="21"/>
          <w:highlight w:val="none"/>
          <w:u w:val="single" w:color="auto"/>
        </w:rPr>
        <w:t xml:space="preserve">               </w:t>
      </w:r>
      <w:r>
        <w:rPr>
          <w:rFonts w:ascii="宋体" w:hAnsi="宋体" w:eastAsia="宋体" w:cs="宋体"/>
          <w:spacing w:val="-85"/>
          <w:sz w:val="21"/>
          <w:szCs w:val="21"/>
          <w:highlight w:val="none"/>
        </w:rPr>
        <w:t xml:space="preserve"> </w:t>
      </w:r>
      <w:r>
        <w:rPr>
          <w:rFonts w:ascii="宋体" w:hAnsi="宋体" w:eastAsia="宋体" w:cs="宋体"/>
          <w:spacing w:val="-1"/>
          <w:sz w:val="21"/>
          <w:szCs w:val="21"/>
          <w:highlight w:val="none"/>
        </w:rPr>
        <w:t>(招标人名称)(以下</w:t>
      </w:r>
      <w:r>
        <w:rPr>
          <w:rFonts w:ascii="宋体" w:hAnsi="宋体" w:eastAsia="宋体" w:cs="宋体"/>
          <w:spacing w:val="-2"/>
          <w:sz w:val="21"/>
          <w:szCs w:val="21"/>
          <w:highlight w:val="none"/>
        </w:rPr>
        <w:t>简称招标人或发包人)</w:t>
      </w:r>
      <w:r>
        <w:rPr>
          <w:rFonts w:ascii="宋体" w:hAnsi="宋体" w:eastAsia="宋体" w:cs="宋体"/>
          <w:spacing w:val="-21"/>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83"/>
          <w:sz w:val="21"/>
          <w:szCs w:val="21"/>
          <w:highlight w:val="none"/>
        </w:rPr>
        <w:t xml:space="preserve"> </w:t>
      </w:r>
      <w:r>
        <w:rPr>
          <w:rFonts w:ascii="宋体" w:hAnsi="宋体" w:eastAsia="宋体" w:cs="宋体"/>
          <w:spacing w:val="-2"/>
          <w:sz w:val="21"/>
          <w:szCs w:val="21"/>
          <w:highlight w:val="none"/>
        </w:rPr>
        <w:t>( 项</w:t>
      </w:r>
      <w:r>
        <w:rPr>
          <w:rFonts w:ascii="宋体" w:hAnsi="宋体" w:eastAsia="宋体" w:cs="宋体"/>
          <w:sz w:val="21"/>
          <w:szCs w:val="21"/>
          <w:highlight w:val="none"/>
        </w:rPr>
        <w:t xml:space="preserve"> </w:t>
      </w:r>
      <w:r>
        <w:rPr>
          <w:rFonts w:ascii="宋体" w:hAnsi="宋体" w:eastAsia="宋体" w:cs="宋体"/>
          <w:spacing w:val="10"/>
          <w:sz w:val="21"/>
          <w:szCs w:val="21"/>
          <w:highlight w:val="none"/>
        </w:rPr>
        <w:t>目</w:t>
      </w:r>
      <w:r>
        <w:rPr>
          <w:rFonts w:ascii="宋体" w:hAnsi="宋体" w:eastAsia="宋体" w:cs="宋体"/>
          <w:spacing w:val="-44"/>
          <w:sz w:val="21"/>
          <w:szCs w:val="21"/>
          <w:highlight w:val="none"/>
        </w:rPr>
        <w:t xml:space="preserve"> </w:t>
      </w:r>
      <w:r>
        <w:rPr>
          <w:rFonts w:ascii="宋体" w:hAnsi="宋体" w:eastAsia="宋体" w:cs="宋体"/>
          <w:spacing w:val="10"/>
          <w:sz w:val="21"/>
          <w:szCs w:val="21"/>
          <w:highlight w:val="none"/>
        </w:rPr>
        <w:t>名</w:t>
      </w:r>
      <w:r>
        <w:rPr>
          <w:rFonts w:ascii="宋体" w:hAnsi="宋体" w:eastAsia="宋体" w:cs="宋体"/>
          <w:spacing w:val="-48"/>
          <w:sz w:val="21"/>
          <w:szCs w:val="21"/>
          <w:highlight w:val="none"/>
        </w:rPr>
        <w:t xml:space="preserve"> </w:t>
      </w:r>
      <w:r>
        <w:rPr>
          <w:rFonts w:ascii="宋体" w:hAnsi="宋体" w:eastAsia="宋体" w:cs="宋体"/>
          <w:spacing w:val="10"/>
          <w:sz w:val="21"/>
          <w:szCs w:val="21"/>
          <w:highlight w:val="none"/>
        </w:rPr>
        <w:t>称</w:t>
      </w:r>
      <w:r>
        <w:rPr>
          <w:rFonts w:ascii="宋体" w:hAnsi="宋体" w:eastAsia="宋体" w:cs="宋体"/>
          <w:spacing w:val="-46"/>
          <w:sz w:val="21"/>
          <w:szCs w:val="21"/>
          <w:highlight w:val="none"/>
        </w:rPr>
        <w:t xml:space="preserve"> </w:t>
      </w:r>
      <w:r>
        <w:rPr>
          <w:rFonts w:ascii="宋体" w:hAnsi="宋体" w:eastAsia="宋体" w:cs="宋体"/>
          <w:spacing w:val="10"/>
          <w:sz w:val="21"/>
          <w:szCs w:val="21"/>
          <w:highlight w:val="none"/>
        </w:rPr>
        <w:t>)</w:t>
      </w:r>
      <w:r>
        <w:rPr>
          <w:rFonts w:ascii="宋体" w:hAnsi="宋体" w:eastAsia="宋体" w:cs="宋体"/>
          <w:spacing w:val="-81"/>
          <w:sz w:val="21"/>
          <w:szCs w:val="21"/>
          <w:highlight w:val="none"/>
        </w:rPr>
        <w:t xml:space="preserve"> </w:t>
      </w:r>
      <w:r>
        <w:rPr>
          <w:rFonts w:ascii="宋体" w:hAnsi="宋体" w:eastAsia="宋体" w:cs="宋体"/>
          <w:spacing w:val="1"/>
          <w:sz w:val="21"/>
          <w:szCs w:val="21"/>
          <w:highlight w:val="none"/>
          <w:u w:val="single" w:color="auto"/>
        </w:rPr>
        <w:t xml:space="preserve">      </w:t>
      </w:r>
      <w:r>
        <w:rPr>
          <w:rFonts w:ascii="宋体" w:hAnsi="宋体" w:eastAsia="宋体" w:cs="宋体"/>
          <w:spacing w:val="-11"/>
          <w:sz w:val="21"/>
          <w:szCs w:val="21"/>
          <w:highlight w:val="none"/>
        </w:rPr>
        <w:t xml:space="preserve"> </w:t>
      </w:r>
      <w:r>
        <w:rPr>
          <w:rFonts w:ascii="宋体" w:hAnsi="宋体" w:eastAsia="宋体" w:cs="宋体"/>
          <w:spacing w:val="10"/>
          <w:sz w:val="21"/>
          <w:szCs w:val="21"/>
          <w:highlight w:val="none"/>
        </w:rPr>
        <w:t>(标段名称)(以下简称本工程)的工程总承包招标资格</w:t>
      </w:r>
      <w:r>
        <w:rPr>
          <w:rFonts w:ascii="宋体" w:hAnsi="宋体" w:eastAsia="宋体" w:cs="宋体"/>
          <w:spacing w:val="9"/>
          <w:sz w:val="21"/>
          <w:szCs w:val="21"/>
          <w:highlight w:val="none"/>
        </w:rPr>
        <w:t>预审(如有)和投</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标并争取赢得本项目工程总承包合同(以下简称合同)。在遵守《建筑法》《招标投标法》及</w:t>
      </w:r>
      <w:r>
        <w:rPr>
          <w:rFonts w:ascii="宋体" w:hAnsi="宋体" w:eastAsia="宋体" w:cs="宋体"/>
          <w:spacing w:val="12"/>
          <w:sz w:val="21"/>
          <w:szCs w:val="21"/>
          <w:highlight w:val="none"/>
        </w:rPr>
        <w:t xml:space="preserve"> </w:t>
      </w:r>
      <w:r>
        <w:rPr>
          <w:rFonts w:ascii="宋体" w:hAnsi="宋体" w:eastAsia="宋体" w:cs="宋体"/>
          <w:spacing w:val="-1"/>
          <w:sz w:val="21"/>
          <w:szCs w:val="21"/>
          <w:highlight w:val="none"/>
        </w:rPr>
        <w:t>其相关的法律法规规章的前提下，经甲乙双方友好协商订立如下分包意向协议：</w:t>
      </w:r>
    </w:p>
    <w:p w14:paraId="257C1E9E">
      <w:pPr>
        <w:spacing w:before="13" w:line="292" w:lineRule="auto"/>
        <w:ind w:left="94" w:right="116" w:firstLine="43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1.</w:t>
      </w:r>
      <w:r>
        <w:rPr>
          <w:rFonts w:ascii="Times New Roman" w:hAnsi="Times New Roman" w:eastAsia="Times New Roman" w:cs="Times New Roman"/>
          <w:spacing w:val="20"/>
          <w:w w:val="101"/>
          <w:sz w:val="22"/>
          <w:szCs w:val="22"/>
          <w:highlight w:val="none"/>
        </w:rPr>
        <w:t xml:space="preserve">  </w:t>
      </w:r>
      <w:r>
        <w:rPr>
          <w:rFonts w:ascii="宋体" w:hAnsi="宋体" w:eastAsia="宋体" w:cs="宋体"/>
          <w:spacing w:val="-3"/>
          <w:sz w:val="22"/>
          <w:szCs w:val="22"/>
          <w:highlight w:val="none"/>
        </w:rPr>
        <w:t>在本工程的投标阶段，甲方负责本工程资格预审</w:t>
      </w:r>
      <w:r>
        <w:rPr>
          <w:rFonts w:ascii="宋体" w:hAnsi="宋体" w:eastAsia="宋体" w:cs="宋体"/>
          <w:spacing w:val="-4"/>
          <w:sz w:val="22"/>
          <w:szCs w:val="22"/>
          <w:highlight w:val="none"/>
        </w:rPr>
        <w:t>申请文件(如有)和投标文件编制</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活动，并处理与资格预审(如有)、投标和中标有关的一切事务。中标后，甲方负责合同订</w:t>
      </w:r>
      <w:r>
        <w:rPr>
          <w:rFonts w:ascii="宋体" w:hAnsi="宋体" w:eastAsia="宋体" w:cs="宋体"/>
          <w:spacing w:val="9"/>
          <w:sz w:val="22"/>
          <w:szCs w:val="22"/>
          <w:highlight w:val="none"/>
        </w:rPr>
        <w:t xml:space="preserve"> </w:t>
      </w:r>
      <w:r>
        <w:rPr>
          <w:rFonts w:ascii="宋体" w:hAnsi="宋体" w:eastAsia="宋体" w:cs="宋体"/>
          <w:spacing w:val="-11"/>
          <w:sz w:val="22"/>
          <w:szCs w:val="22"/>
          <w:highlight w:val="none"/>
        </w:rPr>
        <w:t>立和合同实施、组织和协调工作。</w:t>
      </w:r>
    </w:p>
    <w:p w14:paraId="783E4103">
      <w:pPr>
        <w:spacing w:before="127" w:line="331" w:lineRule="auto"/>
        <w:ind w:left="94" w:right="105" w:firstLine="430"/>
        <w:rPr>
          <w:rFonts w:ascii="宋体" w:hAnsi="宋体" w:eastAsia="宋体" w:cs="宋体"/>
          <w:sz w:val="20"/>
          <w:szCs w:val="20"/>
          <w:highlight w:val="none"/>
        </w:rPr>
      </w:pPr>
      <w:r>
        <w:rPr>
          <w:rFonts w:ascii="Times New Roman" w:hAnsi="Times New Roman" w:eastAsia="Times New Roman" w:cs="Times New Roman"/>
          <w:spacing w:val="16"/>
          <w:sz w:val="20"/>
          <w:szCs w:val="20"/>
          <w:highlight w:val="none"/>
        </w:rPr>
        <w:t>2.</w:t>
      </w:r>
      <w:r>
        <w:rPr>
          <w:rFonts w:ascii="Times New Roman" w:hAnsi="Times New Roman" w:eastAsia="Times New Roman" w:cs="Times New Roman"/>
          <w:spacing w:val="1"/>
          <w:sz w:val="20"/>
          <w:szCs w:val="20"/>
          <w:highlight w:val="none"/>
        </w:rPr>
        <w:t xml:space="preserve">   </w:t>
      </w:r>
      <w:r>
        <w:rPr>
          <w:rFonts w:ascii="宋体" w:hAnsi="宋体" w:eastAsia="宋体" w:cs="宋体"/>
          <w:spacing w:val="16"/>
          <w:sz w:val="20"/>
          <w:szCs w:val="20"/>
          <w:highlight w:val="none"/>
        </w:rPr>
        <w:t>乙方按照甲方的要求提供分包工作资格预审(</w:t>
      </w:r>
      <w:r>
        <w:rPr>
          <w:rFonts w:ascii="宋体" w:hAnsi="宋体" w:eastAsia="宋体" w:cs="宋体"/>
          <w:spacing w:val="15"/>
          <w:sz w:val="20"/>
          <w:szCs w:val="20"/>
          <w:highlight w:val="none"/>
        </w:rPr>
        <w:t>如有)和投标所需的相关资料，包括</w:t>
      </w:r>
      <w:r>
        <w:rPr>
          <w:rFonts w:ascii="宋体" w:hAnsi="宋体" w:eastAsia="宋体" w:cs="宋体"/>
          <w:spacing w:val="1"/>
          <w:sz w:val="20"/>
          <w:szCs w:val="20"/>
          <w:highlight w:val="none"/>
        </w:rPr>
        <w:t xml:space="preserve"> </w:t>
      </w:r>
      <w:r>
        <w:rPr>
          <w:rFonts w:ascii="宋体" w:hAnsi="宋体" w:eastAsia="宋体" w:cs="宋体"/>
          <w:spacing w:val="8"/>
          <w:sz w:val="20"/>
          <w:szCs w:val="20"/>
          <w:highlight w:val="none"/>
        </w:rPr>
        <w:t xml:space="preserve">但不限于资质、资格、分包工作报价、技术文件、经营状况等资料，并对所提供资料的真实 性负责。甲方为此提供便利条件，未经乙方同意，甲方不得擅自降低乙方提供的分包工作报 </w:t>
      </w:r>
      <w:r>
        <w:rPr>
          <w:rFonts w:ascii="宋体" w:hAnsi="宋体" w:eastAsia="宋体" w:cs="宋体"/>
          <w:spacing w:val="-3"/>
          <w:sz w:val="20"/>
          <w:szCs w:val="20"/>
          <w:highlight w:val="none"/>
        </w:rPr>
        <w:t>价。</w:t>
      </w:r>
    </w:p>
    <w:p w14:paraId="57DB19E9">
      <w:pPr>
        <w:tabs>
          <w:tab w:val="left" w:pos="213"/>
        </w:tabs>
        <w:spacing w:before="144" w:line="305" w:lineRule="auto"/>
        <w:ind w:left="94" w:right="107" w:firstLine="430"/>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 xml:space="preserve">3.   </w:t>
      </w:r>
      <w:r>
        <w:rPr>
          <w:rFonts w:ascii="宋体" w:hAnsi="宋体" w:eastAsia="宋体" w:cs="宋体"/>
          <w:spacing w:val="1"/>
          <w:sz w:val="21"/>
          <w:szCs w:val="21"/>
          <w:highlight w:val="none"/>
        </w:rPr>
        <w:t>甲方承诺中标后，就本协议约定的分</w:t>
      </w:r>
      <w:r>
        <w:rPr>
          <w:rFonts w:ascii="宋体" w:hAnsi="宋体" w:eastAsia="宋体" w:cs="宋体"/>
          <w:sz w:val="21"/>
          <w:szCs w:val="21"/>
          <w:highlight w:val="none"/>
        </w:rPr>
        <w:t xml:space="preserve">包工作以分包合同的形式交由乙方承担；乙方 </w:t>
      </w:r>
      <w:r>
        <w:rPr>
          <w:rFonts w:ascii="宋体" w:hAnsi="宋体" w:eastAsia="宋体" w:cs="宋体"/>
          <w:spacing w:val="3"/>
          <w:sz w:val="21"/>
          <w:szCs w:val="21"/>
          <w:highlight w:val="none"/>
        </w:rPr>
        <w:t>承诺按照分包合同的约定履行责任和义务并对甲方负责。甲方和乙方就分包工作对招标人</w:t>
      </w:r>
      <w:r>
        <w:rPr>
          <w:rFonts w:ascii="宋体" w:hAnsi="宋体" w:eastAsia="宋体" w:cs="宋体"/>
          <w:sz w:val="21"/>
          <w:szCs w:val="21"/>
          <w:highlight w:val="none"/>
        </w:rPr>
        <w:t xml:space="preserve"> </w:t>
      </w:r>
      <w:r>
        <w:rPr>
          <w:rFonts w:ascii="宋体" w:hAnsi="宋体" w:eastAsia="宋体" w:cs="宋体"/>
          <w:sz w:val="21"/>
          <w:szCs w:val="21"/>
          <w:highlight w:val="none"/>
        </w:rPr>
        <w:tab/>
      </w:r>
      <w:r>
        <w:rPr>
          <w:rFonts w:ascii="宋体" w:hAnsi="宋体" w:eastAsia="宋体" w:cs="宋体"/>
          <w:spacing w:val="7"/>
          <w:sz w:val="21"/>
          <w:szCs w:val="21"/>
          <w:highlight w:val="none"/>
        </w:rPr>
        <w:t>(发包人)承担连带责任。</w:t>
      </w:r>
    </w:p>
    <w:p w14:paraId="21697F27">
      <w:pPr>
        <w:spacing w:before="140" w:line="219" w:lineRule="auto"/>
        <w:ind w:left="524"/>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 xml:space="preserve">4.  </w:t>
      </w:r>
      <w:r>
        <w:rPr>
          <w:rFonts w:ascii="宋体" w:hAnsi="宋体" w:eastAsia="宋体" w:cs="宋体"/>
          <w:spacing w:val="-8"/>
          <w:sz w:val="22"/>
          <w:szCs w:val="22"/>
          <w:highlight w:val="none"/>
        </w:rPr>
        <w:t>甲方拟分包给乙方的工作、分包合同金额、分包合同金额占比如下：</w:t>
      </w:r>
    </w:p>
    <w:p w14:paraId="28B3AF16">
      <w:pPr>
        <w:spacing w:before="175"/>
        <w:rPr>
          <w:highlight w:val="none"/>
        </w:rPr>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4"/>
        <w:gridCol w:w="1498"/>
        <w:gridCol w:w="1588"/>
        <w:gridCol w:w="1109"/>
        <w:gridCol w:w="1119"/>
        <w:gridCol w:w="1348"/>
        <w:gridCol w:w="1313"/>
      </w:tblGrid>
      <w:tr w14:paraId="6A88C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2" w:hRule="atLeast"/>
        </w:trPr>
        <w:tc>
          <w:tcPr>
            <w:tcW w:w="544" w:type="dxa"/>
            <w:textDirection w:val="tbRlV"/>
            <w:vAlign w:val="top"/>
          </w:tcPr>
          <w:p w14:paraId="2E6307EB">
            <w:pPr>
              <w:pStyle w:val="6"/>
              <w:spacing w:before="181" w:line="199" w:lineRule="auto"/>
              <w:ind w:left="264"/>
              <w:rPr>
                <w:highlight w:val="none"/>
              </w:rPr>
            </w:pPr>
            <w:r>
              <w:rPr>
                <w:highlight w:val="none"/>
              </w:rPr>
              <w:t>序</w:t>
            </w:r>
            <w:r>
              <w:rPr>
                <w:spacing w:val="13"/>
                <w:highlight w:val="none"/>
              </w:rPr>
              <w:t xml:space="preserve">  </w:t>
            </w:r>
            <w:r>
              <w:rPr>
                <w:highlight w:val="none"/>
              </w:rPr>
              <w:t>号</w:t>
            </w:r>
          </w:p>
        </w:tc>
        <w:tc>
          <w:tcPr>
            <w:tcW w:w="1498" w:type="dxa"/>
            <w:vAlign w:val="top"/>
          </w:tcPr>
          <w:p w14:paraId="705E7753">
            <w:pPr>
              <w:pStyle w:val="6"/>
              <w:spacing w:before="284" w:line="365" w:lineRule="auto"/>
              <w:ind w:left="320" w:right="98" w:hanging="210"/>
              <w:rPr>
                <w:highlight w:val="none"/>
              </w:rPr>
            </w:pPr>
            <w:r>
              <w:rPr>
                <w:spacing w:val="3"/>
                <w:highlight w:val="none"/>
              </w:rPr>
              <w:t>接受分包合同</w:t>
            </w:r>
            <w:r>
              <w:rPr>
                <w:highlight w:val="none"/>
              </w:rPr>
              <w:t xml:space="preserve"> </w:t>
            </w:r>
            <w:r>
              <w:rPr>
                <w:spacing w:val="2"/>
                <w:highlight w:val="none"/>
              </w:rPr>
              <w:t>企业名称</w:t>
            </w:r>
          </w:p>
        </w:tc>
        <w:tc>
          <w:tcPr>
            <w:tcW w:w="1588" w:type="dxa"/>
            <w:vAlign w:val="top"/>
          </w:tcPr>
          <w:p w14:paraId="3901AA38">
            <w:pPr>
              <w:pStyle w:val="6"/>
              <w:spacing w:before="284" w:line="220" w:lineRule="auto"/>
              <w:ind w:left="362"/>
              <w:rPr>
                <w:highlight w:val="none"/>
              </w:rPr>
            </w:pPr>
            <w:r>
              <w:rPr>
                <w:spacing w:val="4"/>
                <w:highlight w:val="none"/>
              </w:rPr>
              <w:t>分包合同</w:t>
            </w:r>
          </w:p>
          <w:p w14:paraId="22E1A50A">
            <w:pPr>
              <w:pStyle w:val="6"/>
              <w:spacing w:before="159" w:line="219" w:lineRule="auto"/>
              <w:ind w:left="153"/>
              <w:rPr>
                <w:highlight w:val="none"/>
              </w:rPr>
            </w:pPr>
            <w:r>
              <w:rPr>
                <w:spacing w:val="1"/>
                <w:highlight w:val="none"/>
              </w:rPr>
              <w:t>工作内容名称</w:t>
            </w:r>
          </w:p>
        </w:tc>
        <w:tc>
          <w:tcPr>
            <w:tcW w:w="1109" w:type="dxa"/>
            <w:vAlign w:val="top"/>
          </w:tcPr>
          <w:p w14:paraId="6F9F3400">
            <w:pPr>
              <w:pStyle w:val="6"/>
              <w:spacing w:before="94" w:line="220" w:lineRule="auto"/>
              <w:ind w:left="124"/>
              <w:rPr>
                <w:highlight w:val="none"/>
              </w:rPr>
            </w:pPr>
            <w:r>
              <w:rPr>
                <w:spacing w:val="4"/>
                <w:highlight w:val="none"/>
              </w:rPr>
              <w:t>分包合同</w:t>
            </w:r>
          </w:p>
          <w:p w14:paraId="1BC2E674">
            <w:pPr>
              <w:pStyle w:val="6"/>
              <w:spacing w:before="139" w:line="219" w:lineRule="auto"/>
              <w:ind w:left="334"/>
              <w:rPr>
                <w:highlight w:val="none"/>
              </w:rPr>
            </w:pPr>
            <w:r>
              <w:rPr>
                <w:spacing w:val="-3"/>
                <w:highlight w:val="none"/>
              </w:rPr>
              <w:t>金额</w:t>
            </w:r>
          </w:p>
          <w:p w14:paraId="0F2C3442">
            <w:pPr>
              <w:pStyle w:val="6"/>
              <w:spacing w:before="171" w:line="220" w:lineRule="auto"/>
              <w:ind w:left="234"/>
              <w:rPr>
                <w:highlight w:val="none"/>
              </w:rPr>
            </w:pPr>
            <w:r>
              <w:rPr>
                <w:spacing w:val="11"/>
                <w:highlight w:val="none"/>
              </w:rPr>
              <w:t>(万元)</w:t>
            </w:r>
          </w:p>
        </w:tc>
        <w:tc>
          <w:tcPr>
            <w:tcW w:w="1119" w:type="dxa"/>
            <w:vAlign w:val="top"/>
          </w:tcPr>
          <w:p w14:paraId="372E0800">
            <w:pPr>
              <w:pStyle w:val="6"/>
              <w:spacing w:before="94" w:line="220" w:lineRule="auto"/>
              <w:ind w:left="136"/>
              <w:rPr>
                <w:highlight w:val="none"/>
              </w:rPr>
            </w:pPr>
            <w:r>
              <w:rPr>
                <w:spacing w:val="4"/>
                <w:highlight w:val="none"/>
              </w:rPr>
              <w:t>分包合同</w:t>
            </w:r>
          </w:p>
          <w:p w14:paraId="4D2DBF3E">
            <w:pPr>
              <w:pStyle w:val="6"/>
              <w:spacing w:before="149" w:line="219" w:lineRule="auto"/>
              <w:ind w:left="136"/>
              <w:rPr>
                <w:highlight w:val="none"/>
              </w:rPr>
            </w:pPr>
            <w:r>
              <w:rPr>
                <w:spacing w:val="3"/>
                <w:highlight w:val="none"/>
              </w:rPr>
              <w:t>金额占比</w:t>
            </w:r>
          </w:p>
          <w:p w14:paraId="39F73A3A">
            <w:pPr>
              <w:pStyle w:val="6"/>
              <w:spacing w:before="154" w:line="222" w:lineRule="auto"/>
              <w:ind w:left="395"/>
              <w:rPr>
                <w:highlight w:val="none"/>
              </w:rPr>
            </w:pPr>
            <w:r>
              <w:rPr>
                <w:spacing w:val="-11"/>
                <w:highlight w:val="none"/>
              </w:rPr>
              <w:t>(%)</w:t>
            </w:r>
          </w:p>
        </w:tc>
        <w:tc>
          <w:tcPr>
            <w:tcW w:w="1348" w:type="dxa"/>
            <w:vAlign w:val="top"/>
          </w:tcPr>
          <w:p w14:paraId="58990D46">
            <w:pPr>
              <w:pStyle w:val="6"/>
              <w:spacing w:before="93" w:line="319" w:lineRule="auto"/>
              <w:ind w:left="147" w:right="125"/>
              <w:jc w:val="both"/>
              <w:rPr>
                <w:highlight w:val="none"/>
              </w:rPr>
            </w:pPr>
            <w:r>
              <w:rPr>
                <w:spacing w:val="-2"/>
                <w:highlight w:val="none"/>
              </w:rPr>
              <w:t>满足分包工</w:t>
            </w:r>
            <w:r>
              <w:rPr>
                <w:highlight w:val="none"/>
              </w:rPr>
              <w:t xml:space="preserve"> </w:t>
            </w:r>
            <w:r>
              <w:rPr>
                <w:spacing w:val="3"/>
                <w:highlight w:val="none"/>
              </w:rPr>
              <w:t>作的企业资</w:t>
            </w:r>
            <w:r>
              <w:rPr>
                <w:highlight w:val="none"/>
              </w:rPr>
              <w:t xml:space="preserve"> </w:t>
            </w:r>
            <w:r>
              <w:rPr>
                <w:spacing w:val="29"/>
                <w:highlight w:val="none"/>
              </w:rPr>
              <w:t>质(如需)</w:t>
            </w:r>
          </w:p>
        </w:tc>
        <w:tc>
          <w:tcPr>
            <w:tcW w:w="1313" w:type="dxa"/>
            <w:vAlign w:val="top"/>
          </w:tcPr>
          <w:p w14:paraId="0A789A5E">
            <w:pPr>
              <w:spacing w:line="424" w:lineRule="auto"/>
              <w:rPr>
                <w:rFonts w:ascii="Arial"/>
                <w:sz w:val="21"/>
                <w:highlight w:val="none"/>
              </w:rPr>
            </w:pPr>
          </w:p>
          <w:p w14:paraId="326A69D7">
            <w:pPr>
              <w:pStyle w:val="6"/>
              <w:spacing w:before="68" w:line="221" w:lineRule="auto"/>
              <w:ind w:left="429"/>
              <w:rPr>
                <w:highlight w:val="none"/>
              </w:rPr>
            </w:pPr>
            <w:r>
              <w:rPr>
                <w:spacing w:val="5"/>
                <w:highlight w:val="none"/>
              </w:rPr>
              <w:t>备注</w:t>
            </w:r>
          </w:p>
        </w:tc>
      </w:tr>
      <w:tr w14:paraId="7D2E4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544" w:type="dxa"/>
            <w:vAlign w:val="top"/>
          </w:tcPr>
          <w:p w14:paraId="4BE4B1E2">
            <w:pPr>
              <w:rPr>
                <w:rFonts w:ascii="Arial"/>
                <w:sz w:val="21"/>
                <w:highlight w:val="none"/>
              </w:rPr>
            </w:pPr>
          </w:p>
        </w:tc>
        <w:tc>
          <w:tcPr>
            <w:tcW w:w="1498" w:type="dxa"/>
            <w:vAlign w:val="top"/>
          </w:tcPr>
          <w:p w14:paraId="55CE0C87">
            <w:pPr>
              <w:rPr>
                <w:rFonts w:ascii="Arial"/>
                <w:sz w:val="21"/>
                <w:highlight w:val="none"/>
              </w:rPr>
            </w:pPr>
          </w:p>
        </w:tc>
        <w:tc>
          <w:tcPr>
            <w:tcW w:w="1588" w:type="dxa"/>
            <w:vAlign w:val="top"/>
          </w:tcPr>
          <w:p w14:paraId="7F33AE5F">
            <w:pPr>
              <w:rPr>
                <w:rFonts w:ascii="Arial"/>
                <w:sz w:val="21"/>
                <w:highlight w:val="none"/>
              </w:rPr>
            </w:pPr>
          </w:p>
        </w:tc>
        <w:tc>
          <w:tcPr>
            <w:tcW w:w="1109" w:type="dxa"/>
            <w:vAlign w:val="top"/>
          </w:tcPr>
          <w:p w14:paraId="3B07551F">
            <w:pPr>
              <w:rPr>
                <w:rFonts w:ascii="Arial"/>
                <w:sz w:val="21"/>
                <w:highlight w:val="none"/>
              </w:rPr>
            </w:pPr>
          </w:p>
        </w:tc>
        <w:tc>
          <w:tcPr>
            <w:tcW w:w="1119" w:type="dxa"/>
            <w:vAlign w:val="top"/>
          </w:tcPr>
          <w:p w14:paraId="7F0D9FEF">
            <w:pPr>
              <w:rPr>
                <w:rFonts w:ascii="Arial"/>
                <w:sz w:val="21"/>
                <w:highlight w:val="none"/>
              </w:rPr>
            </w:pPr>
          </w:p>
        </w:tc>
        <w:tc>
          <w:tcPr>
            <w:tcW w:w="1348" w:type="dxa"/>
            <w:vAlign w:val="top"/>
          </w:tcPr>
          <w:p w14:paraId="17871235">
            <w:pPr>
              <w:rPr>
                <w:rFonts w:ascii="Arial"/>
                <w:sz w:val="21"/>
                <w:highlight w:val="none"/>
              </w:rPr>
            </w:pPr>
          </w:p>
        </w:tc>
        <w:tc>
          <w:tcPr>
            <w:tcW w:w="1313" w:type="dxa"/>
            <w:vAlign w:val="top"/>
          </w:tcPr>
          <w:p w14:paraId="457AC883">
            <w:pPr>
              <w:rPr>
                <w:rFonts w:ascii="Arial"/>
                <w:sz w:val="21"/>
                <w:highlight w:val="none"/>
              </w:rPr>
            </w:pPr>
          </w:p>
        </w:tc>
      </w:tr>
      <w:tr w14:paraId="6514C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544" w:type="dxa"/>
            <w:vAlign w:val="top"/>
          </w:tcPr>
          <w:p w14:paraId="294A4167">
            <w:pPr>
              <w:rPr>
                <w:rFonts w:ascii="Arial"/>
                <w:sz w:val="21"/>
                <w:highlight w:val="none"/>
              </w:rPr>
            </w:pPr>
          </w:p>
        </w:tc>
        <w:tc>
          <w:tcPr>
            <w:tcW w:w="1498" w:type="dxa"/>
            <w:vAlign w:val="top"/>
          </w:tcPr>
          <w:p w14:paraId="458929E8">
            <w:pPr>
              <w:rPr>
                <w:rFonts w:ascii="Arial"/>
                <w:sz w:val="21"/>
                <w:highlight w:val="none"/>
              </w:rPr>
            </w:pPr>
          </w:p>
        </w:tc>
        <w:tc>
          <w:tcPr>
            <w:tcW w:w="1588" w:type="dxa"/>
            <w:vAlign w:val="top"/>
          </w:tcPr>
          <w:p w14:paraId="56A32C54">
            <w:pPr>
              <w:rPr>
                <w:rFonts w:ascii="Arial"/>
                <w:sz w:val="21"/>
                <w:highlight w:val="none"/>
              </w:rPr>
            </w:pPr>
          </w:p>
        </w:tc>
        <w:tc>
          <w:tcPr>
            <w:tcW w:w="1109" w:type="dxa"/>
            <w:vAlign w:val="top"/>
          </w:tcPr>
          <w:p w14:paraId="2DECF839">
            <w:pPr>
              <w:rPr>
                <w:rFonts w:ascii="Arial"/>
                <w:sz w:val="21"/>
                <w:highlight w:val="none"/>
              </w:rPr>
            </w:pPr>
          </w:p>
        </w:tc>
        <w:tc>
          <w:tcPr>
            <w:tcW w:w="1119" w:type="dxa"/>
            <w:vAlign w:val="top"/>
          </w:tcPr>
          <w:p w14:paraId="29148226">
            <w:pPr>
              <w:rPr>
                <w:rFonts w:ascii="Arial"/>
                <w:sz w:val="21"/>
                <w:highlight w:val="none"/>
              </w:rPr>
            </w:pPr>
          </w:p>
        </w:tc>
        <w:tc>
          <w:tcPr>
            <w:tcW w:w="1348" w:type="dxa"/>
            <w:vAlign w:val="top"/>
          </w:tcPr>
          <w:p w14:paraId="545B8509">
            <w:pPr>
              <w:rPr>
                <w:rFonts w:ascii="Arial"/>
                <w:sz w:val="21"/>
                <w:highlight w:val="none"/>
              </w:rPr>
            </w:pPr>
          </w:p>
        </w:tc>
        <w:tc>
          <w:tcPr>
            <w:tcW w:w="1313" w:type="dxa"/>
            <w:vAlign w:val="top"/>
          </w:tcPr>
          <w:p w14:paraId="092A8BA9">
            <w:pPr>
              <w:rPr>
                <w:rFonts w:ascii="Arial"/>
                <w:sz w:val="21"/>
                <w:highlight w:val="none"/>
              </w:rPr>
            </w:pPr>
          </w:p>
        </w:tc>
      </w:tr>
      <w:tr w14:paraId="46BCD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544" w:type="dxa"/>
            <w:vAlign w:val="top"/>
          </w:tcPr>
          <w:p w14:paraId="51EBC19A">
            <w:pPr>
              <w:rPr>
                <w:rFonts w:ascii="Arial"/>
                <w:sz w:val="21"/>
                <w:highlight w:val="none"/>
              </w:rPr>
            </w:pPr>
          </w:p>
        </w:tc>
        <w:tc>
          <w:tcPr>
            <w:tcW w:w="1498" w:type="dxa"/>
            <w:vAlign w:val="top"/>
          </w:tcPr>
          <w:p w14:paraId="409930A8">
            <w:pPr>
              <w:rPr>
                <w:rFonts w:ascii="Arial"/>
                <w:sz w:val="21"/>
                <w:highlight w:val="none"/>
              </w:rPr>
            </w:pPr>
          </w:p>
        </w:tc>
        <w:tc>
          <w:tcPr>
            <w:tcW w:w="1588" w:type="dxa"/>
            <w:vAlign w:val="top"/>
          </w:tcPr>
          <w:p w14:paraId="3A4FDD32">
            <w:pPr>
              <w:rPr>
                <w:rFonts w:ascii="Arial"/>
                <w:sz w:val="21"/>
                <w:highlight w:val="none"/>
              </w:rPr>
            </w:pPr>
          </w:p>
        </w:tc>
        <w:tc>
          <w:tcPr>
            <w:tcW w:w="1109" w:type="dxa"/>
            <w:vAlign w:val="top"/>
          </w:tcPr>
          <w:p w14:paraId="7B0B6DB9">
            <w:pPr>
              <w:rPr>
                <w:rFonts w:ascii="Arial"/>
                <w:sz w:val="21"/>
                <w:highlight w:val="none"/>
              </w:rPr>
            </w:pPr>
          </w:p>
        </w:tc>
        <w:tc>
          <w:tcPr>
            <w:tcW w:w="1119" w:type="dxa"/>
            <w:vAlign w:val="top"/>
          </w:tcPr>
          <w:p w14:paraId="09525EE9">
            <w:pPr>
              <w:rPr>
                <w:rFonts w:ascii="Arial"/>
                <w:sz w:val="21"/>
                <w:highlight w:val="none"/>
              </w:rPr>
            </w:pPr>
          </w:p>
        </w:tc>
        <w:tc>
          <w:tcPr>
            <w:tcW w:w="1348" w:type="dxa"/>
            <w:vAlign w:val="top"/>
          </w:tcPr>
          <w:p w14:paraId="22BA4A52">
            <w:pPr>
              <w:rPr>
                <w:rFonts w:ascii="Arial"/>
                <w:sz w:val="21"/>
                <w:highlight w:val="none"/>
              </w:rPr>
            </w:pPr>
          </w:p>
        </w:tc>
        <w:tc>
          <w:tcPr>
            <w:tcW w:w="1313" w:type="dxa"/>
            <w:vAlign w:val="top"/>
          </w:tcPr>
          <w:p w14:paraId="29C760CC">
            <w:pPr>
              <w:rPr>
                <w:rFonts w:ascii="Arial"/>
                <w:sz w:val="21"/>
                <w:highlight w:val="none"/>
              </w:rPr>
            </w:pPr>
          </w:p>
        </w:tc>
      </w:tr>
      <w:tr w14:paraId="48944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544" w:type="dxa"/>
            <w:vAlign w:val="top"/>
          </w:tcPr>
          <w:p w14:paraId="21920874">
            <w:pPr>
              <w:rPr>
                <w:rFonts w:ascii="Arial"/>
                <w:sz w:val="21"/>
                <w:highlight w:val="none"/>
              </w:rPr>
            </w:pPr>
          </w:p>
        </w:tc>
        <w:tc>
          <w:tcPr>
            <w:tcW w:w="1498" w:type="dxa"/>
            <w:vAlign w:val="top"/>
          </w:tcPr>
          <w:p w14:paraId="0E05A4CC">
            <w:pPr>
              <w:rPr>
                <w:rFonts w:ascii="Arial"/>
                <w:sz w:val="21"/>
                <w:highlight w:val="none"/>
              </w:rPr>
            </w:pPr>
          </w:p>
        </w:tc>
        <w:tc>
          <w:tcPr>
            <w:tcW w:w="1588" w:type="dxa"/>
            <w:vAlign w:val="top"/>
          </w:tcPr>
          <w:p w14:paraId="6B1E68D4">
            <w:pPr>
              <w:rPr>
                <w:rFonts w:ascii="Arial"/>
                <w:sz w:val="21"/>
                <w:highlight w:val="none"/>
              </w:rPr>
            </w:pPr>
          </w:p>
        </w:tc>
        <w:tc>
          <w:tcPr>
            <w:tcW w:w="1109" w:type="dxa"/>
            <w:vAlign w:val="top"/>
          </w:tcPr>
          <w:p w14:paraId="3CDC2FCB">
            <w:pPr>
              <w:rPr>
                <w:rFonts w:ascii="Arial"/>
                <w:sz w:val="21"/>
                <w:highlight w:val="none"/>
              </w:rPr>
            </w:pPr>
          </w:p>
        </w:tc>
        <w:tc>
          <w:tcPr>
            <w:tcW w:w="1119" w:type="dxa"/>
            <w:vAlign w:val="top"/>
          </w:tcPr>
          <w:p w14:paraId="222F9B61">
            <w:pPr>
              <w:rPr>
                <w:rFonts w:ascii="Arial"/>
                <w:sz w:val="21"/>
                <w:highlight w:val="none"/>
              </w:rPr>
            </w:pPr>
          </w:p>
        </w:tc>
        <w:tc>
          <w:tcPr>
            <w:tcW w:w="1348" w:type="dxa"/>
            <w:vAlign w:val="top"/>
          </w:tcPr>
          <w:p w14:paraId="21398163">
            <w:pPr>
              <w:rPr>
                <w:rFonts w:ascii="Arial"/>
                <w:sz w:val="21"/>
                <w:highlight w:val="none"/>
              </w:rPr>
            </w:pPr>
          </w:p>
        </w:tc>
        <w:tc>
          <w:tcPr>
            <w:tcW w:w="1313" w:type="dxa"/>
            <w:vAlign w:val="top"/>
          </w:tcPr>
          <w:p w14:paraId="3E631DB1">
            <w:pPr>
              <w:rPr>
                <w:rFonts w:ascii="Arial"/>
                <w:sz w:val="21"/>
                <w:highlight w:val="none"/>
              </w:rPr>
            </w:pPr>
          </w:p>
        </w:tc>
      </w:tr>
      <w:tr w14:paraId="27D18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544" w:type="dxa"/>
            <w:vAlign w:val="top"/>
          </w:tcPr>
          <w:p w14:paraId="0461AEBD">
            <w:pPr>
              <w:rPr>
                <w:rFonts w:ascii="Arial"/>
                <w:sz w:val="21"/>
                <w:highlight w:val="none"/>
              </w:rPr>
            </w:pPr>
          </w:p>
        </w:tc>
        <w:tc>
          <w:tcPr>
            <w:tcW w:w="1498" w:type="dxa"/>
            <w:vAlign w:val="top"/>
          </w:tcPr>
          <w:p w14:paraId="51843A1F">
            <w:pPr>
              <w:rPr>
                <w:rFonts w:ascii="Arial"/>
                <w:sz w:val="21"/>
                <w:highlight w:val="none"/>
              </w:rPr>
            </w:pPr>
          </w:p>
        </w:tc>
        <w:tc>
          <w:tcPr>
            <w:tcW w:w="1588" w:type="dxa"/>
            <w:vAlign w:val="top"/>
          </w:tcPr>
          <w:p w14:paraId="5ED0EDE9">
            <w:pPr>
              <w:rPr>
                <w:rFonts w:ascii="Arial"/>
                <w:sz w:val="21"/>
                <w:highlight w:val="none"/>
              </w:rPr>
            </w:pPr>
          </w:p>
        </w:tc>
        <w:tc>
          <w:tcPr>
            <w:tcW w:w="1109" w:type="dxa"/>
            <w:vAlign w:val="top"/>
          </w:tcPr>
          <w:p w14:paraId="1C4A022E">
            <w:pPr>
              <w:rPr>
                <w:rFonts w:ascii="Arial"/>
                <w:sz w:val="21"/>
                <w:highlight w:val="none"/>
              </w:rPr>
            </w:pPr>
          </w:p>
        </w:tc>
        <w:tc>
          <w:tcPr>
            <w:tcW w:w="1119" w:type="dxa"/>
            <w:vAlign w:val="top"/>
          </w:tcPr>
          <w:p w14:paraId="406A95E2">
            <w:pPr>
              <w:rPr>
                <w:rFonts w:ascii="Arial"/>
                <w:sz w:val="21"/>
                <w:highlight w:val="none"/>
              </w:rPr>
            </w:pPr>
          </w:p>
        </w:tc>
        <w:tc>
          <w:tcPr>
            <w:tcW w:w="1348" w:type="dxa"/>
            <w:vAlign w:val="top"/>
          </w:tcPr>
          <w:p w14:paraId="130C569D">
            <w:pPr>
              <w:rPr>
                <w:rFonts w:ascii="Arial"/>
                <w:sz w:val="21"/>
                <w:highlight w:val="none"/>
              </w:rPr>
            </w:pPr>
          </w:p>
        </w:tc>
        <w:tc>
          <w:tcPr>
            <w:tcW w:w="1313" w:type="dxa"/>
            <w:vAlign w:val="top"/>
          </w:tcPr>
          <w:p w14:paraId="0309C404">
            <w:pPr>
              <w:rPr>
                <w:rFonts w:ascii="Arial"/>
                <w:sz w:val="21"/>
                <w:highlight w:val="none"/>
              </w:rPr>
            </w:pPr>
          </w:p>
        </w:tc>
      </w:tr>
      <w:tr w14:paraId="4AC13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544" w:type="dxa"/>
            <w:vAlign w:val="top"/>
          </w:tcPr>
          <w:p w14:paraId="474AD341">
            <w:pPr>
              <w:rPr>
                <w:rFonts w:ascii="Arial"/>
                <w:sz w:val="21"/>
                <w:highlight w:val="none"/>
              </w:rPr>
            </w:pPr>
          </w:p>
        </w:tc>
        <w:tc>
          <w:tcPr>
            <w:tcW w:w="3086" w:type="dxa"/>
            <w:gridSpan w:val="2"/>
            <w:vAlign w:val="top"/>
          </w:tcPr>
          <w:p w14:paraId="5965E04C">
            <w:pPr>
              <w:pStyle w:val="6"/>
              <w:spacing w:before="127" w:line="221" w:lineRule="auto"/>
              <w:ind w:left="1320"/>
              <w:rPr>
                <w:highlight w:val="none"/>
              </w:rPr>
            </w:pPr>
            <w:r>
              <w:rPr>
                <w:spacing w:val="-3"/>
                <w:highlight w:val="none"/>
              </w:rPr>
              <w:t>合计</w:t>
            </w:r>
          </w:p>
        </w:tc>
        <w:tc>
          <w:tcPr>
            <w:tcW w:w="1109" w:type="dxa"/>
            <w:vAlign w:val="top"/>
          </w:tcPr>
          <w:p w14:paraId="5ADBB684">
            <w:pPr>
              <w:rPr>
                <w:rFonts w:ascii="Arial"/>
                <w:sz w:val="21"/>
                <w:highlight w:val="none"/>
              </w:rPr>
            </w:pPr>
          </w:p>
        </w:tc>
        <w:tc>
          <w:tcPr>
            <w:tcW w:w="1119" w:type="dxa"/>
            <w:vAlign w:val="top"/>
          </w:tcPr>
          <w:p w14:paraId="45B90F54">
            <w:pPr>
              <w:rPr>
                <w:rFonts w:ascii="Arial"/>
                <w:sz w:val="21"/>
                <w:highlight w:val="none"/>
              </w:rPr>
            </w:pPr>
          </w:p>
        </w:tc>
        <w:tc>
          <w:tcPr>
            <w:tcW w:w="1348" w:type="dxa"/>
            <w:vAlign w:val="top"/>
          </w:tcPr>
          <w:p w14:paraId="3A84ACFA">
            <w:pPr>
              <w:rPr>
                <w:rFonts w:ascii="Arial"/>
                <w:sz w:val="21"/>
                <w:highlight w:val="none"/>
              </w:rPr>
            </w:pPr>
          </w:p>
        </w:tc>
        <w:tc>
          <w:tcPr>
            <w:tcW w:w="1313" w:type="dxa"/>
            <w:vAlign w:val="top"/>
          </w:tcPr>
          <w:p w14:paraId="34F0808D">
            <w:pPr>
              <w:rPr>
                <w:rFonts w:ascii="Arial"/>
                <w:sz w:val="21"/>
                <w:highlight w:val="none"/>
              </w:rPr>
            </w:pPr>
          </w:p>
        </w:tc>
      </w:tr>
      <w:tr w14:paraId="3F207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544" w:type="dxa"/>
            <w:vAlign w:val="top"/>
          </w:tcPr>
          <w:p w14:paraId="6CEA9681">
            <w:pPr>
              <w:rPr>
                <w:rFonts w:ascii="Arial"/>
                <w:sz w:val="21"/>
                <w:highlight w:val="none"/>
              </w:rPr>
            </w:pPr>
          </w:p>
        </w:tc>
        <w:tc>
          <w:tcPr>
            <w:tcW w:w="3086" w:type="dxa"/>
            <w:gridSpan w:val="2"/>
            <w:vAlign w:val="top"/>
          </w:tcPr>
          <w:p w14:paraId="32C26BE0">
            <w:pPr>
              <w:pStyle w:val="6"/>
              <w:spacing w:before="126" w:line="219" w:lineRule="auto"/>
              <w:ind w:left="480"/>
              <w:rPr>
                <w:highlight w:val="none"/>
              </w:rPr>
            </w:pPr>
            <w:r>
              <w:rPr>
                <w:spacing w:val="4"/>
                <w:highlight w:val="none"/>
              </w:rPr>
              <w:t>本项目合同金额(万元)</w:t>
            </w:r>
          </w:p>
        </w:tc>
        <w:tc>
          <w:tcPr>
            <w:tcW w:w="2228" w:type="dxa"/>
            <w:gridSpan w:val="2"/>
            <w:vAlign w:val="top"/>
          </w:tcPr>
          <w:p w14:paraId="137BC7BC">
            <w:pPr>
              <w:rPr>
                <w:rFonts w:ascii="Arial"/>
                <w:sz w:val="21"/>
                <w:highlight w:val="none"/>
              </w:rPr>
            </w:pPr>
          </w:p>
        </w:tc>
        <w:tc>
          <w:tcPr>
            <w:tcW w:w="2661" w:type="dxa"/>
            <w:gridSpan w:val="2"/>
            <w:vAlign w:val="top"/>
          </w:tcPr>
          <w:p w14:paraId="640C8894">
            <w:pPr>
              <w:rPr>
                <w:rFonts w:ascii="Arial"/>
                <w:sz w:val="21"/>
                <w:highlight w:val="none"/>
              </w:rPr>
            </w:pPr>
          </w:p>
        </w:tc>
      </w:tr>
    </w:tbl>
    <w:p w14:paraId="7DAA2926">
      <w:pPr>
        <w:spacing w:before="134" w:line="338" w:lineRule="auto"/>
        <w:ind w:left="94" w:right="105" w:firstLine="4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5.</w:t>
      </w:r>
      <w:r>
        <w:rPr>
          <w:rFonts w:ascii="Times New Roman" w:hAnsi="Times New Roman" w:eastAsia="Times New Roman" w:cs="Times New Roman"/>
          <w:spacing w:val="18"/>
          <w:sz w:val="22"/>
          <w:szCs w:val="22"/>
          <w:highlight w:val="none"/>
        </w:rPr>
        <w:t xml:space="preserve">  </w:t>
      </w:r>
      <w:r>
        <w:rPr>
          <w:rFonts w:ascii="宋体" w:hAnsi="宋体" w:eastAsia="宋体" w:cs="宋体"/>
          <w:spacing w:val="9"/>
          <w:sz w:val="22"/>
          <w:szCs w:val="22"/>
          <w:highlight w:val="none"/>
        </w:rPr>
        <w:t>本协议中接受分包合同的中小(小微)企业(乙</w:t>
      </w:r>
      <w:r>
        <w:rPr>
          <w:rFonts w:ascii="宋体" w:hAnsi="宋体" w:eastAsia="宋体" w:cs="宋体"/>
          <w:spacing w:val="8"/>
          <w:sz w:val="22"/>
          <w:szCs w:val="22"/>
          <w:highlight w:val="none"/>
        </w:rPr>
        <w:t>方)与分包企业(甲方)之间不存</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在直接控股、管理关系。</w:t>
      </w:r>
    </w:p>
    <w:p w14:paraId="186AE5D9">
      <w:pPr>
        <w:spacing w:line="338" w:lineRule="auto"/>
        <w:rPr>
          <w:rFonts w:ascii="宋体" w:hAnsi="宋体" w:eastAsia="宋体" w:cs="宋体"/>
          <w:sz w:val="22"/>
          <w:szCs w:val="22"/>
          <w:highlight w:val="none"/>
        </w:rPr>
        <w:sectPr>
          <w:footerReference r:id="rId249" w:type="default"/>
          <w:pgSz w:w="11910" w:h="16840"/>
          <w:pgMar w:top="400" w:right="1705" w:bottom="1176" w:left="1675" w:header="0" w:footer="1026" w:gutter="0"/>
          <w:cols w:space="720" w:num="1"/>
        </w:sectPr>
      </w:pPr>
    </w:p>
    <w:p w14:paraId="052637F2">
      <w:pPr>
        <w:pStyle w:val="2"/>
        <w:spacing w:line="269" w:lineRule="auto"/>
        <w:rPr>
          <w:highlight w:val="none"/>
        </w:rPr>
      </w:pPr>
    </w:p>
    <w:p w14:paraId="09167EB0">
      <w:pPr>
        <w:pStyle w:val="2"/>
        <w:spacing w:line="270" w:lineRule="auto"/>
        <w:rPr>
          <w:highlight w:val="none"/>
        </w:rPr>
      </w:pPr>
    </w:p>
    <w:p w14:paraId="2775A66D">
      <w:pPr>
        <w:pStyle w:val="2"/>
        <w:spacing w:line="270" w:lineRule="auto"/>
        <w:rPr>
          <w:highlight w:val="none"/>
        </w:rPr>
      </w:pPr>
    </w:p>
    <w:p w14:paraId="562E3B33">
      <w:pPr>
        <w:pStyle w:val="2"/>
        <w:spacing w:line="270" w:lineRule="auto"/>
        <w:rPr>
          <w:highlight w:val="none"/>
        </w:rPr>
      </w:pPr>
    </w:p>
    <w:p w14:paraId="1A4DA530">
      <w:pPr>
        <w:spacing w:before="72" w:line="219" w:lineRule="auto"/>
        <w:ind w:left="41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6.</w:t>
      </w:r>
      <w:r>
        <w:rPr>
          <w:rFonts w:ascii="Times New Roman" w:hAnsi="Times New Roman" w:eastAsia="Times New Roman" w:cs="Times New Roman"/>
          <w:spacing w:val="22"/>
          <w:sz w:val="22"/>
          <w:szCs w:val="22"/>
          <w:highlight w:val="none"/>
        </w:rPr>
        <w:t xml:space="preserve">  </w:t>
      </w:r>
      <w:r>
        <w:rPr>
          <w:rFonts w:ascii="宋体" w:hAnsi="宋体" w:eastAsia="宋体" w:cs="宋体"/>
          <w:spacing w:val="-9"/>
          <w:sz w:val="22"/>
          <w:szCs w:val="22"/>
          <w:highlight w:val="none"/>
        </w:rPr>
        <w:t>中标后，本协议是合同的组成部分，对</w:t>
      </w:r>
      <w:r>
        <w:rPr>
          <w:rFonts w:ascii="宋体" w:hAnsi="宋体" w:eastAsia="宋体" w:cs="宋体"/>
          <w:spacing w:val="-10"/>
          <w:sz w:val="22"/>
          <w:szCs w:val="22"/>
          <w:highlight w:val="none"/>
        </w:rPr>
        <w:t>甲乙双方有合同约束力。</w:t>
      </w:r>
    </w:p>
    <w:p w14:paraId="69918973">
      <w:pPr>
        <w:spacing w:before="129" w:line="298" w:lineRule="auto"/>
        <w:ind w:left="410" w:right="959"/>
        <w:rPr>
          <w:rFonts w:ascii="宋体" w:hAnsi="宋体" w:eastAsia="宋体" w:cs="宋体"/>
          <w:sz w:val="21"/>
          <w:szCs w:val="21"/>
          <w:highlight w:val="none"/>
        </w:rPr>
      </w:pPr>
      <w:r>
        <w:rPr>
          <w:rFonts w:ascii="Times New Roman" w:hAnsi="Times New Roman" w:eastAsia="Times New Roman" w:cs="Times New Roman"/>
          <w:sz w:val="21"/>
          <w:szCs w:val="21"/>
          <w:highlight w:val="none"/>
        </w:rPr>
        <w:t>7.</w:t>
      </w:r>
      <w:r>
        <w:rPr>
          <w:rFonts w:ascii="Times New Roman" w:hAnsi="Times New Roman" w:eastAsia="Times New Roman" w:cs="Times New Roman"/>
          <w:spacing w:val="25"/>
          <w:w w:val="101"/>
          <w:sz w:val="21"/>
          <w:szCs w:val="21"/>
          <w:highlight w:val="none"/>
        </w:rPr>
        <w:t xml:space="preserve">  </w:t>
      </w:r>
      <w:r>
        <w:rPr>
          <w:rFonts w:ascii="宋体" w:hAnsi="宋体" w:eastAsia="宋体" w:cs="宋体"/>
          <w:sz w:val="21"/>
          <w:szCs w:val="21"/>
          <w:highlight w:val="none"/>
        </w:rPr>
        <w:t xml:space="preserve">本协议书自签署之日起生效，未中标或者中标合同履行完毕后自动失效。 </w:t>
      </w:r>
      <w:r>
        <w:rPr>
          <w:rFonts w:ascii="Times New Roman" w:hAnsi="Times New Roman" w:eastAsia="Times New Roman" w:cs="Times New Roman"/>
          <w:spacing w:val="-4"/>
          <w:sz w:val="21"/>
          <w:szCs w:val="21"/>
          <w:highlight w:val="none"/>
        </w:rPr>
        <w:t xml:space="preserve">8.   </w:t>
      </w:r>
      <w:r>
        <w:rPr>
          <w:rFonts w:ascii="宋体" w:hAnsi="宋体" w:eastAsia="宋体" w:cs="宋体"/>
          <w:spacing w:val="-4"/>
          <w:sz w:val="21"/>
          <w:szCs w:val="21"/>
          <w:highlight w:val="none"/>
        </w:rPr>
        <w:t>本协议书一式</w:t>
      </w:r>
      <w:r>
        <w:rPr>
          <w:rFonts w:ascii="宋体" w:hAnsi="宋体" w:eastAsia="宋体" w:cs="宋体"/>
          <w:spacing w:val="-90"/>
          <w:sz w:val="21"/>
          <w:szCs w:val="21"/>
          <w:highlight w:val="none"/>
        </w:rPr>
        <w:t xml:space="preserve"> </w:t>
      </w:r>
      <w:r>
        <w:rPr>
          <w:rFonts w:ascii="宋体" w:hAnsi="宋体" w:eastAsia="宋体" w:cs="宋体"/>
          <w:spacing w:val="-4"/>
          <w:sz w:val="21"/>
          <w:szCs w:val="21"/>
          <w:highlight w:val="none"/>
          <w:u w:val="single" w:color="auto"/>
        </w:rPr>
        <w:t xml:space="preserve">       </w:t>
      </w:r>
      <w:r>
        <w:rPr>
          <w:rFonts w:ascii="宋体" w:hAnsi="宋体" w:eastAsia="宋体" w:cs="宋体"/>
          <w:spacing w:val="-4"/>
          <w:sz w:val="21"/>
          <w:szCs w:val="21"/>
          <w:highlight w:val="none"/>
        </w:rPr>
        <w:t>份，甲方和乙方各执一份。</w:t>
      </w:r>
    </w:p>
    <w:p w14:paraId="7E0553CE">
      <w:pPr>
        <w:spacing w:before="47"/>
        <w:rPr>
          <w:highlight w:val="none"/>
        </w:rPr>
      </w:pPr>
    </w:p>
    <w:p w14:paraId="18CE876A">
      <w:pPr>
        <w:spacing w:before="47"/>
        <w:rPr>
          <w:highlight w:val="none"/>
        </w:rPr>
      </w:pPr>
    </w:p>
    <w:p w14:paraId="157132A7">
      <w:pPr>
        <w:spacing w:before="47"/>
        <w:rPr>
          <w:highlight w:val="none"/>
        </w:rPr>
      </w:pPr>
    </w:p>
    <w:p w14:paraId="0782902B">
      <w:pPr>
        <w:rPr>
          <w:highlight w:val="none"/>
        </w:rPr>
        <w:sectPr>
          <w:footerReference r:id="rId250" w:type="default"/>
          <w:pgSz w:w="11910" w:h="16840"/>
          <w:pgMar w:top="400" w:right="1725" w:bottom="1238" w:left="1779" w:header="0" w:footer="1006" w:gutter="0"/>
          <w:cols w:equalWidth="0" w:num="1">
            <w:col w:w="8406"/>
          </w:cols>
        </w:sectPr>
      </w:pPr>
    </w:p>
    <w:p w14:paraId="2504A131">
      <w:pPr>
        <w:spacing w:before="45" w:line="223" w:lineRule="auto"/>
        <w:ind w:left="410"/>
        <w:rPr>
          <w:rFonts w:ascii="宋体" w:hAnsi="宋体" w:eastAsia="宋体" w:cs="宋体"/>
          <w:sz w:val="20"/>
          <w:szCs w:val="20"/>
          <w:highlight w:val="none"/>
        </w:rPr>
      </w:pPr>
      <w:r>
        <w:rPr>
          <w:rFonts w:ascii="宋体" w:hAnsi="宋体" w:eastAsia="宋体" w:cs="宋体"/>
          <w:spacing w:val="-6"/>
          <w:position w:val="-1"/>
          <w:sz w:val="22"/>
          <w:szCs w:val="22"/>
          <w:highlight w:val="none"/>
        </w:rPr>
        <w:t>甲</w:t>
      </w:r>
      <w:r>
        <w:rPr>
          <w:rFonts w:ascii="宋体" w:hAnsi="宋体" w:eastAsia="宋体" w:cs="宋体"/>
          <w:spacing w:val="97"/>
          <w:position w:val="-1"/>
          <w:sz w:val="22"/>
          <w:szCs w:val="22"/>
          <w:highlight w:val="none"/>
        </w:rPr>
        <w:t xml:space="preserve"> </w:t>
      </w:r>
      <w:r>
        <w:rPr>
          <w:rFonts w:ascii="宋体" w:hAnsi="宋体" w:eastAsia="宋体" w:cs="宋体"/>
          <w:spacing w:val="-6"/>
          <w:position w:val="-1"/>
          <w:sz w:val="22"/>
          <w:szCs w:val="22"/>
          <w:highlight w:val="none"/>
        </w:rPr>
        <w:t>方 ：</w:t>
      </w:r>
      <w:r>
        <w:rPr>
          <w:rFonts w:ascii="宋体" w:hAnsi="宋体" w:eastAsia="宋体" w:cs="宋体"/>
          <w:spacing w:val="-6"/>
          <w:position w:val="-1"/>
          <w:sz w:val="22"/>
          <w:szCs w:val="22"/>
          <w:highlight w:val="none"/>
          <w:u w:val="single" w:color="auto"/>
        </w:rPr>
        <w:t xml:space="preserve">                 </w:t>
      </w:r>
      <w:r>
        <w:rPr>
          <w:rFonts w:ascii="宋体" w:hAnsi="宋体" w:eastAsia="宋体" w:cs="宋体"/>
          <w:spacing w:val="-50"/>
          <w:position w:val="-1"/>
          <w:sz w:val="22"/>
          <w:szCs w:val="22"/>
          <w:highlight w:val="none"/>
        </w:rPr>
        <w:t xml:space="preserve"> </w:t>
      </w:r>
      <w:r>
        <w:rPr>
          <w:rFonts w:ascii="宋体" w:hAnsi="宋体" w:eastAsia="宋体" w:cs="宋体"/>
          <w:spacing w:val="-6"/>
          <w:sz w:val="20"/>
          <w:szCs w:val="20"/>
          <w:highlight w:val="none"/>
        </w:rPr>
        <w:t>(盖单</w:t>
      </w:r>
      <w:r>
        <w:rPr>
          <w:rFonts w:ascii="宋体" w:hAnsi="宋体" w:eastAsia="宋体" w:cs="宋体"/>
          <w:spacing w:val="-7"/>
          <w:sz w:val="20"/>
          <w:szCs w:val="20"/>
          <w:highlight w:val="none"/>
        </w:rPr>
        <w:t>位章)</w:t>
      </w:r>
    </w:p>
    <w:p w14:paraId="752D2C4D">
      <w:pPr>
        <w:pStyle w:val="2"/>
        <w:spacing w:line="456" w:lineRule="auto"/>
        <w:rPr>
          <w:highlight w:val="none"/>
        </w:rPr>
      </w:pPr>
    </w:p>
    <w:p w14:paraId="6677835B">
      <w:pPr>
        <w:spacing w:before="65" w:line="229" w:lineRule="auto"/>
        <w:ind w:left="410"/>
        <w:rPr>
          <w:rFonts w:ascii="宋体" w:hAnsi="宋体" w:eastAsia="宋体" w:cs="宋体"/>
          <w:sz w:val="20"/>
          <w:szCs w:val="20"/>
          <w:highlight w:val="none"/>
        </w:rPr>
      </w:pPr>
      <w:r>
        <w:rPr>
          <w:rFonts w:ascii="宋体" w:hAnsi="宋体" w:eastAsia="宋体" w:cs="宋体"/>
          <w:spacing w:val="2"/>
          <w:sz w:val="20"/>
          <w:szCs w:val="20"/>
          <w:highlight w:val="none"/>
        </w:rPr>
        <w:t>法定代表人或其委托人：</w:t>
      </w:r>
      <w:r>
        <w:rPr>
          <w:rFonts w:ascii="宋体" w:hAnsi="宋体" w:eastAsia="宋体" w:cs="宋体"/>
          <w:spacing w:val="7"/>
          <w:sz w:val="20"/>
          <w:szCs w:val="20"/>
          <w:highlight w:val="none"/>
          <w:u w:val="single" w:color="auto"/>
        </w:rPr>
        <w:t xml:space="preserve">        </w:t>
      </w:r>
      <w:r>
        <w:rPr>
          <w:rFonts w:ascii="宋体" w:hAnsi="宋体" w:eastAsia="宋体" w:cs="宋体"/>
          <w:spacing w:val="-44"/>
          <w:sz w:val="20"/>
          <w:szCs w:val="20"/>
          <w:highlight w:val="none"/>
        </w:rPr>
        <w:t xml:space="preserve"> </w:t>
      </w:r>
      <w:r>
        <w:rPr>
          <w:rFonts w:ascii="宋体" w:hAnsi="宋体" w:eastAsia="宋体" w:cs="宋体"/>
          <w:spacing w:val="2"/>
          <w:position w:val="1"/>
          <w:sz w:val="20"/>
          <w:szCs w:val="20"/>
          <w:highlight w:val="none"/>
        </w:rPr>
        <w:t>(签字)</w:t>
      </w:r>
    </w:p>
    <w:p w14:paraId="439097CB">
      <w:pPr>
        <w:spacing w:line="20" w:lineRule="exact"/>
        <w:rPr>
          <w:highlight w:val="none"/>
        </w:rPr>
      </w:pPr>
    </w:p>
    <w:p w14:paraId="48E726A9">
      <w:pPr>
        <w:pStyle w:val="2"/>
        <w:spacing w:line="14" w:lineRule="auto"/>
        <w:rPr>
          <w:sz w:val="2"/>
          <w:highlight w:val="none"/>
        </w:rPr>
      </w:pPr>
      <w:r>
        <w:rPr>
          <w:sz w:val="2"/>
          <w:szCs w:val="2"/>
          <w:highlight w:val="none"/>
        </w:rPr>
        <w:br w:type="column"/>
      </w:r>
    </w:p>
    <w:p w14:paraId="5B297769">
      <w:pPr>
        <w:spacing w:before="45" w:line="224" w:lineRule="auto"/>
        <w:ind w:left="20"/>
        <w:rPr>
          <w:rFonts w:ascii="宋体" w:hAnsi="宋体" w:eastAsia="宋体" w:cs="宋体"/>
          <w:sz w:val="22"/>
          <w:szCs w:val="22"/>
          <w:highlight w:val="none"/>
        </w:rPr>
      </w:pPr>
      <w:r>
        <w:rPr>
          <w:rFonts w:ascii="仿宋" w:hAnsi="仿宋" w:eastAsia="仿宋" w:cs="仿宋"/>
          <w:spacing w:val="-14"/>
          <w:sz w:val="21"/>
          <w:szCs w:val="21"/>
          <w:highlight w:val="none"/>
        </w:rPr>
        <w:t xml:space="preserve">乙  </w:t>
      </w:r>
      <w:r>
        <w:rPr>
          <w:rFonts w:ascii="宋体" w:hAnsi="宋体" w:eastAsia="宋体" w:cs="宋体"/>
          <w:spacing w:val="-14"/>
          <w:sz w:val="21"/>
          <w:szCs w:val="21"/>
          <w:highlight w:val="none"/>
        </w:rPr>
        <w:t>方</w:t>
      </w:r>
      <w:r>
        <w:rPr>
          <w:rFonts w:ascii="宋体" w:hAnsi="宋体" w:eastAsia="宋体" w:cs="宋体"/>
          <w:spacing w:val="26"/>
          <w:sz w:val="21"/>
          <w:szCs w:val="21"/>
          <w:highlight w:val="none"/>
        </w:rPr>
        <w:t xml:space="preserve"> </w:t>
      </w:r>
      <w:r>
        <w:rPr>
          <w:rFonts w:ascii="宋体" w:hAnsi="宋体" w:eastAsia="宋体" w:cs="宋体"/>
          <w:spacing w:val="-14"/>
          <w:sz w:val="21"/>
          <w:szCs w:val="21"/>
          <w:highlight w:val="none"/>
        </w:rPr>
        <w:t>：</w:t>
      </w:r>
      <w:r>
        <w:rPr>
          <w:rFonts w:ascii="宋体" w:hAnsi="宋体" w:eastAsia="宋体" w:cs="宋体"/>
          <w:spacing w:val="1"/>
          <w:sz w:val="21"/>
          <w:szCs w:val="21"/>
          <w:highlight w:val="none"/>
          <w:u w:val="single" w:color="auto"/>
        </w:rPr>
        <w:t xml:space="preserve">                </w:t>
      </w:r>
      <w:r>
        <w:rPr>
          <w:rFonts w:ascii="宋体" w:hAnsi="宋体" w:eastAsia="宋体" w:cs="宋体"/>
          <w:spacing w:val="-81"/>
          <w:sz w:val="21"/>
          <w:szCs w:val="21"/>
          <w:highlight w:val="none"/>
        </w:rPr>
        <w:t xml:space="preserve"> </w:t>
      </w:r>
      <w:r>
        <w:rPr>
          <w:rFonts w:ascii="宋体" w:hAnsi="宋体" w:eastAsia="宋体" w:cs="宋体"/>
          <w:spacing w:val="-14"/>
          <w:sz w:val="22"/>
          <w:szCs w:val="22"/>
          <w:highlight w:val="none"/>
        </w:rPr>
        <w:t>(盖单位章)</w:t>
      </w:r>
    </w:p>
    <w:p w14:paraId="373EFFCA">
      <w:pPr>
        <w:pStyle w:val="2"/>
        <w:spacing w:line="438" w:lineRule="auto"/>
        <w:rPr>
          <w:highlight w:val="none"/>
        </w:rPr>
      </w:pPr>
    </w:p>
    <w:p w14:paraId="73F44614">
      <w:pPr>
        <w:spacing w:before="72" w:line="228" w:lineRule="auto"/>
        <w:rPr>
          <w:rFonts w:ascii="宋体" w:hAnsi="宋体" w:eastAsia="宋体" w:cs="宋体"/>
          <w:sz w:val="22"/>
          <w:szCs w:val="22"/>
          <w:highlight w:val="none"/>
        </w:rPr>
      </w:pPr>
      <w:r>
        <w:rPr>
          <w:rFonts w:ascii="宋体" w:hAnsi="宋体" w:eastAsia="宋体" w:cs="宋体"/>
          <w:spacing w:val="-17"/>
          <w:sz w:val="22"/>
          <w:szCs w:val="22"/>
          <w:highlight w:val="none"/>
        </w:rPr>
        <w:t>法定代表人或其委托人：</w:t>
      </w:r>
      <w:r>
        <w:rPr>
          <w:rFonts w:ascii="宋体" w:hAnsi="宋体" w:eastAsia="宋体" w:cs="宋体"/>
          <w:spacing w:val="18"/>
          <w:sz w:val="22"/>
          <w:szCs w:val="22"/>
          <w:highlight w:val="none"/>
          <w:u w:val="single" w:color="auto"/>
        </w:rPr>
        <w:t xml:space="preserve">      </w:t>
      </w:r>
      <w:r>
        <w:rPr>
          <w:rFonts w:ascii="宋体" w:hAnsi="宋体" w:eastAsia="宋体" w:cs="宋体"/>
          <w:spacing w:val="-46"/>
          <w:sz w:val="22"/>
          <w:szCs w:val="22"/>
          <w:highlight w:val="none"/>
        </w:rPr>
        <w:t xml:space="preserve"> </w:t>
      </w:r>
      <w:r>
        <w:rPr>
          <w:rFonts w:ascii="宋体" w:hAnsi="宋体" w:eastAsia="宋体" w:cs="宋体"/>
          <w:spacing w:val="-17"/>
          <w:position w:val="1"/>
          <w:sz w:val="22"/>
          <w:szCs w:val="22"/>
          <w:highlight w:val="none"/>
        </w:rPr>
        <w:t>(签字)</w:t>
      </w:r>
    </w:p>
    <w:p w14:paraId="0F21734A">
      <w:pPr>
        <w:spacing w:line="228" w:lineRule="auto"/>
        <w:rPr>
          <w:rFonts w:ascii="宋体" w:hAnsi="宋体" w:eastAsia="宋体" w:cs="宋体"/>
          <w:sz w:val="22"/>
          <w:szCs w:val="22"/>
          <w:highlight w:val="none"/>
        </w:rPr>
        <w:sectPr>
          <w:type w:val="continuous"/>
          <w:pgSz w:w="11910" w:h="16840"/>
          <w:pgMar w:top="400" w:right="1725" w:bottom="1238" w:left="1779" w:header="0" w:footer="1006" w:gutter="0"/>
          <w:cols w:equalWidth="0" w:num="2">
            <w:col w:w="4591" w:space="100"/>
            <w:col w:w="3715"/>
          </w:cols>
        </w:sectPr>
      </w:pPr>
    </w:p>
    <w:p w14:paraId="26EC3BFD">
      <w:pPr>
        <w:pStyle w:val="2"/>
        <w:spacing w:line="452" w:lineRule="auto"/>
        <w:rPr>
          <w:highlight w:val="none"/>
        </w:rPr>
      </w:pPr>
    </w:p>
    <w:p w14:paraId="27F1B991">
      <w:pPr>
        <w:spacing w:before="69" w:line="220" w:lineRule="auto"/>
        <w:ind w:left="4840"/>
        <w:rPr>
          <w:rFonts w:ascii="宋体" w:hAnsi="宋体" w:eastAsia="宋体" w:cs="宋体"/>
          <w:sz w:val="20"/>
          <w:szCs w:val="20"/>
          <w:highlight w:val="none"/>
        </w:rPr>
      </w:pPr>
      <w:r>
        <w:rPr>
          <w:rFonts w:ascii="宋体" w:hAnsi="宋体" w:eastAsia="宋体" w:cs="宋体"/>
          <w:spacing w:val="-7"/>
          <w:sz w:val="21"/>
          <w:szCs w:val="21"/>
          <w:highlight w:val="none"/>
        </w:rPr>
        <w:t>乙</w:t>
      </w:r>
      <w:r>
        <w:rPr>
          <w:rFonts w:ascii="宋体" w:hAnsi="宋体" w:eastAsia="宋体" w:cs="宋体"/>
          <w:spacing w:val="4"/>
          <w:sz w:val="21"/>
          <w:szCs w:val="21"/>
          <w:highlight w:val="none"/>
        </w:rPr>
        <w:t xml:space="preserve">  </w:t>
      </w:r>
      <w:r>
        <w:rPr>
          <w:rFonts w:ascii="宋体" w:hAnsi="宋体" w:eastAsia="宋体" w:cs="宋体"/>
          <w:spacing w:val="-7"/>
          <w:sz w:val="21"/>
          <w:szCs w:val="21"/>
          <w:highlight w:val="none"/>
        </w:rPr>
        <w:t>方</w:t>
      </w:r>
      <w:r>
        <w:rPr>
          <w:rFonts w:ascii="宋体" w:hAnsi="宋体" w:eastAsia="宋体" w:cs="宋体"/>
          <w:spacing w:val="-52"/>
          <w:sz w:val="21"/>
          <w:szCs w:val="21"/>
          <w:highlight w:val="none"/>
        </w:rPr>
        <w:t xml:space="preserve"> </w:t>
      </w:r>
      <w:r>
        <w:rPr>
          <w:rFonts w:ascii="宋体" w:hAnsi="宋体" w:eastAsia="宋体" w:cs="宋体"/>
          <w:spacing w:val="-7"/>
          <w:sz w:val="21"/>
          <w:szCs w:val="21"/>
          <w:highlight w:val="none"/>
        </w:rPr>
        <w:t>：</w:t>
      </w:r>
      <w:r>
        <w:rPr>
          <w:rFonts w:ascii="宋体" w:hAnsi="宋体" w:eastAsia="宋体" w:cs="宋体"/>
          <w:spacing w:val="-7"/>
          <w:sz w:val="21"/>
          <w:szCs w:val="21"/>
          <w:highlight w:val="none"/>
          <w:u w:val="single" w:color="auto"/>
        </w:rPr>
        <w:t xml:space="preserve">                 </w:t>
      </w:r>
      <w:r>
        <w:rPr>
          <w:rFonts w:ascii="宋体" w:hAnsi="宋体" w:eastAsia="宋体" w:cs="宋体"/>
          <w:spacing w:val="-105"/>
          <w:sz w:val="21"/>
          <w:szCs w:val="21"/>
          <w:highlight w:val="none"/>
        </w:rPr>
        <w:t xml:space="preserve"> </w:t>
      </w:r>
      <w:r>
        <w:rPr>
          <w:rFonts w:ascii="宋体" w:hAnsi="宋体" w:eastAsia="宋体" w:cs="宋体"/>
          <w:spacing w:val="-7"/>
          <w:sz w:val="20"/>
          <w:szCs w:val="20"/>
          <w:highlight w:val="none"/>
        </w:rPr>
        <w:t>(盖单位</w:t>
      </w:r>
      <w:r>
        <w:rPr>
          <w:rFonts w:ascii="宋体" w:hAnsi="宋体" w:eastAsia="宋体" w:cs="宋体"/>
          <w:spacing w:val="-8"/>
          <w:sz w:val="20"/>
          <w:szCs w:val="20"/>
          <w:highlight w:val="none"/>
        </w:rPr>
        <w:t>章)</w:t>
      </w:r>
    </w:p>
    <w:p w14:paraId="068056D7">
      <w:pPr>
        <w:pStyle w:val="2"/>
        <w:spacing w:line="440" w:lineRule="auto"/>
        <w:rPr>
          <w:highlight w:val="none"/>
        </w:rPr>
      </w:pPr>
    </w:p>
    <w:p w14:paraId="07B10251">
      <w:pPr>
        <w:spacing w:before="68" w:line="219" w:lineRule="auto"/>
        <w:ind w:left="4869"/>
        <w:rPr>
          <w:rFonts w:ascii="宋体" w:hAnsi="宋体" w:eastAsia="宋体" w:cs="宋体"/>
          <w:sz w:val="21"/>
          <w:szCs w:val="21"/>
          <w:highlight w:val="none"/>
        </w:rPr>
      </w:pPr>
      <w:r>
        <w:rPr>
          <w:rFonts w:ascii="宋体" w:hAnsi="宋体" w:eastAsia="宋体" w:cs="宋体"/>
          <w:spacing w:val="-12"/>
          <w:sz w:val="21"/>
          <w:szCs w:val="21"/>
          <w:highlight w:val="none"/>
        </w:rPr>
        <w:t>法定代表人或其委托人：</w:t>
      </w:r>
      <w:r>
        <w:rPr>
          <w:rFonts w:ascii="宋体" w:hAnsi="宋体" w:eastAsia="宋体" w:cs="宋体"/>
          <w:spacing w:val="6"/>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12"/>
          <w:sz w:val="21"/>
          <w:szCs w:val="21"/>
          <w:highlight w:val="none"/>
        </w:rPr>
        <w:t>(签字)</w:t>
      </w:r>
    </w:p>
    <w:p w14:paraId="7DDEE24C">
      <w:pPr>
        <w:pStyle w:val="2"/>
        <w:spacing w:line="453" w:lineRule="auto"/>
        <w:rPr>
          <w:highlight w:val="none"/>
        </w:rPr>
      </w:pPr>
    </w:p>
    <w:p w14:paraId="1418ABC5">
      <w:pPr>
        <w:spacing w:before="76" w:line="219" w:lineRule="auto"/>
        <w:ind w:left="5390"/>
        <w:rPr>
          <w:rFonts w:ascii="宋体" w:hAnsi="宋体" w:eastAsia="宋体" w:cs="宋体"/>
          <w:sz w:val="20"/>
          <w:szCs w:val="20"/>
          <w:highlight w:val="none"/>
        </w:rPr>
      </w:pPr>
      <w:r>
        <w:rPr>
          <w:rFonts w:ascii="宋体" w:hAnsi="宋体" w:eastAsia="宋体" w:cs="宋体"/>
          <w:spacing w:val="-31"/>
          <w:sz w:val="23"/>
          <w:szCs w:val="23"/>
          <w:highlight w:val="none"/>
        </w:rPr>
        <w:t>日期：</w:t>
      </w:r>
      <w:r>
        <w:rPr>
          <w:rFonts w:ascii="宋体" w:hAnsi="宋体" w:eastAsia="宋体" w:cs="宋体"/>
          <w:spacing w:val="9"/>
          <w:sz w:val="23"/>
          <w:szCs w:val="23"/>
          <w:highlight w:val="none"/>
          <w:u w:val="single" w:color="auto"/>
        </w:rPr>
        <w:t xml:space="preserve">     </w:t>
      </w:r>
      <w:r>
        <w:rPr>
          <w:rFonts w:ascii="宋体" w:hAnsi="宋体" w:eastAsia="宋体" w:cs="宋体"/>
          <w:spacing w:val="-31"/>
          <w:sz w:val="23"/>
          <w:szCs w:val="23"/>
          <w:highlight w:val="none"/>
        </w:rPr>
        <w:t>年</w:t>
      </w:r>
      <w:r>
        <w:rPr>
          <w:rFonts w:ascii="宋体" w:hAnsi="宋体" w:eastAsia="宋体" w:cs="宋体"/>
          <w:spacing w:val="-103"/>
          <w:sz w:val="23"/>
          <w:szCs w:val="23"/>
          <w:highlight w:val="none"/>
        </w:rPr>
        <w:t xml:space="preserve"> </w:t>
      </w:r>
      <w:r>
        <w:rPr>
          <w:rFonts w:ascii="宋体" w:hAnsi="宋体" w:eastAsia="宋体" w:cs="宋体"/>
          <w:spacing w:val="-31"/>
          <w:sz w:val="23"/>
          <w:szCs w:val="23"/>
          <w:highlight w:val="none"/>
          <w:u w:val="single" w:color="auto"/>
        </w:rPr>
        <w:t xml:space="preserve">     </w:t>
      </w:r>
      <w:r>
        <w:rPr>
          <w:rFonts w:ascii="宋体" w:hAnsi="宋体" w:eastAsia="宋体" w:cs="宋体"/>
          <w:spacing w:val="-31"/>
          <w:sz w:val="20"/>
          <w:szCs w:val="20"/>
          <w:highlight w:val="none"/>
        </w:rPr>
        <w:t>月</w:t>
      </w:r>
      <w:r>
        <w:rPr>
          <w:rFonts w:ascii="宋体" w:hAnsi="宋体" w:eastAsia="宋体" w:cs="宋体"/>
          <w:spacing w:val="8"/>
          <w:sz w:val="20"/>
          <w:szCs w:val="20"/>
          <w:highlight w:val="none"/>
          <w:u w:val="single" w:color="auto"/>
        </w:rPr>
        <w:t xml:space="preserve">    </w:t>
      </w:r>
      <w:r>
        <w:rPr>
          <w:rFonts w:ascii="宋体" w:hAnsi="宋体" w:eastAsia="宋体" w:cs="宋体"/>
          <w:spacing w:val="-31"/>
          <w:sz w:val="20"/>
          <w:szCs w:val="20"/>
          <w:highlight w:val="none"/>
          <w:u w:val="single" w:color="auto"/>
        </w:rPr>
        <w:t>日</w:t>
      </w:r>
    </w:p>
    <w:p w14:paraId="454E2B91">
      <w:pPr>
        <w:pStyle w:val="2"/>
        <w:spacing w:line="441" w:lineRule="auto"/>
        <w:rPr>
          <w:highlight w:val="none"/>
        </w:rPr>
      </w:pPr>
    </w:p>
    <w:p w14:paraId="01A3E3B1">
      <w:pPr>
        <w:spacing w:before="72" w:line="221" w:lineRule="auto"/>
        <w:rPr>
          <w:rFonts w:ascii="宋体" w:hAnsi="宋体" w:eastAsia="宋体" w:cs="宋体"/>
          <w:sz w:val="22"/>
          <w:szCs w:val="22"/>
          <w:highlight w:val="none"/>
        </w:rPr>
      </w:pPr>
      <w:r>
        <w:rPr>
          <w:rFonts w:ascii="宋体" w:hAnsi="宋体" w:eastAsia="宋体" w:cs="宋体"/>
          <w:spacing w:val="-14"/>
          <w:sz w:val="22"/>
          <w:szCs w:val="22"/>
          <w:highlight w:val="none"/>
        </w:rPr>
        <w:t>备注：</w:t>
      </w:r>
    </w:p>
    <w:p w14:paraId="69EBE0A0">
      <w:pPr>
        <w:spacing w:before="154" w:line="285" w:lineRule="auto"/>
        <w:ind w:left="210" w:right="96" w:hanging="21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1. </w:t>
      </w:r>
      <w:r>
        <w:rPr>
          <w:rFonts w:ascii="宋体" w:hAnsi="宋体" w:eastAsia="宋体" w:cs="宋体"/>
          <w:spacing w:val="-2"/>
          <w:sz w:val="21"/>
          <w:szCs w:val="21"/>
          <w:highlight w:val="none"/>
        </w:rPr>
        <w:t>本分包意向协议书适用于政府采购工程，可以分开签署。协议书由委托</w:t>
      </w:r>
      <w:r>
        <w:rPr>
          <w:rFonts w:ascii="宋体" w:hAnsi="宋体" w:eastAsia="宋体" w:cs="宋体"/>
          <w:spacing w:val="-3"/>
          <w:sz w:val="21"/>
          <w:szCs w:val="21"/>
          <w:highlight w:val="none"/>
        </w:rPr>
        <w:t>代理人签字的，应</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附法定代表人签字的授权委托书。</w:t>
      </w:r>
    </w:p>
    <w:p w14:paraId="539FF7D8">
      <w:pPr>
        <w:spacing w:before="143" w:line="281" w:lineRule="auto"/>
        <w:ind w:left="210" w:right="91" w:hanging="210"/>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2.</w:t>
      </w:r>
      <w:r>
        <w:rPr>
          <w:rFonts w:ascii="Times New Roman" w:hAnsi="Times New Roman" w:eastAsia="Times New Roman" w:cs="Times New Roman"/>
          <w:spacing w:val="-22"/>
          <w:sz w:val="22"/>
          <w:szCs w:val="22"/>
          <w:highlight w:val="none"/>
        </w:rPr>
        <w:t xml:space="preserve"> </w:t>
      </w:r>
      <w:r>
        <w:rPr>
          <w:rFonts w:ascii="宋体" w:hAnsi="宋体" w:eastAsia="宋体" w:cs="宋体"/>
          <w:spacing w:val="-6"/>
          <w:sz w:val="22"/>
          <w:szCs w:val="22"/>
          <w:highlight w:val="none"/>
        </w:rPr>
        <w:t>政府采购工程投标人未采用向中小(小微)企业分包的形式参加投标的，投标文件中不需</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分包意向协议书，也无须盖单位章和签字。</w:t>
      </w:r>
    </w:p>
    <w:p w14:paraId="1B50D9E4">
      <w:pPr>
        <w:spacing w:before="150" w:line="318" w:lineRule="auto"/>
        <w:ind w:left="210" w:hanging="21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3.</w:t>
      </w:r>
      <w:r>
        <w:rPr>
          <w:rFonts w:ascii="Times New Roman" w:hAnsi="Times New Roman" w:eastAsia="Times New Roman" w:cs="Times New Roman"/>
          <w:spacing w:val="-10"/>
          <w:sz w:val="21"/>
          <w:szCs w:val="21"/>
          <w:highlight w:val="none"/>
        </w:rPr>
        <w:t xml:space="preserve"> </w:t>
      </w:r>
      <w:r>
        <w:rPr>
          <w:rFonts w:ascii="宋体" w:hAnsi="宋体" w:eastAsia="宋体" w:cs="宋体"/>
          <w:spacing w:val="-2"/>
          <w:sz w:val="21"/>
          <w:szCs w:val="21"/>
          <w:highlight w:val="none"/>
        </w:rPr>
        <w:t>政府采购工程部分预留专门面向中小企业采购的项目，招标人要求大企业向中小企业分包</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的形式参加申请(投标),且接受分包的中小企业承担的部分达到一定比例的，分包意向</w:t>
      </w:r>
      <w:r>
        <w:rPr>
          <w:rFonts w:ascii="宋体" w:hAnsi="宋体" w:eastAsia="宋体" w:cs="宋体"/>
          <w:spacing w:val="1"/>
          <w:sz w:val="21"/>
          <w:szCs w:val="21"/>
          <w:highlight w:val="none"/>
        </w:rPr>
        <w:t xml:space="preserve"> </w:t>
      </w:r>
      <w:r>
        <w:rPr>
          <w:rFonts w:ascii="宋体" w:hAnsi="宋体" w:eastAsia="宋体" w:cs="宋体"/>
          <w:spacing w:val="3"/>
          <w:sz w:val="21"/>
          <w:szCs w:val="21"/>
          <w:highlight w:val="none"/>
        </w:rPr>
        <w:t>协议书应当按照第二章申请(投标)人须知附录二“政府采购工程预留工作及金额”的范</w:t>
      </w:r>
      <w:r>
        <w:rPr>
          <w:rFonts w:ascii="宋体" w:hAnsi="宋体" w:eastAsia="宋体" w:cs="宋体"/>
          <w:spacing w:val="2"/>
          <w:sz w:val="21"/>
          <w:szCs w:val="21"/>
          <w:highlight w:val="none"/>
        </w:rPr>
        <w:t xml:space="preserve">  </w:t>
      </w:r>
      <w:r>
        <w:rPr>
          <w:rFonts w:ascii="宋体" w:hAnsi="宋体" w:eastAsia="宋体" w:cs="宋体"/>
          <w:spacing w:val="-2"/>
          <w:sz w:val="21"/>
          <w:szCs w:val="21"/>
          <w:highlight w:val="none"/>
        </w:rPr>
        <w:t>围，明确接受分包的中小企业承担的合同工作内容、合同金额及合同金额与项目合同金额</w:t>
      </w:r>
      <w:r>
        <w:rPr>
          <w:rFonts w:ascii="宋体" w:hAnsi="宋体" w:eastAsia="宋体" w:cs="宋体"/>
          <w:spacing w:val="5"/>
          <w:sz w:val="21"/>
          <w:szCs w:val="21"/>
          <w:highlight w:val="none"/>
        </w:rPr>
        <w:t xml:space="preserve"> </w:t>
      </w:r>
      <w:r>
        <w:rPr>
          <w:rFonts w:ascii="宋体" w:hAnsi="宋体" w:eastAsia="宋体" w:cs="宋体"/>
          <w:sz w:val="21"/>
          <w:szCs w:val="21"/>
          <w:highlight w:val="none"/>
        </w:rPr>
        <w:t>的占比。同时，声明接受分包的中小企业与分包企业之间是否存在直接控股、管理关系。</w:t>
      </w:r>
    </w:p>
    <w:p w14:paraId="1D6B3F0A">
      <w:pPr>
        <w:tabs>
          <w:tab w:val="left" w:pos="320"/>
        </w:tabs>
        <w:spacing w:before="189" w:line="324" w:lineRule="auto"/>
        <w:ind w:left="210" w:right="86" w:hanging="21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4.</w:t>
      </w:r>
      <w:r>
        <w:rPr>
          <w:rFonts w:ascii="Times New Roman" w:hAnsi="Times New Roman" w:eastAsia="Times New Roman" w:cs="Times New Roman"/>
          <w:spacing w:val="-7"/>
          <w:sz w:val="21"/>
          <w:szCs w:val="21"/>
          <w:highlight w:val="none"/>
        </w:rPr>
        <w:t xml:space="preserve"> </w:t>
      </w:r>
      <w:r>
        <w:rPr>
          <w:rFonts w:ascii="宋体" w:hAnsi="宋体" w:eastAsia="宋体" w:cs="宋体"/>
          <w:spacing w:val="-2"/>
          <w:sz w:val="21"/>
          <w:szCs w:val="21"/>
          <w:highlight w:val="none"/>
        </w:rPr>
        <w:t>政府采购工程未预留份额专门面向中小企业采购的项目，招标人允许大中型企业以向一家</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或者多家小微企业分包的形式参加申请(投标),且接受分包的小微企业承</w:t>
      </w:r>
      <w:r>
        <w:rPr>
          <w:rFonts w:ascii="宋体" w:hAnsi="宋体" w:eastAsia="宋体" w:cs="宋体"/>
          <w:spacing w:val="5"/>
          <w:sz w:val="21"/>
          <w:szCs w:val="21"/>
          <w:highlight w:val="none"/>
        </w:rPr>
        <w:t>担的部分达到</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一定比例可享受价格扣除或增加价格分优惠政策的，分包</w:t>
      </w:r>
      <w:r>
        <w:rPr>
          <w:rFonts w:ascii="宋体" w:hAnsi="宋体" w:eastAsia="宋体" w:cs="宋体"/>
          <w:spacing w:val="-3"/>
          <w:sz w:val="21"/>
          <w:szCs w:val="21"/>
          <w:highlight w:val="none"/>
        </w:rPr>
        <w:t>意向协议书可以参照第二章申请</w:t>
      </w:r>
      <w:r>
        <w:rPr>
          <w:rFonts w:ascii="宋体" w:hAnsi="宋体" w:eastAsia="宋体" w:cs="宋体"/>
          <w:sz w:val="21"/>
          <w:szCs w:val="21"/>
          <w:highlight w:val="none"/>
        </w:rPr>
        <w:t xml:space="preserve"> </w:t>
      </w:r>
      <w:r>
        <w:rPr>
          <w:rFonts w:ascii="宋体" w:hAnsi="宋体" w:eastAsia="宋体" w:cs="宋体"/>
          <w:sz w:val="21"/>
          <w:szCs w:val="21"/>
          <w:highlight w:val="none"/>
        </w:rPr>
        <w:tab/>
      </w:r>
      <w:r>
        <w:rPr>
          <w:rFonts w:ascii="宋体" w:hAnsi="宋体" w:eastAsia="宋体" w:cs="宋体"/>
          <w:sz w:val="21"/>
          <w:szCs w:val="21"/>
          <w:highlight w:val="none"/>
        </w:rPr>
        <w:t>(投标)人须知附录三“政府采购工程适合小微企业承担的工作及金额”的范围，明确接</w:t>
      </w:r>
      <w:r>
        <w:rPr>
          <w:rFonts w:ascii="宋体" w:hAnsi="宋体" w:eastAsia="宋体" w:cs="宋体"/>
          <w:spacing w:val="7"/>
          <w:sz w:val="21"/>
          <w:szCs w:val="21"/>
          <w:highlight w:val="none"/>
        </w:rPr>
        <w:t xml:space="preserve"> </w:t>
      </w:r>
      <w:r>
        <w:rPr>
          <w:rFonts w:ascii="宋体" w:hAnsi="宋体" w:eastAsia="宋体" w:cs="宋体"/>
          <w:spacing w:val="-2"/>
          <w:sz w:val="21"/>
          <w:szCs w:val="21"/>
          <w:highlight w:val="none"/>
        </w:rPr>
        <w:t>受分包的小微企业承担的合同工作内容、合同金额及合同金额与项目合同金额</w:t>
      </w:r>
      <w:r>
        <w:rPr>
          <w:rFonts w:ascii="宋体" w:hAnsi="宋体" w:eastAsia="宋体" w:cs="宋体"/>
          <w:spacing w:val="-3"/>
          <w:sz w:val="21"/>
          <w:szCs w:val="21"/>
          <w:highlight w:val="none"/>
        </w:rPr>
        <w:t>的占比。同</w:t>
      </w:r>
      <w:r>
        <w:rPr>
          <w:rFonts w:ascii="宋体" w:hAnsi="宋体" w:eastAsia="宋体" w:cs="宋体"/>
          <w:sz w:val="21"/>
          <w:szCs w:val="21"/>
          <w:highlight w:val="none"/>
        </w:rPr>
        <w:t xml:space="preserve"> 时，声明接受分包的小微企业与分包企业之间是否存在直接控股</w:t>
      </w:r>
      <w:r>
        <w:rPr>
          <w:rFonts w:ascii="宋体" w:hAnsi="宋体" w:eastAsia="宋体" w:cs="宋体"/>
          <w:spacing w:val="-1"/>
          <w:sz w:val="21"/>
          <w:szCs w:val="21"/>
          <w:highlight w:val="none"/>
        </w:rPr>
        <w:t>、管理关系。</w:t>
      </w:r>
    </w:p>
    <w:p w14:paraId="311BE4BD">
      <w:pPr>
        <w:spacing w:before="189" w:line="264" w:lineRule="auto"/>
        <w:ind w:left="210" w:hanging="210"/>
        <w:rPr>
          <w:rFonts w:ascii="宋体" w:hAnsi="宋体" w:eastAsia="宋体" w:cs="宋体"/>
          <w:sz w:val="21"/>
          <w:szCs w:val="21"/>
          <w:highlight w:val="none"/>
        </w:rPr>
      </w:pPr>
      <w:r>
        <w:rPr>
          <w:rFonts w:ascii="Times New Roman" w:hAnsi="Times New Roman" w:eastAsia="Times New Roman" w:cs="Times New Roman"/>
          <w:spacing w:val="3"/>
          <w:sz w:val="21"/>
          <w:szCs w:val="21"/>
          <w:highlight w:val="none"/>
        </w:rPr>
        <w:t>5.</w:t>
      </w:r>
      <w:r>
        <w:rPr>
          <w:rFonts w:ascii="Times New Roman" w:hAnsi="Times New Roman" w:eastAsia="Times New Roman" w:cs="Times New Roman"/>
          <w:spacing w:val="-7"/>
          <w:sz w:val="21"/>
          <w:szCs w:val="21"/>
          <w:highlight w:val="none"/>
        </w:rPr>
        <w:t xml:space="preserve"> </w:t>
      </w:r>
      <w:r>
        <w:rPr>
          <w:rFonts w:ascii="宋体" w:hAnsi="宋体" w:eastAsia="宋体" w:cs="宋体"/>
          <w:spacing w:val="3"/>
          <w:sz w:val="21"/>
          <w:szCs w:val="21"/>
          <w:highlight w:val="none"/>
        </w:rPr>
        <w:t>分包意向协议书后附接受分包的中小(小微)企业，能够承担分包工作所需的有效的营业</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执照、企业资质证书(如需)、安全生产许可证(如需)、项目负责人资格证件的扫描件。</w:t>
      </w:r>
    </w:p>
    <w:p w14:paraId="4C9C6DCA">
      <w:pPr>
        <w:spacing w:line="264" w:lineRule="auto"/>
        <w:rPr>
          <w:rFonts w:ascii="宋体" w:hAnsi="宋体" w:eastAsia="宋体" w:cs="宋体"/>
          <w:sz w:val="21"/>
          <w:szCs w:val="21"/>
          <w:highlight w:val="none"/>
        </w:rPr>
        <w:sectPr>
          <w:type w:val="continuous"/>
          <w:pgSz w:w="11910" w:h="16840"/>
          <w:pgMar w:top="400" w:right="1725" w:bottom="1238" w:left="1779" w:header="0" w:footer="1006" w:gutter="0"/>
          <w:cols w:equalWidth="0" w:num="1">
            <w:col w:w="8406"/>
          </w:cols>
        </w:sectPr>
      </w:pPr>
    </w:p>
    <w:p w14:paraId="0D92B300">
      <w:pPr>
        <w:pStyle w:val="2"/>
        <w:spacing w:line="267" w:lineRule="auto"/>
        <w:rPr>
          <w:highlight w:val="none"/>
        </w:rPr>
      </w:pPr>
    </w:p>
    <w:p w14:paraId="467605D7">
      <w:pPr>
        <w:pStyle w:val="2"/>
        <w:spacing w:line="267" w:lineRule="auto"/>
        <w:rPr>
          <w:highlight w:val="none"/>
        </w:rPr>
      </w:pPr>
    </w:p>
    <w:p w14:paraId="67005B0B">
      <w:pPr>
        <w:pStyle w:val="2"/>
        <w:spacing w:line="267" w:lineRule="auto"/>
        <w:rPr>
          <w:highlight w:val="none"/>
        </w:rPr>
      </w:pPr>
    </w:p>
    <w:p w14:paraId="1C8CCC19">
      <w:pPr>
        <w:pStyle w:val="2"/>
        <w:spacing w:line="268" w:lineRule="auto"/>
        <w:rPr>
          <w:highlight w:val="none"/>
        </w:rPr>
      </w:pPr>
    </w:p>
    <w:p w14:paraId="1AC8C8EF">
      <w:pPr>
        <w:spacing w:before="104" w:line="221" w:lineRule="auto"/>
        <w:ind w:left="19"/>
        <w:outlineLvl w:val="1"/>
        <w:rPr>
          <w:rFonts w:ascii="黑体" w:hAnsi="黑体" w:eastAsia="黑体" w:cs="黑体"/>
          <w:sz w:val="32"/>
          <w:szCs w:val="32"/>
          <w:highlight w:val="none"/>
        </w:rPr>
      </w:pPr>
      <w:bookmarkStart w:id="250" w:name="bookmark161"/>
      <w:bookmarkEnd w:id="250"/>
      <w:r>
        <w:rPr>
          <w:rFonts w:ascii="黑体" w:hAnsi="黑体" w:eastAsia="黑体" w:cs="黑体"/>
          <w:spacing w:val="3"/>
          <w:sz w:val="32"/>
          <w:szCs w:val="32"/>
          <w:highlight w:val="none"/>
        </w:rPr>
        <w:t>七、中小企业声明函</w:t>
      </w:r>
    </w:p>
    <w:p w14:paraId="304D5124">
      <w:pPr>
        <w:pStyle w:val="2"/>
        <w:spacing w:line="313" w:lineRule="auto"/>
        <w:rPr>
          <w:highlight w:val="none"/>
        </w:rPr>
      </w:pPr>
    </w:p>
    <w:p w14:paraId="48D170AF">
      <w:pPr>
        <w:pStyle w:val="2"/>
        <w:spacing w:line="313" w:lineRule="auto"/>
        <w:rPr>
          <w:highlight w:val="none"/>
        </w:rPr>
      </w:pPr>
    </w:p>
    <w:p w14:paraId="30B5B7C0">
      <w:pPr>
        <w:tabs>
          <w:tab w:val="left" w:pos="2248"/>
        </w:tabs>
        <w:spacing w:before="65" w:line="220" w:lineRule="auto"/>
        <w:rPr>
          <w:rFonts w:ascii="宋体" w:hAnsi="宋体" w:eastAsia="宋体" w:cs="宋体"/>
          <w:sz w:val="20"/>
          <w:szCs w:val="20"/>
          <w:highlight w:val="none"/>
        </w:rPr>
      </w:pPr>
      <w:r>
        <w:rPr>
          <w:rFonts w:ascii="宋体" w:hAnsi="宋体" w:eastAsia="宋体" w:cs="宋体"/>
          <w:sz w:val="20"/>
          <w:szCs w:val="20"/>
          <w:highlight w:val="none"/>
          <w:u w:val="single" w:color="auto"/>
        </w:rPr>
        <w:tab/>
      </w:r>
      <w:r>
        <w:rPr>
          <w:rFonts w:ascii="宋体" w:hAnsi="宋体" w:eastAsia="宋体" w:cs="宋体"/>
          <w:spacing w:val="14"/>
          <w:sz w:val="20"/>
          <w:szCs w:val="20"/>
          <w:highlight w:val="none"/>
        </w:rPr>
        <w:t xml:space="preserve"> </w:t>
      </w:r>
      <w:r>
        <w:rPr>
          <w:rFonts w:ascii="宋体" w:hAnsi="宋体" w:eastAsia="宋体" w:cs="宋体"/>
          <w:spacing w:val="7"/>
          <w:sz w:val="20"/>
          <w:szCs w:val="20"/>
          <w:highlight w:val="none"/>
        </w:rPr>
        <w:t>(招标人名称):</w:t>
      </w:r>
    </w:p>
    <w:p w14:paraId="27DD3FFF">
      <w:pPr>
        <w:spacing w:before="148" w:line="338" w:lineRule="auto"/>
        <w:ind w:left="19" w:firstLine="420"/>
        <w:jc w:val="both"/>
        <w:rPr>
          <w:rFonts w:ascii="宋体" w:hAnsi="宋体" w:eastAsia="宋体" w:cs="宋体"/>
          <w:sz w:val="21"/>
          <w:szCs w:val="21"/>
          <w:highlight w:val="none"/>
        </w:rPr>
      </w:pPr>
      <w:r>
        <w:rPr>
          <w:rFonts w:ascii="宋体" w:hAnsi="宋体" w:eastAsia="宋体" w:cs="宋体"/>
          <w:sz w:val="21"/>
          <w:szCs w:val="21"/>
          <w:highlight w:val="none"/>
        </w:rPr>
        <w:t>本公司(联合体)郑重声明，根据《政府采购促进中小企业发展管理办</w:t>
      </w:r>
      <w:r>
        <w:rPr>
          <w:rFonts w:ascii="宋体" w:hAnsi="宋体" w:eastAsia="宋体" w:cs="宋体"/>
          <w:spacing w:val="-1"/>
          <w:sz w:val="21"/>
          <w:szCs w:val="21"/>
          <w:highlight w:val="none"/>
        </w:rPr>
        <w:t>法》(财库(2020)</w:t>
      </w:r>
      <w:r>
        <w:rPr>
          <w:rFonts w:ascii="宋体" w:hAnsi="宋体" w:eastAsia="宋体" w:cs="宋体"/>
          <w:sz w:val="21"/>
          <w:szCs w:val="21"/>
          <w:highlight w:val="none"/>
        </w:rPr>
        <w:t xml:space="preserve">  46号)的规定，本公司(联合体)参加</w:t>
      </w:r>
      <w:r>
        <w:rPr>
          <w:rFonts w:ascii="宋体" w:hAnsi="宋体" w:eastAsia="宋体" w:cs="宋体"/>
          <w:spacing w:val="-37"/>
          <w:sz w:val="21"/>
          <w:szCs w:val="21"/>
          <w:highlight w:val="none"/>
        </w:rPr>
        <w:t xml:space="preserve"> </w:t>
      </w:r>
      <w:r>
        <w:rPr>
          <w:rFonts w:ascii="宋体" w:hAnsi="宋体" w:eastAsia="宋体" w:cs="宋体"/>
          <w:spacing w:val="2"/>
          <w:sz w:val="21"/>
          <w:szCs w:val="21"/>
          <w:highlight w:val="none"/>
          <w:u w:val="single" w:color="auto"/>
        </w:rPr>
        <w:t xml:space="preserve">       </w:t>
      </w:r>
      <w:r>
        <w:rPr>
          <w:rFonts w:ascii="宋体" w:hAnsi="宋体" w:eastAsia="宋体" w:cs="宋体"/>
          <w:spacing w:val="-84"/>
          <w:sz w:val="21"/>
          <w:szCs w:val="21"/>
          <w:highlight w:val="none"/>
        </w:rPr>
        <w:t xml:space="preserve"> </w:t>
      </w:r>
      <w:r>
        <w:rPr>
          <w:rFonts w:ascii="宋体" w:hAnsi="宋体" w:eastAsia="宋体" w:cs="宋体"/>
          <w:sz w:val="21"/>
          <w:szCs w:val="21"/>
          <w:highlight w:val="none"/>
        </w:rPr>
        <w:t>(招标人名称)的</w:t>
      </w:r>
      <w:r>
        <w:rPr>
          <w:rFonts w:ascii="宋体" w:hAnsi="宋体" w:eastAsia="宋体" w:cs="宋体"/>
          <w:spacing w:val="-101"/>
          <w:sz w:val="21"/>
          <w:szCs w:val="21"/>
          <w:highlight w:val="none"/>
        </w:rPr>
        <w:t xml:space="preserve"> </w:t>
      </w:r>
      <w:r>
        <w:rPr>
          <w:rFonts w:ascii="宋体" w:hAnsi="宋体" w:eastAsia="宋体" w:cs="宋体"/>
          <w:spacing w:val="3"/>
          <w:sz w:val="21"/>
          <w:szCs w:val="21"/>
          <w:highlight w:val="none"/>
          <w:u w:val="single" w:color="auto"/>
        </w:rPr>
        <w:t xml:space="preserve">       </w:t>
      </w:r>
      <w:r>
        <w:rPr>
          <w:rFonts w:ascii="宋体" w:hAnsi="宋体" w:eastAsia="宋体" w:cs="宋体"/>
          <w:spacing w:val="-81"/>
          <w:sz w:val="21"/>
          <w:szCs w:val="21"/>
          <w:highlight w:val="none"/>
        </w:rPr>
        <w:t xml:space="preserve"> </w:t>
      </w:r>
      <w:r>
        <w:rPr>
          <w:rFonts w:ascii="宋体" w:hAnsi="宋体" w:eastAsia="宋体" w:cs="宋体"/>
          <w:sz w:val="21"/>
          <w:szCs w:val="21"/>
          <w:highlight w:val="none"/>
        </w:rPr>
        <w:t>_</w:t>
      </w:r>
      <w:r>
        <w:rPr>
          <w:rFonts w:ascii="宋体" w:hAnsi="宋体" w:eastAsia="宋体" w:cs="宋体"/>
          <w:spacing w:val="-60"/>
          <w:sz w:val="21"/>
          <w:szCs w:val="21"/>
          <w:highlight w:val="none"/>
        </w:rPr>
        <w:t xml:space="preserve"> </w:t>
      </w:r>
      <w:r>
        <w:rPr>
          <w:rFonts w:ascii="宋体" w:hAnsi="宋体" w:eastAsia="宋体" w:cs="宋体"/>
          <w:sz w:val="21"/>
          <w:szCs w:val="21"/>
          <w:highlight w:val="none"/>
        </w:rPr>
        <w:t>(项目名称)</w:t>
      </w:r>
      <w:r>
        <w:rPr>
          <w:rFonts w:ascii="宋体" w:hAnsi="宋体" w:eastAsia="宋体" w:cs="宋体"/>
          <w:sz w:val="21"/>
          <w:szCs w:val="21"/>
          <w:highlight w:val="none"/>
          <w:u w:val="single" w:color="auto"/>
        </w:rPr>
        <w:t xml:space="preserve">     </w:t>
      </w:r>
      <w:r>
        <w:rPr>
          <w:rFonts w:ascii="宋体" w:hAnsi="宋体" w:eastAsia="宋体" w:cs="宋体"/>
          <w:spacing w:val="-85"/>
          <w:sz w:val="21"/>
          <w:szCs w:val="21"/>
          <w:highlight w:val="none"/>
        </w:rPr>
        <w:t xml:space="preserve"> </w:t>
      </w:r>
      <w:r>
        <w:rPr>
          <w:rFonts w:ascii="宋体" w:hAnsi="宋体" w:eastAsia="宋体" w:cs="宋体"/>
          <w:sz w:val="21"/>
          <w:szCs w:val="21"/>
          <w:highlight w:val="none"/>
        </w:rPr>
        <w:t xml:space="preserve">(标 </w:t>
      </w:r>
      <w:r>
        <w:rPr>
          <w:rFonts w:ascii="宋体" w:hAnsi="宋体" w:eastAsia="宋体" w:cs="宋体"/>
          <w:spacing w:val="5"/>
          <w:sz w:val="21"/>
          <w:szCs w:val="21"/>
          <w:highlight w:val="none"/>
        </w:rPr>
        <w:t>段名称)(以下简称本工程)工程总承包招标投标活动，本工程招标</w:t>
      </w:r>
      <w:r>
        <w:rPr>
          <w:rFonts w:ascii="宋体" w:hAnsi="宋体" w:eastAsia="宋体" w:cs="宋体"/>
          <w:spacing w:val="4"/>
          <w:sz w:val="21"/>
          <w:szCs w:val="21"/>
          <w:highlight w:val="none"/>
        </w:rPr>
        <w:t>范围内的</w:t>
      </w:r>
      <w:r>
        <w:rPr>
          <w:rFonts w:ascii="宋体" w:hAnsi="宋体" w:eastAsia="宋体" w:cs="宋体"/>
          <w:spacing w:val="-82"/>
          <w:sz w:val="21"/>
          <w:szCs w:val="21"/>
          <w:highlight w:val="none"/>
        </w:rPr>
        <w:t xml:space="preserve"> </w:t>
      </w:r>
      <w:r>
        <w:rPr>
          <w:rFonts w:ascii="宋体" w:hAnsi="宋体" w:eastAsia="宋体" w:cs="宋体"/>
          <w:spacing w:val="4"/>
          <w:sz w:val="21"/>
          <w:szCs w:val="21"/>
          <w:highlight w:val="none"/>
          <w:u w:val="single" w:color="auto"/>
        </w:rPr>
        <w:t xml:space="preserve">  全 部 / 部</w:t>
      </w:r>
      <w:r>
        <w:rPr>
          <w:rFonts w:ascii="宋体" w:hAnsi="宋体" w:eastAsia="宋体" w:cs="宋体"/>
          <w:sz w:val="21"/>
          <w:szCs w:val="21"/>
          <w:highlight w:val="none"/>
        </w:rPr>
        <w:t xml:space="preserve">  </w:t>
      </w:r>
      <w:r>
        <w:rPr>
          <w:rFonts w:ascii="宋体" w:hAnsi="宋体" w:eastAsia="宋体" w:cs="宋体"/>
          <w:spacing w:val="3"/>
          <w:sz w:val="21"/>
          <w:szCs w:val="21"/>
          <w:highlight w:val="none"/>
          <w:u w:val="single" w:color="auto"/>
        </w:rPr>
        <w:t xml:space="preserve">分   </w:t>
      </w:r>
      <w:r>
        <w:rPr>
          <w:rFonts w:ascii="宋体" w:hAnsi="宋体" w:eastAsia="宋体" w:cs="宋体"/>
          <w:spacing w:val="3"/>
          <w:sz w:val="21"/>
          <w:szCs w:val="21"/>
          <w:highlight w:val="none"/>
        </w:rPr>
        <w:t>内容为符合政策要求的中小企业承建(承接)。相关企业(含联合体中的中小企业、签</w:t>
      </w:r>
      <w:r>
        <w:rPr>
          <w:rFonts w:ascii="宋体" w:hAnsi="宋体" w:eastAsia="宋体" w:cs="宋体"/>
          <w:spacing w:val="12"/>
          <w:sz w:val="21"/>
          <w:szCs w:val="21"/>
          <w:highlight w:val="none"/>
        </w:rPr>
        <w:t xml:space="preserve"> </w:t>
      </w:r>
      <w:r>
        <w:rPr>
          <w:rFonts w:ascii="宋体" w:hAnsi="宋体" w:eastAsia="宋体" w:cs="宋体"/>
          <w:spacing w:val="2"/>
          <w:sz w:val="21"/>
          <w:szCs w:val="21"/>
          <w:highlight w:val="none"/>
        </w:rPr>
        <w:t>订分包意向协议的中小企业)的具体情况如下：</w:t>
      </w:r>
    </w:p>
    <w:p w14:paraId="301DFAAF">
      <w:pPr>
        <w:spacing w:before="27" w:line="298" w:lineRule="auto"/>
        <w:ind w:left="19" w:right="62" w:firstLine="42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1.</w:t>
      </w:r>
      <w:r>
        <w:rPr>
          <w:rFonts w:ascii="Times New Roman" w:hAnsi="Times New Roman" w:eastAsia="Times New Roman" w:cs="Times New Roman"/>
          <w:spacing w:val="36"/>
          <w:sz w:val="22"/>
          <w:szCs w:val="22"/>
          <w:highlight w:val="none"/>
        </w:rPr>
        <w:t xml:space="preserve"> </w:t>
      </w:r>
      <w:r>
        <w:rPr>
          <w:rFonts w:ascii="Times New Roman" w:hAnsi="Times New Roman" w:eastAsia="Times New Roman" w:cs="Times New Roman"/>
          <w:sz w:val="22"/>
          <w:szCs w:val="22"/>
          <w:highlight w:val="none"/>
          <w:u w:val="single" w:color="auto"/>
        </w:rPr>
        <w:t xml:space="preserve">                 </w:t>
      </w:r>
      <w:r>
        <w:rPr>
          <w:rFonts w:ascii="Times New Roman" w:hAnsi="Times New Roman" w:eastAsia="Times New Roman" w:cs="Times New Roman"/>
          <w:spacing w:val="60"/>
          <w:sz w:val="22"/>
          <w:szCs w:val="22"/>
          <w:highlight w:val="none"/>
        </w:rPr>
        <w:t xml:space="preserve"> </w:t>
      </w:r>
      <w:r>
        <w:rPr>
          <w:rFonts w:ascii="宋体" w:hAnsi="宋体" w:eastAsia="宋体" w:cs="宋体"/>
          <w:spacing w:val="3"/>
          <w:sz w:val="22"/>
          <w:szCs w:val="22"/>
          <w:highlight w:val="none"/>
        </w:rPr>
        <w:t>(工作内容名称),属于</w:t>
      </w:r>
      <w:r>
        <w:rPr>
          <w:rFonts w:ascii="宋体" w:hAnsi="宋体" w:eastAsia="宋体" w:cs="宋体"/>
          <w:spacing w:val="3"/>
          <w:sz w:val="22"/>
          <w:szCs w:val="22"/>
          <w:highlight w:val="none"/>
          <w:u w:val="single" w:color="auto"/>
        </w:rPr>
        <w:t xml:space="preserve">            </w:t>
      </w:r>
      <w:r>
        <w:rPr>
          <w:rFonts w:ascii="宋体" w:hAnsi="宋体" w:eastAsia="宋体" w:cs="宋体"/>
          <w:spacing w:val="3"/>
          <w:sz w:val="22"/>
          <w:szCs w:val="22"/>
          <w:highlight w:val="none"/>
        </w:rPr>
        <w:t xml:space="preserve"> </w:t>
      </w:r>
      <w:r>
        <w:rPr>
          <w:rFonts w:ascii="宋体" w:hAnsi="宋体" w:eastAsia="宋体" w:cs="宋体"/>
          <w:spacing w:val="2"/>
          <w:sz w:val="22"/>
          <w:szCs w:val="22"/>
          <w:highlight w:val="none"/>
        </w:rPr>
        <w:t>(招标文件中明确的所属行业);</w:t>
      </w:r>
      <w:r>
        <w:rPr>
          <w:rFonts w:ascii="宋体" w:hAnsi="宋体" w:eastAsia="宋体" w:cs="宋体"/>
          <w:sz w:val="22"/>
          <w:szCs w:val="22"/>
          <w:highlight w:val="none"/>
        </w:rPr>
        <w:t xml:space="preserve"> </w:t>
      </w:r>
      <w:r>
        <w:rPr>
          <w:rFonts w:ascii="宋体" w:hAnsi="宋体" w:eastAsia="宋体" w:cs="宋体"/>
          <w:spacing w:val="-8"/>
          <w:sz w:val="22"/>
          <w:szCs w:val="22"/>
          <w:highlight w:val="none"/>
        </w:rPr>
        <w:t>承建(承接)企业为</w:t>
      </w:r>
      <w:r>
        <w:rPr>
          <w:rFonts w:ascii="宋体" w:hAnsi="宋体" w:eastAsia="宋体" w:cs="宋体"/>
          <w:spacing w:val="-91"/>
          <w:sz w:val="22"/>
          <w:szCs w:val="22"/>
          <w:highlight w:val="none"/>
        </w:rPr>
        <w:t xml:space="preserve"> </w:t>
      </w:r>
      <w:r>
        <w:rPr>
          <w:rFonts w:ascii="宋体" w:hAnsi="宋体" w:eastAsia="宋体" w:cs="宋体"/>
          <w:spacing w:val="3"/>
          <w:sz w:val="22"/>
          <w:szCs w:val="22"/>
          <w:highlight w:val="none"/>
          <w:u w:val="single" w:color="auto"/>
        </w:rPr>
        <w:t xml:space="preserve">             </w:t>
      </w:r>
      <w:r>
        <w:rPr>
          <w:rFonts w:ascii="宋体" w:hAnsi="宋体" w:eastAsia="宋体" w:cs="宋体"/>
          <w:spacing w:val="-69"/>
          <w:sz w:val="22"/>
          <w:szCs w:val="22"/>
          <w:highlight w:val="none"/>
        </w:rPr>
        <w:t xml:space="preserve"> </w:t>
      </w:r>
      <w:r>
        <w:rPr>
          <w:rFonts w:ascii="宋体" w:hAnsi="宋体" w:eastAsia="宋体" w:cs="宋体"/>
          <w:spacing w:val="-8"/>
          <w:sz w:val="22"/>
          <w:szCs w:val="22"/>
          <w:highlight w:val="none"/>
        </w:rPr>
        <w:t>(企业名称),从业人员</w:t>
      </w:r>
      <w:r>
        <w:rPr>
          <w:rFonts w:ascii="宋体" w:hAnsi="宋体" w:eastAsia="宋体" w:cs="宋体"/>
          <w:spacing w:val="9"/>
          <w:sz w:val="22"/>
          <w:szCs w:val="22"/>
          <w:highlight w:val="none"/>
          <w:u w:val="single" w:color="auto"/>
        </w:rPr>
        <w:t xml:space="preserve">    </w:t>
      </w:r>
      <w:r>
        <w:rPr>
          <w:rFonts w:ascii="宋体" w:hAnsi="宋体" w:eastAsia="宋体" w:cs="宋体"/>
          <w:spacing w:val="-27"/>
          <w:sz w:val="22"/>
          <w:szCs w:val="22"/>
          <w:highlight w:val="none"/>
        </w:rPr>
        <w:t xml:space="preserve"> </w:t>
      </w:r>
      <w:r>
        <w:rPr>
          <w:rFonts w:ascii="宋体" w:hAnsi="宋体" w:eastAsia="宋体" w:cs="宋体"/>
          <w:spacing w:val="-8"/>
          <w:sz w:val="22"/>
          <w:szCs w:val="22"/>
          <w:highlight w:val="none"/>
        </w:rPr>
        <w:t>人，营业收入为</w:t>
      </w:r>
      <w:r>
        <w:rPr>
          <w:rFonts w:ascii="宋体" w:hAnsi="宋体" w:eastAsia="宋体" w:cs="宋体"/>
          <w:spacing w:val="-99"/>
          <w:sz w:val="22"/>
          <w:szCs w:val="22"/>
          <w:highlight w:val="none"/>
        </w:rPr>
        <w:t xml:space="preserve"> </w:t>
      </w:r>
      <w:r>
        <w:rPr>
          <w:rFonts w:ascii="宋体" w:hAnsi="宋体" w:eastAsia="宋体" w:cs="宋体"/>
          <w:spacing w:val="10"/>
          <w:sz w:val="22"/>
          <w:szCs w:val="22"/>
          <w:highlight w:val="none"/>
          <w:u w:val="single" w:color="auto"/>
        </w:rPr>
        <w:t xml:space="preserve">       </w:t>
      </w:r>
      <w:r>
        <w:rPr>
          <w:rFonts w:ascii="宋体" w:hAnsi="宋体" w:eastAsia="宋体" w:cs="宋体"/>
          <w:spacing w:val="-90"/>
          <w:sz w:val="22"/>
          <w:szCs w:val="22"/>
          <w:highlight w:val="none"/>
        </w:rPr>
        <w:t xml:space="preserve"> </w:t>
      </w:r>
      <w:r>
        <w:rPr>
          <w:rFonts w:ascii="宋体" w:hAnsi="宋体" w:eastAsia="宋体" w:cs="宋体"/>
          <w:spacing w:val="-8"/>
          <w:sz w:val="22"/>
          <w:szCs w:val="22"/>
          <w:highlight w:val="none"/>
        </w:rPr>
        <w:t>万</w:t>
      </w:r>
      <w:r>
        <w:rPr>
          <w:rFonts w:ascii="宋体" w:hAnsi="宋体" w:eastAsia="宋体" w:cs="宋体"/>
          <w:sz w:val="22"/>
          <w:szCs w:val="22"/>
          <w:highlight w:val="none"/>
        </w:rPr>
        <w:t xml:space="preserve"> </w:t>
      </w:r>
      <w:r>
        <w:rPr>
          <w:rFonts w:ascii="宋体" w:hAnsi="宋体" w:eastAsia="宋体" w:cs="宋体"/>
          <w:spacing w:val="3"/>
          <w:sz w:val="22"/>
          <w:szCs w:val="22"/>
          <w:highlight w:val="none"/>
        </w:rPr>
        <w:t>元，资产总额为</w:t>
      </w:r>
      <w:r>
        <w:rPr>
          <w:rFonts w:ascii="宋体" w:hAnsi="宋体" w:eastAsia="宋体" w:cs="宋体"/>
          <w:spacing w:val="-71"/>
          <w:sz w:val="22"/>
          <w:szCs w:val="22"/>
          <w:highlight w:val="none"/>
        </w:rPr>
        <w:t xml:space="preserve"> </w:t>
      </w:r>
      <w:r>
        <w:rPr>
          <w:rFonts w:ascii="宋体" w:hAnsi="宋体" w:eastAsia="宋体" w:cs="宋体"/>
          <w:spacing w:val="7"/>
          <w:sz w:val="22"/>
          <w:szCs w:val="22"/>
          <w:highlight w:val="none"/>
          <w:u w:val="single" w:color="auto"/>
        </w:rPr>
        <w:t xml:space="preserve">         </w:t>
      </w:r>
      <w:r>
        <w:rPr>
          <w:rFonts w:ascii="宋体" w:hAnsi="宋体" w:eastAsia="宋体" w:cs="宋体"/>
          <w:spacing w:val="-103"/>
          <w:sz w:val="22"/>
          <w:szCs w:val="22"/>
          <w:highlight w:val="none"/>
        </w:rPr>
        <w:t xml:space="preserve"> </w:t>
      </w:r>
      <w:r>
        <w:rPr>
          <w:rFonts w:ascii="宋体" w:hAnsi="宋体" w:eastAsia="宋体" w:cs="宋体"/>
          <w:spacing w:val="3"/>
          <w:sz w:val="22"/>
          <w:szCs w:val="22"/>
          <w:highlight w:val="none"/>
        </w:rPr>
        <w:t>万元，属于</w:t>
      </w:r>
      <w:r>
        <w:rPr>
          <w:rFonts w:ascii="宋体" w:hAnsi="宋体" w:eastAsia="宋体" w:cs="宋体"/>
          <w:spacing w:val="56"/>
          <w:sz w:val="22"/>
          <w:szCs w:val="22"/>
          <w:highlight w:val="none"/>
          <w:u w:val="single" w:color="auto"/>
        </w:rPr>
        <w:t xml:space="preserve"> </w:t>
      </w:r>
      <w:r>
        <w:rPr>
          <w:rFonts w:ascii="宋体" w:hAnsi="宋体" w:eastAsia="宋体" w:cs="宋体"/>
          <w:spacing w:val="3"/>
          <w:sz w:val="22"/>
          <w:szCs w:val="22"/>
          <w:highlight w:val="none"/>
          <w:u w:val="single" w:color="auto"/>
        </w:rPr>
        <w:t>中型企业/小型企业/微型企业</w:t>
      </w:r>
      <w:r>
        <w:rPr>
          <w:rFonts w:ascii="宋体" w:hAnsi="宋体" w:eastAsia="宋体" w:cs="宋体"/>
          <w:spacing w:val="3"/>
          <w:sz w:val="22"/>
          <w:szCs w:val="22"/>
          <w:highlight w:val="none"/>
        </w:rPr>
        <w:t>；</w:t>
      </w:r>
    </w:p>
    <w:p w14:paraId="01D56A8D">
      <w:pPr>
        <w:spacing w:before="124" w:line="298" w:lineRule="auto"/>
        <w:ind w:left="19" w:right="82" w:firstLine="420"/>
        <w:rPr>
          <w:rFonts w:ascii="宋体" w:hAnsi="宋体" w:eastAsia="宋体" w:cs="宋体"/>
          <w:sz w:val="22"/>
          <w:szCs w:val="22"/>
          <w:highlight w:val="none"/>
        </w:rPr>
      </w:pPr>
      <w:r>
        <w:rPr>
          <w:rFonts w:ascii="Times New Roman" w:hAnsi="Times New Roman" w:eastAsia="Times New Roman" w:cs="Times New Roman"/>
          <w:spacing w:val="3"/>
          <w:sz w:val="22"/>
          <w:szCs w:val="22"/>
          <w:highlight w:val="none"/>
        </w:rPr>
        <w:t xml:space="preserve">2. </w:t>
      </w:r>
      <w:r>
        <w:rPr>
          <w:rFonts w:ascii="Times New Roman" w:hAnsi="Times New Roman" w:eastAsia="Times New Roman" w:cs="Times New Roman"/>
          <w:spacing w:val="3"/>
          <w:sz w:val="22"/>
          <w:szCs w:val="22"/>
          <w:highlight w:val="none"/>
          <w:u w:val="single" w:color="auto"/>
        </w:rPr>
        <w:t xml:space="preserve">                 </w:t>
      </w:r>
      <w:r>
        <w:rPr>
          <w:rFonts w:ascii="Times New Roman" w:hAnsi="Times New Roman" w:eastAsia="Times New Roman" w:cs="Times New Roman"/>
          <w:spacing w:val="3"/>
          <w:sz w:val="22"/>
          <w:szCs w:val="22"/>
          <w:highlight w:val="none"/>
        </w:rPr>
        <w:t xml:space="preserve">  </w:t>
      </w:r>
      <w:r>
        <w:rPr>
          <w:rFonts w:ascii="宋体" w:hAnsi="宋体" w:eastAsia="宋体" w:cs="宋体"/>
          <w:spacing w:val="3"/>
          <w:sz w:val="22"/>
          <w:szCs w:val="22"/>
          <w:highlight w:val="none"/>
        </w:rPr>
        <w:t>(工作内容</w:t>
      </w:r>
      <w:r>
        <w:rPr>
          <w:rFonts w:ascii="宋体" w:hAnsi="宋体" w:eastAsia="宋体" w:cs="宋体"/>
          <w:spacing w:val="2"/>
          <w:sz w:val="22"/>
          <w:szCs w:val="22"/>
          <w:highlight w:val="none"/>
        </w:rPr>
        <w:t>名称),属于</w:t>
      </w:r>
      <w:r>
        <w:rPr>
          <w:rFonts w:ascii="宋体" w:hAnsi="宋体" w:eastAsia="宋体" w:cs="宋体"/>
          <w:spacing w:val="2"/>
          <w:sz w:val="22"/>
          <w:szCs w:val="22"/>
          <w:highlight w:val="none"/>
          <w:u w:val="single" w:color="auto"/>
        </w:rPr>
        <w:t xml:space="preserve">            </w:t>
      </w:r>
      <w:r>
        <w:rPr>
          <w:rFonts w:ascii="宋体" w:hAnsi="宋体" w:eastAsia="宋体" w:cs="宋体"/>
          <w:spacing w:val="2"/>
          <w:sz w:val="22"/>
          <w:szCs w:val="22"/>
          <w:highlight w:val="none"/>
        </w:rPr>
        <w:t xml:space="preserve"> (招标文件中明确的所属行业);</w:t>
      </w:r>
      <w:r>
        <w:rPr>
          <w:rFonts w:ascii="宋体" w:hAnsi="宋体" w:eastAsia="宋体" w:cs="宋体"/>
          <w:sz w:val="22"/>
          <w:szCs w:val="22"/>
          <w:highlight w:val="none"/>
        </w:rPr>
        <w:t xml:space="preserve"> </w:t>
      </w:r>
      <w:r>
        <w:rPr>
          <w:rFonts w:ascii="宋体" w:hAnsi="宋体" w:eastAsia="宋体" w:cs="宋体"/>
          <w:spacing w:val="-3"/>
          <w:sz w:val="22"/>
          <w:szCs w:val="22"/>
          <w:highlight w:val="none"/>
        </w:rPr>
        <w:t>承建(承接)企业为</w:t>
      </w:r>
      <w:r>
        <w:rPr>
          <w:rFonts w:ascii="宋体" w:hAnsi="宋体" w:eastAsia="宋体" w:cs="宋体"/>
          <w:spacing w:val="-71"/>
          <w:sz w:val="22"/>
          <w:szCs w:val="22"/>
          <w:highlight w:val="none"/>
        </w:rPr>
        <w:t xml:space="preserve"> </w:t>
      </w:r>
      <w:r>
        <w:rPr>
          <w:rFonts w:ascii="宋体" w:hAnsi="宋体" w:eastAsia="宋体" w:cs="宋体"/>
          <w:spacing w:val="3"/>
          <w:sz w:val="22"/>
          <w:szCs w:val="22"/>
          <w:highlight w:val="none"/>
          <w:u w:val="single" w:color="auto"/>
        </w:rPr>
        <w:t xml:space="preserve">             </w:t>
      </w:r>
      <w:r>
        <w:rPr>
          <w:rFonts w:ascii="宋体" w:hAnsi="宋体" w:eastAsia="宋体" w:cs="宋体"/>
          <w:spacing w:val="-89"/>
          <w:sz w:val="22"/>
          <w:szCs w:val="22"/>
          <w:highlight w:val="none"/>
        </w:rPr>
        <w:t xml:space="preserve"> </w:t>
      </w:r>
      <w:r>
        <w:rPr>
          <w:rFonts w:ascii="宋体" w:hAnsi="宋体" w:eastAsia="宋体" w:cs="宋体"/>
          <w:spacing w:val="-3"/>
          <w:sz w:val="22"/>
          <w:szCs w:val="22"/>
          <w:highlight w:val="none"/>
        </w:rPr>
        <w:t>(企业名称),从业人员</w:t>
      </w:r>
      <w:r>
        <w:rPr>
          <w:rFonts w:ascii="宋体" w:hAnsi="宋体" w:eastAsia="宋体" w:cs="宋体"/>
          <w:spacing w:val="-3"/>
          <w:sz w:val="22"/>
          <w:szCs w:val="22"/>
          <w:highlight w:val="none"/>
          <w:u w:val="single" w:color="auto"/>
        </w:rPr>
        <w:t xml:space="preserve">    </w:t>
      </w:r>
      <w:r>
        <w:rPr>
          <w:rFonts w:ascii="宋体" w:hAnsi="宋体" w:eastAsia="宋体" w:cs="宋体"/>
          <w:spacing w:val="-30"/>
          <w:sz w:val="22"/>
          <w:szCs w:val="22"/>
          <w:highlight w:val="none"/>
        </w:rPr>
        <w:t xml:space="preserve"> </w:t>
      </w:r>
      <w:r>
        <w:rPr>
          <w:rFonts w:ascii="宋体" w:hAnsi="宋体" w:eastAsia="宋体" w:cs="宋体"/>
          <w:spacing w:val="-3"/>
          <w:sz w:val="22"/>
          <w:szCs w:val="22"/>
          <w:highlight w:val="none"/>
        </w:rPr>
        <w:t>人，营业</w:t>
      </w:r>
      <w:r>
        <w:rPr>
          <w:rFonts w:ascii="宋体" w:hAnsi="宋体" w:eastAsia="宋体" w:cs="宋体"/>
          <w:spacing w:val="-4"/>
          <w:sz w:val="22"/>
          <w:szCs w:val="22"/>
          <w:highlight w:val="none"/>
        </w:rPr>
        <w:t>收入为</w:t>
      </w:r>
      <w:r>
        <w:rPr>
          <w:rFonts w:ascii="宋体" w:hAnsi="宋体" w:eastAsia="宋体" w:cs="宋体"/>
          <w:spacing w:val="-4"/>
          <w:sz w:val="22"/>
          <w:szCs w:val="22"/>
          <w:highlight w:val="none"/>
          <w:u w:val="single" w:color="auto"/>
        </w:rPr>
        <w:t xml:space="preserve">       </w:t>
      </w:r>
      <w:r>
        <w:rPr>
          <w:rFonts w:ascii="宋体" w:hAnsi="宋体" w:eastAsia="宋体" w:cs="宋体"/>
          <w:spacing w:val="-90"/>
          <w:sz w:val="22"/>
          <w:szCs w:val="22"/>
          <w:highlight w:val="none"/>
        </w:rPr>
        <w:t xml:space="preserve"> </w:t>
      </w:r>
      <w:r>
        <w:rPr>
          <w:rFonts w:ascii="宋体" w:hAnsi="宋体" w:eastAsia="宋体" w:cs="宋体"/>
          <w:spacing w:val="-4"/>
          <w:sz w:val="22"/>
          <w:szCs w:val="22"/>
          <w:highlight w:val="none"/>
        </w:rPr>
        <w:t>万</w:t>
      </w:r>
      <w:r>
        <w:rPr>
          <w:rFonts w:ascii="宋体" w:hAnsi="宋体" w:eastAsia="宋体" w:cs="宋体"/>
          <w:sz w:val="22"/>
          <w:szCs w:val="22"/>
          <w:highlight w:val="none"/>
        </w:rPr>
        <w:t xml:space="preserve"> </w:t>
      </w:r>
      <w:r>
        <w:rPr>
          <w:rFonts w:ascii="宋体" w:hAnsi="宋体" w:eastAsia="宋体" w:cs="宋体"/>
          <w:spacing w:val="5"/>
          <w:sz w:val="22"/>
          <w:szCs w:val="22"/>
          <w:highlight w:val="none"/>
        </w:rPr>
        <w:t>元，资产总额为</w:t>
      </w:r>
      <w:r>
        <w:rPr>
          <w:rFonts w:ascii="宋体" w:hAnsi="宋体" w:eastAsia="宋体" w:cs="宋体"/>
          <w:spacing w:val="5"/>
          <w:sz w:val="22"/>
          <w:szCs w:val="22"/>
          <w:highlight w:val="none"/>
          <w:u w:val="single" w:color="auto"/>
        </w:rPr>
        <w:t xml:space="preserve">        </w:t>
      </w:r>
      <w:r>
        <w:rPr>
          <w:rFonts w:ascii="宋体" w:hAnsi="宋体" w:eastAsia="宋体" w:cs="宋体"/>
          <w:spacing w:val="5"/>
          <w:sz w:val="22"/>
          <w:szCs w:val="22"/>
          <w:highlight w:val="none"/>
        </w:rPr>
        <w:t>万元，属于</w:t>
      </w:r>
      <w:r>
        <w:rPr>
          <w:rFonts w:ascii="宋体" w:hAnsi="宋体" w:eastAsia="宋体" w:cs="宋体"/>
          <w:spacing w:val="51"/>
          <w:sz w:val="22"/>
          <w:szCs w:val="22"/>
          <w:highlight w:val="none"/>
          <w:u w:val="single" w:color="auto"/>
        </w:rPr>
        <w:t xml:space="preserve"> </w:t>
      </w:r>
      <w:r>
        <w:rPr>
          <w:rFonts w:ascii="宋体" w:hAnsi="宋体" w:eastAsia="宋体" w:cs="宋体"/>
          <w:spacing w:val="5"/>
          <w:sz w:val="22"/>
          <w:szCs w:val="22"/>
          <w:highlight w:val="none"/>
          <w:u w:val="single" w:color="auto"/>
        </w:rPr>
        <w:t>中型企业/小型企业/微型企业</w:t>
      </w:r>
      <w:r>
        <w:rPr>
          <w:rFonts w:ascii="宋体" w:hAnsi="宋体" w:eastAsia="宋体" w:cs="宋体"/>
          <w:spacing w:val="-55"/>
          <w:sz w:val="22"/>
          <w:szCs w:val="22"/>
          <w:highlight w:val="none"/>
        </w:rPr>
        <w:t xml:space="preserve"> </w:t>
      </w:r>
      <w:r>
        <w:rPr>
          <w:rFonts w:ascii="宋体" w:hAnsi="宋体" w:eastAsia="宋体" w:cs="宋体"/>
          <w:spacing w:val="5"/>
          <w:sz w:val="22"/>
          <w:szCs w:val="22"/>
          <w:highlight w:val="none"/>
        </w:rPr>
        <w:t>；</w:t>
      </w:r>
    </w:p>
    <w:p w14:paraId="4E234D90">
      <w:pPr>
        <w:pStyle w:val="2"/>
        <w:spacing w:line="426" w:lineRule="auto"/>
        <w:rPr>
          <w:highlight w:val="none"/>
        </w:rPr>
      </w:pPr>
    </w:p>
    <w:p w14:paraId="1C6E0511">
      <w:pPr>
        <w:spacing w:before="68" w:line="352" w:lineRule="auto"/>
        <w:ind w:left="19" w:right="98" w:firstLine="420"/>
        <w:rPr>
          <w:rFonts w:ascii="宋体" w:hAnsi="宋体" w:eastAsia="宋体" w:cs="宋体"/>
          <w:sz w:val="21"/>
          <w:szCs w:val="21"/>
          <w:highlight w:val="none"/>
        </w:rPr>
      </w:pPr>
      <w:r>
        <w:rPr>
          <w:rFonts w:ascii="宋体" w:hAnsi="宋体" w:eastAsia="宋体" w:cs="宋体"/>
          <w:spacing w:val="-2"/>
          <w:sz w:val="21"/>
          <w:szCs w:val="21"/>
          <w:highlight w:val="none"/>
        </w:rPr>
        <w:t>以上企业，不属干大企业的分支机构，不存在控股</w:t>
      </w:r>
      <w:r>
        <w:rPr>
          <w:rFonts w:ascii="宋体" w:hAnsi="宋体" w:eastAsia="宋体" w:cs="宋体"/>
          <w:spacing w:val="-3"/>
          <w:sz w:val="21"/>
          <w:szCs w:val="21"/>
          <w:highlight w:val="none"/>
        </w:rPr>
        <w:t>股东为大企业的情形，也不存在与大</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企业的负责人为同一人的情形。</w:t>
      </w:r>
    </w:p>
    <w:p w14:paraId="67350A00">
      <w:pPr>
        <w:spacing w:before="1" w:line="218" w:lineRule="auto"/>
        <w:ind w:left="439"/>
        <w:rPr>
          <w:rFonts w:ascii="宋体" w:hAnsi="宋体" w:eastAsia="宋体" w:cs="宋体"/>
          <w:sz w:val="22"/>
          <w:szCs w:val="22"/>
          <w:highlight w:val="none"/>
        </w:rPr>
      </w:pPr>
      <w:r>
        <w:rPr>
          <w:rFonts w:ascii="宋体" w:hAnsi="宋体" w:eastAsia="宋体" w:cs="宋体"/>
          <w:spacing w:val="-10"/>
          <w:sz w:val="22"/>
          <w:szCs w:val="22"/>
          <w:highlight w:val="none"/>
        </w:rPr>
        <w:t>本企业对上述声明内容的真实性负责。如有虚假，将依法承担相应责任。</w:t>
      </w:r>
    </w:p>
    <w:p w14:paraId="7DBB0A0C">
      <w:pPr>
        <w:pStyle w:val="2"/>
        <w:spacing w:line="263" w:lineRule="auto"/>
        <w:rPr>
          <w:highlight w:val="none"/>
        </w:rPr>
      </w:pPr>
    </w:p>
    <w:p w14:paraId="26963E8E">
      <w:pPr>
        <w:pStyle w:val="2"/>
        <w:spacing w:line="263" w:lineRule="auto"/>
        <w:rPr>
          <w:highlight w:val="none"/>
        </w:rPr>
      </w:pPr>
    </w:p>
    <w:p w14:paraId="641FA792">
      <w:pPr>
        <w:spacing w:before="72" w:line="226" w:lineRule="auto"/>
        <w:ind w:left="3599"/>
        <w:rPr>
          <w:rFonts w:ascii="宋体" w:hAnsi="宋体" w:eastAsia="宋体" w:cs="宋体"/>
          <w:sz w:val="20"/>
          <w:szCs w:val="20"/>
          <w:highlight w:val="none"/>
        </w:rPr>
      </w:pPr>
      <w:r>
        <w:rPr>
          <w:rFonts w:ascii="宋体" w:hAnsi="宋体" w:eastAsia="宋体" w:cs="宋体"/>
          <w:spacing w:val="3"/>
          <w:sz w:val="22"/>
          <w:szCs w:val="22"/>
          <w:highlight w:val="none"/>
        </w:rPr>
        <w:t>投标人：</w:t>
      </w:r>
      <w:r>
        <w:rPr>
          <w:rFonts w:ascii="宋体" w:hAnsi="宋体" w:eastAsia="宋体" w:cs="宋体"/>
          <w:spacing w:val="5"/>
          <w:sz w:val="22"/>
          <w:szCs w:val="22"/>
          <w:highlight w:val="none"/>
          <w:u w:val="single" w:color="auto"/>
        </w:rPr>
        <w:t xml:space="preserve">               </w:t>
      </w:r>
      <w:r>
        <w:rPr>
          <w:rFonts w:ascii="宋体" w:hAnsi="宋体" w:eastAsia="宋体" w:cs="宋体"/>
          <w:spacing w:val="-23"/>
          <w:sz w:val="22"/>
          <w:szCs w:val="22"/>
          <w:highlight w:val="none"/>
        </w:rPr>
        <w:t xml:space="preserve"> </w:t>
      </w:r>
      <w:r>
        <w:rPr>
          <w:rFonts w:ascii="宋体" w:hAnsi="宋体" w:eastAsia="宋体" w:cs="宋体"/>
          <w:spacing w:val="3"/>
          <w:sz w:val="20"/>
          <w:szCs w:val="20"/>
          <w:highlight w:val="none"/>
        </w:rPr>
        <w:t>(盖单位章)</w:t>
      </w:r>
    </w:p>
    <w:p w14:paraId="77196F5B">
      <w:pPr>
        <w:spacing w:before="189" w:line="228" w:lineRule="auto"/>
        <w:ind w:left="3639"/>
        <w:rPr>
          <w:rFonts w:ascii="宋体" w:hAnsi="宋体" w:eastAsia="宋体" w:cs="宋体"/>
          <w:sz w:val="19"/>
          <w:szCs w:val="19"/>
          <w:highlight w:val="none"/>
        </w:rPr>
      </w:pPr>
      <w:r>
        <w:rPr>
          <w:rFonts w:ascii="宋体" w:hAnsi="宋体" w:eastAsia="宋体" w:cs="宋体"/>
          <w:spacing w:val="-41"/>
          <w:sz w:val="21"/>
          <w:szCs w:val="21"/>
          <w:highlight w:val="none"/>
        </w:rPr>
        <w:t>日</w:t>
      </w:r>
      <w:r>
        <w:rPr>
          <w:rFonts w:ascii="宋体" w:hAnsi="宋体" w:eastAsia="宋体" w:cs="宋体"/>
          <w:spacing w:val="4"/>
          <w:sz w:val="21"/>
          <w:szCs w:val="21"/>
          <w:highlight w:val="none"/>
        </w:rPr>
        <w:t xml:space="preserve">  </w:t>
      </w:r>
      <w:r>
        <w:rPr>
          <w:rFonts w:ascii="宋体" w:hAnsi="宋体" w:eastAsia="宋体" w:cs="宋体"/>
          <w:spacing w:val="-41"/>
          <w:sz w:val="21"/>
          <w:szCs w:val="21"/>
          <w:highlight w:val="none"/>
        </w:rPr>
        <w:t>期：</w:t>
      </w:r>
      <w:r>
        <w:rPr>
          <w:rFonts w:ascii="宋体" w:hAnsi="宋体" w:eastAsia="宋体" w:cs="宋体"/>
          <w:spacing w:val="9"/>
          <w:sz w:val="21"/>
          <w:szCs w:val="21"/>
          <w:highlight w:val="none"/>
          <w:u w:val="single" w:color="auto"/>
        </w:rPr>
        <w:t xml:space="preserve">     </w:t>
      </w:r>
      <w:r>
        <w:rPr>
          <w:rFonts w:ascii="宋体" w:hAnsi="宋体" w:eastAsia="宋体" w:cs="宋体"/>
          <w:spacing w:val="-41"/>
          <w:sz w:val="21"/>
          <w:szCs w:val="21"/>
          <w:highlight w:val="none"/>
        </w:rPr>
        <w:t>年</w:t>
      </w:r>
      <w:r>
        <w:rPr>
          <w:rFonts w:ascii="宋体" w:hAnsi="宋体" w:eastAsia="宋体" w:cs="宋体"/>
          <w:spacing w:val="-91"/>
          <w:sz w:val="21"/>
          <w:szCs w:val="21"/>
          <w:highlight w:val="none"/>
        </w:rPr>
        <w:t xml:space="preserve"> </w:t>
      </w:r>
      <w:r>
        <w:rPr>
          <w:rFonts w:ascii="宋体" w:hAnsi="宋体" w:eastAsia="宋体" w:cs="宋体"/>
          <w:spacing w:val="10"/>
          <w:sz w:val="21"/>
          <w:szCs w:val="21"/>
          <w:highlight w:val="none"/>
          <w:u w:val="single" w:color="auto"/>
        </w:rPr>
        <w:t xml:space="preserve">    </w:t>
      </w:r>
      <w:r>
        <w:rPr>
          <w:rFonts w:ascii="宋体" w:hAnsi="宋体" w:eastAsia="宋体" w:cs="宋体"/>
          <w:spacing w:val="-41"/>
          <w:sz w:val="20"/>
          <w:szCs w:val="20"/>
          <w:highlight w:val="none"/>
        </w:rPr>
        <w:t>月</w:t>
      </w:r>
      <w:r>
        <w:rPr>
          <w:rFonts w:ascii="宋体" w:hAnsi="宋体" w:eastAsia="宋体" w:cs="宋体"/>
          <w:spacing w:val="13"/>
          <w:sz w:val="20"/>
          <w:szCs w:val="20"/>
          <w:highlight w:val="none"/>
          <w:u w:val="single" w:color="auto"/>
        </w:rPr>
        <w:t xml:space="preserve">    </w:t>
      </w:r>
      <w:r>
        <w:rPr>
          <w:rFonts w:ascii="宋体" w:hAnsi="宋体" w:eastAsia="宋体" w:cs="宋体"/>
          <w:spacing w:val="-89"/>
          <w:sz w:val="20"/>
          <w:szCs w:val="20"/>
          <w:highlight w:val="none"/>
        </w:rPr>
        <w:t xml:space="preserve"> </w:t>
      </w:r>
      <w:r>
        <w:rPr>
          <w:rFonts w:ascii="宋体" w:hAnsi="宋体" w:eastAsia="宋体" w:cs="宋体"/>
          <w:spacing w:val="-41"/>
          <w:sz w:val="19"/>
          <w:szCs w:val="19"/>
          <w:highlight w:val="none"/>
        </w:rPr>
        <w:t>日</w:t>
      </w:r>
    </w:p>
    <w:p w14:paraId="4D8E6C58">
      <w:pPr>
        <w:pStyle w:val="2"/>
        <w:spacing w:line="249" w:lineRule="auto"/>
        <w:rPr>
          <w:highlight w:val="none"/>
        </w:rPr>
      </w:pPr>
    </w:p>
    <w:p w14:paraId="3D617C2D">
      <w:pPr>
        <w:pStyle w:val="2"/>
        <w:spacing w:line="249" w:lineRule="auto"/>
        <w:rPr>
          <w:highlight w:val="none"/>
        </w:rPr>
      </w:pPr>
    </w:p>
    <w:p w14:paraId="17119720">
      <w:pPr>
        <w:spacing w:before="72" w:line="221" w:lineRule="auto"/>
        <w:ind w:left="19"/>
        <w:rPr>
          <w:rFonts w:ascii="宋体" w:hAnsi="宋体" w:eastAsia="宋体" w:cs="宋体"/>
          <w:sz w:val="22"/>
          <w:szCs w:val="22"/>
          <w:highlight w:val="none"/>
        </w:rPr>
      </w:pPr>
      <w:r>
        <w:rPr>
          <w:rFonts w:ascii="宋体" w:hAnsi="宋体" w:eastAsia="宋体" w:cs="宋体"/>
          <w:spacing w:val="-14"/>
          <w:sz w:val="22"/>
          <w:szCs w:val="22"/>
          <w:highlight w:val="none"/>
        </w:rPr>
        <w:t>备注：</w:t>
      </w:r>
    </w:p>
    <w:p w14:paraId="682BBB1A">
      <w:pPr>
        <w:spacing w:before="113" w:line="275" w:lineRule="auto"/>
        <w:ind w:left="239" w:right="92" w:hanging="22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1.</w:t>
      </w:r>
      <w:r>
        <w:rPr>
          <w:rFonts w:ascii="Times New Roman" w:hAnsi="Times New Roman" w:eastAsia="Times New Roman" w:cs="Times New Roman"/>
          <w:spacing w:val="-14"/>
          <w:sz w:val="22"/>
          <w:szCs w:val="22"/>
          <w:highlight w:val="none"/>
        </w:rPr>
        <w:t xml:space="preserve"> </w:t>
      </w:r>
      <w:r>
        <w:rPr>
          <w:rFonts w:ascii="宋体" w:hAnsi="宋体" w:eastAsia="宋体" w:cs="宋体"/>
          <w:spacing w:val="-11"/>
          <w:sz w:val="22"/>
          <w:szCs w:val="22"/>
          <w:highlight w:val="none"/>
        </w:rPr>
        <w:t>政府采购工程的投标人应当如实提供中小</w:t>
      </w:r>
      <w:r>
        <w:rPr>
          <w:rFonts w:ascii="宋体" w:hAnsi="宋体" w:eastAsia="宋体" w:cs="宋体"/>
          <w:spacing w:val="-12"/>
          <w:sz w:val="22"/>
          <w:szCs w:val="22"/>
          <w:highlight w:val="none"/>
        </w:rPr>
        <w:t>企业声明函，中小微企业划型按照《中小企业划</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型标准规定》(工信部联企业〔2011)300号〕执行，非政府采购工程的无需提供中小企</w:t>
      </w:r>
      <w:r>
        <w:rPr>
          <w:rFonts w:ascii="宋体" w:hAnsi="宋体" w:eastAsia="宋体" w:cs="宋体"/>
          <w:spacing w:val="6"/>
          <w:sz w:val="22"/>
          <w:szCs w:val="22"/>
          <w:highlight w:val="none"/>
        </w:rPr>
        <w:t xml:space="preserve"> </w:t>
      </w:r>
      <w:r>
        <w:rPr>
          <w:rFonts w:ascii="宋体" w:hAnsi="宋体" w:eastAsia="宋体" w:cs="宋体"/>
          <w:spacing w:val="-12"/>
          <w:sz w:val="22"/>
          <w:szCs w:val="22"/>
          <w:highlight w:val="none"/>
        </w:rPr>
        <w:t>业声明函。</w:t>
      </w:r>
    </w:p>
    <w:p w14:paraId="7996255F">
      <w:pPr>
        <w:spacing w:before="106" w:line="281" w:lineRule="auto"/>
        <w:ind w:left="239" w:right="18" w:hanging="22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2.</w:t>
      </w:r>
      <w:r>
        <w:rPr>
          <w:rFonts w:ascii="宋体" w:hAnsi="宋体" w:eastAsia="宋体" w:cs="宋体"/>
          <w:spacing w:val="-11"/>
          <w:sz w:val="22"/>
          <w:szCs w:val="22"/>
          <w:highlight w:val="none"/>
        </w:rPr>
        <w:t>从业人员、营业收入、资产总额填报上一年度数据，无上一年度数据的新成立企业可不填</w:t>
      </w:r>
      <w:r>
        <w:rPr>
          <w:rFonts w:ascii="宋体" w:hAnsi="宋体" w:eastAsia="宋体" w:cs="宋体"/>
          <w:spacing w:val="14"/>
          <w:sz w:val="22"/>
          <w:szCs w:val="22"/>
          <w:highlight w:val="none"/>
        </w:rPr>
        <w:t xml:space="preserve"> </w:t>
      </w:r>
      <w:r>
        <w:rPr>
          <w:rFonts w:ascii="宋体" w:hAnsi="宋体" w:eastAsia="宋体" w:cs="宋体"/>
          <w:spacing w:val="-4"/>
          <w:sz w:val="22"/>
          <w:szCs w:val="22"/>
          <w:highlight w:val="none"/>
        </w:rPr>
        <w:t>报。投标截止日如在6月30日以前，则上一年度数据是指上上个年度的数据，例如投标</w:t>
      </w:r>
      <w:r>
        <w:rPr>
          <w:rFonts w:ascii="宋体" w:hAnsi="宋体" w:eastAsia="宋体" w:cs="宋体"/>
          <w:spacing w:val="13"/>
          <w:sz w:val="22"/>
          <w:szCs w:val="22"/>
          <w:highlight w:val="none"/>
        </w:rPr>
        <w:t xml:space="preserve"> </w:t>
      </w:r>
      <w:r>
        <w:rPr>
          <w:rFonts w:ascii="宋体" w:hAnsi="宋体" w:eastAsia="宋体" w:cs="宋体"/>
          <w:spacing w:val="5"/>
          <w:sz w:val="22"/>
          <w:szCs w:val="22"/>
          <w:highlight w:val="none"/>
        </w:rPr>
        <w:t>截止日为2014年6月30日，上一年度数据是</w:t>
      </w:r>
      <w:r>
        <w:rPr>
          <w:rFonts w:ascii="宋体" w:hAnsi="宋体" w:eastAsia="宋体" w:cs="宋体"/>
          <w:spacing w:val="4"/>
          <w:sz w:val="22"/>
          <w:szCs w:val="22"/>
          <w:highlight w:val="none"/>
        </w:rPr>
        <w:t>指2012年度的数据。如投标截止日如在6</w:t>
      </w:r>
      <w:r>
        <w:rPr>
          <w:rFonts w:ascii="宋体" w:hAnsi="宋体" w:eastAsia="宋体" w:cs="宋体"/>
          <w:sz w:val="22"/>
          <w:szCs w:val="22"/>
          <w:highlight w:val="none"/>
        </w:rPr>
        <w:t xml:space="preserve"> </w:t>
      </w:r>
      <w:r>
        <w:rPr>
          <w:rFonts w:ascii="宋体" w:hAnsi="宋体" w:eastAsia="宋体" w:cs="宋体"/>
          <w:spacing w:val="1"/>
          <w:sz w:val="22"/>
          <w:szCs w:val="22"/>
          <w:highlight w:val="none"/>
        </w:rPr>
        <w:t>月30日以后，则上一年度数据是指上个年度数据，例如投标截</w:t>
      </w:r>
      <w:r>
        <w:rPr>
          <w:rFonts w:ascii="宋体" w:hAnsi="宋体" w:eastAsia="宋体" w:cs="宋体"/>
          <w:sz w:val="22"/>
          <w:szCs w:val="22"/>
          <w:highlight w:val="none"/>
        </w:rPr>
        <w:t xml:space="preserve">止日为2014年7月1日， </w:t>
      </w:r>
      <w:r>
        <w:rPr>
          <w:rFonts w:ascii="宋体" w:hAnsi="宋体" w:eastAsia="宋体" w:cs="宋体"/>
          <w:spacing w:val="-3"/>
          <w:sz w:val="22"/>
          <w:szCs w:val="22"/>
          <w:highlight w:val="none"/>
        </w:rPr>
        <w:t>上一年度数据是2013年度的数据。</w:t>
      </w:r>
    </w:p>
    <w:p w14:paraId="78221F14">
      <w:pPr>
        <w:spacing w:before="77" w:line="255" w:lineRule="auto"/>
        <w:ind w:left="19" w:right="62"/>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3.</w:t>
      </w:r>
      <w:r>
        <w:rPr>
          <w:rFonts w:ascii="Times New Roman" w:hAnsi="Times New Roman" w:eastAsia="Times New Roman" w:cs="Times New Roman"/>
          <w:spacing w:val="-12"/>
          <w:sz w:val="21"/>
          <w:szCs w:val="21"/>
          <w:highlight w:val="none"/>
        </w:rPr>
        <w:t xml:space="preserve"> </w:t>
      </w:r>
      <w:r>
        <w:rPr>
          <w:rFonts w:ascii="宋体" w:hAnsi="宋体" w:eastAsia="宋体" w:cs="宋体"/>
          <w:spacing w:val="-1"/>
          <w:sz w:val="21"/>
          <w:szCs w:val="21"/>
          <w:highlight w:val="none"/>
        </w:rPr>
        <w:t>监狱企业应当在本声明函后附由省级以上监狱管理局、戒毒管理局(含新疆生产建设兵</w:t>
      </w:r>
      <w:r>
        <w:rPr>
          <w:rFonts w:ascii="宋体" w:hAnsi="宋体" w:eastAsia="宋体" w:cs="宋体"/>
          <w:spacing w:val="-2"/>
          <w:sz w:val="21"/>
          <w:szCs w:val="21"/>
          <w:highlight w:val="none"/>
        </w:rPr>
        <w:t>团)</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出具的属于监狱企业的证明文件扫描件；残疾人福利性单位应当提供《残</w:t>
      </w:r>
      <w:r>
        <w:rPr>
          <w:rFonts w:ascii="宋体" w:hAnsi="宋体" w:eastAsia="宋体" w:cs="宋体"/>
          <w:spacing w:val="-3"/>
          <w:sz w:val="21"/>
          <w:szCs w:val="21"/>
          <w:highlight w:val="none"/>
        </w:rPr>
        <w:t>疾人福利性单位声</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明函》扫描件。</w:t>
      </w:r>
    </w:p>
    <w:p w14:paraId="448C305F">
      <w:pPr>
        <w:spacing w:line="255" w:lineRule="auto"/>
        <w:rPr>
          <w:rFonts w:ascii="宋体" w:hAnsi="宋体" w:eastAsia="宋体" w:cs="宋体"/>
          <w:sz w:val="21"/>
          <w:szCs w:val="21"/>
          <w:highlight w:val="none"/>
        </w:rPr>
        <w:sectPr>
          <w:footerReference r:id="rId251" w:type="default"/>
          <w:pgSz w:w="11910" w:h="16840"/>
          <w:pgMar w:top="400" w:right="1731" w:bottom="1238" w:left="1750" w:header="0" w:footer="1006" w:gutter="0"/>
          <w:cols w:space="720" w:num="1"/>
        </w:sectPr>
      </w:pPr>
    </w:p>
    <w:p w14:paraId="63ADDB86">
      <w:pPr>
        <w:pStyle w:val="2"/>
        <w:spacing w:line="267" w:lineRule="auto"/>
        <w:rPr>
          <w:highlight w:val="none"/>
        </w:rPr>
      </w:pPr>
    </w:p>
    <w:p w14:paraId="6AE97020">
      <w:pPr>
        <w:pStyle w:val="2"/>
        <w:spacing w:line="267" w:lineRule="auto"/>
        <w:rPr>
          <w:highlight w:val="none"/>
        </w:rPr>
      </w:pPr>
    </w:p>
    <w:p w14:paraId="075D432B">
      <w:pPr>
        <w:pStyle w:val="2"/>
        <w:spacing w:line="268" w:lineRule="auto"/>
        <w:rPr>
          <w:highlight w:val="none"/>
        </w:rPr>
      </w:pPr>
    </w:p>
    <w:p w14:paraId="7A9B0154">
      <w:pPr>
        <w:pStyle w:val="2"/>
        <w:spacing w:line="268" w:lineRule="auto"/>
        <w:rPr>
          <w:highlight w:val="none"/>
        </w:rPr>
      </w:pPr>
    </w:p>
    <w:p w14:paraId="689B6D24">
      <w:pPr>
        <w:spacing w:before="104" w:line="222" w:lineRule="auto"/>
        <w:ind w:left="23"/>
        <w:outlineLvl w:val="1"/>
        <w:rPr>
          <w:rFonts w:ascii="黑体" w:hAnsi="黑体" w:eastAsia="黑体" w:cs="黑体"/>
          <w:sz w:val="32"/>
          <w:szCs w:val="32"/>
          <w:highlight w:val="none"/>
        </w:rPr>
      </w:pPr>
      <w:bookmarkStart w:id="251" w:name="bookmark162"/>
      <w:bookmarkEnd w:id="251"/>
      <w:r>
        <w:rPr>
          <w:rFonts w:ascii="黑体" w:hAnsi="黑体" w:eastAsia="黑体" w:cs="黑体"/>
          <w:spacing w:val="2"/>
          <w:sz w:val="32"/>
          <w:szCs w:val="32"/>
          <w:highlight w:val="none"/>
        </w:rPr>
        <w:t>八、项目管理机构</w:t>
      </w:r>
    </w:p>
    <w:p w14:paraId="77E84232">
      <w:pPr>
        <w:spacing w:before="142" w:line="219" w:lineRule="auto"/>
        <w:ind w:left="23"/>
        <w:rPr>
          <w:rFonts w:ascii="宋体" w:hAnsi="宋体" w:eastAsia="宋体" w:cs="宋体"/>
          <w:sz w:val="24"/>
          <w:szCs w:val="24"/>
          <w:highlight w:val="none"/>
        </w:rPr>
      </w:pPr>
      <w:r>
        <w:rPr>
          <w:rFonts w:ascii="宋体" w:hAnsi="宋体" w:eastAsia="宋体" w:cs="宋体"/>
          <w:spacing w:val="-2"/>
          <w:sz w:val="24"/>
          <w:szCs w:val="24"/>
          <w:highlight w:val="none"/>
        </w:rPr>
        <w:t>(一)项目管理机构主要人员表</w:t>
      </w:r>
    </w:p>
    <w:p w14:paraId="7D98E27A">
      <w:pPr>
        <w:spacing w:before="285" w:line="219" w:lineRule="auto"/>
        <w:ind w:left="23"/>
        <w:rPr>
          <w:rFonts w:ascii="宋体" w:hAnsi="宋体" w:eastAsia="宋体" w:cs="宋体"/>
          <w:sz w:val="24"/>
          <w:szCs w:val="24"/>
          <w:highlight w:val="none"/>
        </w:rPr>
      </w:pPr>
      <w:r>
        <w:rPr>
          <w:rFonts w:ascii="宋体" w:hAnsi="宋体" w:eastAsia="宋体" w:cs="宋体"/>
          <w:spacing w:val="-3"/>
          <w:sz w:val="24"/>
          <w:szCs w:val="24"/>
          <w:highlight w:val="none"/>
        </w:rPr>
        <w:t>(二)项目经理简历表</w:t>
      </w:r>
    </w:p>
    <w:p w14:paraId="0D2F00DC">
      <w:pPr>
        <w:spacing w:before="255" w:line="219" w:lineRule="auto"/>
        <w:ind w:left="23"/>
        <w:rPr>
          <w:rFonts w:ascii="宋体" w:hAnsi="宋体" w:eastAsia="宋体" w:cs="宋体"/>
          <w:sz w:val="24"/>
          <w:szCs w:val="24"/>
          <w:highlight w:val="none"/>
        </w:rPr>
      </w:pPr>
      <w:r>
        <w:rPr>
          <w:rFonts w:ascii="宋体" w:hAnsi="宋体" w:eastAsia="宋体" w:cs="宋体"/>
          <w:spacing w:val="-5"/>
          <w:sz w:val="24"/>
          <w:szCs w:val="24"/>
          <w:highlight w:val="none"/>
        </w:rPr>
        <w:t>(三)设计负责人简历表</w:t>
      </w:r>
    </w:p>
    <w:p w14:paraId="7F8EE3BA">
      <w:pPr>
        <w:spacing w:before="275" w:line="219" w:lineRule="auto"/>
        <w:ind w:left="23"/>
        <w:rPr>
          <w:rFonts w:ascii="宋体" w:hAnsi="宋体" w:eastAsia="宋体" w:cs="宋体"/>
          <w:sz w:val="24"/>
          <w:szCs w:val="24"/>
          <w:highlight w:val="none"/>
        </w:rPr>
      </w:pPr>
      <w:r>
        <w:rPr>
          <w:rFonts w:ascii="宋体" w:hAnsi="宋体" w:eastAsia="宋体" w:cs="宋体"/>
          <w:spacing w:val="-5"/>
          <w:sz w:val="24"/>
          <w:szCs w:val="24"/>
          <w:highlight w:val="none"/>
        </w:rPr>
        <w:t>(四)施工负责人简历表</w:t>
      </w:r>
    </w:p>
    <w:p w14:paraId="2A9F8EA6">
      <w:pPr>
        <w:spacing w:before="295" w:line="219" w:lineRule="auto"/>
        <w:ind w:left="23"/>
        <w:rPr>
          <w:rFonts w:ascii="宋体" w:hAnsi="宋体" w:eastAsia="宋体" w:cs="宋体"/>
          <w:sz w:val="24"/>
          <w:szCs w:val="24"/>
          <w:highlight w:val="none"/>
        </w:rPr>
      </w:pPr>
      <w:r>
        <w:rPr>
          <w:rFonts w:ascii="宋体" w:hAnsi="宋体" w:eastAsia="宋体" w:cs="宋体"/>
          <w:spacing w:val="-7"/>
          <w:sz w:val="24"/>
          <w:szCs w:val="24"/>
          <w:highlight w:val="none"/>
        </w:rPr>
        <w:t>(五)承诺书</w:t>
      </w:r>
    </w:p>
    <w:p w14:paraId="49CFEEB3">
      <w:pPr>
        <w:spacing w:before="275" w:line="219" w:lineRule="auto"/>
        <w:ind w:left="23"/>
        <w:rPr>
          <w:rFonts w:ascii="宋体" w:hAnsi="宋体" w:eastAsia="宋体" w:cs="宋体"/>
          <w:sz w:val="24"/>
          <w:szCs w:val="24"/>
          <w:highlight w:val="none"/>
        </w:rPr>
      </w:pPr>
      <w:r>
        <w:rPr>
          <w:rFonts w:ascii="宋体" w:hAnsi="宋体" w:eastAsia="宋体" w:cs="宋体"/>
          <w:spacing w:val="-4"/>
          <w:sz w:val="24"/>
          <w:szCs w:val="24"/>
          <w:highlight w:val="none"/>
        </w:rPr>
        <w:t>(六)其他主要项目管理人员简历表</w:t>
      </w:r>
    </w:p>
    <w:p w14:paraId="1AD4D12E">
      <w:pPr>
        <w:spacing w:line="219" w:lineRule="auto"/>
        <w:rPr>
          <w:rFonts w:ascii="宋体" w:hAnsi="宋体" w:eastAsia="宋体" w:cs="宋体"/>
          <w:sz w:val="24"/>
          <w:szCs w:val="24"/>
          <w:highlight w:val="none"/>
        </w:rPr>
        <w:sectPr>
          <w:footerReference r:id="rId252" w:type="default"/>
          <w:pgSz w:w="11910" w:h="16840"/>
          <w:pgMar w:top="400" w:right="1786" w:bottom="1184" w:left="1786" w:header="0" w:footer="1024" w:gutter="0"/>
          <w:cols w:space="720" w:num="1"/>
        </w:sectPr>
      </w:pPr>
    </w:p>
    <w:p w14:paraId="35F368C9">
      <w:pPr>
        <w:pStyle w:val="2"/>
        <w:spacing w:line="275" w:lineRule="auto"/>
        <w:rPr>
          <w:highlight w:val="none"/>
        </w:rPr>
      </w:pPr>
    </w:p>
    <w:p w14:paraId="18E413E6">
      <w:pPr>
        <w:pStyle w:val="2"/>
        <w:spacing w:line="275" w:lineRule="auto"/>
        <w:rPr>
          <w:highlight w:val="none"/>
        </w:rPr>
      </w:pPr>
    </w:p>
    <w:p w14:paraId="6B60AEE7">
      <w:pPr>
        <w:pStyle w:val="2"/>
        <w:spacing w:line="275" w:lineRule="auto"/>
        <w:rPr>
          <w:highlight w:val="none"/>
        </w:rPr>
      </w:pPr>
    </w:p>
    <w:p w14:paraId="74F93BDC">
      <w:pPr>
        <w:pStyle w:val="2"/>
        <w:spacing w:line="276" w:lineRule="auto"/>
        <w:rPr>
          <w:highlight w:val="none"/>
        </w:rPr>
      </w:pPr>
    </w:p>
    <w:p w14:paraId="692B6AFD">
      <w:pPr>
        <w:spacing w:before="91" w:line="221" w:lineRule="auto"/>
        <w:ind w:left="1125"/>
        <w:rPr>
          <w:rFonts w:ascii="黑体" w:hAnsi="黑体" w:eastAsia="黑体" w:cs="黑体"/>
          <w:sz w:val="28"/>
          <w:szCs w:val="28"/>
          <w:highlight w:val="none"/>
        </w:rPr>
      </w:pPr>
      <w:r>
        <w:rPr>
          <w:rFonts w:ascii="黑体" w:hAnsi="黑体" w:eastAsia="黑体" w:cs="黑体"/>
          <w:sz w:val="28"/>
          <w:szCs w:val="28"/>
          <w:highlight w:val="none"/>
        </w:rPr>
        <w:t>(一)项目管理机构主要人员表</w:t>
      </w:r>
    </w:p>
    <w:p w14:paraId="76F528CD">
      <w:pPr>
        <w:spacing w:before="24"/>
        <w:rPr>
          <w:highlight w:val="none"/>
        </w:rPr>
      </w:pPr>
    </w:p>
    <w:p w14:paraId="0CC68ED6">
      <w:pPr>
        <w:spacing w:before="23"/>
        <w:rPr>
          <w:highlight w:val="none"/>
        </w:rPr>
      </w:pPr>
    </w:p>
    <w:tbl>
      <w:tblPr>
        <w:tblStyle w:val="5"/>
        <w:tblW w:w="104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5"/>
        <w:gridCol w:w="619"/>
        <w:gridCol w:w="569"/>
        <w:gridCol w:w="579"/>
        <w:gridCol w:w="540"/>
        <w:gridCol w:w="569"/>
        <w:gridCol w:w="560"/>
        <w:gridCol w:w="709"/>
        <w:gridCol w:w="540"/>
        <w:gridCol w:w="560"/>
        <w:gridCol w:w="589"/>
        <w:gridCol w:w="829"/>
        <w:gridCol w:w="550"/>
        <w:gridCol w:w="709"/>
        <w:gridCol w:w="709"/>
        <w:gridCol w:w="560"/>
        <w:gridCol w:w="914"/>
      </w:tblGrid>
      <w:tr w14:paraId="4CABD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295" w:type="dxa"/>
            <w:vMerge w:val="restart"/>
            <w:tcBorders>
              <w:bottom w:val="nil"/>
            </w:tcBorders>
            <w:textDirection w:val="tbRlV"/>
            <w:vAlign w:val="top"/>
          </w:tcPr>
          <w:p w14:paraId="48538051">
            <w:pPr>
              <w:pStyle w:val="6"/>
              <w:spacing w:before="52" w:line="199" w:lineRule="auto"/>
              <w:ind w:left="264"/>
              <w:rPr>
                <w:highlight w:val="none"/>
              </w:rPr>
            </w:pPr>
            <w:r>
              <w:rPr>
                <w:highlight w:val="none"/>
              </w:rPr>
              <w:t>序</w:t>
            </w:r>
            <w:r>
              <w:rPr>
                <w:spacing w:val="33"/>
                <w:highlight w:val="none"/>
              </w:rPr>
              <w:t xml:space="preserve">  </w:t>
            </w:r>
            <w:r>
              <w:rPr>
                <w:highlight w:val="none"/>
              </w:rPr>
              <w:t>号</w:t>
            </w:r>
          </w:p>
        </w:tc>
        <w:tc>
          <w:tcPr>
            <w:tcW w:w="619" w:type="dxa"/>
            <w:vMerge w:val="restart"/>
            <w:tcBorders>
              <w:bottom w:val="nil"/>
            </w:tcBorders>
            <w:vAlign w:val="top"/>
          </w:tcPr>
          <w:p w14:paraId="2B9A8837">
            <w:pPr>
              <w:spacing w:line="442" w:lineRule="auto"/>
              <w:rPr>
                <w:rFonts w:ascii="Arial"/>
                <w:sz w:val="21"/>
                <w:highlight w:val="none"/>
              </w:rPr>
            </w:pPr>
          </w:p>
          <w:p w14:paraId="0FE471D4">
            <w:pPr>
              <w:pStyle w:val="6"/>
              <w:spacing w:before="69" w:line="219" w:lineRule="auto"/>
              <w:ind w:left="90"/>
              <w:rPr>
                <w:highlight w:val="none"/>
              </w:rPr>
            </w:pPr>
            <w:r>
              <w:rPr>
                <w:spacing w:val="-3"/>
                <w:highlight w:val="none"/>
              </w:rPr>
              <w:t>职务</w:t>
            </w:r>
          </w:p>
        </w:tc>
        <w:tc>
          <w:tcPr>
            <w:tcW w:w="569" w:type="dxa"/>
            <w:vMerge w:val="restart"/>
            <w:tcBorders>
              <w:bottom w:val="nil"/>
            </w:tcBorders>
            <w:vAlign w:val="top"/>
          </w:tcPr>
          <w:p w14:paraId="5517A8C7">
            <w:pPr>
              <w:spacing w:line="442" w:lineRule="auto"/>
              <w:rPr>
                <w:rFonts w:ascii="Arial"/>
                <w:sz w:val="21"/>
                <w:highlight w:val="none"/>
              </w:rPr>
            </w:pPr>
          </w:p>
          <w:p w14:paraId="34DFAEA0">
            <w:pPr>
              <w:pStyle w:val="6"/>
              <w:spacing w:before="69" w:line="219" w:lineRule="auto"/>
              <w:ind w:left="61"/>
              <w:rPr>
                <w:highlight w:val="none"/>
              </w:rPr>
            </w:pPr>
            <w:r>
              <w:rPr>
                <w:spacing w:val="13"/>
                <w:highlight w:val="none"/>
              </w:rPr>
              <w:t>姓名</w:t>
            </w:r>
          </w:p>
        </w:tc>
        <w:tc>
          <w:tcPr>
            <w:tcW w:w="579" w:type="dxa"/>
            <w:vMerge w:val="restart"/>
            <w:tcBorders>
              <w:bottom w:val="nil"/>
            </w:tcBorders>
            <w:vAlign w:val="top"/>
          </w:tcPr>
          <w:p w14:paraId="3575D41E">
            <w:pPr>
              <w:spacing w:line="443" w:lineRule="auto"/>
              <w:rPr>
                <w:rFonts w:ascii="Arial"/>
                <w:sz w:val="21"/>
                <w:highlight w:val="none"/>
              </w:rPr>
            </w:pPr>
          </w:p>
          <w:p w14:paraId="3828E0E0">
            <w:pPr>
              <w:pStyle w:val="6"/>
              <w:spacing w:before="68" w:line="220" w:lineRule="auto"/>
              <w:ind w:left="82"/>
              <w:rPr>
                <w:highlight w:val="none"/>
              </w:rPr>
            </w:pPr>
            <w:r>
              <w:rPr>
                <w:spacing w:val="8"/>
                <w:highlight w:val="none"/>
              </w:rPr>
              <w:t>性别</w:t>
            </w:r>
          </w:p>
        </w:tc>
        <w:tc>
          <w:tcPr>
            <w:tcW w:w="540" w:type="dxa"/>
            <w:vMerge w:val="restart"/>
            <w:tcBorders>
              <w:bottom w:val="nil"/>
            </w:tcBorders>
            <w:vAlign w:val="top"/>
          </w:tcPr>
          <w:p w14:paraId="2C96EE1B">
            <w:pPr>
              <w:spacing w:line="442" w:lineRule="auto"/>
              <w:rPr>
                <w:rFonts w:ascii="Arial"/>
                <w:sz w:val="21"/>
                <w:highlight w:val="none"/>
              </w:rPr>
            </w:pPr>
          </w:p>
          <w:p w14:paraId="4953FC03">
            <w:pPr>
              <w:pStyle w:val="6"/>
              <w:spacing w:before="69" w:line="219" w:lineRule="auto"/>
              <w:ind w:left="53"/>
              <w:rPr>
                <w:highlight w:val="none"/>
              </w:rPr>
            </w:pPr>
            <w:r>
              <w:rPr>
                <w:spacing w:val="-3"/>
                <w:highlight w:val="none"/>
              </w:rPr>
              <w:t>年龄</w:t>
            </w:r>
          </w:p>
        </w:tc>
        <w:tc>
          <w:tcPr>
            <w:tcW w:w="569" w:type="dxa"/>
            <w:vMerge w:val="restart"/>
            <w:tcBorders>
              <w:bottom w:val="nil"/>
            </w:tcBorders>
            <w:vAlign w:val="top"/>
          </w:tcPr>
          <w:p w14:paraId="061B3100">
            <w:pPr>
              <w:spacing w:line="443" w:lineRule="auto"/>
              <w:rPr>
                <w:rFonts w:ascii="Arial"/>
                <w:sz w:val="21"/>
                <w:highlight w:val="none"/>
              </w:rPr>
            </w:pPr>
          </w:p>
          <w:p w14:paraId="0E8A60D2">
            <w:pPr>
              <w:pStyle w:val="6"/>
              <w:spacing w:before="69" w:line="221" w:lineRule="auto"/>
              <w:ind w:left="72"/>
              <w:rPr>
                <w:highlight w:val="none"/>
              </w:rPr>
            </w:pPr>
            <w:r>
              <w:rPr>
                <w:spacing w:val="6"/>
                <w:highlight w:val="none"/>
              </w:rPr>
              <w:t>学历</w:t>
            </w:r>
          </w:p>
        </w:tc>
        <w:tc>
          <w:tcPr>
            <w:tcW w:w="560" w:type="dxa"/>
            <w:vMerge w:val="restart"/>
            <w:tcBorders>
              <w:bottom w:val="nil"/>
            </w:tcBorders>
            <w:vAlign w:val="top"/>
          </w:tcPr>
          <w:p w14:paraId="3ED29EA0">
            <w:pPr>
              <w:spacing w:line="443" w:lineRule="auto"/>
              <w:rPr>
                <w:rFonts w:ascii="Arial"/>
                <w:sz w:val="21"/>
                <w:highlight w:val="none"/>
              </w:rPr>
            </w:pPr>
          </w:p>
          <w:p w14:paraId="349527A1">
            <w:pPr>
              <w:pStyle w:val="6"/>
              <w:spacing w:before="68" w:line="220" w:lineRule="auto"/>
              <w:ind w:left="53"/>
              <w:rPr>
                <w:highlight w:val="none"/>
              </w:rPr>
            </w:pPr>
            <w:r>
              <w:rPr>
                <w:spacing w:val="-3"/>
                <w:highlight w:val="none"/>
              </w:rPr>
              <w:t>专业</w:t>
            </w:r>
          </w:p>
        </w:tc>
        <w:tc>
          <w:tcPr>
            <w:tcW w:w="709" w:type="dxa"/>
            <w:vMerge w:val="restart"/>
            <w:tcBorders>
              <w:bottom w:val="nil"/>
            </w:tcBorders>
            <w:vAlign w:val="top"/>
          </w:tcPr>
          <w:p w14:paraId="5A557476">
            <w:pPr>
              <w:spacing w:line="264" w:lineRule="auto"/>
              <w:rPr>
                <w:rFonts w:ascii="Arial"/>
                <w:sz w:val="21"/>
                <w:highlight w:val="none"/>
              </w:rPr>
            </w:pPr>
          </w:p>
          <w:p w14:paraId="506A6827">
            <w:pPr>
              <w:pStyle w:val="6"/>
              <w:spacing w:before="68" w:line="220" w:lineRule="auto"/>
              <w:ind w:left="33"/>
              <w:rPr>
                <w:highlight w:val="none"/>
              </w:rPr>
            </w:pPr>
            <w:r>
              <w:rPr>
                <w:spacing w:val="3"/>
                <w:highlight w:val="none"/>
              </w:rPr>
              <w:t>专业工</w:t>
            </w:r>
          </w:p>
          <w:p w14:paraId="44FFCBA8">
            <w:pPr>
              <w:pStyle w:val="6"/>
              <w:spacing w:before="129" w:line="219" w:lineRule="auto"/>
              <w:ind w:left="33"/>
              <w:rPr>
                <w:highlight w:val="none"/>
              </w:rPr>
            </w:pPr>
            <w:r>
              <w:rPr>
                <w:spacing w:val="3"/>
                <w:highlight w:val="none"/>
              </w:rPr>
              <w:t>作年限</w:t>
            </w:r>
          </w:p>
        </w:tc>
        <w:tc>
          <w:tcPr>
            <w:tcW w:w="1689" w:type="dxa"/>
            <w:gridSpan w:val="3"/>
            <w:vAlign w:val="top"/>
          </w:tcPr>
          <w:p w14:paraId="77AB5C0E">
            <w:pPr>
              <w:pStyle w:val="6"/>
              <w:spacing w:before="113" w:line="219" w:lineRule="auto"/>
              <w:ind w:left="215"/>
              <w:rPr>
                <w:highlight w:val="none"/>
              </w:rPr>
            </w:pPr>
            <w:r>
              <w:rPr>
                <w:spacing w:val="-2"/>
                <w:highlight w:val="none"/>
              </w:rPr>
              <w:t>专业技术职称</w:t>
            </w:r>
          </w:p>
        </w:tc>
        <w:tc>
          <w:tcPr>
            <w:tcW w:w="2797" w:type="dxa"/>
            <w:gridSpan w:val="4"/>
            <w:vAlign w:val="top"/>
          </w:tcPr>
          <w:p w14:paraId="6BA6AD28">
            <w:pPr>
              <w:pStyle w:val="6"/>
              <w:spacing w:before="193" w:line="203" w:lineRule="auto"/>
              <w:ind w:left="456"/>
              <w:rPr>
                <w:highlight w:val="none"/>
              </w:rPr>
            </w:pPr>
            <w:r>
              <w:rPr>
                <w:spacing w:val="2"/>
                <w:highlight w:val="none"/>
              </w:rPr>
              <w:t>执业或职业资格证明</w:t>
            </w:r>
          </w:p>
        </w:tc>
        <w:tc>
          <w:tcPr>
            <w:tcW w:w="560" w:type="dxa"/>
            <w:vMerge w:val="restart"/>
            <w:tcBorders>
              <w:bottom w:val="nil"/>
            </w:tcBorders>
            <w:vAlign w:val="top"/>
          </w:tcPr>
          <w:p w14:paraId="398EF9AB">
            <w:pPr>
              <w:spacing w:line="292" w:lineRule="auto"/>
              <w:rPr>
                <w:rFonts w:ascii="Arial"/>
                <w:sz w:val="21"/>
                <w:highlight w:val="none"/>
              </w:rPr>
            </w:pPr>
          </w:p>
          <w:p w14:paraId="7812DF12">
            <w:pPr>
              <w:pStyle w:val="6"/>
              <w:spacing w:before="68" w:line="219" w:lineRule="auto"/>
              <w:ind w:left="69"/>
              <w:rPr>
                <w:highlight w:val="none"/>
              </w:rPr>
            </w:pPr>
            <w:r>
              <w:rPr>
                <w:spacing w:val="-3"/>
                <w:highlight w:val="none"/>
              </w:rPr>
              <w:t>社会</w:t>
            </w:r>
          </w:p>
          <w:p w14:paraId="754B4DE6">
            <w:pPr>
              <w:pStyle w:val="6"/>
              <w:spacing w:before="162" w:line="220" w:lineRule="auto"/>
              <w:ind w:left="69"/>
              <w:rPr>
                <w:highlight w:val="none"/>
              </w:rPr>
            </w:pPr>
            <w:r>
              <w:rPr>
                <w:spacing w:val="-3"/>
                <w:highlight w:val="none"/>
              </w:rPr>
              <w:t>保险</w:t>
            </w:r>
          </w:p>
        </w:tc>
        <w:tc>
          <w:tcPr>
            <w:tcW w:w="914" w:type="dxa"/>
            <w:vMerge w:val="restart"/>
            <w:tcBorders>
              <w:bottom w:val="nil"/>
            </w:tcBorders>
            <w:vAlign w:val="top"/>
          </w:tcPr>
          <w:p w14:paraId="0E1BAEDA">
            <w:pPr>
              <w:spacing w:line="283" w:lineRule="auto"/>
              <w:rPr>
                <w:rFonts w:ascii="Arial"/>
                <w:sz w:val="21"/>
                <w:highlight w:val="none"/>
              </w:rPr>
            </w:pPr>
          </w:p>
          <w:p w14:paraId="61AB9213">
            <w:pPr>
              <w:pStyle w:val="6"/>
              <w:spacing w:before="69" w:line="381" w:lineRule="auto"/>
              <w:ind w:left="29" w:right="30" w:firstLine="110"/>
              <w:rPr>
                <w:highlight w:val="none"/>
              </w:rPr>
            </w:pPr>
            <w:r>
              <w:rPr>
                <w:spacing w:val="-16"/>
                <w:highlight w:val="none"/>
              </w:rPr>
              <w:t>执</w:t>
            </w:r>
            <w:r>
              <w:rPr>
                <w:spacing w:val="-25"/>
                <w:highlight w:val="none"/>
              </w:rPr>
              <w:t xml:space="preserve"> </w:t>
            </w:r>
            <w:r>
              <w:rPr>
                <w:spacing w:val="-16"/>
                <w:highlight w:val="none"/>
              </w:rPr>
              <w:t>业</w:t>
            </w:r>
            <w:r>
              <w:rPr>
                <w:spacing w:val="-34"/>
                <w:highlight w:val="none"/>
              </w:rPr>
              <w:t xml:space="preserve"> </w:t>
            </w:r>
            <w:r>
              <w:rPr>
                <w:spacing w:val="-16"/>
                <w:highlight w:val="none"/>
              </w:rPr>
              <w:t>、</w:t>
            </w:r>
            <w:r>
              <w:rPr>
                <w:highlight w:val="none"/>
              </w:rPr>
              <w:t xml:space="preserve"> </w:t>
            </w:r>
            <w:r>
              <w:rPr>
                <w:spacing w:val="-2"/>
                <w:highlight w:val="none"/>
              </w:rPr>
              <w:t>职业单位</w:t>
            </w:r>
          </w:p>
        </w:tc>
      </w:tr>
      <w:tr w14:paraId="2E0E3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295" w:type="dxa"/>
            <w:vMerge w:val="continue"/>
            <w:tcBorders>
              <w:top w:val="nil"/>
            </w:tcBorders>
            <w:textDirection w:val="tbRlV"/>
            <w:vAlign w:val="top"/>
          </w:tcPr>
          <w:p w14:paraId="151EA177">
            <w:pPr>
              <w:rPr>
                <w:rFonts w:ascii="Arial"/>
                <w:sz w:val="21"/>
                <w:highlight w:val="none"/>
              </w:rPr>
            </w:pPr>
          </w:p>
        </w:tc>
        <w:tc>
          <w:tcPr>
            <w:tcW w:w="619" w:type="dxa"/>
            <w:vMerge w:val="continue"/>
            <w:tcBorders>
              <w:top w:val="nil"/>
            </w:tcBorders>
            <w:vAlign w:val="top"/>
          </w:tcPr>
          <w:p w14:paraId="2382A46C">
            <w:pPr>
              <w:rPr>
                <w:rFonts w:ascii="Arial"/>
                <w:sz w:val="21"/>
                <w:highlight w:val="none"/>
              </w:rPr>
            </w:pPr>
          </w:p>
        </w:tc>
        <w:tc>
          <w:tcPr>
            <w:tcW w:w="569" w:type="dxa"/>
            <w:vMerge w:val="continue"/>
            <w:tcBorders>
              <w:top w:val="nil"/>
            </w:tcBorders>
            <w:vAlign w:val="top"/>
          </w:tcPr>
          <w:p w14:paraId="59824DA4">
            <w:pPr>
              <w:rPr>
                <w:rFonts w:ascii="Arial"/>
                <w:sz w:val="21"/>
                <w:highlight w:val="none"/>
              </w:rPr>
            </w:pPr>
          </w:p>
        </w:tc>
        <w:tc>
          <w:tcPr>
            <w:tcW w:w="579" w:type="dxa"/>
            <w:vMerge w:val="continue"/>
            <w:tcBorders>
              <w:top w:val="nil"/>
            </w:tcBorders>
            <w:vAlign w:val="top"/>
          </w:tcPr>
          <w:p w14:paraId="26ABFCC0">
            <w:pPr>
              <w:rPr>
                <w:rFonts w:ascii="Arial"/>
                <w:sz w:val="21"/>
                <w:highlight w:val="none"/>
              </w:rPr>
            </w:pPr>
          </w:p>
        </w:tc>
        <w:tc>
          <w:tcPr>
            <w:tcW w:w="540" w:type="dxa"/>
            <w:vMerge w:val="continue"/>
            <w:tcBorders>
              <w:top w:val="nil"/>
            </w:tcBorders>
            <w:vAlign w:val="top"/>
          </w:tcPr>
          <w:p w14:paraId="060BB798">
            <w:pPr>
              <w:rPr>
                <w:rFonts w:ascii="Arial"/>
                <w:sz w:val="21"/>
                <w:highlight w:val="none"/>
              </w:rPr>
            </w:pPr>
          </w:p>
        </w:tc>
        <w:tc>
          <w:tcPr>
            <w:tcW w:w="569" w:type="dxa"/>
            <w:vMerge w:val="continue"/>
            <w:tcBorders>
              <w:top w:val="nil"/>
            </w:tcBorders>
            <w:vAlign w:val="top"/>
          </w:tcPr>
          <w:p w14:paraId="7DB05922">
            <w:pPr>
              <w:rPr>
                <w:rFonts w:ascii="Arial"/>
                <w:sz w:val="21"/>
                <w:highlight w:val="none"/>
              </w:rPr>
            </w:pPr>
          </w:p>
        </w:tc>
        <w:tc>
          <w:tcPr>
            <w:tcW w:w="560" w:type="dxa"/>
            <w:vMerge w:val="continue"/>
            <w:tcBorders>
              <w:top w:val="nil"/>
            </w:tcBorders>
            <w:vAlign w:val="top"/>
          </w:tcPr>
          <w:p w14:paraId="4B1D950E">
            <w:pPr>
              <w:rPr>
                <w:rFonts w:ascii="Arial"/>
                <w:sz w:val="21"/>
                <w:highlight w:val="none"/>
              </w:rPr>
            </w:pPr>
          </w:p>
        </w:tc>
        <w:tc>
          <w:tcPr>
            <w:tcW w:w="709" w:type="dxa"/>
            <w:vMerge w:val="continue"/>
            <w:tcBorders>
              <w:top w:val="nil"/>
            </w:tcBorders>
            <w:vAlign w:val="top"/>
          </w:tcPr>
          <w:p w14:paraId="6BA082AA">
            <w:pPr>
              <w:rPr>
                <w:rFonts w:ascii="Arial"/>
                <w:sz w:val="21"/>
                <w:highlight w:val="none"/>
              </w:rPr>
            </w:pPr>
          </w:p>
        </w:tc>
        <w:tc>
          <w:tcPr>
            <w:tcW w:w="540" w:type="dxa"/>
            <w:vAlign w:val="top"/>
          </w:tcPr>
          <w:p w14:paraId="1698D377">
            <w:pPr>
              <w:pStyle w:val="6"/>
              <w:spacing w:before="292" w:line="221" w:lineRule="auto"/>
              <w:ind w:left="45"/>
              <w:rPr>
                <w:highlight w:val="none"/>
              </w:rPr>
            </w:pPr>
            <w:r>
              <w:rPr>
                <w:spacing w:val="6"/>
                <w:highlight w:val="none"/>
              </w:rPr>
              <w:t>初级</w:t>
            </w:r>
          </w:p>
        </w:tc>
        <w:tc>
          <w:tcPr>
            <w:tcW w:w="560" w:type="dxa"/>
            <w:vAlign w:val="top"/>
          </w:tcPr>
          <w:p w14:paraId="609BF2CA">
            <w:pPr>
              <w:pStyle w:val="6"/>
              <w:spacing w:before="290" w:line="220" w:lineRule="auto"/>
              <w:ind w:right="11"/>
              <w:jc w:val="right"/>
              <w:rPr>
                <w:highlight w:val="none"/>
              </w:rPr>
            </w:pPr>
            <w:r>
              <w:rPr>
                <w:spacing w:val="6"/>
                <w:highlight w:val="none"/>
              </w:rPr>
              <w:t>中级</w:t>
            </w:r>
          </w:p>
        </w:tc>
        <w:tc>
          <w:tcPr>
            <w:tcW w:w="589" w:type="dxa"/>
            <w:vAlign w:val="top"/>
          </w:tcPr>
          <w:p w14:paraId="265FB8F3">
            <w:pPr>
              <w:pStyle w:val="6"/>
              <w:spacing w:before="289" w:line="219" w:lineRule="auto"/>
              <w:ind w:left="85"/>
              <w:rPr>
                <w:highlight w:val="none"/>
              </w:rPr>
            </w:pPr>
            <w:r>
              <w:rPr>
                <w:spacing w:val="6"/>
                <w:highlight w:val="none"/>
              </w:rPr>
              <w:t>高级</w:t>
            </w:r>
          </w:p>
        </w:tc>
        <w:tc>
          <w:tcPr>
            <w:tcW w:w="829" w:type="dxa"/>
            <w:vAlign w:val="top"/>
          </w:tcPr>
          <w:p w14:paraId="76E6796D">
            <w:pPr>
              <w:pStyle w:val="6"/>
              <w:spacing w:before="89" w:line="303" w:lineRule="auto"/>
              <w:ind w:left="306" w:right="65" w:hanging="210"/>
              <w:rPr>
                <w:highlight w:val="none"/>
              </w:rPr>
            </w:pPr>
            <w:r>
              <w:rPr>
                <w:spacing w:val="9"/>
                <w:highlight w:val="none"/>
              </w:rPr>
              <w:t>证书名</w:t>
            </w:r>
            <w:r>
              <w:rPr>
                <w:highlight w:val="none"/>
              </w:rPr>
              <w:t xml:space="preserve"> 称</w:t>
            </w:r>
          </w:p>
        </w:tc>
        <w:tc>
          <w:tcPr>
            <w:tcW w:w="550" w:type="dxa"/>
            <w:vAlign w:val="top"/>
          </w:tcPr>
          <w:p w14:paraId="32B2C45A">
            <w:pPr>
              <w:pStyle w:val="6"/>
              <w:spacing w:before="290" w:line="220" w:lineRule="auto"/>
              <w:ind w:left="56"/>
              <w:rPr>
                <w:highlight w:val="none"/>
              </w:rPr>
            </w:pPr>
            <w:r>
              <w:rPr>
                <w:spacing w:val="8"/>
                <w:highlight w:val="none"/>
              </w:rPr>
              <w:t>级别</w:t>
            </w:r>
          </w:p>
        </w:tc>
        <w:tc>
          <w:tcPr>
            <w:tcW w:w="709" w:type="dxa"/>
            <w:vAlign w:val="top"/>
          </w:tcPr>
          <w:p w14:paraId="4030EEE5">
            <w:pPr>
              <w:pStyle w:val="6"/>
              <w:spacing w:before="290" w:line="221" w:lineRule="auto"/>
              <w:ind w:left="147"/>
              <w:rPr>
                <w:highlight w:val="none"/>
              </w:rPr>
            </w:pPr>
            <w:r>
              <w:rPr>
                <w:spacing w:val="6"/>
                <w:highlight w:val="none"/>
              </w:rPr>
              <w:t>证号</w:t>
            </w:r>
          </w:p>
        </w:tc>
        <w:tc>
          <w:tcPr>
            <w:tcW w:w="709" w:type="dxa"/>
            <w:vAlign w:val="top"/>
          </w:tcPr>
          <w:p w14:paraId="4C0FD566">
            <w:pPr>
              <w:pStyle w:val="6"/>
              <w:spacing w:before="290" w:line="220" w:lineRule="auto"/>
              <w:ind w:left="147"/>
              <w:rPr>
                <w:highlight w:val="none"/>
              </w:rPr>
            </w:pPr>
            <w:r>
              <w:rPr>
                <w:spacing w:val="-3"/>
                <w:highlight w:val="none"/>
              </w:rPr>
              <w:t>专业</w:t>
            </w:r>
          </w:p>
        </w:tc>
        <w:tc>
          <w:tcPr>
            <w:tcW w:w="560" w:type="dxa"/>
            <w:vMerge w:val="continue"/>
            <w:tcBorders>
              <w:top w:val="nil"/>
            </w:tcBorders>
            <w:vAlign w:val="top"/>
          </w:tcPr>
          <w:p w14:paraId="0B960FD3">
            <w:pPr>
              <w:rPr>
                <w:rFonts w:ascii="Arial"/>
                <w:sz w:val="21"/>
                <w:highlight w:val="none"/>
              </w:rPr>
            </w:pPr>
          </w:p>
        </w:tc>
        <w:tc>
          <w:tcPr>
            <w:tcW w:w="914" w:type="dxa"/>
            <w:vMerge w:val="continue"/>
            <w:tcBorders>
              <w:top w:val="nil"/>
            </w:tcBorders>
            <w:vAlign w:val="top"/>
          </w:tcPr>
          <w:p w14:paraId="1256FFD6">
            <w:pPr>
              <w:rPr>
                <w:rFonts w:ascii="Arial"/>
                <w:sz w:val="21"/>
                <w:highlight w:val="none"/>
              </w:rPr>
            </w:pPr>
          </w:p>
        </w:tc>
      </w:tr>
      <w:tr w14:paraId="257DA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295" w:type="dxa"/>
            <w:vAlign w:val="top"/>
          </w:tcPr>
          <w:p w14:paraId="53F038F6">
            <w:pPr>
              <w:pStyle w:val="6"/>
              <w:spacing w:before="151" w:line="241" w:lineRule="auto"/>
              <w:ind w:left="85"/>
              <w:rPr>
                <w:highlight w:val="none"/>
              </w:rPr>
            </w:pPr>
            <w:r>
              <w:rPr>
                <w:highlight w:val="none"/>
              </w:rPr>
              <w:t>1</w:t>
            </w:r>
          </w:p>
        </w:tc>
        <w:tc>
          <w:tcPr>
            <w:tcW w:w="619" w:type="dxa"/>
            <w:vAlign w:val="top"/>
          </w:tcPr>
          <w:p w14:paraId="75AE98E0">
            <w:pPr>
              <w:rPr>
                <w:rFonts w:ascii="Arial"/>
                <w:sz w:val="21"/>
                <w:highlight w:val="none"/>
              </w:rPr>
            </w:pPr>
          </w:p>
        </w:tc>
        <w:tc>
          <w:tcPr>
            <w:tcW w:w="569" w:type="dxa"/>
            <w:vAlign w:val="top"/>
          </w:tcPr>
          <w:p w14:paraId="0348F769">
            <w:pPr>
              <w:rPr>
                <w:rFonts w:ascii="Arial"/>
                <w:sz w:val="21"/>
                <w:highlight w:val="none"/>
              </w:rPr>
            </w:pPr>
          </w:p>
        </w:tc>
        <w:tc>
          <w:tcPr>
            <w:tcW w:w="579" w:type="dxa"/>
            <w:vAlign w:val="top"/>
          </w:tcPr>
          <w:p w14:paraId="008D1177">
            <w:pPr>
              <w:rPr>
                <w:rFonts w:ascii="Arial"/>
                <w:sz w:val="21"/>
                <w:highlight w:val="none"/>
              </w:rPr>
            </w:pPr>
          </w:p>
        </w:tc>
        <w:tc>
          <w:tcPr>
            <w:tcW w:w="540" w:type="dxa"/>
            <w:vAlign w:val="top"/>
          </w:tcPr>
          <w:p w14:paraId="1FFA8303">
            <w:pPr>
              <w:rPr>
                <w:rFonts w:ascii="Arial"/>
                <w:sz w:val="21"/>
                <w:highlight w:val="none"/>
              </w:rPr>
            </w:pPr>
          </w:p>
        </w:tc>
        <w:tc>
          <w:tcPr>
            <w:tcW w:w="569" w:type="dxa"/>
            <w:vAlign w:val="top"/>
          </w:tcPr>
          <w:p w14:paraId="75A97CFF">
            <w:pPr>
              <w:rPr>
                <w:rFonts w:ascii="Arial"/>
                <w:sz w:val="21"/>
                <w:highlight w:val="none"/>
              </w:rPr>
            </w:pPr>
          </w:p>
        </w:tc>
        <w:tc>
          <w:tcPr>
            <w:tcW w:w="560" w:type="dxa"/>
            <w:vAlign w:val="top"/>
          </w:tcPr>
          <w:p w14:paraId="6308D5C0">
            <w:pPr>
              <w:rPr>
                <w:rFonts w:ascii="Arial"/>
                <w:sz w:val="21"/>
                <w:highlight w:val="none"/>
              </w:rPr>
            </w:pPr>
          </w:p>
        </w:tc>
        <w:tc>
          <w:tcPr>
            <w:tcW w:w="709" w:type="dxa"/>
            <w:vAlign w:val="top"/>
          </w:tcPr>
          <w:p w14:paraId="69F883F4">
            <w:pPr>
              <w:rPr>
                <w:rFonts w:ascii="Arial"/>
                <w:sz w:val="21"/>
                <w:highlight w:val="none"/>
              </w:rPr>
            </w:pPr>
          </w:p>
        </w:tc>
        <w:tc>
          <w:tcPr>
            <w:tcW w:w="540" w:type="dxa"/>
            <w:vAlign w:val="top"/>
          </w:tcPr>
          <w:p w14:paraId="04830818">
            <w:pPr>
              <w:rPr>
                <w:rFonts w:ascii="Arial"/>
                <w:sz w:val="21"/>
                <w:highlight w:val="none"/>
              </w:rPr>
            </w:pPr>
          </w:p>
        </w:tc>
        <w:tc>
          <w:tcPr>
            <w:tcW w:w="560" w:type="dxa"/>
            <w:vAlign w:val="top"/>
          </w:tcPr>
          <w:p w14:paraId="7F5A745A">
            <w:pPr>
              <w:rPr>
                <w:rFonts w:ascii="Arial"/>
                <w:sz w:val="21"/>
                <w:highlight w:val="none"/>
              </w:rPr>
            </w:pPr>
          </w:p>
        </w:tc>
        <w:tc>
          <w:tcPr>
            <w:tcW w:w="589" w:type="dxa"/>
            <w:vAlign w:val="top"/>
          </w:tcPr>
          <w:p w14:paraId="42459C1A">
            <w:pPr>
              <w:rPr>
                <w:rFonts w:ascii="Arial"/>
                <w:sz w:val="21"/>
                <w:highlight w:val="none"/>
              </w:rPr>
            </w:pPr>
          </w:p>
        </w:tc>
        <w:tc>
          <w:tcPr>
            <w:tcW w:w="829" w:type="dxa"/>
            <w:vAlign w:val="top"/>
          </w:tcPr>
          <w:p w14:paraId="05D844DE">
            <w:pPr>
              <w:rPr>
                <w:rFonts w:ascii="Arial"/>
                <w:sz w:val="21"/>
                <w:highlight w:val="none"/>
              </w:rPr>
            </w:pPr>
          </w:p>
        </w:tc>
        <w:tc>
          <w:tcPr>
            <w:tcW w:w="550" w:type="dxa"/>
            <w:vAlign w:val="top"/>
          </w:tcPr>
          <w:p w14:paraId="4D7AE6C6">
            <w:pPr>
              <w:rPr>
                <w:rFonts w:ascii="Arial"/>
                <w:sz w:val="21"/>
                <w:highlight w:val="none"/>
              </w:rPr>
            </w:pPr>
          </w:p>
        </w:tc>
        <w:tc>
          <w:tcPr>
            <w:tcW w:w="709" w:type="dxa"/>
            <w:vAlign w:val="top"/>
          </w:tcPr>
          <w:p w14:paraId="0B9147D3">
            <w:pPr>
              <w:rPr>
                <w:rFonts w:ascii="Arial"/>
                <w:sz w:val="21"/>
                <w:highlight w:val="none"/>
              </w:rPr>
            </w:pPr>
          </w:p>
        </w:tc>
        <w:tc>
          <w:tcPr>
            <w:tcW w:w="709" w:type="dxa"/>
            <w:vAlign w:val="top"/>
          </w:tcPr>
          <w:p w14:paraId="7971DD38">
            <w:pPr>
              <w:rPr>
                <w:rFonts w:ascii="Arial"/>
                <w:sz w:val="21"/>
                <w:highlight w:val="none"/>
              </w:rPr>
            </w:pPr>
          </w:p>
        </w:tc>
        <w:tc>
          <w:tcPr>
            <w:tcW w:w="560" w:type="dxa"/>
            <w:vAlign w:val="top"/>
          </w:tcPr>
          <w:p w14:paraId="309C1E83">
            <w:pPr>
              <w:rPr>
                <w:rFonts w:ascii="Arial"/>
                <w:sz w:val="21"/>
                <w:highlight w:val="none"/>
              </w:rPr>
            </w:pPr>
          </w:p>
        </w:tc>
        <w:tc>
          <w:tcPr>
            <w:tcW w:w="914" w:type="dxa"/>
            <w:vAlign w:val="top"/>
          </w:tcPr>
          <w:p w14:paraId="258D48AF">
            <w:pPr>
              <w:rPr>
                <w:rFonts w:ascii="Arial"/>
                <w:sz w:val="21"/>
                <w:highlight w:val="none"/>
              </w:rPr>
            </w:pPr>
          </w:p>
        </w:tc>
      </w:tr>
      <w:tr w14:paraId="0BAE1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295" w:type="dxa"/>
            <w:vAlign w:val="top"/>
          </w:tcPr>
          <w:p w14:paraId="5EBE1EEA">
            <w:pPr>
              <w:pStyle w:val="6"/>
              <w:spacing w:before="142" w:line="241" w:lineRule="auto"/>
              <w:ind w:left="85"/>
              <w:rPr>
                <w:highlight w:val="none"/>
              </w:rPr>
            </w:pPr>
            <w:r>
              <w:rPr>
                <w:highlight w:val="none"/>
              </w:rPr>
              <w:t>2</w:t>
            </w:r>
          </w:p>
        </w:tc>
        <w:tc>
          <w:tcPr>
            <w:tcW w:w="619" w:type="dxa"/>
            <w:vAlign w:val="top"/>
          </w:tcPr>
          <w:p w14:paraId="781C57FB">
            <w:pPr>
              <w:rPr>
                <w:rFonts w:ascii="Arial"/>
                <w:sz w:val="21"/>
                <w:highlight w:val="none"/>
              </w:rPr>
            </w:pPr>
          </w:p>
        </w:tc>
        <w:tc>
          <w:tcPr>
            <w:tcW w:w="569" w:type="dxa"/>
            <w:vAlign w:val="top"/>
          </w:tcPr>
          <w:p w14:paraId="029884AF">
            <w:pPr>
              <w:rPr>
                <w:rFonts w:ascii="Arial"/>
                <w:sz w:val="21"/>
                <w:highlight w:val="none"/>
              </w:rPr>
            </w:pPr>
          </w:p>
        </w:tc>
        <w:tc>
          <w:tcPr>
            <w:tcW w:w="579" w:type="dxa"/>
            <w:vAlign w:val="top"/>
          </w:tcPr>
          <w:p w14:paraId="0BE92053">
            <w:pPr>
              <w:rPr>
                <w:rFonts w:ascii="Arial"/>
                <w:sz w:val="21"/>
                <w:highlight w:val="none"/>
              </w:rPr>
            </w:pPr>
          </w:p>
        </w:tc>
        <w:tc>
          <w:tcPr>
            <w:tcW w:w="540" w:type="dxa"/>
            <w:vAlign w:val="top"/>
          </w:tcPr>
          <w:p w14:paraId="2848B06E">
            <w:pPr>
              <w:rPr>
                <w:rFonts w:ascii="Arial"/>
                <w:sz w:val="21"/>
                <w:highlight w:val="none"/>
              </w:rPr>
            </w:pPr>
          </w:p>
        </w:tc>
        <w:tc>
          <w:tcPr>
            <w:tcW w:w="569" w:type="dxa"/>
            <w:vAlign w:val="top"/>
          </w:tcPr>
          <w:p w14:paraId="2F2D58CC">
            <w:pPr>
              <w:rPr>
                <w:rFonts w:ascii="Arial"/>
                <w:sz w:val="21"/>
                <w:highlight w:val="none"/>
              </w:rPr>
            </w:pPr>
          </w:p>
        </w:tc>
        <w:tc>
          <w:tcPr>
            <w:tcW w:w="560" w:type="dxa"/>
            <w:vAlign w:val="top"/>
          </w:tcPr>
          <w:p w14:paraId="21A2BBAB">
            <w:pPr>
              <w:rPr>
                <w:rFonts w:ascii="Arial"/>
                <w:sz w:val="21"/>
                <w:highlight w:val="none"/>
              </w:rPr>
            </w:pPr>
          </w:p>
        </w:tc>
        <w:tc>
          <w:tcPr>
            <w:tcW w:w="709" w:type="dxa"/>
            <w:vAlign w:val="top"/>
          </w:tcPr>
          <w:p w14:paraId="52A047E5">
            <w:pPr>
              <w:rPr>
                <w:rFonts w:ascii="Arial"/>
                <w:sz w:val="21"/>
                <w:highlight w:val="none"/>
              </w:rPr>
            </w:pPr>
          </w:p>
        </w:tc>
        <w:tc>
          <w:tcPr>
            <w:tcW w:w="540" w:type="dxa"/>
            <w:vAlign w:val="top"/>
          </w:tcPr>
          <w:p w14:paraId="35E136AA">
            <w:pPr>
              <w:rPr>
                <w:rFonts w:ascii="Arial"/>
                <w:sz w:val="21"/>
                <w:highlight w:val="none"/>
              </w:rPr>
            </w:pPr>
          </w:p>
        </w:tc>
        <w:tc>
          <w:tcPr>
            <w:tcW w:w="560" w:type="dxa"/>
            <w:vAlign w:val="top"/>
          </w:tcPr>
          <w:p w14:paraId="48CE84E6">
            <w:pPr>
              <w:rPr>
                <w:rFonts w:ascii="Arial"/>
                <w:sz w:val="21"/>
                <w:highlight w:val="none"/>
              </w:rPr>
            </w:pPr>
          </w:p>
        </w:tc>
        <w:tc>
          <w:tcPr>
            <w:tcW w:w="589" w:type="dxa"/>
            <w:vAlign w:val="top"/>
          </w:tcPr>
          <w:p w14:paraId="3B9B7912">
            <w:pPr>
              <w:rPr>
                <w:rFonts w:ascii="Arial"/>
                <w:sz w:val="21"/>
                <w:highlight w:val="none"/>
              </w:rPr>
            </w:pPr>
          </w:p>
        </w:tc>
        <w:tc>
          <w:tcPr>
            <w:tcW w:w="829" w:type="dxa"/>
            <w:vAlign w:val="top"/>
          </w:tcPr>
          <w:p w14:paraId="138CEF34">
            <w:pPr>
              <w:rPr>
                <w:rFonts w:ascii="Arial"/>
                <w:sz w:val="21"/>
                <w:highlight w:val="none"/>
              </w:rPr>
            </w:pPr>
          </w:p>
        </w:tc>
        <w:tc>
          <w:tcPr>
            <w:tcW w:w="550" w:type="dxa"/>
            <w:vAlign w:val="top"/>
          </w:tcPr>
          <w:p w14:paraId="0FEF865F">
            <w:pPr>
              <w:rPr>
                <w:rFonts w:ascii="Arial"/>
                <w:sz w:val="21"/>
                <w:highlight w:val="none"/>
              </w:rPr>
            </w:pPr>
          </w:p>
        </w:tc>
        <w:tc>
          <w:tcPr>
            <w:tcW w:w="709" w:type="dxa"/>
            <w:vAlign w:val="top"/>
          </w:tcPr>
          <w:p w14:paraId="1A03FA9F">
            <w:pPr>
              <w:rPr>
                <w:rFonts w:ascii="Arial"/>
                <w:sz w:val="21"/>
                <w:highlight w:val="none"/>
              </w:rPr>
            </w:pPr>
          </w:p>
        </w:tc>
        <w:tc>
          <w:tcPr>
            <w:tcW w:w="709" w:type="dxa"/>
            <w:vAlign w:val="top"/>
          </w:tcPr>
          <w:p w14:paraId="1B6EFB2B">
            <w:pPr>
              <w:rPr>
                <w:rFonts w:ascii="Arial"/>
                <w:sz w:val="21"/>
                <w:highlight w:val="none"/>
              </w:rPr>
            </w:pPr>
          </w:p>
        </w:tc>
        <w:tc>
          <w:tcPr>
            <w:tcW w:w="560" w:type="dxa"/>
            <w:vAlign w:val="top"/>
          </w:tcPr>
          <w:p w14:paraId="2E0CE931">
            <w:pPr>
              <w:rPr>
                <w:rFonts w:ascii="Arial"/>
                <w:sz w:val="21"/>
                <w:highlight w:val="none"/>
              </w:rPr>
            </w:pPr>
          </w:p>
        </w:tc>
        <w:tc>
          <w:tcPr>
            <w:tcW w:w="914" w:type="dxa"/>
            <w:vAlign w:val="top"/>
          </w:tcPr>
          <w:p w14:paraId="6C7723E0">
            <w:pPr>
              <w:rPr>
                <w:rFonts w:ascii="Arial"/>
                <w:sz w:val="21"/>
                <w:highlight w:val="none"/>
              </w:rPr>
            </w:pPr>
          </w:p>
        </w:tc>
      </w:tr>
      <w:tr w14:paraId="4A8BA6D2">
        <w:tblPrEx>
          <w:tblCellMar>
            <w:top w:w="0" w:type="dxa"/>
            <w:left w:w="0" w:type="dxa"/>
            <w:bottom w:w="0" w:type="dxa"/>
            <w:right w:w="0" w:type="dxa"/>
          </w:tblCellMar>
        </w:tblPrEx>
        <w:trPr>
          <w:trHeight w:val="469" w:hRule="atLeast"/>
        </w:trPr>
        <w:tc>
          <w:tcPr>
            <w:tcW w:w="295" w:type="dxa"/>
            <w:vAlign w:val="top"/>
          </w:tcPr>
          <w:p w14:paraId="7ADD3233">
            <w:pPr>
              <w:pStyle w:val="6"/>
              <w:spacing w:before="153"/>
              <w:ind w:left="85"/>
              <w:rPr>
                <w:highlight w:val="none"/>
              </w:rPr>
            </w:pPr>
            <w:r>
              <w:rPr>
                <w:highlight w:val="none"/>
              </w:rPr>
              <w:t>3</w:t>
            </w:r>
          </w:p>
        </w:tc>
        <w:tc>
          <w:tcPr>
            <w:tcW w:w="619" w:type="dxa"/>
            <w:vAlign w:val="top"/>
          </w:tcPr>
          <w:p w14:paraId="24857B2D">
            <w:pPr>
              <w:rPr>
                <w:rFonts w:ascii="Arial"/>
                <w:sz w:val="21"/>
                <w:highlight w:val="none"/>
              </w:rPr>
            </w:pPr>
          </w:p>
        </w:tc>
        <w:tc>
          <w:tcPr>
            <w:tcW w:w="569" w:type="dxa"/>
            <w:vAlign w:val="top"/>
          </w:tcPr>
          <w:p w14:paraId="66B1769E">
            <w:pPr>
              <w:rPr>
                <w:rFonts w:ascii="Arial"/>
                <w:sz w:val="21"/>
                <w:highlight w:val="none"/>
              </w:rPr>
            </w:pPr>
          </w:p>
        </w:tc>
        <w:tc>
          <w:tcPr>
            <w:tcW w:w="579" w:type="dxa"/>
            <w:vAlign w:val="top"/>
          </w:tcPr>
          <w:p w14:paraId="6DE68483">
            <w:pPr>
              <w:rPr>
                <w:rFonts w:ascii="Arial"/>
                <w:sz w:val="21"/>
                <w:highlight w:val="none"/>
              </w:rPr>
            </w:pPr>
          </w:p>
        </w:tc>
        <w:tc>
          <w:tcPr>
            <w:tcW w:w="540" w:type="dxa"/>
            <w:vAlign w:val="top"/>
          </w:tcPr>
          <w:p w14:paraId="795BA2F7">
            <w:pPr>
              <w:rPr>
                <w:rFonts w:ascii="Arial"/>
                <w:sz w:val="21"/>
                <w:highlight w:val="none"/>
              </w:rPr>
            </w:pPr>
          </w:p>
        </w:tc>
        <w:tc>
          <w:tcPr>
            <w:tcW w:w="569" w:type="dxa"/>
            <w:vAlign w:val="top"/>
          </w:tcPr>
          <w:p w14:paraId="591295FF">
            <w:pPr>
              <w:rPr>
                <w:rFonts w:ascii="Arial"/>
                <w:sz w:val="21"/>
                <w:highlight w:val="none"/>
              </w:rPr>
            </w:pPr>
          </w:p>
        </w:tc>
        <w:tc>
          <w:tcPr>
            <w:tcW w:w="560" w:type="dxa"/>
            <w:vAlign w:val="top"/>
          </w:tcPr>
          <w:p w14:paraId="68A1E16F">
            <w:pPr>
              <w:rPr>
                <w:rFonts w:ascii="Arial"/>
                <w:sz w:val="21"/>
                <w:highlight w:val="none"/>
              </w:rPr>
            </w:pPr>
          </w:p>
        </w:tc>
        <w:tc>
          <w:tcPr>
            <w:tcW w:w="709" w:type="dxa"/>
            <w:vAlign w:val="top"/>
          </w:tcPr>
          <w:p w14:paraId="776850C3">
            <w:pPr>
              <w:rPr>
                <w:rFonts w:ascii="Arial"/>
                <w:sz w:val="21"/>
                <w:highlight w:val="none"/>
              </w:rPr>
            </w:pPr>
          </w:p>
        </w:tc>
        <w:tc>
          <w:tcPr>
            <w:tcW w:w="540" w:type="dxa"/>
            <w:vAlign w:val="top"/>
          </w:tcPr>
          <w:p w14:paraId="650C94EC">
            <w:pPr>
              <w:rPr>
                <w:rFonts w:ascii="Arial"/>
                <w:sz w:val="21"/>
                <w:highlight w:val="none"/>
              </w:rPr>
            </w:pPr>
          </w:p>
        </w:tc>
        <w:tc>
          <w:tcPr>
            <w:tcW w:w="560" w:type="dxa"/>
            <w:vAlign w:val="top"/>
          </w:tcPr>
          <w:p w14:paraId="5A265DDA">
            <w:pPr>
              <w:rPr>
                <w:rFonts w:ascii="Arial"/>
                <w:sz w:val="21"/>
                <w:highlight w:val="none"/>
              </w:rPr>
            </w:pPr>
          </w:p>
        </w:tc>
        <w:tc>
          <w:tcPr>
            <w:tcW w:w="589" w:type="dxa"/>
            <w:vAlign w:val="top"/>
          </w:tcPr>
          <w:p w14:paraId="6C830A8F">
            <w:pPr>
              <w:rPr>
                <w:rFonts w:ascii="Arial"/>
                <w:sz w:val="21"/>
                <w:highlight w:val="none"/>
              </w:rPr>
            </w:pPr>
          </w:p>
        </w:tc>
        <w:tc>
          <w:tcPr>
            <w:tcW w:w="829" w:type="dxa"/>
            <w:vAlign w:val="top"/>
          </w:tcPr>
          <w:p w14:paraId="06FDDB16">
            <w:pPr>
              <w:rPr>
                <w:rFonts w:ascii="Arial"/>
                <w:sz w:val="21"/>
                <w:highlight w:val="none"/>
              </w:rPr>
            </w:pPr>
          </w:p>
        </w:tc>
        <w:tc>
          <w:tcPr>
            <w:tcW w:w="550" w:type="dxa"/>
            <w:vAlign w:val="top"/>
          </w:tcPr>
          <w:p w14:paraId="43360979">
            <w:pPr>
              <w:rPr>
                <w:rFonts w:ascii="Arial"/>
                <w:sz w:val="21"/>
                <w:highlight w:val="none"/>
              </w:rPr>
            </w:pPr>
          </w:p>
        </w:tc>
        <w:tc>
          <w:tcPr>
            <w:tcW w:w="709" w:type="dxa"/>
            <w:vAlign w:val="top"/>
          </w:tcPr>
          <w:p w14:paraId="2A3C3D8F">
            <w:pPr>
              <w:rPr>
                <w:rFonts w:ascii="Arial"/>
                <w:sz w:val="21"/>
                <w:highlight w:val="none"/>
              </w:rPr>
            </w:pPr>
          </w:p>
        </w:tc>
        <w:tc>
          <w:tcPr>
            <w:tcW w:w="709" w:type="dxa"/>
            <w:vAlign w:val="top"/>
          </w:tcPr>
          <w:p w14:paraId="0954B0CB">
            <w:pPr>
              <w:rPr>
                <w:rFonts w:ascii="Arial"/>
                <w:sz w:val="21"/>
                <w:highlight w:val="none"/>
              </w:rPr>
            </w:pPr>
          </w:p>
        </w:tc>
        <w:tc>
          <w:tcPr>
            <w:tcW w:w="560" w:type="dxa"/>
            <w:vAlign w:val="top"/>
          </w:tcPr>
          <w:p w14:paraId="71EF52F6">
            <w:pPr>
              <w:rPr>
                <w:rFonts w:ascii="Arial"/>
                <w:sz w:val="21"/>
                <w:highlight w:val="none"/>
              </w:rPr>
            </w:pPr>
          </w:p>
        </w:tc>
        <w:tc>
          <w:tcPr>
            <w:tcW w:w="914" w:type="dxa"/>
            <w:vAlign w:val="top"/>
          </w:tcPr>
          <w:p w14:paraId="5812C058">
            <w:pPr>
              <w:rPr>
                <w:rFonts w:ascii="Arial"/>
                <w:sz w:val="21"/>
                <w:highlight w:val="none"/>
              </w:rPr>
            </w:pPr>
          </w:p>
        </w:tc>
      </w:tr>
      <w:tr w14:paraId="62905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295" w:type="dxa"/>
            <w:vAlign w:val="top"/>
          </w:tcPr>
          <w:p w14:paraId="20C69DCF">
            <w:pPr>
              <w:pStyle w:val="6"/>
              <w:spacing w:before="144" w:line="241" w:lineRule="auto"/>
              <w:ind w:left="85"/>
              <w:rPr>
                <w:highlight w:val="none"/>
              </w:rPr>
            </w:pPr>
            <w:r>
              <w:rPr>
                <w:highlight w:val="none"/>
              </w:rPr>
              <w:t>4</w:t>
            </w:r>
          </w:p>
        </w:tc>
        <w:tc>
          <w:tcPr>
            <w:tcW w:w="619" w:type="dxa"/>
            <w:vAlign w:val="top"/>
          </w:tcPr>
          <w:p w14:paraId="0C974B70">
            <w:pPr>
              <w:rPr>
                <w:rFonts w:ascii="Arial"/>
                <w:sz w:val="21"/>
                <w:highlight w:val="none"/>
              </w:rPr>
            </w:pPr>
          </w:p>
        </w:tc>
        <w:tc>
          <w:tcPr>
            <w:tcW w:w="569" w:type="dxa"/>
            <w:vAlign w:val="top"/>
          </w:tcPr>
          <w:p w14:paraId="60C51FE9">
            <w:pPr>
              <w:rPr>
                <w:rFonts w:ascii="Arial"/>
                <w:sz w:val="21"/>
                <w:highlight w:val="none"/>
              </w:rPr>
            </w:pPr>
          </w:p>
        </w:tc>
        <w:tc>
          <w:tcPr>
            <w:tcW w:w="579" w:type="dxa"/>
            <w:vAlign w:val="top"/>
          </w:tcPr>
          <w:p w14:paraId="3A7DDAAD">
            <w:pPr>
              <w:rPr>
                <w:rFonts w:ascii="Arial"/>
                <w:sz w:val="21"/>
                <w:highlight w:val="none"/>
              </w:rPr>
            </w:pPr>
          </w:p>
        </w:tc>
        <w:tc>
          <w:tcPr>
            <w:tcW w:w="540" w:type="dxa"/>
            <w:vAlign w:val="top"/>
          </w:tcPr>
          <w:p w14:paraId="3A875D12">
            <w:pPr>
              <w:rPr>
                <w:rFonts w:ascii="Arial"/>
                <w:sz w:val="21"/>
                <w:highlight w:val="none"/>
              </w:rPr>
            </w:pPr>
          </w:p>
        </w:tc>
        <w:tc>
          <w:tcPr>
            <w:tcW w:w="569" w:type="dxa"/>
            <w:vAlign w:val="top"/>
          </w:tcPr>
          <w:p w14:paraId="407CBB2D">
            <w:pPr>
              <w:rPr>
                <w:rFonts w:ascii="Arial"/>
                <w:sz w:val="21"/>
                <w:highlight w:val="none"/>
              </w:rPr>
            </w:pPr>
          </w:p>
        </w:tc>
        <w:tc>
          <w:tcPr>
            <w:tcW w:w="560" w:type="dxa"/>
            <w:vAlign w:val="top"/>
          </w:tcPr>
          <w:p w14:paraId="6821D00E">
            <w:pPr>
              <w:rPr>
                <w:rFonts w:ascii="Arial"/>
                <w:sz w:val="21"/>
                <w:highlight w:val="none"/>
              </w:rPr>
            </w:pPr>
          </w:p>
        </w:tc>
        <w:tc>
          <w:tcPr>
            <w:tcW w:w="709" w:type="dxa"/>
            <w:vAlign w:val="top"/>
          </w:tcPr>
          <w:p w14:paraId="0ADB0CB5">
            <w:pPr>
              <w:rPr>
                <w:rFonts w:ascii="Arial"/>
                <w:sz w:val="21"/>
                <w:highlight w:val="none"/>
              </w:rPr>
            </w:pPr>
          </w:p>
        </w:tc>
        <w:tc>
          <w:tcPr>
            <w:tcW w:w="540" w:type="dxa"/>
            <w:vAlign w:val="top"/>
          </w:tcPr>
          <w:p w14:paraId="022C0951">
            <w:pPr>
              <w:rPr>
                <w:rFonts w:ascii="Arial"/>
                <w:sz w:val="21"/>
                <w:highlight w:val="none"/>
              </w:rPr>
            </w:pPr>
          </w:p>
        </w:tc>
        <w:tc>
          <w:tcPr>
            <w:tcW w:w="560" w:type="dxa"/>
            <w:vAlign w:val="top"/>
          </w:tcPr>
          <w:p w14:paraId="2CEBD086">
            <w:pPr>
              <w:rPr>
                <w:rFonts w:ascii="Arial"/>
                <w:sz w:val="21"/>
                <w:highlight w:val="none"/>
              </w:rPr>
            </w:pPr>
          </w:p>
        </w:tc>
        <w:tc>
          <w:tcPr>
            <w:tcW w:w="589" w:type="dxa"/>
            <w:vAlign w:val="top"/>
          </w:tcPr>
          <w:p w14:paraId="4064D308">
            <w:pPr>
              <w:rPr>
                <w:rFonts w:ascii="Arial"/>
                <w:sz w:val="21"/>
                <w:highlight w:val="none"/>
              </w:rPr>
            </w:pPr>
          </w:p>
        </w:tc>
        <w:tc>
          <w:tcPr>
            <w:tcW w:w="829" w:type="dxa"/>
            <w:vAlign w:val="top"/>
          </w:tcPr>
          <w:p w14:paraId="0B5680FA">
            <w:pPr>
              <w:rPr>
                <w:rFonts w:ascii="Arial"/>
                <w:sz w:val="21"/>
                <w:highlight w:val="none"/>
              </w:rPr>
            </w:pPr>
          </w:p>
        </w:tc>
        <w:tc>
          <w:tcPr>
            <w:tcW w:w="550" w:type="dxa"/>
            <w:vAlign w:val="top"/>
          </w:tcPr>
          <w:p w14:paraId="0A9221BF">
            <w:pPr>
              <w:rPr>
                <w:rFonts w:ascii="Arial"/>
                <w:sz w:val="21"/>
                <w:highlight w:val="none"/>
              </w:rPr>
            </w:pPr>
          </w:p>
        </w:tc>
        <w:tc>
          <w:tcPr>
            <w:tcW w:w="709" w:type="dxa"/>
            <w:vAlign w:val="top"/>
          </w:tcPr>
          <w:p w14:paraId="5FDE50C9">
            <w:pPr>
              <w:rPr>
                <w:rFonts w:ascii="Arial"/>
                <w:sz w:val="21"/>
                <w:highlight w:val="none"/>
              </w:rPr>
            </w:pPr>
          </w:p>
        </w:tc>
        <w:tc>
          <w:tcPr>
            <w:tcW w:w="709" w:type="dxa"/>
            <w:vAlign w:val="top"/>
          </w:tcPr>
          <w:p w14:paraId="0D2CEF6F">
            <w:pPr>
              <w:rPr>
                <w:rFonts w:ascii="Arial"/>
                <w:sz w:val="21"/>
                <w:highlight w:val="none"/>
              </w:rPr>
            </w:pPr>
          </w:p>
        </w:tc>
        <w:tc>
          <w:tcPr>
            <w:tcW w:w="560" w:type="dxa"/>
            <w:vAlign w:val="top"/>
          </w:tcPr>
          <w:p w14:paraId="0366D0A7">
            <w:pPr>
              <w:rPr>
                <w:rFonts w:ascii="Arial"/>
                <w:sz w:val="21"/>
                <w:highlight w:val="none"/>
              </w:rPr>
            </w:pPr>
          </w:p>
        </w:tc>
        <w:tc>
          <w:tcPr>
            <w:tcW w:w="914" w:type="dxa"/>
            <w:vAlign w:val="top"/>
          </w:tcPr>
          <w:p w14:paraId="77B42555">
            <w:pPr>
              <w:rPr>
                <w:rFonts w:ascii="Arial"/>
                <w:sz w:val="21"/>
                <w:highlight w:val="none"/>
              </w:rPr>
            </w:pPr>
          </w:p>
        </w:tc>
      </w:tr>
      <w:tr w14:paraId="3B303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295" w:type="dxa"/>
            <w:vAlign w:val="top"/>
          </w:tcPr>
          <w:p w14:paraId="2A087877">
            <w:pPr>
              <w:pStyle w:val="6"/>
              <w:spacing w:before="205" w:line="205" w:lineRule="auto"/>
              <w:ind w:left="85"/>
              <w:rPr>
                <w:highlight w:val="none"/>
              </w:rPr>
            </w:pPr>
            <w:r>
              <w:rPr>
                <w:highlight w:val="none"/>
              </w:rPr>
              <w:t>5</w:t>
            </w:r>
          </w:p>
        </w:tc>
        <w:tc>
          <w:tcPr>
            <w:tcW w:w="619" w:type="dxa"/>
            <w:vAlign w:val="top"/>
          </w:tcPr>
          <w:p w14:paraId="11B142F4">
            <w:pPr>
              <w:rPr>
                <w:rFonts w:ascii="Arial"/>
                <w:sz w:val="21"/>
                <w:highlight w:val="none"/>
              </w:rPr>
            </w:pPr>
          </w:p>
        </w:tc>
        <w:tc>
          <w:tcPr>
            <w:tcW w:w="569" w:type="dxa"/>
            <w:vAlign w:val="top"/>
          </w:tcPr>
          <w:p w14:paraId="03BD42EF">
            <w:pPr>
              <w:rPr>
                <w:rFonts w:ascii="Arial"/>
                <w:sz w:val="21"/>
                <w:highlight w:val="none"/>
              </w:rPr>
            </w:pPr>
          </w:p>
        </w:tc>
        <w:tc>
          <w:tcPr>
            <w:tcW w:w="579" w:type="dxa"/>
            <w:vAlign w:val="top"/>
          </w:tcPr>
          <w:p w14:paraId="44CCCF02">
            <w:pPr>
              <w:rPr>
                <w:rFonts w:ascii="Arial"/>
                <w:sz w:val="21"/>
                <w:highlight w:val="none"/>
              </w:rPr>
            </w:pPr>
          </w:p>
        </w:tc>
        <w:tc>
          <w:tcPr>
            <w:tcW w:w="540" w:type="dxa"/>
            <w:vAlign w:val="top"/>
          </w:tcPr>
          <w:p w14:paraId="54C83F8F">
            <w:pPr>
              <w:rPr>
                <w:rFonts w:ascii="Arial"/>
                <w:sz w:val="21"/>
                <w:highlight w:val="none"/>
              </w:rPr>
            </w:pPr>
          </w:p>
        </w:tc>
        <w:tc>
          <w:tcPr>
            <w:tcW w:w="569" w:type="dxa"/>
            <w:vAlign w:val="top"/>
          </w:tcPr>
          <w:p w14:paraId="0E26B93F">
            <w:pPr>
              <w:rPr>
                <w:rFonts w:ascii="Arial"/>
                <w:sz w:val="21"/>
                <w:highlight w:val="none"/>
              </w:rPr>
            </w:pPr>
          </w:p>
        </w:tc>
        <w:tc>
          <w:tcPr>
            <w:tcW w:w="560" w:type="dxa"/>
            <w:vAlign w:val="top"/>
          </w:tcPr>
          <w:p w14:paraId="6E51AEC2">
            <w:pPr>
              <w:rPr>
                <w:rFonts w:ascii="Arial"/>
                <w:sz w:val="21"/>
                <w:highlight w:val="none"/>
              </w:rPr>
            </w:pPr>
          </w:p>
        </w:tc>
        <w:tc>
          <w:tcPr>
            <w:tcW w:w="709" w:type="dxa"/>
            <w:vAlign w:val="top"/>
          </w:tcPr>
          <w:p w14:paraId="17FFAAE0">
            <w:pPr>
              <w:rPr>
                <w:rFonts w:ascii="Arial"/>
                <w:sz w:val="21"/>
                <w:highlight w:val="none"/>
              </w:rPr>
            </w:pPr>
          </w:p>
        </w:tc>
        <w:tc>
          <w:tcPr>
            <w:tcW w:w="540" w:type="dxa"/>
            <w:vAlign w:val="top"/>
          </w:tcPr>
          <w:p w14:paraId="2E295DE4">
            <w:pPr>
              <w:rPr>
                <w:rFonts w:ascii="Arial"/>
                <w:sz w:val="21"/>
                <w:highlight w:val="none"/>
              </w:rPr>
            </w:pPr>
          </w:p>
        </w:tc>
        <w:tc>
          <w:tcPr>
            <w:tcW w:w="560" w:type="dxa"/>
            <w:vAlign w:val="top"/>
          </w:tcPr>
          <w:p w14:paraId="75914B52">
            <w:pPr>
              <w:rPr>
                <w:rFonts w:ascii="Arial"/>
                <w:sz w:val="21"/>
                <w:highlight w:val="none"/>
              </w:rPr>
            </w:pPr>
          </w:p>
        </w:tc>
        <w:tc>
          <w:tcPr>
            <w:tcW w:w="589" w:type="dxa"/>
            <w:vAlign w:val="top"/>
          </w:tcPr>
          <w:p w14:paraId="4851B278">
            <w:pPr>
              <w:rPr>
                <w:rFonts w:ascii="Arial"/>
                <w:sz w:val="21"/>
                <w:highlight w:val="none"/>
              </w:rPr>
            </w:pPr>
          </w:p>
        </w:tc>
        <w:tc>
          <w:tcPr>
            <w:tcW w:w="829" w:type="dxa"/>
            <w:vAlign w:val="top"/>
          </w:tcPr>
          <w:p w14:paraId="3F0D3E86">
            <w:pPr>
              <w:rPr>
                <w:rFonts w:ascii="Arial"/>
                <w:sz w:val="21"/>
                <w:highlight w:val="none"/>
              </w:rPr>
            </w:pPr>
          </w:p>
        </w:tc>
        <w:tc>
          <w:tcPr>
            <w:tcW w:w="550" w:type="dxa"/>
            <w:vAlign w:val="top"/>
          </w:tcPr>
          <w:p w14:paraId="3CEFAE8D">
            <w:pPr>
              <w:rPr>
                <w:rFonts w:ascii="Arial"/>
                <w:sz w:val="21"/>
                <w:highlight w:val="none"/>
              </w:rPr>
            </w:pPr>
          </w:p>
        </w:tc>
        <w:tc>
          <w:tcPr>
            <w:tcW w:w="709" w:type="dxa"/>
            <w:vAlign w:val="top"/>
          </w:tcPr>
          <w:p w14:paraId="4D34FE0D">
            <w:pPr>
              <w:rPr>
                <w:rFonts w:ascii="Arial"/>
                <w:sz w:val="21"/>
                <w:highlight w:val="none"/>
              </w:rPr>
            </w:pPr>
          </w:p>
        </w:tc>
        <w:tc>
          <w:tcPr>
            <w:tcW w:w="709" w:type="dxa"/>
            <w:vAlign w:val="top"/>
          </w:tcPr>
          <w:p w14:paraId="477C39CC">
            <w:pPr>
              <w:rPr>
                <w:rFonts w:ascii="Arial"/>
                <w:sz w:val="21"/>
                <w:highlight w:val="none"/>
              </w:rPr>
            </w:pPr>
          </w:p>
        </w:tc>
        <w:tc>
          <w:tcPr>
            <w:tcW w:w="560" w:type="dxa"/>
            <w:vAlign w:val="top"/>
          </w:tcPr>
          <w:p w14:paraId="7E466ECA">
            <w:pPr>
              <w:rPr>
                <w:rFonts w:ascii="Arial"/>
                <w:sz w:val="21"/>
                <w:highlight w:val="none"/>
              </w:rPr>
            </w:pPr>
          </w:p>
        </w:tc>
        <w:tc>
          <w:tcPr>
            <w:tcW w:w="914" w:type="dxa"/>
            <w:vAlign w:val="top"/>
          </w:tcPr>
          <w:p w14:paraId="0F7DC996">
            <w:pPr>
              <w:rPr>
                <w:rFonts w:ascii="Arial"/>
                <w:sz w:val="21"/>
                <w:highlight w:val="none"/>
              </w:rPr>
            </w:pPr>
          </w:p>
        </w:tc>
      </w:tr>
      <w:tr w14:paraId="5810E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295" w:type="dxa"/>
            <w:vAlign w:val="top"/>
          </w:tcPr>
          <w:p w14:paraId="2AEE64C5">
            <w:pPr>
              <w:pStyle w:val="6"/>
              <w:spacing w:before="206" w:line="205" w:lineRule="auto"/>
              <w:ind w:left="85"/>
              <w:rPr>
                <w:highlight w:val="none"/>
              </w:rPr>
            </w:pPr>
            <w:r>
              <w:rPr>
                <w:highlight w:val="none"/>
              </w:rPr>
              <w:t>6</w:t>
            </w:r>
          </w:p>
        </w:tc>
        <w:tc>
          <w:tcPr>
            <w:tcW w:w="619" w:type="dxa"/>
            <w:vAlign w:val="top"/>
          </w:tcPr>
          <w:p w14:paraId="4B580FD8">
            <w:pPr>
              <w:rPr>
                <w:rFonts w:ascii="Arial"/>
                <w:sz w:val="21"/>
                <w:highlight w:val="none"/>
              </w:rPr>
            </w:pPr>
          </w:p>
        </w:tc>
        <w:tc>
          <w:tcPr>
            <w:tcW w:w="569" w:type="dxa"/>
            <w:vAlign w:val="top"/>
          </w:tcPr>
          <w:p w14:paraId="008D323D">
            <w:pPr>
              <w:rPr>
                <w:rFonts w:ascii="Arial"/>
                <w:sz w:val="21"/>
                <w:highlight w:val="none"/>
              </w:rPr>
            </w:pPr>
          </w:p>
        </w:tc>
        <w:tc>
          <w:tcPr>
            <w:tcW w:w="579" w:type="dxa"/>
            <w:vAlign w:val="top"/>
          </w:tcPr>
          <w:p w14:paraId="52E2E95D">
            <w:pPr>
              <w:rPr>
                <w:rFonts w:ascii="Arial"/>
                <w:sz w:val="21"/>
                <w:highlight w:val="none"/>
              </w:rPr>
            </w:pPr>
          </w:p>
        </w:tc>
        <w:tc>
          <w:tcPr>
            <w:tcW w:w="540" w:type="dxa"/>
            <w:vAlign w:val="top"/>
          </w:tcPr>
          <w:p w14:paraId="1B5526D5">
            <w:pPr>
              <w:rPr>
                <w:rFonts w:ascii="Arial"/>
                <w:sz w:val="21"/>
                <w:highlight w:val="none"/>
              </w:rPr>
            </w:pPr>
          </w:p>
        </w:tc>
        <w:tc>
          <w:tcPr>
            <w:tcW w:w="569" w:type="dxa"/>
            <w:vAlign w:val="top"/>
          </w:tcPr>
          <w:p w14:paraId="65ED6892">
            <w:pPr>
              <w:rPr>
                <w:rFonts w:ascii="Arial"/>
                <w:sz w:val="21"/>
                <w:highlight w:val="none"/>
              </w:rPr>
            </w:pPr>
          </w:p>
        </w:tc>
        <w:tc>
          <w:tcPr>
            <w:tcW w:w="560" w:type="dxa"/>
            <w:vAlign w:val="top"/>
          </w:tcPr>
          <w:p w14:paraId="132AB778">
            <w:pPr>
              <w:rPr>
                <w:rFonts w:ascii="Arial"/>
                <w:sz w:val="21"/>
                <w:highlight w:val="none"/>
              </w:rPr>
            </w:pPr>
          </w:p>
        </w:tc>
        <w:tc>
          <w:tcPr>
            <w:tcW w:w="709" w:type="dxa"/>
            <w:vAlign w:val="top"/>
          </w:tcPr>
          <w:p w14:paraId="1990E900">
            <w:pPr>
              <w:rPr>
                <w:rFonts w:ascii="Arial"/>
                <w:sz w:val="21"/>
                <w:highlight w:val="none"/>
              </w:rPr>
            </w:pPr>
          </w:p>
        </w:tc>
        <w:tc>
          <w:tcPr>
            <w:tcW w:w="540" w:type="dxa"/>
            <w:vAlign w:val="top"/>
          </w:tcPr>
          <w:p w14:paraId="06346562">
            <w:pPr>
              <w:rPr>
                <w:rFonts w:ascii="Arial"/>
                <w:sz w:val="21"/>
                <w:highlight w:val="none"/>
              </w:rPr>
            </w:pPr>
          </w:p>
        </w:tc>
        <w:tc>
          <w:tcPr>
            <w:tcW w:w="560" w:type="dxa"/>
            <w:vAlign w:val="top"/>
          </w:tcPr>
          <w:p w14:paraId="16F7A306">
            <w:pPr>
              <w:rPr>
                <w:rFonts w:ascii="Arial"/>
                <w:sz w:val="21"/>
                <w:highlight w:val="none"/>
              </w:rPr>
            </w:pPr>
          </w:p>
        </w:tc>
        <w:tc>
          <w:tcPr>
            <w:tcW w:w="589" w:type="dxa"/>
            <w:vAlign w:val="top"/>
          </w:tcPr>
          <w:p w14:paraId="44321583">
            <w:pPr>
              <w:rPr>
                <w:rFonts w:ascii="Arial"/>
                <w:sz w:val="21"/>
                <w:highlight w:val="none"/>
              </w:rPr>
            </w:pPr>
          </w:p>
        </w:tc>
        <w:tc>
          <w:tcPr>
            <w:tcW w:w="829" w:type="dxa"/>
            <w:vAlign w:val="top"/>
          </w:tcPr>
          <w:p w14:paraId="4EA0D8C7">
            <w:pPr>
              <w:rPr>
                <w:rFonts w:ascii="Arial"/>
                <w:sz w:val="21"/>
                <w:highlight w:val="none"/>
              </w:rPr>
            </w:pPr>
          </w:p>
        </w:tc>
        <w:tc>
          <w:tcPr>
            <w:tcW w:w="550" w:type="dxa"/>
            <w:vAlign w:val="top"/>
          </w:tcPr>
          <w:p w14:paraId="255D77D4">
            <w:pPr>
              <w:rPr>
                <w:rFonts w:ascii="Arial"/>
                <w:sz w:val="21"/>
                <w:highlight w:val="none"/>
              </w:rPr>
            </w:pPr>
          </w:p>
        </w:tc>
        <w:tc>
          <w:tcPr>
            <w:tcW w:w="709" w:type="dxa"/>
            <w:vAlign w:val="top"/>
          </w:tcPr>
          <w:p w14:paraId="5A6E4FC7">
            <w:pPr>
              <w:rPr>
                <w:rFonts w:ascii="Arial"/>
                <w:sz w:val="21"/>
                <w:highlight w:val="none"/>
              </w:rPr>
            </w:pPr>
          </w:p>
        </w:tc>
        <w:tc>
          <w:tcPr>
            <w:tcW w:w="709" w:type="dxa"/>
            <w:vAlign w:val="top"/>
          </w:tcPr>
          <w:p w14:paraId="1E0058AC">
            <w:pPr>
              <w:rPr>
                <w:rFonts w:ascii="Arial"/>
                <w:sz w:val="21"/>
                <w:highlight w:val="none"/>
              </w:rPr>
            </w:pPr>
          </w:p>
        </w:tc>
        <w:tc>
          <w:tcPr>
            <w:tcW w:w="560" w:type="dxa"/>
            <w:vAlign w:val="top"/>
          </w:tcPr>
          <w:p w14:paraId="0A799A26">
            <w:pPr>
              <w:rPr>
                <w:rFonts w:ascii="Arial"/>
                <w:sz w:val="21"/>
                <w:highlight w:val="none"/>
              </w:rPr>
            </w:pPr>
          </w:p>
        </w:tc>
        <w:tc>
          <w:tcPr>
            <w:tcW w:w="914" w:type="dxa"/>
            <w:vAlign w:val="top"/>
          </w:tcPr>
          <w:p w14:paraId="33279853">
            <w:pPr>
              <w:rPr>
                <w:rFonts w:ascii="Arial"/>
                <w:sz w:val="21"/>
                <w:highlight w:val="none"/>
              </w:rPr>
            </w:pPr>
          </w:p>
        </w:tc>
      </w:tr>
      <w:tr w14:paraId="2C950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295" w:type="dxa"/>
            <w:vAlign w:val="top"/>
          </w:tcPr>
          <w:p w14:paraId="5BBA239F">
            <w:pPr>
              <w:pStyle w:val="6"/>
              <w:spacing w:before="206" w:line="222" w:lineRule="auto"/>
              <w:ind w:left="85"/>
              <w:rPr>
                <w:highlight w:val="none"/>
              </w:rPr>
            </w:pPr>
            <w:r>
              <w:rPr>
                <w:highlight w:val="none"/>
              </w:rPr>
              <w:t>7</w:t>
            </w:r>
          </w:p>
        </w:tc>
        <w:tc>
          <w:tcPr>
            <w:tcW w:w="619" w:type="dxa"/>
            <w:vAlign w:val="top"/>
          </w:tcPr>
          <w:p w14:paraId="13E1A05F">
            <w:pPr>
              <w:rPr>
                <w:rFonts w:ascii="Arial"/>
                <w:sz w:val="21"/>
                <w:highlight w:val="none"/>
              </w:rPr>
            </w:pPr>
          </w:p>
        </w:tc>
        <w:tc>
          <w:tcPr>
            <w:tcW w:w="569" w:type="dxa"/>
            <w:vAlign w:val="top"/>
          </w:tcPr>
          <w:p w14:paraId="0913187E">
            <w:pPr>
              <w:rPr>
                <w:rFonts w:ascii="Arial"/>
                <w:sz w:val="21"/>
                <w:highlight w:val="none"/>
              </w:rPr>
            </w:pPr>
          </w:p>
        </w:tc>
        <w:tc>
          <w:tcPr>
            <w:tcW w:w="579" w:type="dxa"/>
            <w:vAlign w:val="top"/>
          </w:tcPr>
          <w:p w14:paraId="6CEA1FE4">
            <w:pPr>
              <w:rPr>
                <w:rFonts w:ascii="Arial"/>
                <w:sz w:val="21"/>
                <w:highlight w:val="none"/>
              </w:rPr>
            </w:pPr>
          </w:p>
        </w:tc>
        <w:tc>
          <w:tcPr>
            <w:tcW w:w="540" w:type="dxa"/>
            <w:vAlign w:val="top"/>
          </w:tcPr>
          <w:p w14:paraId="7CD4405E">
            <w:pPr>
              <w:rPr>
                <w:rFonts w:ascii="Arial"/>
                <w:sz w:val="21"/>
                <w:highlight w:val="none"/>
              </w:rPr>
            </w:pPr>
          </w:p>
        </w:tc>
        <w:tc>
          <w:tcPr>
            <w:tcW w:w="569" w:type="dxa"/>
            <w:vAlign w:val="top"/>
          </w:tcPr>
          <w:p w14:paraId="0FCB99D2">
            <w:pPr>
              <w:rPr>
                <w:rFonts w:ascii="Arial"/>
                <w:sz w:val="21"/>
                <w:highlight w:val="none"/>
              </w:rPr>
            </w:pPr>
          </w:p>
        </w:tc>
        <w:tc>
          <w:tcPr>
            <w:tcW w:w="560" w:type="dxa"/>
            <w:vAlign w:val="top"/>
          </w:tcPr>
          <w:p w14:paraId="76F8BD18">
            <w:pPr>
              <w:rPr>
                <w:rFonts w:ascii="Arial"/>
                <w:sz w:val="21"/>
                <w:highlight w:val="none"/>
              </w:rPr>
            </w:pPr>
          </w:p>
        </w:tc>
        <w:tc>
          <w:tcPr>
            <w:tcW w:w="709" w:type="dxa"/>
            <w:vAlign w:val="top"/>
          </w:tcPr>
          <w:p w14:paraId="57394EC3">
            <w:pPr>
              <w:rPr>
                <w:rFonts w:ascii="Arial"/>
                <w:sz w:val="21"/>
                <w:highlight w:val="none"/>
              </w:rPr>
            </w:pPr>
          </w:p>
        </w:tc>
        <w:tc>
          <w:tcPr>
            <w:tcW w:w="540" w:type="dxa"/>
            <w:vAlign w:val="top"/>
          </w:tcPr>
          <w:p w14:paraId="2143E003">
            <w:pPr>
              <w:rPr>
                <w:rFonts w:ascii="Arial"/>
                <w:sz w:val="21"/>
                <w:highlight w:val="none"/>
              </w:rPr>
            </w:pPr>
          </w:p>
        </w:tc>
        <w:tc>
          <w:tcPr>
            <w:tcW w:w="560" w:type="dxa"/>
            <w:vAlign w:val="top"/>
          </w:tcPr>
          <w:p w14:paraId="6C30CCE4">
            <w:pPr>
              <w:rPr>
                <w:rFonts w:ascii="Arial"/>
                <w:sz w:val="21"/>
                <w:highlight w:val="none"/>
              </w:rPr>
            </w:pPr>
          </w:p>
        </w:tc>
        <w:tc>
          <w:tcPr>
            <w:tcW w:w="589" w:type="dxa"/>
            <w:vAlign w:val="top"/>
          </w:tcPr>
          <w:p w14:paraId="73784DB9">
            <w:pPr>
              <w:rPr>
                <w:rFonts w:ascii="Arial"/>
                <w:sz w:val="21"/>
                <w:highlight w:val="none"/>
              </w:rPr>
            </w:pPr>
          </w:p>
        </w:tc>
        <w:tc>
          <w:tcPr>
            <w:tcW w:w="829" w:type="dxa"/>
            <w:vAlign w:val="top"/>
          </w:tcPr>
          <w:p w14:paraId="6C1D8242">
            <w:pPr>
              <w:rPr>
                <w:rFonts w:ascii="Arial"/>
                <w:sz w:val="21"/>
                <w:highlight w:val="none"/>
              </w:rPr>
            </w:pPr>
          </w:p>
        </w:tc>
        <w:tc>
          <w:tcPr>
            <w:tcW w:w="550" w:type="dxa"/>
            <w:vAlign w:val="top"/>
          </w:tcPr>
          <w:p w14:paraId="03B52DE6">
            <w:pPr>
              <w:rPr>
                <w:rFonts w:ascii="Arial"/>
                <w:sz w:val="21"/>
                <w:highlight w:val="none"/>
              </w:rPr>
            </w:pPr>
          </w:p>
        </w:tc>
        <w:tc>
          <w:tcPr>
            <w:tcW w:w="709" w:type="dxa"/>
            <w:vAlign w:val="top"/>
          </w:tcPr>
          <w:p w14:paraId="15126CA1">
            <w:pPr>
              <w:rPr>
                <w:rFonts w:ascii="Arial"/>
                <w:sz w:val="21"/>
                <w:highlight w:val="none"/>
              </w:rPr>
            </w:pPr>
          </w:p>
        </w:tc>
        <w:tc>
          <w:tcPr>
            <w:tcW w:w="709" w:type="dxa"/>
            <w:vAlign w:val="top"/>
          </w:tcPr>
          <w:p w14:paraId="05B3CFF7">
            <w:pPr>
              <w:rPr>
                <w:rFonts w:ascii="Arial"/>
                <w:sz w:val="21"/>
                <w:highlight w:val="none"/>
              </w:rPr>
            </w:pPr>
          </w:p>
        </w:tc>
        <w:tc>
          <w:tcPr>
            <w:tcW w:w="560" w:type="dxa"/>
            <w:vAlign w:val="top"/>
          </w:tcPr>
          <w:p w14:paraId="55ACCDF8">
            <w:pPr>
              <w:rPr>
                <w:rFonts w:ascii="Arial"/>
                <w:sz w:val="21"/>
                <w:highlight w:val="none"/>
              </w:rPr>
            </w:pPr>
          </w:p>
        </w:tc>
        <w:tc>
          <w:tcPr>
            <w:tcW w:w="914" w:type="dxa"/>
            <w:vAlign w:val="top"/>
          </w:tcPr>
          <w:p w14:paraId="312CDB85">
            <w:pPr>
              <w:rPr>
                <w:rFonts w:ascii="Arial"/>
                <w:sz w:val="21"/>
                <w:highlight w:val="none"/>
              </w:rPr>
            </w:pPr>
          </w:p>
        </w:tc>
      </w:tr>
      <w:tr w14:paraId="506D1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295" w:type="dxa"/>
            <w:vAlign w:val="top"/>
          </w:tcPr>
          <w:p w14:paraId="3CF8BD25">
            <w:pPr>
              <w:pStyle w:val="6"/>
              <w:spacing w:before="147"/>
              <w:ind w:left="85"/>
              <w:rPr>
                <w:highlight w:val="none"/>
              </w:rPr>
            </w:pPr>
            <w:r>
              <w:rPr>
                <w:highlight w:val="none"/>
              </w:rPr>
              <w:t>8</w:t>
            </w:r>
          </w:p>
        </w:tc>
        <w:tc>
          <w:tcPr>
            <w:tcW w:w="619" w:type="dxa"/>
            <w:vAlign w:val="top"/>
          </w:tcPr>
          <w:p w14:paraId="7D26D15C">
            <w:pPr>
              <w:rPr>
                <w:rFonts w:ascii="Arial"/>
                <w:sz w:val="21"/>
                <w:highlight w:val="none"/>
              </w:rPr>
            </w:pPr>
          </w:p>
        </w:tc>
        <w:tc>
          <w:tcPr>
            <w:tcW w:w="569" w:type="dxa"/>
            <w:vAlign w:val="top"/>
          </w:tcPr>
          <w:p w14:paraId="4C180788">
            <w:pPr>
              <w:rPr>
                <w:rFonts w:ascii="Arial"/>
                <w:sz w:val="21"/>
                <w:highlight w:val="none"/>
              </w:rPr>
            </w:pPr>
          </w:p>
        </w:tc>
        <w:tc>
          <w:tcPr>
            <w:tcW w:w="579" w:type="dxa"/>
            <w:vAlign w:val="top"/>
          </w:tcPr>
          <w:p w14:paraId="74506CD3">
            <w:pPr>
              <w:rPr>
                <w:rFonts w:ascii="Arial"/>
                <w:sz w:val="21"/>
                <w:highlight w:val="none"/>
              </w:rPr>
            </w:pPr>
          </w:p>
        </w:tc>
        <w:tc>
          <w:tcPr>
            <w:tcW w:w="540" w:type="dxa"/>
            <w:vAlign w:val="top"/>
          </w:tcPr>
          <w:p w14:paraId="23528334">
            <w:pPr>
              <w:rPr>
                <w:rFonts w:ascii="Arial"/>
                <w:sz w:val="21"/>
                <w:highlight w:val="none"/>
              </w:rPr>
            </w:pPr>
          </w:p>
        </w:tc>
        <w:tc>
          <w:tcPr>
            <w:tcW w:w="569" w:type="dxa"/>
            <w:vAlign w:val="top"/>
          </w:tcPr>
          <w:p w14:paraId="3B09A8A4">
            <w:pPr>
              <w:rPr>
                <w:rFonts w:ascii="Arial"/>
                <w:sz w:val="21"/>
                <w:highlight w:val="none"/>
              </w:rPr>
            </w:pPr>
          </w:p>
        </w:tc>
        <w:tc>
          <w:tcPr>
            <w:tcW w:w="560" w:type="dxa"/>
            <w:vAlign w:val="top"/>
          </w:tcPr>
          <w:p w14:paraId="3B767A42">
            <w:pPr>
              <w:rPr>
                <w:rFonts w:ascii="Arial"/>
                <w:sz w:val="21"/>
                <w:highlight w:val="none"/>
              </w:rPr>
            </w:pPr>
          </w:p>
        </w:tc>
        <w:tc>
          <w:tcPr>
            <w:tcW w:w="709" w:type="dxa"/>
            <w:vAlign w:val="top"/>
          </w:tcPr>
          <w:p w14:paraId="0643D81E">
            <w:pPr>
              <w:rPr>
                <w:rFonts w:ascii="Arial"/>
                <w:sz w:val="21"/>
                <w:highlight w:val="none"/>
              </w:rPr>
            </w:pPr>
          </w:p>
        </w:tc>
        <w:tc>
          <w:tcPr>
            <w:tcW w:w="540" w:type="dxa"/>
            <w:vAlign w:val="top"/>
          </w:tcPr>
          <w:p w14:paraId="22FB8F2F">
            <w:pPr>
              <w:rPr>
                <w:rFonts w:ascii="Arial"/>
                <w:sz w:val="21"/>
                <w:highlight w:val="none"/>
              </w:rPr>
            </w:pPr>
          </w:p>
        </w:tc>
        <w:tc>
          <w:tcPr>
            <w:tcW w:w="560" w:type="dxa"/>
            <w:vAlign w:val="top"/>
          </w:tcPr>
          <w:p w14:paraId="799A5963">
            <w:pPr>
              <w:rPr>
                <w:rFonts w:ascii="Arial"/>
                <w:sz w:val="21"/>
                <w:highlight w:val="none"/>
              </w:rPr>
            </w:pPr>
          </w:p>
        </w:tc>
        <w:tc>
          <w:tcPr>
            <w:tcW w:w="589" w:type="dxa"/>
            <w:vAlign w:val="top"/>
          </w:tcPr>
          <w:p w14:paraId="0350E553">
            <w:pPr>
              <w:rPr>
                <w:rFonts w:ascii="Arial"/>
                <w:sz w:val="21"/>
                <w:highlight w:val="none"/>
              </w:rPr>
            </w:pPr>
          </w:p>
        </w:tc>
        <w:tc>
          <w:tcPr>
            <w:tcW w:w="829" w:type="dxa"/>
            <w:vAlign w:val="top"/>
          </w:tcPr>
          <w:p w14:paraId="7B513316">
            <w:pPr>
              <w:rPr>
                <w:rFonts w:ascii="Arial"/>
                <w:sz w:val="21"/>
                <w:highlight w:val="none"/>
              </w:rPr>
            </w:pPr>
          </w:p>
        </w:tc>
        <w:tc>
          <w:tcPr>
            <w:tcW w:w="550" w:type="dxa"/>
            <w:vAlign w:val="top"/>
          </w:tcPr>
          <w:p w14:paraId="41B04AFE">
            <w:pPr>
              <w:rPr>
                <w:rFonts w:ascii="Arial"/>
                <w:sz w:val="21"/>
                <w:highlight w:val="none"/>
              </w:rPr>
            </w:pPr>
          </w:p>
        </w:tc>
        <w:tc>
          <w:tcPr>
            <w:tcW w:w="709" w:type="dxa"/>
            <w:vAlign w:val="top"/>
          </w:tcPr>
          <w:p w14:paraId="407519DD">
            <w:pPr>
              <w:rPr>
                <w:rFonts w:ascii="Arial"/>
                <w:sz w:val="21"/>
                <w:highlight w:val="none"/>
              </w:rPr>
            </w:pPr>
          </w:p>
        </w:tc>
        <w:tc>
          <w:tcPr>
            <w:tcW w:w="709" w:type="dxa"/>
            <w:vAlign w:val="top"/>
          </w:tcPr>
          <w:p w14:paraId="3CE35CB6">
            <w:pPr>
              <w:rPr>
                <w:rFonts w:ascii="Arial"/>
                <w:sz w:val="21"/>
                <w:highlight w:val="none"/>
              </w:rPr>
            </w:pPr>
          </w:p>
        </w:tc>
        <w:tc>
          <w:tcPr>
            <w:tcW w:w="560" w:type="dxa"/>
            <w:vAlign w:val="top"/>
          </w:tcPr>
          <w:p w14:paraId="4A95D18D">
            <w:pPr>
              <w:rPr>
                <w:rFonts w:ascii="Arial"/>
                <w:sz w:val="21"/>
                <w:highlight w:val="none"/>
              </w:rPr>
            </w:pPr>
          </w:p>
        </w:tc>
        <w:tc>
          <w:tcPr>
            <w:tcW w:w="914" w:type="dxa"/>
            <w:vAlign w:val="top"/>
          </w:tcPr>
          <w:p w14:paraId="50FD3D53">
            <w:pPr>
              <w:rPr>
                <w:rFonts w:ascii="Arial"/>
                <w:sz w:val="21"/>
                <w:highlight w:val="none"/>
              </w:rPr>
            </w:pPr>
          </w:p>
        </w:tc>
      </w:tr>
      <w:tr w14:paraId="2C7F8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95" w:type="dxa"/>
            <w:vAlign w:val="top"/>
          </w:tcPr>
          <w:p w14:paraId="4AC67555">
            <w:pPr>
              <w:pStyle w:val="6"/>
              <w:spacing w:before="148" w:line="296" w:lineRule="exact"/>
              <w:ind w:left="35"/>
              <w:rPr>
                <w:highlight w:val="none"/>
              </w:rPr>
            </w:pPr>
            <w:r>
              <w:rPr>
                <w:position w:val="1"/>
                <w:highlight w:val="none"/>
              </w:rPr>
              <w:t>…</w:t>
            </w:r>
          </w:p>
        </w:tc>
        <w:tc>
          <w:tcPr>
            <w:tcW w:w="619" w:type="dxa"/>
            <w:vAlign w:val="top"/>
          </w:tcPr>
          <w:p w14:paraId="325EB1A7">
            <w:pPr>
              <w:rPr>
                <w:rFonts w:ascii="Arial"/>
                <w:sz w:val="21"/>
                <w:highlight w:val="none"/>
              </w:rPr>
            </w:pPr>
          </w:p>
        </w:tc>
        <w:tc>
          <w:tcPr>
            <w:tcW w:w="569" w:type="dxa"/>
            <w:vAlign w:val="top"/>
          </w:tcPr>
          <w:p w14:paraId="46C994FB">
            <w:pPr>
              <w:rPr>
                <w:rFonts w:ascii="Arial"/>
                <w:sz w:val="21"/>
                <w:highlight w:val="none"/>
              </w:rPr>
            </w:pPr>
          </w:p>
        </w:tc>
        <w:tc>
          <w:tcPr>
            <w:tcW w:w="579" w:type="dxa"/>
            <w:vAlign w:val="top"/>
          </w:tcPr>
          <w:p w14:paraId="3073DC9C">
            <w:pPr>
              <w:rPr>
                <w:rFonts w:ascii="Arial"/>
                <w:sz w:val="21"/>
                <w:highlight w:val="none"/>
              </w:rPr>
            </w:pPr>
          </w:p>
        </w:tc>
        <w:tc>
          <w:tcPr>
            <w:tcW w:w="540" w:type="dxa"/>
            <w:vAlign w:val="top"/>
          </w:tcPr>
          <w:p w14:paraId="5C931B68">
            <w:pPr>
              <w:rPr>
                <w:rFonts w:ascii="Arial"/>
                <w:sz w:val="21"/>
                <w:highlight w:val="none"/>
              </w:rPr>
            </w:pPr>
          </w:p>
        </w:tc>
        <w:tc>
          <w:tcPr>
            <w:tcW w:w="569" w:type="dxa"/>
            <w:vAlign w:val="top"/>
          </w:tcPr>
          <w:p w14:paraId="411D807E">
            <w:pPr>
              <w:rPr>
                <w:rFonts w:ascii="Arial"/>
                <w:sz w:val="21"/>
                <w:highlight w:val="none"/>
              </w:rPr>
            </w:pPr>
          </w:p>
        </w:tc>
        <w:tc>
          <w:tcPr>
            <w:tcW w:w="560" w:type="dxa"/>
            <w:vAlign w:val="top"/>
          </w:tcPr>
          <w:p w14:paraId="5EC76DA4">
            <w:pPr>
              <w:rPr>
                <w:rFonts w:ascii="Arial"/>
                <w:sz w:val="21"/>
                <w:highlight w:val="none"/>
              </w:rPr>
            </w:pPr>
          </w:p>
        </w:tc>
        <w:tc>
          <w:tcPr>
            <w:tcW w:w="709" w:type="dxa"/>
            <w:vAlign w:val="top"/>
          </w:tcPr>
          <w:p w14:paraId="06E27EB1">
            <w:pPr>
              <w:rPr>
                <w:rFonts w:ascii="Arial"/>
                <w:sz w:val="21"/>
                <w:highlight w:val="none"/>
              </w:rPr>
            </w:pPr>
          </w:p>
        </w:tc>
        <w:tc>
          <w:tcPr>
            <w:tcW w:w="540" w:type="dxa"/>
            <w:vAlign w:val="top"/>
          </w:tcPr>
          <w:p w14:paraId="5E512D83">
            <w:pPr>
              <w:rPr>
                <w:rFonts w:ascii="Arial"/>
                <w:sz w:val="21"/>
                <w:highlight w:val="none"/>
              </w:rPr>
            </w:pPr>
          </w:p>
        </w:tc>
        <w:tc>
          <w:tcPr>
            <w:tcW w:w="560" w:type="dxa"/>
            <w:vAlign w:val="top"/>
          </w:tcPr>
          <w:p w14:paraId="5F47A618">
            <w:pPr>
              <w:rPr>
                <w:rFonts w:ascii="Arial"/>
                <w:sz w:val="21"/>
                <w:highlight w:val="none"/>
              </w:rPr>
            </w:pPr>
          </w:p>
        </w:tc>
        <w:tc>
          <w:tcPr>
            <w:tcW w:w="589" w:type="dxa"/>
            <w:vAlign w:val="top"/>
          </w:tcPr>
          <w:p w14:paraId="1933B047">
            <w:pPr>
              <w:rPr>
                <w:rFonts w:ascii="Arial"/>
                <w:sz w:val="21"/>
                <w:highlight w:val="none"/>
              </w:rPr>
            </w:pPr>
          </w:p>
        </w:tc>
        <w:tc>
          <w:tcPr>
            <w:tcW w:w="829" w:type="dxa"/>
            <w:vAlign w:val="top"/>
          </w:tcPr>
          <w:p w14:paraId="502057E3">
            <w:pPr>
              <w:rPr>
                <w:rFonts w:ascii="Arial"/>
                <w:sz w:val="21"/>
                <w:highlight w:val="none"/>
              </w:rPr>
            </w:pPr>
          </w:p>
        </w:tc>
        <w:tc>
          <w:tcPr>
            <w:tcW w:w="550" w:type="dxa"/>
            <w:vAlign w:val="top"/>
          </w:tcPr>
          <w:p w14:paraId="1AE2BC0F">
            <w:pPr>
              <w:rPr>
                <w:rFonts w:ascii="Arial"/>
                <w:sz w:val="21"/>
                <w:highlight w:val="none"/>
              </w:rPr>
            </w:pPr>
          </w:p>
        </w:tc>
        <w:tc>
          <w:tcPr>
            <w:tcW w:w="709" w:type="dxa"/>
            <w:vAlign w:val="top"/>
          </w:tcPr>
          <w:p w14:paraId="59C1D982">
            <w:pPr>
              <w:rPr>
                <w:rFonts w:ascii="Arial"/>
                <w:sz w:val="21"/>
                <w:highlight w:val="none"/>
              </w:rPr>
            </w:pPr>
          </w:p>
        </w:tc>
        <w:tc>
          <w:tcPr>
            <w:tcW w:w="709" w:type="dxa"/>
            <w:vAlign w:val="top"/>
          </w:tcPr>
          <w:p w14:paraId="14B07D0E">
            <w:pPr>
              <w:rPr>
                <w:rFonts w:ascii="Arial"/>
                <w:sz w:val="21"/>
                <w:highlight w:val="none"/>
              </w:rPr>
            </w:pPr>
          </w:p>
        </w:tc>
        <w:tc>
          <w:tcPr>
            <w:tcW w:w="560" w:type="dxa"/>
            <w:vAlign w:val="top"/>
          </w:tcPr>
          <w:p w14:paraId="6E274DB1">
            <w:pPr>
              <w:rPr>
                <w:rFonts w:ascii="Arial"/>
                <w:sz w:val="21"/>
                <w:highlight w:val="none"/>
              </w:rPr>
            </w:pPr>
          </w:p>
        </w:tc>
        <w:tc>
          <w:tcPr>
            <w:tcW w:w="914" w:type="dxa"/>
            <w:vAlign w:val="top"/>
          </w:tcPr>
          <w:p w14:paraId="2A0C98D5">
            <w:pPr>
              <w:rPr>
                <w:rFonts w:ascii="Arial"/>
                <w:sz w:val="21"/>
                <w:highlight w:val="none"/>
              </w:rPr>
            </w:pPr>
          </w:p>
        </w:tc>
      </w:tr>
    </w:tbl>
    <w:p w14:paraId="46535DF5">
      <w:pPr>
        <w:spacing w:before="153" w:line="344" w:lineRule="auto"/>
        <w:ind w:left="1704" w:right="1009" w:hanging="630"/>
        <w:rPr>
          <w:rFonts w:ascii="宋体" w:hAnsi="宋体" w:eastAsia="宋体" w:cs="宋体"/>
          <w:sz w:val="22"/>
          <w:szCs w:val="22"/>
          <w:highlight w:val="none"/>
        </w:rPr>
      </w:pPr>
      <w:r>
        <w:rPr>
          <w:rFonts w:ascii="宋体" w:hAnsi="宋体" w:eastAsia="宋体" w:cs="宋体"/>
          <w:spacing w:val="-6"/>
          <w:sz w:val="22"/>
          <w:szCs w:val="22"/>
          <w:highlight w:val="none"/>
        </w:rPr>
        <w:t>备注：1.执业、职业单位指拟投入的项目管理机构人</w:t>
      </w:r>
      <w:r>
        <w:rPr>
          <w:rFonts w:ascii="宋体" w:hAnsi="宋体" w:eastAsia="宋体" w:cs="宋体"/>
          <w:spacing w:val="-7"/>
          <w:sz w:val="22"/>
          <w:szCs w:val="22"/>
          <w:highlight w:val="none"/>
        </w:rPr>
        <w:t>员目前是否在投标人处注册执业或岗</w:t>
      </w:r>
      <w:r>
        <w:rPr>
          <w:rFonts w:ascii="宋体" w:hAnsi="宋体" w:eastAsia="宋体" w:cs="宋体"/>
          <w:sz w:val="22"/>
          <w:szCs w:val="22"/>
          <w:highlight w:val="none"/>
        </w:rPr>
        <w:t xml:space="preserve"> </w:t>
      </w:r>
      <w:r>
        <w:rPr>
          <w:rFonts w:ascii="宋体" w:hAnsi="宋体" w:eastAsia="宋体" w:cs="宋体"/>
          <w:spacing w:val="-14"/>
          <w:sz w:val="22"/>
          <w:szCs w:val="22"/>
          <w:highlight w:val="none"/>
        </w:rPr>
        <w:t>位登记。</w:t>
      </w:r>
    </w:p>
    <w:p w14:paraId="00F2A90D">
      <w:pPr>
        <w:spacing w:line="353" w:lineRule="auto"/>
        <w:ind w:left="2015" w:right="1012" w:hanging="3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2.  </w:t>
      </w:r>
      <w:r>
        <w:rPr>
          <w:rFonts w:ascii="宋体" w:hAnsi="宋体" w:eastAsia="宋体" w:cs="宋体"/>
          <w:spacing w:val="-9"/>
          <w:sz w:val="22"/>
          <w:szCs w:val="22"/>
          <w:highlight w:val="none"/>
        </w:rPr>
        <w:t>附项目管理机构主要人员社会保险证明的扫描件。</w:t>
      </w:r>
      <w:r>
        <w:rPr>
          <w:rFonts w:ascii="宋体" w:hAnsi="宋体" w:eastAsia="宋体" w:cs="宋体"/>
          <w:spacing w:val="-10"/>
          <w:sz w:val="22"/>
          <w:szCs w:val="22"/>
          <w:highlight w:val="none"/>
        </w:rPr>
        <w:t>(属退休人员的须提供退休证明</w:t>
      </w:r>
      <w:r>
        <w:rPr>
          <w:rFonts w:ascii="宋体" w:hAnsi="宋体" w:eastAsia="宋体" w:cs="宋体"/>
          <w:sz w:val="22"/>
          <w:szCs w:val="22"/>
          <w:highlight w:val="none"/>
        </w:rPr>
        <w:t xml:space="preserve"> </w:t>
      </w:r>
      <w:r>
        <w:rPr>
          <w:rFonts w:ascii="宋体" w:hAnsi="宋体" w:eastAsia="宋体" w:cs="宋体"/>
          <w:spacing w:val="-9"/>
          <w:sz w:val="22"/>
          <w:szCs w:val="22"/>
          <w:highlight w:val="none"/>
        </w:rPr>
        <w:t>和投标单位的聘用协议(或劳务合同)。社会保险证明是指</w:t>
      </w:r>
      <w:r>
        <w:rPr>
          <w:rFonts w:ascii="宋体" w:hAnsi="宋体" w:eastAsia="宋体" w:cs="宋体"/>
          <w:spacing w:val="-10"/>
          <w:sz w:val="22"/>
          <w:szCs w:val="22"/>
          <w:highlight w:val="none"/>
        </w:rPr>
        <w:t>社会统筹保险基金管理</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部门出具的基本养老保险对账单或加盖社会统筹保险基金管理部门公章的单位缴</w:t>
      </w:r>
      <w:r>
        <w:rPr>
          <w:rFonts w:ascii="宋体" w:hAnsi="宋体" w:eastAsia="宋体" w:cs="宋体"/>
          <w:spacing w:val="16"/>
          <w:sz w:val="22"/>
          <w:szCs w:val="22"/>
          <w:highlight w:val="none"/>
        </w:rPr>
        <w:t xml:space="preserve"> </w:t>
      </w:r>
      <w:r>
        <w:rPr>
          <w:rFonts w:ascii="宋体" w:hAnsi="宋体" w:eastAsia="宋体" w:cs="宋体"/>
          <w:spacing w:val="-6"/>
          <w:sz w:val="22"/>
          <w:szCs w:val="22"/>
          <w:highlight w:val="none"/>
        </w:rPr>
        <w:t>费明细，以及企业缴费凭证(社会保险缴费发票或银行转账凭证</w:t>
      </w:r>
      <w:r>
        <w:rPr>
          <w:rFonts w:ascii="宋体" w:hAnsi="宋体" w:eastAsia="宋体" w:cs="宋体"/>
          <w:spacing w:val="-7"/>
          <w:sz w:val="22"/>
          <w:szCs w:val="22"/>
          <w:highlight w:val="none"/>
        </w:rPr>
        <w:t>等证明);社会保</w:t>
      </w:r>
      <w:r>
        <w:rPr>
          <w:rFonts w:ascii="宋体" w:hAnsi="宋体" w:eastAsia="宋体" w:cs="宋体"/>
          <w:sz w:val="22"/>
          <w:szCs w:val="22"/>
          <w:highlight w:val="none"/>
        </w:rPr>
        <w:t xml:space="preserve"> </w:t>
      </w:r>
      <w:r>
        <w:rPr>
          <w:rFonts w:ascii="宋体" w:hAnsi="宋体" w:eastAsia="宋体" w:cs="宋体"/>
          <w:spacing w:val="-7"/>
          <w:sz w:val="22"/>
          <w:szCs w:val="22"/>
          <w:highlight w:val="none"/>
        </w:rPr>
        <w:t>险证明应至少体现以下内容：缴纳保险单位名称、人员姓名、社会保障号(或身</w:t>
      </w:r>
      <w:r>
        <w:rPr>
          <w:rFonts w:ascii="宋体" w:hAnsi="宋体" w:eastAsia="宋体" w:cs="宋体"/>
          <w:sz w:val="22"/>
          <w:szCs w:val="22"/>
          <w:highlight w:val="none"/>
        </w:rPr>
        <w:t xml:space="preserve"> </w:t>
      </w:r>
      <w:r>
        <w:rPr>
          <w:rFonts w:ascii="宋体" w:hAnsi="宋体" w:eastAsia="宋体" w:cs="宋体"/>
          <w:spacing w:val="-10"/>
          <w:sz w:val="22"/>
          <w:szCs w:val="22"/>
          <w:highlight w:val="none"/>
        </w:rPr>
        <w:t>份证号)、险种、缴费期限等。社会保险证明中缴费单位应与投标单位一致。</w:t>
      </w:r>
    </w:p>
    <w:p w14:paraId="3851B2B0">
      <w:pPr>
        <w:spacing w:line="353" w:lineRule="auto"/>
        <w:rPr>
          <w:rFonts w:ascii="宋体" w:hAnsi="宋体" w:eastAsia="宋体" w:cs="宋体"/>
          <w:sz w:val="22"/>
          <w:szCs w:val="22"/>
          <w:highlight w:val="none"/>
        </w:rPr>
        <w:sectPr>
          <w:footerReference r:id="rId253" w:type="default"/>
          <w:pgSz w:w="11910" w:h="16840"/>
          <w:pgMar w:top="400" w:right="784" w:bottom="1238" w:left="714" w:header="0" w:footer="1006" w:gutter="0"/>
          <w:cols w:space="720" w:num="1"/>
        </w:sectPr>
      </w:pPr>
    </w:p>
    <w:p w14:paraId="27148C36">
      <w:pPr>
        <w:pStyle w:val="2"/>
        <w:spacing w:line="277" w:lineRule="auto"/>
        <w:rPr>
          <w:highlight w:val="none"/>
        </w:rPr>
      </w:pPr>
    </w:p>
    <w:p w14:paraId="59606C46">
      <w:pPr>
        <w:pStyle w:val="2"/>
        <w:spacing w:line="278" w:lineRule="auto"/>
        <w:rPr>
          <w:highlight w:val="none"/>
        </w:rPr>
      </w:pPr>
    </w:p>
    <w:p w14:paraId="6914F57A">
      <w:pPr>
        <w:pStyle w:val="2"/>
        <w:spacing w:line="278" w:lineRule="auto"/>
        <w:rPr>
          <w:highlight w:val="none"/>
        </w:rPr>
      </w:pPr>
    </w:p>
    <w:p w14:paraId="05BF66F3">
      <w:pPr>
        <w:pStyle w:val="2"/>
        <w:spacing w:line="278" w:lineRule="auto"/>
        <w:rPr>
          <w:highlight w:val="none"/>
        </w:rPr>
      </w:pPr>
    </w:p>
    <w:p w14:paraId="60294B83">
      <w:pPr>
        <w:spacing w:before="91" w:line="222" w:lineRule="auto"/>
        <w:ind w:left="55"/>
        <w:rPr>
          <w:rFonts w:ascii="黑体" w:hAnsi="黑体" w:eastAsia="黑体" w:cs="黑体"/>
          <w:sz w:val="28"/>
          <w:szCs w:val="28"/>
          <w:highlight w:val="none"/>
        </w:rPr>
      </w:pPr>
      <w:r>
        <w:rPr>
          <w:rFonts w:ascii="黑体" w:hAnsi="黑体" w:eastAsia="黑体" w:cs="黑体"/>
          <w:sz w:val="28"/>
          <w:szCs w:val="28"/>
          <w:highlight w:val="none"/>
        </w:rPr>
        <w:t>(二)项目经理简历表</w:t>
      </w:r>
    </w:p>
    <w:p w14:paraId="473C051B">
      <w:pPr>
        <w:spacing w:before="13"/>
        <w:rPr>
          <w:highlight w:val="none"/>
        </w:rPr>
      </w:pPr>
    </w:p>
    <w:p w14:paraId="6D304013">
      <w:pPr>
        <w:spacing w:before="12"/>
        <w:rPr>
          <w:highlight w:val="none"/>
        </w:rPr>
      </w:pPr>
    </w:p>
    <w:tbl>
      <w:tblPr>
        <w:tblStyle w:val="5"/>
        <w:tblW w:w="84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54"/>
        <w:gridCol w:w="220"/>
        <w:gridCol w:w="429"/>
        <w:gridCol w:w="380"/>
        <w:gridCol w:w="1059"/>
        <w:gridCol w:w="1039"/>
        <w:gridCol w:w="190"/>
        <w:gridCol w:w="459"/>
        <w:gridCol w:w="1508"/>
        <w:gridCol w:w="2102"/>
      </w:tblGrid>
      <w:tr w14:paraId="43A5F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054" w:type="dxa"/>
            <w:vAlign w:val="top"/>
          </w:tcPr>
          <w:p w14:paraId="0B76B56D">
            <w:pPr>
              <w:pStyle w:val="6"/>
              <w:spacing w:before="124" w:line="219" w:lineRule="auto"/>
              <w:ind w:left="105"/>
              <w:rPr>
                <w:sz w:val="22"/>
                <w:szCs w:val="22"/>
                <w:highlight w:val="none"/>
              </w:rPr>
            </w:pPr>
            <w:r>
              <w:rPr>
                <w:spacing w:val="-5"/>
                <w:sz w:val="22"/>
                <w:szCs w:val="22"/>
                <w:highlight w:val="none"/>
              </w:rPr>
              <w:t>姓</w:t>
            </w:r>
            <w:r>
              <w:rPr>
                <w:spacing w:val="48"/>
                <w:sz w:val="22"/>
                <w:szCs w:val="22"/>
                <w:highlight w:val="none"/>
              </w:rPr>
              <w:t xml:space="preserve"> </w:t>
            </w:r>
            <w:r>
              <w:rPr>
                <w:spacing w:val="-5"/>
                <w:sz w:val="22"/>
                <w:szCs w:val="22"/>
                <w:highlight w:val="none"/>
              </w:rPr>
              <w:t>名</w:t>
            </w:r>
          </w:p>
        </w:tc>
        <w:tc>
          <w:tcPr>
            <w:tcW w:w="1029" w:type="dxa"/>
            <w:gridSpan w:val="3"/>
            <w:vAlign w:val="top"/>
          </w:tcPr>
          <w:p w14:paraId="4321E8ED">
            <w:pPr>
              <w:rPr>
                <w:rFonts w:ascii="Arial"/>
                <w:sz w:val="21"/>
                <w:highlight w:val="none"/>
              </w:rPr>
            </w:pPr>
          </w:p>
        </w:tc>
        <w:tc>
          <w:tcPr>
            <w:tcW w:w="1059" w:type="dxa"/>
            <w:vAlign w:val="top"/>
          </w:tcPr>
          <w:p w14:paraId="3835DBD3">
            <w:pPr>
              <w:pStyle w:val="6"/>
              <w:spacing w:before="124" w:line="219" w:lineRule="auto"/>
              <w:ind w:left="202"/>
              <w:rPr>
                <w:sz w:val="22"/>
                <w:szCs w:val="22"/>
                <w:highlight w:val="none"/>
              </w:rPr>
            </w:pPr>
            <w:r>
              <w:rPr>
                <w:spacing w:val="-5"/>
                <w:sz w:val="22"/>
                <w:szCs w:val="22"/>
                <w:highlight w:val="none"/>
              </w:rPr>
              <w:t>年</w:t>
            </w:r>
            <w:r>
              <w:rPr>
                <w:spacing w:val="7"/>
                <w:sz w:val="22"/>
                <w:szCs w:val="22"/>
                <w:highlight w:val="none"/>
              </w:rPr>
              <w:t xml:space="preserve"> </w:t>
            </w:r>
            <w:r>
              <w:rPr>
                <w:spacing w:val="-5"/>
                <w:sz w:val="22"/>
                <w:szCs w:val="22"/>
                <w:highlight w:val="none"/>
              </w:rPr>
              <w:t>龄</w:t>
            </w:r>
          </w:p>
        </w:tc>
        <w:tc>
          <w:tcPr>
            <w:tcW w:w="1229" w:type="dxa"/>
            <w:gridSpan w:val="2"/>
            <w:vAlign w:val="top"/>
          </w:tcPr>
          <w:p w14:paraId="13DF94D4">
            <w:pPr>
              <w:rPr>
                <w:rFonts w:ascii="Arial"/>
                <w:sz w:val="21"/>
                <w:highlight w:val="none"/>
              </w:rPr>
            </w:pPr>
          </w:p>
        </w:tc>
        <w:tc>
          <w:tcPr>
            <w:tcW w:w="1967" w:type="dxa"/>
            <w:gridSpan w:val="2"/>
            <w:vAlign w:val="top"/>
          </w:tcPr>
          <w:p w14:paraId="0FBE641E">
            <w:pPr>
              <w:pStyle w:val="6"/>
              <w:spacing w:before="125" w:line="221" w:lineRule="auto"/>
              <w:ind w:left="753"/>
              <w:rPr>
                <w:sz w:val="22"/>
                <w:szCs w:val="22"/>
                <w:highlight w:val="none"/>
              </w:rPr>
            </w:pPr>
            <w:r>
              <w:rPr>
                <w:spacing w:val="7"/>
                <w:sz w:val="22"/>
                <w:szCs w:val="22"/>
                <w:highlight w:val="none"/>
              </w:rPr>
              <w:t>学历</w:t>
            </w:r>
          </w:p>
        </w:tc>
        <w:tc>
          <w:tcPr>
            <w:tcW w:w="2102" w:type="dxa"/>
            <w:vAlign w:val="top"/>
          </w:tcPr>
          <w:p w14:paraId="198F0F92">
            <w:pPr>
              <w:rPr>
                <w:rFonts w:ascii="Arial"/>
                <w:sz w:val="21"/>
                <w:highlight w:val="none"/>
              </w:rPr>
            </w:pPr>
          </w:p>
        </w:tc>
      </w:tr>
      <w:tr w14:paraId="19FD6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54" w:type="dxa"/>
            <w:vAlign w:val="top"/>
          </w:tcPr>
          <w:p w14:paraId="7F79EA53">
            <w:pPr>
              <w:pStyle w:val="6"/>
              <w:spacing w:before="112" w:line="221" w:lineRule="auto"/>
              <w:ind w:left="105"/>
              <w:rPr>
                <w:sz w:val="22"/>
                <w:szCs w:val="22"/>
                <w:highlight w:val="none"/>
              </w:rPr>
            </w:pPr>
            <w:r>
              <w:rPr>
                <w:spacing w:val="-5"/>
                <w:sz w:val="22"/>
                <w:szCs w:val="22"/>
                <w:highlight w:val="none"/>
              </w:rPr>
              <w:t>职</w:t>
            </w:r>
            <w:r>
              <w:rPr>
                <w:spacing w:val="28"/>
                <w:sz w:val="22"/>
                <w:szCs w:val="22"/>
                <w:highlight w:val="none"/>
              </w:rPr>
              <w:t xml:space="preserve"> </w:t>
            </w:r>
            <w:r>
              <w:rPr>
                <w:spacing w:val="-5"/>
                <w:sz w:val="22"/>
                <w:szCs w:val="22"/>
                <w:highlight w:val="none"/>
              </w:rPr>
              <w:t>称</w:t>
            </w:r>
          </w:p>
        </w:tc>
        <w:tc>
          <w:tcPr>
            <w:tcW w:w="3317" w:type="dxa"/>
            <w:gridSpan w:val="6"/>
            <w:vAlign w:val="top"/>
          </w:tcPr>
          <w:p w14:paraId="4D61C288">
            <w:pPr>
              <w:rPr>
                <w:rFonts w:ascii="Arial"/>
                <w:sz w:val="21"/>
                <w:highlight w:val="none"/>
              </w:rPr>
            </w:pPr>
          </w:p>
        </w:tc>
        <w:tc>
          <w:tcPr>
            <w:tcW w:w="1967" w:type="dxa"/>
            <w:gridSpan w:val="2"/>
            <w:vAlign w:val="top"/>
          </w:tcPr>
          <w:p w14:paraId="344CF85C">
            <w:pPr>
              <w:pStyle w:val="6"/>
              <w:spacing w:before="107" w:line="219" w:lineRule="auto"/>
              <w:ind w:left="204"/>
              <w:rPr>
                <w:sz w:val="22"/>
                <w:szCs w:val="22"/>
                <w:highlight w:val="none"/>
              </w:rPr>
            </w:pPr>
            <w:r>
              <w:rPr>
                <w:spacing w:val="1"/>
                <w:sz w:val="22"/>
                <w:szCs w:val="22"/>
                <w:highlight w:val="none"/>
              </w:rPr>
              <w:t>拟在本工程任职</w:t>
            </w:r>
          </w:p>
        </w:tc>
        <w:tc>
          <w:tcPr>
            <w:tcW w:w="2102" w:type="dxa"/>
            <w:vAlign w:val="top"/>
          </w:tcPr>
          <w:p w14:paraId="164C22A8">
            <w:pPr>
              <w:pStyle w:val="6"/>
              <w:spacing w:before="109" w:line="220" w:lineRule="auto"/>
              <w:ind w:left="607"/>
              <w:rPr>
                <w:sz w:val="22"/>
                <w:szCs w:val="22"/>
                <w:highlight w:val="none"/>
              </w:rPr>
            </w:pPr>
            <w:r>
              <w:rPr>
                <w:spacing w:val="-3"/>
                <w:sz w:val="22"/>
                <w:szCs w:val="22"/>
                <w:highlight w:val="none"/>
              </w:rPr>
              <w:t>项目经理</w:t>
            </w:r>
          </w:p>
        </w:tc>
      </w:tr>
      <w:tr w14:paraId="0D286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3142" w:type="dxa"/>
            <w:gridSpan w:val="5"/>
            <w:vAlign w:val="top"/>
          </w:tcPr>
          <w:p w14:paraId="371A985F">
            <w:pPr>
              <w:pStyle w:val="6"/>
              <w:spacing w:before="119" w:line="219" w:lineRule="auto"/>
              <w:ind w:left="735"/>
              <w:rPr>
                <w:sz w:val="22"/>
                <w:szCs w:val="22"/>
                <w:highlight w:val="none"/>
              </w:rPr>
            </w:pPr>
            <w:r>
              <w:rPr>
                <w:spacing w:val="1"/>
                <w:sz w:val="22"/>
                <w:szCs w:val="22"/>
                <w:highlight w:val="none"/>
              </w:rPr>
              <w:t>注册执业资格等级</w:t>
            </w:r>
          </w:p>
        </w:tc>
        <w:tc>
          <w:tcPr>
            <w:tcW w:w="1229" w:type="dxa"/>
            <w:gridSpan w:val="2"/>
            <w:vAlign w:val="top"/>
          </w:tcPr>
          <w:p w14:paraId="75335C0F">
            <w:pPr>
              <w:pStyle w:val="6"/>
              <w:spacing w:before="122" w:line="221" w:lineRule="auto"/>
              <w:ind w:left="803"/>
              <w:rPr>
                <w:sz w:val="22"/>
                <w:szCs w:val="22"/>
                <w:highlight w:val="none"/>
              </w:rPr>
            </w:pPr>
            <w:r>
              <w:rPr>
                <w:sz w:val="22"/>
                <w:szCs w:val="22"/>
                <w:highlight w:val="none"/>
              </w:rPr>
              <w:t>级</w:t>
            </w:r>
          </w:p>
        </w:tc>
        <w:tc>
          <w:tcPr>
            <w:tcW w:w="1967" w:type="dxa"/>
            <w:gridSpan w:val="2"/>
            <w:vAlign w:val="top"/>
          </w:tcPr>
          <w:p w14:paraId="5F82BF6C">
            <w:pPr>
              <w:pStyle w:val="6"/>
              <w:spacing w:before="119" w:line="220" w:lineRule="auto"/>
              <w:ind w:left="753"/>
              <w:rPr>
                <w:sz w:val="22"/>
                <w:szCs w:val="22"/>
                <w:highlight w:val="none"/>
              </w:rPr>
            </w:pPr>
            <w:r>
              <w:rPr>
                <w:spacing w:val="-3"/>
                <w:sz w:val="22"/>
                <w:szCs w:val="22"/>
                <w:highlight w:val="none"/>
              </w:rPr>
              <w:t>专业</w:t>
            </w:r>
          </w:p>
        </w:tc>
        <w:tc>
          <w:tcPr>
            <w:tcW w:w="2102" w:type="dxa"/>
            <w:vAlign w:val="top"/>
          </w:tcPr>
          <w:p w14:paraId="52627B7B">
            <w:pPr>
              <w:rPr>
                <w:rFonts w:ascii="Arial"/>
                <w:sz w:val="21"/>
                <w:highlight w:val="none"/>
              </w:rPr>
            </w:pPr>
          </w:p>
        </w:tc>
      </w:tr>
      <w:tr w14:paraId="7B19F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274" w:type="dxa"/>
            <w:gridSpan w:val="2"/>
            <w:vAlign w:val="top"/>
          </w:tcPr>
          <w:p w14:paraId="17013A73">
            <w:pPr>
              <w:pStyle w:val="6"/>
              <w:spacing w:before="119" w:line="219" w:lineRule="auto"/>
              <w:ind w:left="205"/>
              <w:rPr>
                <w:sz w:val="22"/>
                <w:szCs w:val="22"/>
                <w:highlight w:val="none"/>
              </w:rPr>
            </w:pPr>
            <w:r>
              <w:rPr>
                <w:spacing w:val="2"/>
                <w:sz w:val="22"/>
                <w:szCs w:val="22"/>
                <w:highlight w:val="none"/>
              </w:rPr>
              <w:t>毕业学校</w:t>
            </w:r>
          </w:p>
        </w:tc>
        <w:tc>
          <w:tcPr>
            <w:tcW w:w="7166" w:type="dxa"/>
            <w:gridSpan w:val="8"/>
            <w:vAlign w:val="top"/>
          </w:tcPr>
          <w:p w14:paraId="64CA60A4">
            <w:pPr>
              <w:pStyle w:val="6"/>
              <w:spacing w:before="89" w:line="228" w:lineRule="auto"/>
              <w:ind w:left="971"/>
              <w:rPr>
                <w:sz w:val="22"/>
                <w:szCs w:val="22"/>
                <w:highlight w:val="none"/>
              </w:rPr>
            </w:pPr>
            <w:r>
              <w:rPr>
                <w:spacing w:val="2"/>
                <w:sz w:val="22"/>
                <w:szCs w:val="22"/>
                <w:highlight w:val="none"/>
              </w:rPr>
              <w:t xml:space="preserve">年毕业于                </w:t>
            </w:r>
            <w:r>
              <w:rPr>
                <w:spacing w:val="2"/>
                <w:position w:val="1"/>
                <w:sz w:val="22"/>
                <w:szCs w:val="22"/>
                <w:highlight w:val="none"/>
              </w:rPr>
              <w:t>学校</w:t>
            </w:r>
            <w:r>
              <w:rPr>
                <w:spacing w:val="5"/>
                <w:position w:val="1"/>
                <w:sz w:val="22"/>
                <w:szCs w:val="22"/>
                <w:highlight w:val="none"/>
              </w:rPr>
              <w:t xml:space="preserve">           </w:t>
            </w:r>
            <w:r>
              <w:rPr>
                <w:spacing w:val="2"/>
                <w:sz w:val="22"/>
                <w:szCs w:val="22"/>
                <w:highlight w:val="none"/>
              </w:rPr>
              <w:t>专业</w:t>
            </w:r>
          </w:p>
        </w:tc>
      </w:tr>
      <w:tr w14:paraId="47C85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440" w:type="dxa"/>
            <w:gridSpan w:val="10"/>
            <w:vAlign w:val="top"/>
          </w:tcPr>
          <w:p w14:paraId="0F74033F">
            <w:pPr>
              <w:pStyle w:val="6"/>
              <w:spacing w:before="119" w:line="219" w:lineRule="auto"/>
              <w:ind w:left="3555"/>
              <w:rPr>
                <w:sz w:val="22"/>
                <w:szCs w:val="22"/>
                <w:highlight w:val="none"/>
              </w:rPr>
            </w:pPr>
            <w:r>
              <w:rPr>
                <w:spacing w:val="2"/>
                <w:sz w:val="22"/>
                <w:szCs w:val="22"/>
                <w:highlight w:val="none"/>
              </w:rPr>
              <w:t>主要管理经历</w:t>
            </w:r>
          </w:p>
        </w:tc>
      </w:tr>
      <w:tr w14:paraId="11DE4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1703" w:type="dxa"/>
            <w:gridSpan w:val="3"/>
            <w:vAlign w:val="top"/>
          </w:tcPr>
          <w:p w14:paraId="2E867664">
            <w:pPr>
              <w:pStyle w:val="6"/>
              <w:spacing w:before="302" w:line="221" w:lineRule="auto"/>
              <w:ind w:left="565"/>
              <w:rPr>
                <w:sz w:val="22"/>
                <w:szCs w:val="22"/>
                <w:highlight w:val="none"/>
              </w:rPr>
            </w:pPr>
            <w:r>
              <w:rPr>
                <w:spacing w:val="-10"/>
                <w:sz w:val="22"/>
                <w:szCs w:val="22"/>
                <w:highlight w:val="none"/>
              </w:rPr>
              <w:t>时</w:t>
            </w:r>
            <w:r>
              <w:rPr>
                <w:spacing w:val="19"/>
                <w:sz w:val="22"/>
                <w:szCs w:val="22"/>
                <w:highlight w:val="none"/>
              </w:rPr>
              <w:t xml:space="preserve"> </w:t>
            </w:r>
            <w:r>
              <w:rPr>
                <w:spacing w:val="-10"/>
                <w:sz w:val="22"/>
                <w:szCs w:val="22"/>
                <w:highlight w:val="none"/>
              </w:rPr>
              <w:t>间</w:t>
            </w:r>
          </w:p>
        </w:tc>
        <w:tc>
          <w:tcPr>
            <w:tcW w:w="3127" w:type="dxa"/>
            <w:gridSpan w:val="5"/>
            <w:vAlign w:val="top"/>
          </w:tcPr>
          <w:p w14:paraId="5DEDB74D">
            <w:pPr>
              <w:pStyle w:val="6"/>
              <w:spacing w:before="79" w:line="302" w:lineRule="auto"/>
              <w:ind w:left="1112" w:right="227" w:hanging="880"/>
              <w:rPr>
                <w:sz w:val="22"/>
                <w:szCs w:val="22"/>
                <w:highlight w:val="none"/>
              </w:rPr>
            </w:pPr>
            <w:r>
              <w:rPr>
                <w:spacing w:val="1"/>
                <w:sz w:val="22"/>
                <w:szCs w:val="22"/>
                <w:highlight w:val="none"/>
              </w:rPr>
              <w:t>担任过类似项目项目经理的</w:t>
            </w:r>
            <w:r>
              <w:rPr>
                <w:spacing w:val="4"/>
                <w:sz w:val="22"/>
                <w:szCs w:val="22"/>
                <w:highlight w:val="none"/>
              </w:rPr>
              <w:t xml:space="preserve"> </w:t>
            </w:r>
            <w:r>
              <w:rPr>
                <w:spacing w:val="2"/>
                <w:sz w:val="22"/>
                <w:szCs w:val="22"/>
                <w:highlight w:val="none"/>
              </w:rPr>
              <w:t>项目名称</w:t>
            </w:r>
          </w:p>
        </w:tc>
        <w:tc>
          <w:tcPr>
            <w:tcW w:w="3610" w:type="dxa"/>
            <w:gridSpan w:val="2"/>
            <w:vAlign w:val="top"/>
          </w:tcPr>
          <w:p w14:paraId="5645D044">
            <w:pPr>
              <w:pStyle w:val="6"/>
              <w:spacing w:before="299" w:line="220" w:lineRule="auto"/>
              <w:ind w:left="915"/>
              <w:rPr>
                <w:sz w:val="22"/>
                <w:szCs w:val="22"/>
                <w:highlight w:val="none"/>
              </w:rPr>
            </w:pPr>
            <w:r>
              <w:rPr>
                <w:spacing w:val="1"/>
                <w:sz w:val="22"/>
                <w:szCs w:val="22"/>
                <w:highlight w:val="none"/>
              </w:rPr>
              <w:t>发包人及联系电话</w:t>
            </w:r>
          </w:p>
        </w:tc>
      </w:tr>
      <w:tr w14:paraId="6088E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703" w:type="dxa"/>
            <w:gridSpan w:val="3"/>
            <w:vAlign w:val="top"/>
          </w:tcPr>
          <w:p w14:paraId="15B4F797">
            <w:pPr>
              <w:rPr>
                <w:rFonts w:ascii="Arial"/>
                <w:sz w:val="21"/>
                <w:highlight w:val="none"/>
              </w:rPr>
            </w:pPr>
          </w:p>
        </w:tc>
        <w:tc>
          <w:tcPr>
            <w:tcW w:w="3127" w:type="dxa"/>
            <w:gridSpan w:val="5"/>
            <w:vAlign w:val="top"/>
          </w:tcPr>
          <w:p w14:paraId="1FEE534E">
            <w:pPr>
              <w:rPr>
                <w:rFonts w:ascii="Arial"/>
                <w:sz w:val="21"/>
                <w:highlight w:val="none"/>
              </w:rPr>
            </w:pPr>
          </w:p>
        </w:tc>
        <w:tc>
          <w:tcPr>
            <w:tcW w:w="3610" w:type="dxa"/>
            <w:gridSpan w:val="2"/>
            <w:vAlign w:val="top"/>
          </w:tcPr>
          <w:p w14:paraId="44C1E1D6">
            <w:pPr>
              <w:rPr>
                <w:rFonts w:ascii="Arial"/>
                <w:sz w:val="21"/>
                <w:highlight w:val="none"/>
              </w:rPr>
            </w:pPr>
          </w:p>
        </w:tc>
      </w:tr>
      <w:tr w14:paraId="74343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703" w:type="dxa"/>
            <w:gridSpan w:val="3"/>
            <w:vAlign w:val="top"/>
          </w:tcPr>
          <w:p w14:paraId="16AE9F83">
            <w:pPr>
              <w:rPr>
                <w:rFonts w:ascii="Arial"/>
                <w:sz w:val="21"/>
                <w:highlight w:val="none"/>
              </w:rPr>
            </w:pPr>
          </w:p>
        </w:tc>
        <w:tc>
          <w:tcPr>
            <w:tcW w:w="3127" w:type="dxa"/>
            <w:gridSpan w:val="5"/>
            <w:vAlign w:val="top"/>
          </w:tcPr>
          <w:p w14:paraId="078BABEA">
            <w:pPr>
              <w:rPr>
                <w:rFonts w:ascii="Arial"/>
                <w:sz w:val="21"/>
                <w:highlight w:val="none"/>
              </w:rPr>
            </w:pPr>
          </w:p>
        </w:tc>
        <w:tc>
          <w:tcPr>
            <w:tcW w:w="3610" w:type="dxa"/>
            <w:gridSpan w:val="2"/>
            <w:vAlign w:val="top"/>
          </w:tcPr>
          <w:p w14:paraId="3A9B01D4">
            <w:pPr>
              <w:rPr>
                <w:rFonts w:ascii="Arial"/>
                <w:sz w:val="21"/>
                <w:highlight w:val="none"/>
              </w:rPr>
            </w:pPr>
          </w:p>
        </w:tc>
      </w:tr>
      <w:tr w14:paraId="694A2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03" w:type="dxa"/>
            <w:gridSpan w:val="3"/>
            <w:vAlign w:val="top"/>
          </w:tcPr>
          <w:p w14:paraId="48AB31DD">
            <w:pPr>
              <w:rPr>
                <w:rFonts w:ascii="Arial"/>
                <w:sz w:val="21"/>
                <w:highlight w:val="none"/>
              </w:rPr>
            </w:pPr>
          </w:p>
        </w:tc>
        <w:tc>
          <w:tcPr>
            <w:tcW w:w="3127" w:type="dxa"/>
            <w:gridSpan w:val="5"/>
            <w:vAlign w:val="top"/>
          </w:tcPr>
          <w:p w14:paraId="20C3C7EB">
            <w:pPr>
              <w:rPr>
                <w:rFonts w:ascii="Arial"/>
                <w:sz w:val="21"/>
                <w:highlight w:val="none"/>
              </w:rPr>
            </w:pPr>
          </w:p>
        </w:tc>
        <w:tc>
          <w:tcPr>
            <w:tcW w:w="3610" w:type="dxa"/>
            <w:gridSpan w:val="2"/>
            <w:vAlign w:val="top"/>
          </w:tcPr>
          <w:p w14:paraId="36A68A45">
            <w:pPr>
              <w:rPr>
                <w:rFonts w:ascii="Arial"/>
                <w:sz w:val="21"/>
                <w:highlight w:val="none"/>
              </w:rPr>
            </w:pPr>
          </w:p>
        </w:tc>
      </w:tr>
      <w:tr w14:paraId="0A72C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703" w:type="dxa"/>
            <w:gridSpan w:val="3"/>
            <w:vAlign w:val="top"/>
          </w:tcPr>
          <w:p w14:paraId="5A8647E0">
            <w:pPr>
              <w:rPr>
                <w:rFonts w:ascii="Arial"/>
                <w:sz w:val="21"/>
                <w:highlight w:val="none"/>
              </w:rPr>
            </w:pPr>
          </w:p>
        </w:tc>
        <w:tc>
          <w:tcPr>
            <w:tcW w:w="3127" w:type="dxa"/>
            <w:gridSpan w:val="5"/>
            <w:vAlign w:val="top"/>
          </w:tcPr>
          <w:p w14:paraId="786BFE78">
            <w:pPr>
              <w:rPr>
                <w:rFonts w:ascii="Arial"/>
                <w:sz w:val="21"/>
                <w:highlight w:val="none"/>
              </w:rPr>
            </w:pPr>
          </w:p>
        </w:tc>
        <w:tc>
          <w:tcPr>
            <w:tcW w:w="3610" w:type="dxa"/>
            <w:gridSpan w:val="2"/>
            <w:vAlign w:val="top"/>
          </w:tcPr>
          <w:p w14:paraId="6AAB4FD5">
            <w:pPr>
              <w:rPr>
                <w:rFonts w:ascii="Arial"/>
                <w:sz w:val="21"/>
                <w:highlight w:val="none"/>
              </w:rPr>
            </w:pPr>
          </w:p>
        </w:tc>
      </w:tr>
      <w:tr w14:paraId="1919E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3" w:type="dxa"/>
            <w:gridSpan w:val="3"/>
            <w:vAlign w:val="top"/>
          </w:tcPr>
          <w:p w14:paraId="2D8B6AF9">
            <w:pPr>
              <w:rPr>
                <w:rFonts w:ascii="Arial"/>
                <w:sz w:val="21"/>
                <w:highlight w:val="none"/>
              </w:rPr>
            </w:pPr>
          </w:p>
        </w:tc>
        <w:tc>
          <w:tcPr>
            <w:tcW w:w="3127" w:type="dxa"/>
            <w:gridSpan w:val="5"/>
            <w:vAlign w:val="top"/>
          </w:tcPr>
          <w:p w14:paraId="3F593C05">
            <w:pPr>
              <w:rPr>
                <w:rFonts w:ascii="Arial"/>
                <w:sz w:val="21"/>
                <w:highlight w:val="none"/>
              </w:rPr>
            </w:pPr>
          </w:p>
        </w:tc>
        <w:tc>
          <w:tcPr>
            <w:tcW w:w="3610" w:type="dxa"/>
            <w:gridSpan w:val="2"/>
            <w:vAlign w:val="top"/>
          </w:tcPr>
          <w:p w14:paraId="23091B67">
            <w:pPr>
              <w:rPr>
                <w:rFonts w:ascii="Arial"/>
                <w:sz w:val="21"/>
                <w:highlight w:val="none"/>
              </w:rPr>
            </w:pPr>
          </w:p>
        </w:tc>
      </w:tr>
      <w:tr w14:paraId="62FD3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03" w:type="dxa"/>
            <w:gridSpan w:val="3"/>
            <w:vAlign w:val="top"/>
          </w:tcPr>
          <w:p w14:paraId="1AF02132">
            <w:pPr>
              <w:rPr>
                <w:rFonts w:ascii="Arial"/>
                <w:sz w:val="21"/>
                <w:highlight w:val="none"/>
              </w:rPr>
            </w:pPr>
          </w:p>
        </w:tc>
        <w:tc>
          <w:tcPr>
            <w:tcW w:w="3127" w:type="dxa"/>
            <w:gridSpan w:val="5"/>
            <w:vAlign w:val="top"/>
          </w:tcPr>
          <w:p w14:paraId="40D8B94A">
            <w:pPr>
              <w:rPr>
                <w:rFonts w:ascii="Arial"/>
                <w:sz w:val="21"/>
                <w:highlight w:val="none"/>
              </w:rPr>
            </w:pPr>
          </w:p>
        </w:tc>
        <w:tc>
          <w:tcPr>
            <w:tcW w:w="3610" w:type="dxa"/>
            <w:gridSpan w:val="2"/>
            <w:vAlign w:val="top"/>
          </w:tcPr>
          <w:p w14:paraId="7CB97A36">
            <w:pPr>
              <w:rPr>
                <w:rFonts w:ascii="Arial"/>
                <w:sz w:val="21"/>
                <w:highlight w:val="none"/>
              </w:rPr>
            </w:pPr>
          </w:p>
        </w:tc>
      </w:tr>
      <w:tr w14:paraId="1AD16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03" w:type="dxa"/>
            <w:gridSpan w:val="3"/>
            <w:vAlign w:val="top"/>
          </w:tcPr>
          <w:p w14:paraId="2AD63E54">
            <w:pPr>
              <w:rPr>
                <w:rFonts w:ascii="Arial"/>
                <w:sz w:val="21"/>
                <w:highlight w:val="none"/>
              </w:rPr>
            </w:pPr>
          </w:p>
        </w:tc>
        <w:tc>
          <w:tcPr>
            <w:tcW w:w="3127" w:type="dxa"/>
            <w:gridSpan w:val="5"/>
            <w:vAlign w:val="top"/>
          </w:tcPr>
          <w:p w14:paraId="72192304">
            <w:pPr>
              <w:rPr>
                <w:rFonts w:ascii="Arial"/>
                <w:sz w:val="21"/>
                <w:highlight w:val="none"/>
              </w:rPr>
            </w:pPr>
          </w:p>
        </w:tc>
        <w:tc>
          <w:tcPr>
            <w:tcW w:w="3610" w:type="dxa"/>
            <w:gridSpan w:val="2"/>
            <w:vAlign w:val="top"/>
          </w:tcPr>
          <w:p w14:paraId="76A51AC7">
            <w:pPr>
              <w:rPr>
                <w:rFonts w:ascii="Arial"/>
                <w:sz w:val="21"/>
                <w:highlight w:val="none"/>
              </w:rPr>
            </w:pPr>
          </w:p>
        </w:tc>
      </w:tr>
      <w:tr w14:paraId="57603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8440" w:type="dxa"/>
            <w:gridSpan w:val="10"/>
            <w:vAlign w:val="top"/>
          </w:tcPr>
          <w:p w14:paraId="03683061">
            <w:pPr>
              <w:pStyle w:val="6"/>
              <w:spacing w:before="165" w:line="219" w:lineRule="auto"/>
              <w:ind w:left="2565"/>
              <w:rPr>
                <w:sz w:val="22"/>
                <w:szCs w:val="22"/>
                <w:highlight w:val="none"/>
              </w:rPr>
            </w:pPr>
            <w:r>
              <w:rPr>
                <w:spacing w:val="-1"/>
                <w:sz w:val="22"/>
                <w:szCs w:val="22"/>
                <w:highlight w:val="none"/>
              </w:rPr>
              <w:t>近年项目经理获工程质量奖项情况</w:t>
            </w:r>
          </w:p>
        </w:tc>
      </w:tr>
      <w:tr w14:paraId="67F77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2083" w:type="dxa"/>
            <w:gridSpan w:val="4"/>
            <w:vAlign w:val="top"/>
          </w:tcPr>
          <w:p w14:paraId="058CCA74">
            <w:pPr>
              <w:pStyle w:val="6"/>
              <w:spacing w:before="165" w:line="219" w:lineRule="auto"/>
              <w:ind w:left="615"/>
              <w:rPr>
                <w:sz w:val="22"/>
                <w:szCs w:val="22"/>
                <w:highlight w:val="none"/>
              </w:rPr>
            </w:pPr>
            <w:r>
              <w:rPr>
                <w:spacing w:val="3"/>
                <w:sz w:val="22"/>
                <w:szCs w:val="22"/>
                <w:highlight w:val="none"/>
              </w:rPr>
              <w:t>获奖日期</w:t>
            </w:r>
          </w:p>
        </w:tc>
        <w:tc>
          <w:tcPr>
            <w:tcW w:w="2098" w:type="dxa"/>
            <w:gridSpan w:val="2"/>
            <w:vAlign w:val="top"/>
          </w:tcPr>
          <w:p w14:paraId="2D289EEA">
            <w:pPr>
              <w:pStyle w:val="6"/>
              <w:spacing w:before="165" w:line="220" w:lineRule="auto"/>
              <w:ind w:left="622"/>
              <w:rPr>
                <w:sz w:val="22"/>
                <w:szCs w:val="22"/>
                <w:highlight w:val="none"/>
              </w:rPr>
            </w:pPr>
            <w:r>
              <w:rPr>
                <w:spacing w:val="2"/>
                <w:sz w:val="22"/>
                <w:szCs w:val="22"/>
                <w:highlight w:val="none"/>
              </w:rPr>
              <w:t>项目名称</w:t>
            </w:r>
          </w:p>
        </w:tc>
        <w:tc>
          <w:tcPr>
            <w:tcW w:w="2157" w:type="dxa"/>
            <w:gridSpan w:val="3"/>
            <w:vAlign w:val="top"/>
          </w:tcPr>
          <w:p w14:paraId="5E38757F">
            <w:pPr>
              <w:pStyle w:val="6"/>
              <w:spacing w:before="165" w:line="219" w:lineRule="auto"/>
              <w:ind w:left="673"/>
              <w:rPr>
                <w:sz w:val="22"/>
                <w:szCs w:val="22"/>
                <w:highlight w:val="none"/>
              </w:rPr>
            </w:pPr>
            <w:r>
              <w:rPr>
                <w:spacing w:val="2"/>
                <w:sz w:val="22"/>
                <w:szCs w:val="22"/>
                <w:highlight w:val="none"/>
              </w:rPr>
              <w:t>获奖名称</w:t>
            </w:r>
          </w:p>
        </w:tc>
        <w:tc>
          <w:tcPr>
            <w:tcW w:w="2102" w:type="dxa"/>
            <w:vAlign w:val="top"/>
          </w:tcPr>
          <w:p w14:paraId="3D4E0BB9">
            <w:pPr>
              <w:pStyle w:val="6"/>
              <w:spacing w:before="165" w:line="220" w:lineRule="auto"/>
              <w:ind w:left="607"/>
              <w:rPr>
                <w:sz w:val="22"/>
                <w:szCs w:val="22"/>
                <w:highlight w:val="none"/>
              </w:rPr>
            </w:pPr>
            <w:r>
              <w:rPr>
                <w:spacing w:val="-2"/>
                <w:sz w:val="22"/>
                <w:szCs w:val="22"/>
                <w:highlight w:val="none"/>
              </w:rPr>
              <w:t>颁奖单位</w:t>
            </w:r>
          </w:p>
        </w:tc>
      </w:tr>
      <w:tr w14:paraId="759C4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2083" w:type="dxa"/>
            <w:gridSpan w:val="4"/>
            <w:vAlign w:val="top"/>
          </w:tcPr>
          <w:p w14:paraId="46E845CA">
            <w:pPr>
              <w:rPr>
                <w:rFonts w:ascii="Arial"/>
                <w:sz w:val="21"/>
                <w:highlight w:val="none"/>
              </w:rPr>
            </w:pPr>
          </w:p>
        </w:tc>
        <w:tc>
          <w:tcPr>
            <w:tcW w:w="2098" w:type="dxa"/>
            <w:gridSpan w:val="2"/>
            <w:vAlign w:val="top"/>
          </w:tcPr>
          <w:p w14:paraId="4A657708">
            <w:pPr>
              <w:rPr>
                <w:rFonts w:ascii="Arial"/>
                <w:sz w:val="21"/>
                <w:highlight w:val="none"/>
              </w:rPr>
            </w:pPr>
          </w:p>
        </w:tc>
        <w:tc>
          <w:tcPr>
            <w:tcW w:w="2157" w:type="dxa"/>
            <w:gridSpan w:val="3"/>
            <w:vAlign w:val="top"/>
          </w:tcPr>
          <w:p w14:paraId="1914A246">
            <w:pPr>
              <w:rPr>
                <w:rFonts w:ascii="Arial"/>
                <w:sz w:val="21"/>
                <w:highlight w:val="none"/>
              </w:rPr>
            </w:pPr>
          </w:p>
        </w:tc>
        <w:tc>
          <w:tcPr>
            <w:tcW w:w="2102" w:type="dxa"/>
            <w:vAlign w:val="top"/>
          </w:tcPr>
          <w:p w14:paraId="5254E349">
            <w:pPr>
              <w:rPr>
                <w:rFonts w:ascii="Arial"/>
                <w:sz w:val="21"/>
                <w:highlight w:val="none"/>
              </w:rPr>
            </w:pPr>
          </w:p>
        </w:tc>
      </w:tr>
      <w:tr w14:paraId="3F9D4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083" w:type="dxa"/>
            <w:gridSpan w:val="4"/>
            <w:vAlign w:val="top"/>
          </w:tcPr>
          <w:p w14:paraId="6FB53EB8">
            <w:pPr>
              <w:rPr>
                <w:rFonts w:ascii="Arial"/>
                <w:sz w:val="21"/>
                <w:highlight w:val="none"/>
              </w:rPr>
            </w:pPr>
          </w:p>
        </w:tc>
        <w:tc>
          <w:tcPr>
            <w:tcW w:w="2098" w:type="dxa"/>
            <w:gridSpan w:val="2"/>
            <w:vAlign w:val="top"/>
          </w:tcPr>
          <w:p w14:paraId="7FDD444C">
            <w:pPr>
              <w:rPr>
                <w:rFonts w:ascii="Arial"/>
                <w:sz w:val="21"/>
                <w:highlight w:val="none"/>
              </w:rPr>
            </w:pPr>
          </w:p>
        </w:tc>
        <w:tc>
          <w:tcPr>
            <w:tcW w:w="2157" w:type="dxa"/>
            <w:gridSpan w:val="3"/>
            <w:vAlign w:val="top"/>
          </w:tcPr>
          <w:p w14:paraId="4D8B3CBB">
            <w:pPr>
              <w:rPr>
                <w:rFonts w:ascii="Arial"/>
                <w:sz w:val="21"/>
                <w:highlight w:val="none"/>
              </w:rPr>
            </w:pPr>
          </w:p>
        </w:tc>
        <w:tc>
          <w:tcPr>
            <w:tcW w:w="2102" w:type="dxa"/>
            <w:vAlign w:val="top"/>
          </w:tcPr>
          <w:p w14:paraId="762AE5F3">
            <w:pPr>
              <w:rPr>
                <w:rFonts w:ascii="Arial"/>
                <w:sz w:val="21"/>
                <w:highlight w:val="none"/>
              </w:rPr>
            </w:pPr>
          </w:p>
        </w:tc>
      </w:tr>
      <w:tr w14:paraId="199E2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2083" w:type="dxa"/>
            <w:gridSpan w:val="4"/>
            <w:vAlign w:val="top"/>
          </w:tcPr>
          <w:p w14:paraId="11D650F2">
            <w:pPr>
              <w:rPr>
                <w:rFonts w:ascii="Arial"/>
                <w:sz w:val="21"/>
                <w:highlight w:val="none"/>
              </w:rPr>
            </w:pPr>
          </w:p>
        </w:tc>
        <w:tc>
          <w:tcPr>
            <w:tcW w:w="2098" w:type="dxa"/>
            <w:gridSpan w:val="2"/>
            <w:vAlign w:val="top"/>
          </w:tcPr>
          <w:p w14:paraId="03377B96">
            <w:pPr>
              <w:rPr>
                <w:rFonts w:ascii="Arial"/>
                <w:sz w:val="21"/>
                <w:highlight w:val="none"/>
              </w:rPr>
            </w:pPr>
          </w:p>
        </w:tc>
        <w:tc>
          <w:tcPr>
            <w:tcW w:w="2157" w:type="dxa"/>
            <w:gridSpan w:val="3"/>
            <w:vAlign w:val="top"/>
          </w:tcPr>
          <w:p w14:paraId="43B06F2C">
            <w:pPr>
              <w:rPr>
                <w:rFonts w:ascii="Arial"/>
                <w:sz w:val="21"/>
                <w:highlight w:val="none"/>
              </w:rPr>
            </w:pPr>
          </w:p>
        </w:tc>
        <w:tc>
          <w:tcPr>
            <w:tcW w:w="2102" w:type="dxa"/>
            <w:vAlign w:val="top"/>
          </w:tcPr>
          <w:p w14:paraId="211D45F4">
            <w:pPr>
              <w:rPr>
                <w:rFonts w:ascii="Arial"/>
                <w:sz w:val="21"/>
                <w:highlight w:val="none"/>
              </w:rPr>
            </w:pPr>
          </w:p>
        </w:tc>
      </w:tr>
      <w:tr w14:paraId="27D4E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8440" w:type="dxa"/>
            <w:gridSpan w:val="10"/>
            <w:vAlign w:val="top"/>
          </w:tcPr>
          <w:p w14:paraId="0F38C6D5">
            <w:pPr>
              <w:pStyle w:val="6"/>
              <w:spacing w:before="157" w:line="219" w:lineRule="auto"/>
              <w:ind w:left="3005"/>
              <w:rPr>
                <w:sz w:val="22"/>
                <w:szCs w:val="22"/>
                <w:highlight w:val="none"/>
              </w:rPr>
            </w:pPr>
            <w:r>
              <w:rPr>
                <w:spacing w:val="-1"/>
                <w:sz w:val="22"/>
                <w:szCs w:val="22"/>
                <w:highlight w:val="none"/>
              </w:rPr>
              <w:t>近年项目经理获得的表彰</w:t>
            </w:r>
          </w:p>
        </w:tc>
      </w:tr>
      <w:tr w14:paraId="0C618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703" w:type="dxa"/>
            <w:gridSpan w:val="3"/>
            <w:vAlign w:val="top"/>
          </w:tcPr>
          <w:p w14:paraId="7E00243E">
            <w:pPr>
              <w:pStyle w:val="6"/>
              <w:spacing w:before="178" w:line="219" w:lineRule="auto"/>
              <w:ind w:left="405"/>
              <w:rPr>
                <w:sz w:val="22"/>
                <w:szCs w:val="22"/>
                <w:highlight w:val="none"/>
              </w:rPr>
            </w:pPr>
            <w:r>
              <w:rPr>
                <w:spacing w:val="3"/>
                <w:sz w:val="22"/>
                <w:szCs w:val="22"/>
                <w:highlight w:val="none"/>
              </w:rPr>
              <w:t>获奖日期</w:t>
            </w:r>
          </w:p>
        </w:tc>
        <w:tc>
          <w:tcPr>
            <w:tcW w:w="3127" w:type="dxa"/>
            <w:gridSpan w:val="5"/>
            <w:vAlign w:val="top"/>
          </w:tcPr>
          <w:p w14:paraId="36FA4888">
            <w:pPr>
              <w:pStyle w:val="6"/>
              <w:spacing w:before="178" w:line="220" w:lineRule="auto"/>
              <w:ind w:left="1112"/>
              <w:rPr>
                <w:sz w:val="22"/>
                <w:szCs w:val="22"/>
                <w:highlight w:val="none"/>
              </w:rPr>
            </w:pPr>
            <w:r>
              <w:rPr>
                <w:spacing w:val="-2"/>
                <w:sz w:val="22"/>
                <w:szCs w:val="22"/>
                <w:highlight w:val="none"/>
              </w:rPr>
              <w:t>颁奖单位</w:t>
            </w:r>
          </w:p>
        </w:tc>
        <w:tc>
          <w:tcPr>
            <w:tcW w:w="3610" w:type="dxa"/>
            <w:gridSpan w:val="2"/>
            <w:vAlign w:val="top"/>
          </w:tcPr>
          <w:p w14:paraId="04C470D8">
            <w:pPr>
              <w:pStyle w:val="6"/>
              <w:spacing w:before="178" w:line="219" w:lineRule="auto"/>
              <w:ind w:left="1355"/>
              <w:rPr>
                <w:sz w:val="22"/>
                <w:szCs w:val="22"/>
                <w:highlight w:val="none"/>
              </w:rPr>
            </w:pPr>
            <w:r>
              <w:rPr>
                <w:spacing w:val="2"/>
                <w:sz w:val="22"/>
                <w:szCs w:val="22"/>
                <w:highlight w:val="none"/>
              </w:rPr>
              <w:t>获奖名称</w:t>
            </w:r>
          </w:p>
        </w:tc>
      </w:tr>
      <w:tr w14:paraId="1E02F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03" w:type="dxa"/>
            <w:gridSpan w:val="3"/>
            <w:vAlign w:val="top"/>
          </w:tcPr>
          <w:p w14:paraId="70A7EEE0">
            <w:pPr>
              <w:rPr>
                <w:rFonts w:ascii="Arial"/>
                <w:sz w:val="21"/>
                <w:highlight w:val="none"/>
              </w:rPr>
            </w:pPr>
          </w:p>
        </w:tc>
        <w:tc>
          <w:tcPr>
            <w:tcW w:w="3127" w:type="dxa"/>
            <w:gridSpan w:val="5"/>
            <w:vAlign w:val="top"/>
          </w:tcPr>
          <w:p w14:paraId="2BF65D16">
            <w:pPr>
              <w:rPr>
                <w:rFonts w:ascii="Arial"/>
                <w:sz w:val="21"/>
                <w:highlight w:val="none"/>
              </w:rPr>
            </w:pPr>
          </w:p>
        </w:tc>
        <w:tc>
          <w:tcPr>
            <w:tcW w:w="3610" w:type="dxa"/>
            <w:gridSpan w:val="2"/>
            <w:vAlign w:val="top"/>
          </w:tcPr>
          <w:p w14:paraId="5270B27B">
            <w:pPr>
              <w:rPr>
                <w:rFonts w:ascii="Arial"/>
                <w:sz w:val="21"/>
                <w:highlight w:val="none"/>
              </w:rPr>
            </w:pPr>
          </w:p>
        </w:tc>
      </w:tr>
      <w:tr w14:paraId="6B4C4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703" w:type="dxa"/>
            <w:gridSpan w:val="3"/>
            <w:vAlign w:val="top"/>
          </w:tcPr>
          <w:p w14:paraId="17AEAC46">
            <w:pPr>
              <w:rPr>
                <w:rFonts w:ascii="Arial"/>
                <w:sz w:val="21"/>
                <w:highlight w:val="none"/>
              </w:rPr>
            </w:pPr>
          </w:p>
        </w:tc>
        <w:tc>
          <w:tcPr>
            <w:tcW w:w="3127" w:type="dxa"/>
            <w:gridSpan w:val="5"/>
            <w:vAlign w:val="top"/>
          </w:tcPr>
          <w:p w14:paraId="5EA9D05B">
            <w:pPr>
              <w:rPr>
                <w:rFonts w:ascii="Arial"/>
                <w:sz w:val="21"/>
                <w:highlight w:val="none"/>
              </w:rPr>
            </w:pPr>
          </w:p>
        </w:tc>
        <w:tc>
          <w:tcPr>
            <w:tcW w:w="3610" w:type="dxa"/>
            <w:gridSpan w:val="2"/>
            <w:vAlign w:val="top"/>
          </w:tcPr>
          <w:p w14:paraId="731581AD">
            <w:pPr>
              <w:rPr>
                <w:rFonts w:ascii="Arial"/>
                <w:sz w:val="21"/>
                <w:highlight w:val="none"/>
              </w:rPr>
            </w:pPr>
          </w:p>
        </w:tc>
      </w:tr>
      <w:tr w14:paraId="6EF53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703" w:type="dxa"/>
            <w:gridSpan w:val="3"/>
            <w:vAlign w:val="top"/>
          </w:tcPr>
          <w:p w14:paraId="13D9DE55">
            <w:pPr>
              <w:rPr>
                <w:rFonts w:ascii="Arial"/>
                <w:sz w:val="21"/>
                <w:highlight w:val="none"/>
              </w:rPr>
            </w:pPr>
          </w:p>
        </w:tc>
        <w:tc>
          <w:tcPr>
            <w:tcW w:w="3127" w:type="dxa"/>
            <w:gridSpan w:val="5"/>
            <w:vAlign w:val="top"/>
          </w:tcPr>
          <w:p w14:paraId="5CBE751C">
            <w:pPr>
              <w:rPr>
                <w:rFonts w:ascii="Arial"/>
                <w:sz w:val="21"/>
                <w:highlight w:val="none"/>
              </w:rPr>
            </w:pPr>
          </w:p>
        </w:tc>
        <w:tc>
          <w:tcPr>
            <w:tcW w:w="3610" w:type="dxa"/>
            <w:gridSpan w:val="2"/>
            <w:vAlign w:val="top"/>
          </w:tcPr>
          <w:p w14:paraId="248BF1CE">
            <w:pPr>
              <w:rPr>
                <w:rFonts w:ascii="Arial"/>
                <w:sz w:val="21"/>
                <w:highlight w:val="none"/>
              </w:rPr>
            </w:pPr>
          </w:p>
        </w:tc>
      </w:tr>
    </w:tbl>
    <w:p w14:paraId="0BB04B4D">
      <w:pPr>
        <w:spacing w:before="162" w:line="219" w:lineRule="auto"/>
        <w:ind w:left="25"/>
        <w:rPr>
          <w:rFonts w:ascii="宋体" w:hAnsi="宋体" w:eastAsia="宋体" w:cs="宋体"/>
          <w:sz w:val="22"/>
          <w:szCs w:val="22"/>
          <w:highlight w:val="none"/>
        </w:rPr>
      </w:pPr>
      <w:r>
        <w:rPr>
          <w:rFonts w:ascii="宋体" w:hAnsi="宋体" w:eastAsia="宋体" w:cs="宋体"/>
          <w:spacing w:val="-7"/>
          <w:sz w:val="22"/>
          <w:szCs w:val="22"/>
          <w:highlight w:val="none"/>
        </w:rPr>
        <w:t>备注：1.项目经理的证明资料按下列顺序附后，资格证书(如有)、注册证书、职称证、学</w:t>
      </w:r>
    </w:p>
    <w:p w14:paraId="254A6890">
      <w:pPr>
        <w:spacing w:line="219" w:lineRule="auto"/>
        <w:rPr>
          <w:rFonts w:ascii="宋体" w:hAnsi="宋体" w:eastAsia="宋体" w:cs="宋体"/>
          <w:sz w:val="22"/>
          <w:szCs w:val="22"/>
          <w:highlight w:val="none"/>
        </w:rPr>
        <w:sectPr>
          <w:footerReference r:id="rId254" w:type="default"/>
          <w:pgSz w:w="11910" w:h="16840"/>
          <w:pgMar w:top="400" w:right="1685" w:bottom="1238" w:left="1774" w:header="0" w:footer="1006" w:gutter="0"/>
          <w:cols w:space="720" w:num="1"/>
        </w:sectPr>
      </w:pPr>
    </w:p>
    <w:p w14:paraId="4D406FB1">
      <w:pPr>
        <w:pStyle w:val="2"/>
        <w:spacing w:line="272" w:lineRule="auto"/>
        <w:rPr>
          <w:highlight w:val="none"/>
        </w:rPr>
      </w:pPr>
    </w:p>
    <w:p w14:paraId="4E120C06">
      <w:pPr>
        <w:pStyle w:val="2"/>
        <w:spacing w:line="272" w:lineRule="auto"/>
        <w:rPr>
          <w:highlight w:val="none"/>
        </w:rPr>
      </w:pPr>
    </w:p>
    <w:p w14:paraId="0694AFE6">
      <w:pPr>
        <w:pStyle w:val="2"/>
        <w:spacing w:line="273" w:lineRule="auto"/>
        <w:rPr>
          <w:highlight w:val="none"/>
        </w:rPr>
      </w:pPr>
    </w:p>
    <w:p w14:paraId="1D7D1B5D">
      <w:pPr>
        <w:pStyle w:val="2"/>
        <w:spacing w:line="273" w:lineRule="auto"/>
        <w:rPr>
          <w:highlight w:val="none"/>
        </w:rPr>
      </w:pPr>
    </w:p>
    <w:p w14:paraId="27BE1BA3">
      <w:pPr>
        <w:spacing w:before="72" w:line="219" w:lineRule="auto"/>
        <w:ind w:left="833"/>
        <w:rPr>
          <w:rFonts w:ascii="宋体" w:hAnsi="宋体" w:eastAsia="宋体" w:cs="宋体"/>
          <w:sz w:val="22"/>
          <w:szCs w:val="22"/>
          <w:highlight w:val="none"/>
        </w:rPr>
      </w:pPr>
      <w:bookmarkStart w:id="252" w:name="bookmark301"/>
      <w:bookmarkEnd w:id="252"/>
      <w:r>
        <w:rPr>
          <w:rFonts w:ascii="宋体" w:hAnsi="宋体" w:eastAsia="宋体" w:cs="宋体"/>
          <w:spacing w:val="-12"/>
          <w:sz w:val="22"/>
          <w:szCs w:val="22"/>
          <w:highlight w:val="none"/>
        </w:rPr>
        <w:t>历证扫描件。</w:t>
      </w:r>
    </w:p>
    <w:p w14:paraId="6DAEC74E">
      <w:pPr>
        <w:spacing w:before="176" w:line="286" w:lineRule="auto"/>
        <w:ind w:left="832" w:hanging="219"/>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2.</w:t>
      </w:r>
      <w:r>
        <w:rPr>
          <w:rFonts w:ascii="Times New Roman" w:hAnsi="Times New Roman" w:eastAsia="Times New Roman" w:cs="Times New Roman"/>
          <w:spacing w:val="-3"/>
          <w:sz w:val="22"/>
          <w:szCs w:val="22"/>
          <w:highlight w:val="none"/>
        </w:rPr>
        <w:t xml:space="preserve"> </w:t>
      </w:r>
      <w:r>
        <w:rPr>
          <w:rFonts w:ascii="宋体" w:hAnsi="宋体" w:eastAsia="宋体" w:cs="宋体"/>
          <w:spacing w:val="-6"/>
          <w:sz w:val="22"/>
          <w:szCs w:val="22"/>
          <w:highlight w:val="none"/>
        </w:rPr>
        <w:t>类似项目的证明资料应分别附中标通知书(如有)、合同协议书、工程接收证书或</w:t>
      </w:r>
      <w:r>
        <w:rPr>
          <w:rFonts w:ascii="宋体" w:hAnsi="宋体" w:eastAsia="宋体" w:cs="宋体"/>
          <w:sz w:val="22"/>
          <w:szCs w:val="22"/>
          <w:highlight w:val="none"/>
        </w:rPr>
        <w:t xml:space="preserve"> </w:t>
      </w:r>
      <w:r>
        <w:rPr>
          <w:rFonts w:ascii="宋体" w:hAnsi="宋体" w:eastAsia="宋体" w:cs="宋体"/>
          <w:spacing w:val="2"/>
          <w:sz w:val="22"/>
          <w:szCs w:val="22"/>
          <w:highlight w:val="none"/>
        </w:rPr>
        <w:t>工程竣工验收证书(工程竣工验收备案证)及其他</w:t>
      </w:r>
      <w:r>
        <w:rPr>
          <w:rFonts w:ascii="宋体" w:hAnsi="宋体" w:eastAsia="宋体" w:cs="宋体"/>
          <w:spacing w:val="1"/>
          <w:sz w:val="22"/>
          <w:szCs w:val="22"/>
          <w:highlight w:val="none"/>
        </w:rPr>
        <w:t>证明材料(如需要)的扫描件。</w:t>
      </w:r>
    </w:p>
    <w:p w14:paraId="2B3908D4">
      <w:pPr>
        <w:spacing w:before="169" w:line="319" w:lineRule="auto"/>
        <w:ind w:left="832" w:right="65" w:hanging="219"/>
        <w:rPr>
          <w:rFonts w:ascii="宋体" w:hAnsi="宋体" w:eastAsia="宋体" w:cs="宋体"/>
          <w:sz w:val="21"/>
          <w:szCs w:val="21"/>
          <w:highlight w:val="none"/>
        </w:rPr>
      </w:pPr>
      <w:r>
        <w:rPr>
          <w:rFonts w:ascii="宋体" w:hAnsi="宋体" w:eastAsia="宋体" w:cs="宋体"/>
          <w:spacing w:val="1"/>
          <w:sz w:val="21"/>
          <w:szCs w:val="21"/>
          <w:highlight w:val="none"/>
        </w:rPr>
        <w:t>3. “获工程质量奖项情况”的证明资料应附</w:t>
      </w:r>
      <w:r>
        <w:rPr>
          <w:rFonts w:ascii="宋体" w:hAnsi="宋体" w:eastAsia="宋体" w:cs="宋体"/>
          <w:sz w:val="21"/>
          <w:szCs w:val="21"/>
          <w:highlight w:val="none"/>
        </w:rPr>
        <w:t xml:space="preserve">中标通知书(如有)、合同协议书、工程 </w:t>
      </w:r>
      <w:r>
        <w:rPr>
          <w:rFonts w:ascii="宋体" w:hAnsi="宋体" w:eastAsia="宋体" w:cs="宋体"/>
          <w:spacing w:val="3"/>
          <w:sz w:val="21"/>
          <w:szCs w:val="21"/>
          <w:highlight w:val="none"/>
        </w:rPr>
        <w:t>接收证书或工程竣工验收证书(工程竣工验收备案证)、颁奖机构颁发的获奖证书</w:t>
      </w:r>
      <w:r>
        <w:rPr>
          <w:rFonts w:ascii="宋体" w:hAnsi="宋体" w:eastAsia="宋体" w:cs="宋体"/>
          <w:spacing w:val="15"/>
          <w:sz w:val="21"/>
          <w:szCs w:val="21"/>
          <w:highlight w:val="none"/>
        </w:rPr>
        <w:t xml:space="preserve"> </w:t>
      </w:r>
      <w:r>
        <w:rPr>
          <w:rFonts w:ascii="宋体" w:hAnsi="宋体" w:eastAsia="宋体" w:cs="宋体"/>
          <w:spacing w:val="-3"/>
          <w:sz w:val="21"/>
          <w:szCs w:val="21"/>
          <w:highlight w:val="none"/>
        </w:rPr>
        <w:t>或表彰文件及其他证明材料等扫描件。</w:t>
      </w:r>
    </w:p>
    <w:p w14:paraId="6B2B345B">
      <w:pPr>
        <w:spacing w:before="170" w:line="219" w:lineRule="auto"/>
        <w:ind w:left="613"/>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4. </w:t>
      </w:r>
      <w:r>
        <w:rPr>
          <w:rFonts w:ascii="宋体" w:hAnsi="宋体" w:eastAsia="宋体" w:cs="宋体"/>
          <w:sz w:val="21"/>
          <w:szCs w:val="21"/>
          <w:highlight w:val="none"/>
        </w:rPr>
        <w:t>获表彰情况的证明资料应附颁奖机构颁发的表彰证书或表彰文</w:t>
      </w:r>
      <w:r>
        <w:rPr>
          <w:rFonts w:ascii="宋体" w:hAnsi="宋体" w:eastAsia="宋体" w:cs="宋体"/>
          <w:spacing w:val="-1"/>
          <w:sz w:val="21"/>
          <w:szCs w:val="21"/>
          <w:highlight w:val="none"/>
        </w:rPr>
        <w:t>件的扫描件。</w:t>
      </w:r>
    </w:p>
    <w:p w14:paraId="3ECDCFAD">
      <w:pPr>
        <w:spacing w:line="219" w:lineRule="auto"/>
        <w:rPr>
          <w:rFonts w:ascii="宋体" w:hAnsi="宋体" w:eastAsia="宋体" w:cs="宋体"/>
          <w:sz w:val="21"/>
          <w:szCs w:val="21"/>
          <w:highlight w:val="none"/>
        </w:rPr>
        <w:sectPr>
          <w:footerReference r:id="rId255" w:type="default"/>
          <w:pgSz w:w="11910" w:h="16840"/>
          <w:pgMar w:top="400" w:right="1750" w:bottom="1238" w:left="1786" w:header="0" w:footer="1006" w:gutter="0"/>
          <w:cols w:space="720" w:num="1"/>
        </w:sectPr>
      </w:pPr>
    </w:p>
    <w:p w14:paraId="00D34CE0">
      <w:pPr>
        <w:pStyle w:val="2"/>
        <w:spacing w:line="277" w:lineRule="auto"/>
        <w:rPr>
          <w:highlight w:val="none"/>
        </w:rPr>
      </w:pPr>
    </w:p>
    <w:p w14:paraId="23D8B65B">
      <w:pPr>
        <w:pStyle w:val="2"/>
        <w:spacing w:line="278" w:lineRule="auto"/>
        <w:rPr>
          <w:highlight w:val="none"/>
        </w:rPr>
      </w:pPr>
    </w:p>
    <w:p w14:paraId="6EDF8162">
      <w:pPr>
        <w:pStyle w:val="2"/>
        <w:spacing w:line="278" w:lineRule="auto"/>
        <w:rPr>
          <w:highlight w:val="none"/>
        </w:rPr>
      </w:pPr>
    </w:p>
    <w:p w14:paraId="48C38BBB">
      <w:pPr>
        <w:pStyle w:val="2"/>
        <w:spacing w:line="278" w:lineRule="auto"/>
        <w:rPr>
          <w:highlight w:val="none"/>
        </w:rPr>
      </w:pPr>
    </w:p>
    <w:p w14:paraId="4CF1978C">
      <w:pPr>
        <w:spacing w:before="91" w:line="221" w:lineRule="auto"/>
        <w:ind w:left="65"/>
        <w:rPr>
          <w:rFonts w:ascii="黑体" w:hAnsi="黑体" w:eastAsia="黑体" w:cs="黑体"/>
          <w:sz w:val="28"/>
          <w:szCs w:val="28"/>
          <w:highlight w:val="none"/>
        </w:rPr>
      </w:pPr>
      <w:r>
        <w:rPr>
          <w:rFonts w:ascii="黑体" w:hAnsi="黑体" w:eastAsia="黑体" w:cs="黑体"/>
          <w:sz w:val="28"/>
          <w:szCs w:val="28"/>
          <w:highlight w:val="none"/>
        </w:rPr>
        <w:t>(三)设计负责人简历表</w:t>
      </w:r>
    </w:p>
    <w:p w14:paraId="5F1CBAE0">
      <w:pPr>
        <w:spacing w:before="24"/>
        <w:rPr>
          <w:highlight w:val="none"/>
        </w:rPr>
      </w:pPr>
    </w:p>
    <w:p w14:paraId="566C170A">
      <w:pPr>
        <w:spacing w:before="23"/>
        <w:rPr>
          <w:highlight w:val="none"/>
        </w:rPr>
      </w:pPr>
    </w:p>
    <w:tbl>
      <w:tblPr>
        <w:tblStyle w:val="5"/>
        <w:tblW w:w="84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4"/>
        <w:gridCol w:w="599"/>
        <w:gridCol w:w="400"/>
        <w:gridCol w:w="1079"/>
        <w:gridCol w:w="1019"/>
        <w:gridCol w:w="210"/>
        <w:gridCol w:w="419"/>
        <w:gridCol w:w="1538"/>
        <w:gridCol w:w="2102"/>
      </w:tblGrid>
      <w:tr w14:paraId="07A6A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1104" w:type="dxa"/>
            <w:vAlign w:val="top"/>
          </w:tcPr>
          <w:p w14:paraId="22532B82">
            <w:pPr>
              <w:pStyle w:val="6"/>
              <w:spacing w:before="113" w:line="219" w:lineRule="auto"/>
              <w:ind w:left="105"/>
              <w:rPr>
                <w:highlight w:val="none"/>
              </w:rPr>
            </w:pPr>
            <w:r>
              <w:rPr>
                <w:spacing w:val="-5"/>
                <w:highlight w:val="none"/>
              </w:rPr>
              <w:t>姓</w:t>
            </w:r>
            <w:r>
              <w:rPr>
                <w:spacing w:val="51"/>
                <w:highlight w:val="none"/>
              </w:rPr>
              <w:t xml:space="preserve"> </w:t>
            </w:r>
            <w:r>
              <w:rPr>
                <w:spacing w:val="-5"/>
                <w:highlight w:val="none"/>
              </w:rPr>
              <w:t>名</w:t>
            </w:r>
          </w:p>
        </w:tc>
        <w:tc>
          <w:tcPr>
            <w:tcW w:w="999" w:type="dxa"/>
            <w:gridSpan w:val="2"/>
            <w:vAlign w:val="top"/>
          </w:tcPr>
          <w:p w14:paraId="147509B8">
            <w:pPr>
              <w:rPr>
                <w:rFonts w:ascii="Arial"/>
                <w:sz w:val="21"/>
                <w:highlight w:val="none"/>
              </w:rPr>
            </w:pPr>
          </w:p>
        </w:tc>
        <w:tc>
          <w:tcPr>
            <w:tcW w:w="1079" w:type="dxa"/>
            <w:vAlign w:val="top"/>
          </w:tcPr>
          <w:p w14:paraId="70A600A6">
            <w:pPr>
              <w:pStyle w:val="6"/>
              <w:spacing w:before="113" w:line="219" w:lineRule="auto"/>
              <w:ind w:left="212"/>
              <w:rPr>
                <w:highlight w:val="none"/>
              </w:rPr>
            </w:pPr>
            <w:r>
              <w:rPr>
                <w:spacing w:val="-5"/>
                <w:highlight w:val="none"/>
              </w:rPr>
              <w:t>年</w:t>
            </w:r>
            <w:r>
              <w:rPr>
                <w:spacing w:val="7"/>
                <w:highlight w:val="none"/>
              </w:rPr>
              <w:t xml:space="preserve"> </w:t>
            </w:r>
            <w:r>
              <w:rPr>
                <w:spacing w:val="-5"/>
                <w:highlight w:val="none"/>
              </w:rPr>
              <w:t>龄</w:t>
            </w:r>
          </w:p>
        </w:tc>
        <w:tc>
          <w:tcPr>
            <w:tcW w:w="1229" w:type="dxa"/>
            <w:gridSpan w:val="2"/>
            <w:vAlign w:val="top"/>
          </w:tcPr>
          <w:p w14:paraId="26965F8E">
            <w:pPr>
              <w:rPr>
                <w:rFonts w:ascii="Arial"/>
                <w:sz w:val="21"/>
                <w:highlight w:val="none"/>
              </w:rPr>
            </w:pPr>
          </w:p>
        </w:tc>
        <w:tc>
          <w:tcPr>
            <w:tcW w:w="1957" w:type="dxa"/>
            <w:gridSpan w:val="2"/>
            <w:vAlign w:val="top"/>
          </w:tcPr>
          <w:p w14:paraId="6A355C81">
            <w:pPr>
              <w:pStyle w:val="6"/>
              <w:spacing w:before="114" w:line="221" w:lineRule="auto"/>
              <w:ind w:left="764"/>
              <w:rPr>
                <w:highlight w:val="none"/>
              </w:rPr>
            </w:pPr>
            <w:r>
              <w:rPr>
                <w:spacing w:val="6"/>
                <w:highlight w:val="none"/>
              </w:rPr>
              <w:t>学历</w:t>
            </w:r>
          </w:p>
        </w:tc>
        <w:tc>
          <w:tcPr>
            <w:tcW w:w="2102" w:type="dxa"/>
            <w:vAlign w:val="top"/>
          </w:tcPr>
          <w:p w14:paraId="4B83B8B6">
            <w:pPr>
              <w:rPr>
                <w:rFonts w:ascii="Arial"/>
                <w:sz w:val="21"/>
                <w:highlight w:val="none"/>
              </w:rPr>
            </w:pPr>
          </w:p>
        </w:tc>
      </w:tr>
      <w:tr w14:paraId="3B3DB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104" w:type="dxa"/>
            <w:vAlign w:val="top"/>
          </w:tcPr>
          <w:p w14:paraId="3EEF1EB4">
            <w:pPr>
              <w:pStyle w:val="6"/>
              <w:spacing w:before="131" w:line="221" w:lineRule="auto"/>
              <w:ind w:left="105"/>
              <w:rPr>
                <w:highlight w:val="none"/>
              </w:rPr>
            </w:pPr>
            <w:r>
              <w:rPr>
                <w:spacing w:val="-5"/>
                <w:highlight w:val="none"/>
              </w:rPr>
              <w:t>职</w:t>
            </w:r>
            <w:r>
              <w:rPr>
                <w:spacing w:val="32"/>
                <w:highlight w:val="none"/>
              </w:rPr>
              <w:t xml:space="preserve"> </w:t>
            </w:r>
            <w:r>
              <w:rPr>
                <w:spacing w:val="-5"/>
                <w:highlight w:val="none"/>
              </w:rPr>
              <w:t>称</w:t>
            </w:r>
          </w:p>
        </w:tc>
        <w:tc>
          <w:tcPr>
            <w:tcW w:w="3307" w:type="dxa"/>
            <w:gridSpan w:val="5"/>
            <w:vAlign w:val="top"/>
          </w:tcPr>
          <w:p w14:paraId="4AE8554C">
            <w:pPr>
              <w:rPr>
                <w:rFonts w:ascii="Arial"/>
                <w:sz w:val="21"/>
                <w:highlight w:val="none"/>
              </w:rPr>
            </w:pPr>
          </w:p>
        </w:tc>
        <w:tc>
          <w:tcPr>
            <w:tcW w:w="1957" w:type="dxa"/>
            <w:gridSpan w:val="2"/>
            <w:vAlign w:val="top"/>
          </w:tcPr>
          <w:p w14:paraId="6A4226FF">
            <w:pPr>
              <w:pStyle w:val="6"/>
              <w:spacing w:before="127" w:line="219" w:lineRule="auto"/>
              <w:ind w:left="234"/>
              <w:rPr>
                <w:highlight w:val="none"/>
              </w:rPr>
            </w:pPr>
            <w:r>
              <w:rPr>
                <w:spacing w:val="-2"/>
                <w:highlight w:val="none"/>
              </w:rPr>
              <w:t>拟在本工程任职</w:t>
            </w:r>
          </w:p>
        </w:tc>
        <w:tc>
          <w:tcPr>
            <w:tcW w:w="2102" w:type="dxa"/>
            <w:vAlign w:val="top"/>
          </w:tcPr>
          <w:p w14:paraId="2731F89D">
            <w:pPr>
              <w:pStyle w:val="6"/>
              <w:spacing w:before="128" w:line="219" w:lineRule="auto"/>
              <w:ind w:left="517"/>
              <w:rPr>
                <w:highlight w:val="none"/>
              </w:rPr>
            </w:pPr>
            <w:r>
              <w:rPr>
                <w:spacing w:val="1"/>
                <w:highlight w:val="none"/>
              </w:rPr>
              <w:t>设计负责人</w:t>
            </w:r>
          </w:p>
        </w:tc>
      </w:tr>
      <w:tr w14:paraId="5AB7D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3182" w:type="dxa"/>
            <w:gridSpan w:val="4"/>
            <w:vAlign w:val="top"/>
          </w:tcPr>
          <w:p w14:paraId="41620ACA">
            <w:pPr>
              <w:pStyle w:val="6"/>
              <w:spacing w:before="118" w:line="219" w:lineRule="auto"/>
              <w:ind w:left="755"/>
              <w:rPr>
                <w:highlight w:val="none"/>
              </w:rPr>
            </w:pPr>
            <w:r>
              <w:rPr>
                <w:spacing w:val="1"/>
                <w:highlight w:val="none"/>
              </w:rPr>
              <w:t>注册执业资格等级</w:t>
            </w:r>
          </w:p>
        </w:tc>
        <w:tc>
          <w:tcPr>
            <w:tcW w:w="1229" w:type="dxa"/>
            <w:gridSpan w:val="2"/>
            <w:vAlign w:val="top"/>
          </w:tcPr>
          <w:p w14:paraId="6FE4CFCE">
            <w:pPr>
              <w:pStyle w:val="6"/>
              <w:spacing w:before="121" w:line="221" w:lineRule="auto"/>
              <w:ind w:left="803"/>
              <w:rPr>
                <w:highlight w:val="none"/>
              </w:rPr>
            </w:pPr>
            <w:r>
              <w:rPr>
                <w:highlight w:val="none"/>
              </w:rPr>
              <w:t>级</w:t>
            </w:r>
          </w:p>
        </w:tc>
        <w:tc>
          <w:tcPr>
            <w:tcW w:w="1957" w:type="dxa"/>
            <w:gridSpan w:val="2"/>
            <w:vAlign w:val="top"/>
          </w:tcPr>
          <w:p w14:paraId="082A7751">
            <w:pPr>
              <w:pStyle w:val="6"/>
              <w:spacing w:before="119" w:line="220" w:lineRule="auto"/>
              <w:ind w:left="764"/>
              <w:rPr>
                <w:highlight w:val="none"/>
              </w:rPr>
            </w:pPr>
            <w:r>
              <w:rPr>
                <w:spacing w:val="-3"/>
                <w:highlight w:val="none"/>
              </w:rPr>
              <w:t>专业</w:t>
            </w:r>
          </w:p>
        </w:tc>
        <w:tc>
          <w:tcPr>
            <w:tcW w:w="2102" w:type="dxa"/>
            <w:vAlign w:val="top"/>
          </w:tcPr>
          <w:p w14:paraId="46074CD2">
            <w:pPr>
              <w:rPr>
                <w:rFonts w:ascii="Arial"/>
                <w:sz w:val="21"/>
                <w:highlight w:val="none"/>
              </w:rPr>
            </w:pPr>
          </w:p>
        </w:tc>
      </w:tr>
      <w:tr w14:paraId="7F09C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104" w:type="dxa"/>
            <w:vAlign w:val="top"/>
          </w:tcPr>
          <w:p w14:paraId="7A0DAD40">
            <w:pPr>
              <w:pStyle w:val="6"/>
              <w:spacing w:before="128" w:line="219" w:lineRule="auto"/>
              <w:ind w:left="105"/>
              <w:rPr>
                <w:highlight w:val="none"/>
              </w:rPr>
            </w:pPr>
            <w:r>
              <w:rPr>
                <w:spacing w:val="2"/>
                <w:highlight w:val="none"/>
              </w:rPr>
              <w:t>毕业学校</w:t>
            </w:r>
          </w:p>
        </w:tc>
        <w:tc>
          <w:tcPr>
            <w:tcW w:w="7366" w:type="dxa"/>
            <w:gridSpan w:val="8"/>
            <w:vAlign w:val="top"/>
          </w:tcPr>
          <w:p w14:paraId="71884DB0">
            <w:pPr>
              <w:pStyle w:val="6"/>
              <w:spacing w:before="99" w:line="228" w:lineRule="auto"/>
              <w:ind w:left="971"/>
              <w:rPr>
                <w:highlight w:val="none"/>
              </w:rPr>
            </w:pPr>
            <w:r>
              <w:rPr>
                <w:spacing w:val="2"/>
                <w:highlight w:val="none"/>
              </w:rPr>
              <w:t>年毕业于</w:t>
            </w:r>
            <w:r>
              <w:rPr>
                <w:highlight w:val="none"/>
              </w:rPr>
              <w:t xml:space="preserve">                  </w:t>
            </w:r>
            <w:r>
              <w:rPr>
                <w:spacing w:val="2"/>
                <w:position w:val="1"/>
                <w:highlight w:val="none"/>
              </w:rPr>
              <w:t xml:space="preserve">学校            </w:t>
            </w:r>
            <w:r>
              <w:rPr>
                <w:spacing w:val="2"/>
                <w:highlight w:val="none"/>
              </w:rPr>
              <w:t>专业</w:t>
            </w:r>
          </w:p>
        </w:tc>
      </w:tr>
      <w:tr w14:paraId="14DE6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8470" w:type="dxa"/>
            <w:gridSpan w:val="9"/>
            <w:vAlign w:val="top"/>
          </w:tcPr>
          <w:p w14:paraId="2A764DF4">
            <w:pPr>
              <w:pStyle w:val="6"/>
              <w:spacing w:before="128" w:line="219" w:lineRule="auto"/>
              <w:ind w:left="3595"/>
              <w:rPr>
                <w:highlight w:val="none"/>
              </w:rPr>
            </w:pPr>
            <w:r>
              <w:rPr>
                <w:spacing w:val="2"/>
                <w:highlight w:val="none"/>
              </w:rPr>
              <w:t>主要管理经历</w:t>
            </w:r>
          </w:p>
        </w:tc>
      </w:tr>
      <w:tr w14:paraId="3B369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1703" w:type="dxa"/>
            <w:gridSpan w:val="2"/>
            <w:vAlign w:val="top"/>
          </w:tcPr>
          <w:p w14:paraId="13ABE5CE">
            <w:pPr>
              <w:pStyle w:val="6"/>
              <w:spacing w:before="291" w:line="221" w:lineRule="auto"/>
              <w:ind w:left="575"/>
              <w:rPr>
                <w:highlight w:val="none"/>
              </w:rPr>
            </w:pPr>
            <w:r>
              <w:rPr>
                <w:spacing w:val="-10"/>
                <w:highlight w:val="none"/>
              </w:rPr>
              <w:t>时</w:t>
            </w:r>
            <w:r>
              <w:rPr>
                <w:spacing w:val="14"/>
                <w:highlight w:val="none"/>
              </w:rPr>
              <w:t xml:space="preserve"> </w:t>
            </w:r>
            <w:r>
              <w:rPr>
                <w:spacing w:val="-10"/>
                <w:highlight w:val="none"/>
              </w:rPr>
              <w:t>间</w:t>
            </w:r>
          </w:p>
        </w:tc>
        <w:tc>
          <w:tcPr>
            <w:tcW w:w="3127" w:type="dxa"/>
            <w:gridSpan w:val="5"/>
            <w:vAlign w:val="top"/>
          </w:tcPr>
          <w:p w14:paraId="13CF2244">
            <w:pPr>
              <w:pStyle w:val="6"/>
              <w:spacing w:before="57" w:line="317" w:lineRule="auto"/>
              <w:ind w:left="1132" w:right="178" w:hanging="940"/>
              <w:rPr>
                <w:highlight w:val="none"/>
              </w:rPr>
            </w:pPr>
            <w:r>
              <w:rPr>
                <w:spacing w:val="1"/>
                <w:highlight w:val="none"/>
              </w:rPr>
              <w:t>担任过类似项目设计负责人的</w:t>
            </w:r>
            <w:r>
              <w:rPr>
                <w:spacing w:val="2"/>
                <w:highlight w:val="none"/>
              </w:rPr>
              <w:t xml:space="preserve"> 项目名称</w:t>
            </w:r>
          </w:p>
        </w:tc>
        <w:tc>
          <w:tcPr>
            <w:tcW w:w="3640" w:type="dxa"/>
            <w:gridSpan w:val="2"/>
            <w:vAlign w:val="top"/>
          </w:tcPr>
          <w:p w14:paraId="61E00819">
            <w:pPr>
              <w:pStyle w:val="6"/>
              <w:spacing w:before="289" w:line="220" w:lineRule="auto"/>
              <w:ind w:left="975"/>
              <w:rPr>
                <w:highlight w:val="none"/>
              </w:rPr>
            </w:pPr>
            <w:r>
              <w:rPr>
                <w:spacing w:val="-2"/>
                <w:highlight w:val="none"/>
              </w:rPr>
              <w:t>发包人及联系电话</w:t>
            </w:r>
          </w:p>
        </w:tc>
      </w:tr>
      <w:tr w14:paraId="514BC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703" w:type="dxa"/>
            <w:gridSpan w:val="2"/>
            <w:vAlign w:val="top"/>
          </w:tcPr>
          <w:p w14:paraId="4964FB33">
            <w:pPr>
              <w:rPr>
                <w:rFonts w:ascii="Arial"/>
                <w:sz w:val="21"/>
                <w:highlight w:val="none"/>
              </w:rPr>
            </w:pPr>
          </w:p>
        </w:tc>
        <w:tc>
          <w:tcPr>
            <w:tcW w:w="3127" w:type="dxa"/>
            <w:gridSpan w:val="5"/>
            <w:vAlign w:val="top"/>
          </w:tcPr>
          <w:p w14:paraId="63B60B50">
            <w:pPr>
              <w:rPr>
                <w:rFonts w:ascii="Arial"/>
                <w:sz w:val="21"/>
                <w:highlight w:val="none"/>
              </w:rPr>
            </w:pPr>
          </w:p>
        </w:tc>
        <w:tc>
          <w:tcPr>
            <w:tcW w:w="3640" w:type="dxa"/>
            <w:gridSpan w:val="2"/>
            <w:vAlign w:val="top"/>
          </w:tcPr>
          <w:p w14:paraId="334EFC63">
            <w:pPr>
              <w:rPr>
                <w:rFonts w:ascii="Arial"/>
                <w:sz w:val="21"/>
                <w:highlight w:val="none"/>
              </w:rPr>
            </w:pPr>
          </w:p>
        </w:tc>
      </w:tr>
      <w:tr w14:paraId="78DE3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703" w:type="dxa"/>
            <w:gridSpan w:val="2"/>
            <w:vAlign w:val="top"/>
          </w:tcPr>
          <w:p w14:paraId="68F67673">
            <w:pPr>
              <w:rPr>
                <w:rFonts w:ascii="Arial"/>
                <w:sz w:val="21"/>
                <w:highlight w:val="none"/>
              </w:rPr>
            </w:pPr>
          </w:p>
        </w:tc>
        <w:tc>
          <w:tcPr>
            <w:tcW w:w="3127" w:type="dxa"/>
            <w:gridSpan w:val="5"/>
            <w:vAlign w:val="top"/>
          </w:tcPr>
          <w:p w14:paraId="15414EBB">
            <w:pPr>
              <w:rPr>
                <w:rFonts w:ascii="Arial"/>
                <w:sz w:val="21"/>
                <w:highlight w:val="none"/>
              </w:rPr>
            </w:pPr>
          </w:p>
        </w:tc>
        <w:tc>
          <w:tcPr>
            <w:tcW w:w="3640" w:type="dxa"/>
            <w:gridSpan w:val="2"/>
            <w:vAlign w:val="top"/>
          </w:tcPr>
          <w:p w14:paraId="57126E4A">
            <w:pPr>
              <w:rPr>
                <w:rFonts w:ascii="Arial"/>
                <w:sz w:val="21"/>
                <w:highlight w:val="none"/>
              </w:rPr>
            </w:pPr>
          </w:p>
        </w:tc>
      </w:tr>
      <w:tr w14:paraId="1E26C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703" w:type="dxa"/>
            <w:gridSpan w:val="2"/>
            <w:vAlign w:val="top"/>
          </w:tcPr>
          <w:p w14:paraId="5E82FA59">
            <w:pPr>
              <w:rPr>
                <w:rFonts w:ascii="Arial"/>
                <w:sz w:val="21"/>
                <w:highlight w:val="none"/>
              </w:rPr>
            </w:pPr>
          </w:p>
        </w:tc>
        <w:tc>
          <w:tcPr>
            <w:tcW w:w="3127" w:type="dxa"/>
            <w:gridSpan w:val="5"/>
            <w:vAlign w:val="top"/>
          </w:tcPr>
          <w:p w14:paraId="65B9FEEC">
            <w:pPr>
              <w:rPr>
                <w:rFonts w:ascii="Arial"/>
                <w:sz w:val="21"/>
                <w:highlight w:val="none"/>
              </w:rPr>
            </w:pPr>
          </w:p>
        </w:tc>
        <w:tc>
          <w:tcPr>
            <w:tcW w:w="3640" w:type="dxa"/>
            <w:gridSpan w:val="2"/>
            <w:vAlign w:val="top"/>
          </w:tcPr>
          <w:p w14:paraId="36CD633C">
            <w:pPr>
              <w:rPr>
                <w:rFonts w:ascii="Arial"/>
                <w:sz w:val="21"/>
                <w:highlight w:val="none"/>
              </w:rPr>
            </w:pPr>
          </w:p>
        </w:tc>
      </w:tr>
      <w:tr w14:paraId="36FCD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703" w:type="dxa"/>
            <w:gridSpan w:val="2"/>
            <w:vAlign w:val="top"/>
          </w:tcPr>
          <w:p w14:paraId="10EF96FE">
            <w:pPr>
              <w:rPr>
                <w:rFonts w:ascii="Arial"/>
                <w:sz w:val="21"/>
                <w:highlight w:val="none"/>
              </w:rPr>
            </w:pPr>
          </w:p>
        </w:tc>
        <w:tc>
          <w:tcPr>
            <w:tcW w:w="3127" w:type="dxa"/>
            <w:gridSpan w:val="5"/>
            <w:vAlign w:val="top"/>
          </w:tcPr>
          <w:p w14:paraId="653F8D7D">
            <w:pPr>
              <w:rPr>
                <w:rFonts w:ascii="Arial"/>
                <w:sz w:val="21"/>
                <w:highlight w:val="none"/>
              </w:rPr>
            </w:pPr>
          </w:p>
        </w:tc>
        <w:tc>
          <w:tcPr>
            <w:tcW w:w="3640" w:type="dxa"/>
            <w:gridSpan w:val="2"/>
            <w:vAlign w:val="top"/>
          </w:tcPr>
          <w:p w14:paraId="0DCDC05E">
            <w:pPr>
              <w:rPr>
                <w:rFonts w:ascii="Arial"/>
                <w:sz w:val="21"/>
                <w:highlight w:val="none"/>
              </w:rPr>
            </w:pPr>
          </w:p>
        </w:tc>
      </w:tr>
      <w:tr w14:paraId="57EAF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703" w:type="dxa"/>
            <w:gridSpan w:val="2"/>
            <w:vAlign w:val="top"/>
          </w:tcPr>
          <w:p w14:paraId="30E6A0EB">
            <w:pPr>
              <w:rPr>
                <w:rFonts w:ascii="Arial"/>
                <w:sz w:val="21"/>
                <w:highlight w:val="none"/>
              </w:rPr>
            </w:pPr>
          </w:p>
        </w:tc>
        <w:tc>
          <w:tcPr>
            <w:tcW w:w="3127" w:type="dxa"/>
            <w:gridSpan w:val="5"/>
            <w:vAlign w:val="top"/>
          </w:tcPr>
          <w:p w14:paraId="61DFE42E">
            <w:pPr>
              <w:rPr>
                <w:rFonts w:ascii="Arial"/>
                <w:sz w:val="21"/>
                <w:highlight w:val="none"/>
              </w:rPr>
            </w:pPr>
          </w:p>
        </w:tc>
        <w:tc>
          <w:tcPr>
            <w:tcW w:w="3640" w:type="dxa"/>
            <w:gridSpan w:val="2"/>
            <w:vAlign w:val="top"/>
          </w:tcPr>
          <w:p w14:paraId="24DC6811">
            <w:pPr>
              <w:rPr>
                <w:rFonts w:ascii="Arial"/>
                <w:sz w:val="21"/>
                <w:highlight w:val="none"/>
              </w:rPr>
            </w:pPr>
          </w:p>
        </w:tc>
      </w:tr>
      <w:tr w14:paraId="5E500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703" w:type="dxa"/>
            <w:gridSpan w:val="2"/>
            <w:vAlign w:val="top"/>
          </w:tcPr>
          <w:p w14:paraId="0117AAA4">
            <w:pPr>
              <w:rPr>
                <w:rFonts w:ascii="Arial"/>
                <w:sz w:val="21"/>
                <w:highlight w:val="none"/>
              </w:rPr>
            </w:pPr>
          </w:p>
        </w:tc>
        <w:tc>
          <w:tcPr>
            <w:tcW w:w="3127" w:type="dxa"/>
            <w:gridSpan w:val="5"/>
            <w:vAlign w:val="top"/>
          </w:tcPr>
          <w:p w14:paraId="7E076248">
            <w:pPr>
              <w:rPr>
                <w:rFonts w:ascii="Arial"/>
                <w:sz w:val="21"/>
                <w:highlight w:val="none"/>
              </w:rPr>
            </w:pPr>
          </w:p>
        </w:tc>
        <w:tc>
          <w:tcPr>
            <w:tcW w:w="3640" w:type="dxa"/>
            <w:gridSpan w:val="2"/>
            <w:vAlign w:val="top"/>
          </w:tcPr>
          <w:p w14:paraId="7B7FE87A">
            <w:pPr>
              <w:rPr>
                <w:rFonts w:ascii="Arial"/>
                <w:sz w:val="21"/>
                <w:highlight w:val="none"/>
              </w:rPr>
            </w:pPr>
          </w:p>
        </w:tc>
      </w:tr>
      <w:tr w14:paraId="5CF03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3" w:type="dxa"/>
            <w:gridSpan w:val="2"/>
            <w:vAlign w:val="top"/>
          </w:tcPr>
          <w:p w14:paraId="5851F9B8">
            <w:pPr>
              <w:rPr>
                <w:rFonts w:ascii="Arial"/>
                <w:sz w:val="21"/>
                <w:highlight w:val="none"/>
              </w:rPr>
            </w:pPr>
          </w:p>
        </w:tc>
        <w:tc>
          <w:tcPr>
            <w:tcW w:w="3127" w:type="dxa"/>
            <w:gridSpan w:val="5"/>
            <w:vAlign w:val="top"/>
          </w:tcPr>
          <w:p w14:paraId="671DDD26">
            <w:pPr>
              <w:rPr>
                <w:rFonts w:ascii="Arial"/>
                <w:sz w:val="21"/>
                <w:highlight w:val="none"/>
              </w:rPr>
            </w:pPr>
          </w:p>
        </w:tc>
        <w:tc>
          <w:tcPr>
            <w:tcW w:w="3640" w:type="dxa"/>
            <w:gridSpan w:val="2"/>
            <w:vAlign w:val="top"/>
          </w:tcPr>
          <w:p w14:paraId="521B2BED">
            <w:pPr>
              <w:rPr>
                <w:rFonts w:ascii="Arial"/>
                <w:sz w:val="21"/>
                <w:highlight w:val="none"/>
              </w:rPr>
            </w:pPr>
          </w:p>
        </w:tc>
      </w:tr>
      <w:tr w14:paraId="5E19A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703" w:type="dxa"/>
            <w:gridSpan w:val="2"/>
            <w:vAlign w:val="top"/>
          </w:tcPr>
          <w:p w14:paraId="122F4D85">
            <w:pPr>
              <w:rPr>
                <w:rFonts w:ascii="Arial"/>
                <w:sz w:val="21"/>
                <w:highlight w:val="none"/>
              </w:rPr>
            </w:pPr>
          </w:p>
        </w:tc>
        <w:tc>
          <w:tcPr>
            <w:tcW w:w="3127" w:type="dxa"/>
            <w:gridSpan w:val="5"/>
            <w:vAlign w:val="top"/>
          </w:tcPr>
          <w:p w14:paraId="664E7CB5">
            <w:pPr>
              <w:rPr>
                <w:rFonts w:ascii="Arial"/>
                <w:sz w:val="21"/>
                <w:highlight w:val="none"/>
              </w:rPr>
            </w:pPr>
          </w:p>
        </w:tc>
        <w:tc>
          <w:tcPr>
            <w:tcW w:w="3640" w:type="dxa"/>
            <w:gridSpan w:val="2"/>
            <w:vAlign w:val="top"/>
          </w:tcPr>
          <w:p w14:paraId="6B9D11D8">
            <w:pPr>
              <w:rPr>
                <w:rFonts w:ascii="Arial"/>
                <w:sz w:val="21"/>
                <w:highlight w:val="none"/>
              </w:rPr>
            </w:pPr>
          </w:p>
        </w:tc>
      </w:tr>
      <w:tr w14:paraId="5D288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8470" w:type="dxa"/>
            <w:gridSpan w:val="9"/>
            <w:vAlign w:val="top"/>
          </w:tcPr>
          <w:p w14:paraId="6ED8EA03">
            <w:pPr>
              <w:pStyle w:val="6"/>
              <w:spacing w:before="172" w:line="219" w:lineRule="auto"/>
              <w:ind w:left="2545"/>
              <w:rPr>
                <w:highlight w:val="none"/>
              </w:rPr>
            </w:pPr>
            <w:r>
              <w:rPr>
                <w:spacing w:val="-1"/>
                <w:highlight w:val="none"/>
              </w:rPr>
              <w:t>近年设计负责人获设计质量奖项情况</w:t>
            </w:r>
          </w:p>
        </w:tc>
      </w:tr>
      <w:tr w14:paraId="2E105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2103" w:type="dxa"/>
            <w:gridSpan w:val="3"/>
            <w:vAlign w:val="top"/>
          </w:tcPr>
          <w:p w14:paraId="57FB42BF">
            <w:pPr>
              <w:pStyle w:val="6"/>
              <w:spacing w:before="173" w:line="219" w:lineRule="auto"/>
              <w:ind w:left="635"/>
              <w:rPr>
                <w:highlight w:val="none"/>
              </w:rPr>
            </w:pPr>
            <w:r>
              <w:rPr>
                <w:spacing w:val="3"/>
                <w:highlight w:val="none"/>
              </w:rPr>
              <w:t>获奖日期</w:t>
            </w:r>
          </w:p>
        </w:tc>
        <w:tc>
          <w:tcPr>
            <w:tcW w:w="2098" w:type="dxa"/>
            <w:gridSpan w:val="2"/>
            <w:vAlign w:val="top"/>
          </w:tcPr>
          <w:p w14:paraId="79076628">
            <w:pPr>
              <w:pStyle w:val="6"/>
              <w:spacing w:before="174" w:line="220" w:lineRule="auto"/>
              <w:ind w:left="652"/>
              <w:rPr>
                <w:highlight w:val="none"/>
              </w:rPr>
            </w:pPr>
            <w:r>
              <w:rPr>
                <w:spacing w:val="2"/>
                <w:highlight w:val="none"/>
              </w:rPr>
              <w:t>项目名称</w:t>
            </w:r>
          </w:p>
        </w:tc>
        <w:tc>
          <w:tcPr>
            <w:tcW w:w="2167" w:type="dxa"/>
            <w:gridSpan w:val="3"/>
            <w:vAlign w:val="top"/>
          </w:tcPr>
          <w:p w14:paraId="70038507">
            <w:pPr>
              <w:pStyle w:val="6"/>
              <w:spacing w:before="173" w:line="219" w:lineRule="auto"/>
              <w:ind w:left="684"/>
              <w:rPr>
                <w:highlight w:val="none"/>
              </w:rPr>
            </w:pPr>
            <w:r>
              <w:rPr>
                <w:spacing w:val="2"/>
                <w:highlight w:val="none"/>
              </w:rPr>
              <w:t>获奖名称</w:t>
            </w:r>
          </w:p>
        </w:tc>
        <w:tc>
          <w:tcPr>
            <w:tcW w:w="2102" w:type="dxa"/>
            <w:vAlign w:val="top"/>
          </w:tcPr>
          <w:p w14:paraId="2AA2F02F">
            <w:pPr>
              <w:pStyle w:val="6"/>
              <w:spacing w:before="174" w:line="220" w:lineRule="auto"/>
              <w:ind w:left="627"/>
              <w:rPr>
                <w:highlight w:val="none"/>
              </w:rPr>
            </w:pPr>
            <w:r>
              <w:rPr>
                <w:spacing w:val="-2"/>
                <w:highlight w:val="none"/>
              </w:rPr>
              <w:t>颁奖单位</w:t>
            </w:r>
          </w:p>
        </w:tc>
      </w:tr>
      <w:tr w14:paraId="70F57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2103" w:type="dxa"/>
            <w:gridSpan w:val="3"/>
            <w:vAlign w:val="top"/>
          </w:tcPr>
          <w:p w14:paraId="3B6E1D08">
            <w:pPr>
              <w:rPr>
                <w:rFonts w:ascii="Arial"/>
                <w:sz w:val="21"/>
                <w:highlight w:val="none"/>
              </w:rPr>
            </w:pPr>
          </w:p>
        </w:tc>
        <w:tc>
          <w:tcPr>
            <w:tcW w:w="2098" w:type="dxa"/>
            <w:gridSpan w:val="2"/>
            <w:vAlign w:val="top"/>
          </w:tcPr>
          <w:p w14:paraId="57B79A29">
            <w:pPr>
              <w:rPr>
                <w:rFonts w:ascii="Arial"/>
                <w:sz w:val="21"/>
                <w:highlight w:val="none"/>
              </w:rPr>
            </w:pPr>
          </w:p>
        </w:tc>
        <w:tc>
          <w:tcPr>
            <w:tcW w:w="2167" w:type="dxa"/>
            <w:gridSpan w:val="3"/>
            <w:vAlign w:val="top"/>
          </w:tcPr>
          <w:p w14:paraId="43DF911D">
            <w:pPr>
              <w:rPr>
                <w:rFonts w:ascii="Arial"/>
                <w:sz w:val="21"/>
                <w:highlight w:val="none"/>
              </w:rPr>
            </w:pPr>
          </w:p>
        </w:tc>
        <w:tc>
          <w:tcPr>
            <w:tcW w:w="2102" w:type="dxa"/>
            <w:vAlign w:val="top"/>
          </w:tcPr>
          <w:p w14:paraId="63968925">
            <w:pPr>
              <w:rPr>
                <w:rFonts w:ascii="Arial"/>
                <w:sz w:val="21"/>
                <w:highlight w:val="none"/>
              </w:rPr>
            </w:pPr>
          </w:p>
        </w:tc>
      </w:tr>
      <w:tr w14:paraId="7549E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2103" w:type="dxa"/>
            <w:gridSpan w:val="3"/>
            <w:vAlign w:val="top"/>
          </w:tcPr>
          <w:p w14:paraId="40074907">
            <w:pPr>
              <w:rPr>
                <w:rFonts w:ascii="Arial"/>
                <w:sz w:val="21"/>
                <w:highlight w:val="none"/>
              </w:rPr>
            </w:pPr>
          </w:p>
        </w:tc>
        <w:tc>
          <w:tcPr>
            <w:tcW w:w="2098" w:type="dxa"/>
            <w:gridSpan w:val="2"/>
            <w:vAlign w:val="top"/>
          </w:tcPr>
          <w:p w14:paraId="3EBBBC2E">
            <w:pPr>
              <w:rPr>
                <w:rFonts w:ascii="Arial"/>
                <w:sz w:val="21"/>
                <w:highlight w:val="none"/>
              </w:rPr>
            </w:pPr>
          </w:p>
        </w:tc>
        <w:tc>
          <w:tcPr>
            <w:tcW w:w="2167" w:type="dxa"/>
            <w:gridSpan w:val="3"/>
            <w:vAlign w:val="top"/>
          </w:tcPr>
          <w:p w14:paraId="7CA06032">
            <w:pPr>
              <w:rPr>
                <w:rFonts w:ascii="Arial"/>
                <w:sz w:val="21"/>
                <w:highlight w:val="none"/>
              </w:rPr>
            </w:pPr>
          </w:p>
        </w:tc>
        <w:tc>
          <w:tcPr>
            <w:tcW w:w="2102" w:type="dxa"/>
            <w:vAlign w:val="top"/>
          </w:tcPr>
          <w:p w14:paraId="1BD0E750">
            <w:pPr>
              <w:rPr>
                <w:rFonts w:ascii="Arial"/>
                <w:sz w:val="21"/>
                <w:highlight w:val="none"/>
              </w:rPr>
            </w:pPr>
          </w:p>
        </w:tc>
      </w:tr>
      <w:tr w14:paraId="26352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2103" w:type="dxa"/>
            <w:gridSpan w:val="3"/>
            <w:vAlign w:val="top"/>
          </w:tcPr>
          <w:p w14:paraId="02B7DA5B">
            <w:pPr>
              <w:rPr>
                <w:rFonts w:ascii="Arial"/>
                <w:sz w:val="21"/>
                <w:highlight w:val="none"/>
              </w:rPr>
            </w:pPr>
          </w:p>
        </w:tc>
        <w:tc>
          <w:tcPr>
            <w:tcW w:w="2098" w:type="dxa"/>
            <w:gridSpan w:val="2"/>
            <w:vAlign w:val="top"/>
          </w:tcPr>
          <w:p w14:paraId="7DBF4CC2">
            <w:pPr>
              <w:rPr>
                <w:rFonts w:ascii="Arial"/>
                <w:sz w:val="21"/>
                <w:highlight w:val="none"/>
              </w:rPr>
            </w:pPr>
          </w:p>
        </w:tc>
        <w:tc>
          <w:tcPr>
            <w:tcW w:w="2167" w:type="dxa"/>
            <w:gridSpan w:val="3"/>
            <w:vAlign w:val="top"/>
          </w:tcPr>
          <w:p w14:paraId="4EACFF8E">
            <w:pPr>
              <w:rPr>
                <w:rFonts w:ascii="Arial"/>
                <w:sz w:val="21"/>
                <w:highlight w:val="none"/>
              </w:rPr>
            </w:pPr>
          </w:p>
        </w:tc>
        <w:tc>
          <w:tcPr>
            <w:tcW w:w="2102" w:type="dxa"/>
            <w:vAlign w:val="top"/>
          </w:tcPr>
          <w:p w14:paraId="617BA870">
            <w:pPr>
              <w:rPr>
                <w:rFonts w:ascii="Arial"/>
                <w:sz w:val="21"/>
                <w:highlight w:val="none"/>
              </w:rPr>
            </w:pPr>
          </w:p>
        </w:tc>
      </w:tr>
      <w:tr w14:paraId="51EF0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470" w:type="dxa"/>
            <w:gridSpan w:val="9"/>
            <w:vAlign w:val="top"/>
          </w:tcPr>
          <w:p w14:paraId="4569AEA2">
            <w:pPr>
              <w:pStyle w:val="6"/>
              <w:spacing w:before="175" w:line="219" w:lineRule="auto"/>
              <w:ind w:left="2964"/>
              <w:rPr>
                <w:highlight w:val="none"/>
              </w:rPr>
            </w:pPr>
            <w:r>
              <w:rPr>
                <w:spacing w:val="-1"/>
                <w:highlight w:val="none"/>
              </w:rPr>
              <w:t>近年设计负责人获表彰情况</w:t>
            </w:r>
          </w:p>
        </w:tc>
      </w:tr>
      <w:tr w14:paraId="3F665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03" w:type="dxa"/>
            <w:gridSpan w:val="2"/>
            <w:vAlign w:val="top"/>
          </w:tcPr>
          <w:p w14:paraId="463B2352">
            <w:pPr>
              <w:pStyle w:val="6"/>
              <w:spacing w:before="176" w:line="219" w:lineRule="auto"/>
              <w:ind w:left="425"/>
              <w:rPr>
                <w:highlight w:val="none"/>
              </w:rPr>
            </w:pPr>
            <w:r>
              <w:rPr>
                <w:spacing w:val="3"/>
                <w:highlight w:val="none"/>
              </w:rPr>
              <w:t>获奖日期</w:t>
            </w:r>
          </w:p>
        </w:tc>
        <w:tc>
          <w:tcPr>
            <w:tcW w:w="3127" w:type="dxa"/>
            <w:gridSpan w:val="5"/>
            <w:vAlign w:val="top"/>
          </w:tcPr>
          <w:p w14:paraId="4E893610">
            <w:pPr>
              <w:pStyle w:val="6"/>
              <w:spacing w:before="177" w:line="220" w:lineRule="auto"/>
              <w:ind w:left="1132"/>
              <w:rPr>
                <w:highlight w:val="none"/>
              </w:rPr>
            </w:pPr>
            <w:r>
              <w:rPr>
                <w:spacing w:val="-2"/>
                <w:highlight w:val="none"/>
              </w:rPr>
              <w:t>颁奖单位</w:t>
            </w:r>
          </w:p>
        </w:tc>
        <w:tc>
          <w:tcPr>
            <w:tcW w:w="3640" w:type="dxa"/>
            <w:gridSpan w:val="2"/>
            <w:vAlign w:val="top"/>
          </w:tcPr>
          <w:p w14:paraId="15F33640">
            <w:pPr>
              <w:pStyle w:val="6"/>
              <w:spacing w:before="176" w:line="219" w:lineRule="auto"/>
              <w:ind w:left="1395"/>
              <w:rPr>
                <w:highlight w:val="none"/>
              </w:rPr>
            </w:pPr>
            <w:r>
              <w:rPr>
                <w:spacing w:val="2"/>
                <w:highlight w:val="none"/>
              </w:rPr>
              <w:t>获奖名称</w:t>
            </w:r>
          </w:p>
        </w:tc>
      </w:tr>
      <w:tr w14:paraId="3BF28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03" w:type="dxa"/>
            <w:gridSpan w:val="2"/>
            <w:vAlign w:val="top"/>
          </w:tcPr>
          <w:p w14:paraId="6747AFC8">
            <w:pPr>
              <w:rPr>
                <w:rFonts w:ascii="Arial"/>
                <w:sz w:val="21"/>
                <w:highlight w:val="none"/>
              </w:rPr>
            </w:pPr>
          </w:p>
        </w:tc>
        <w:tc>
          <w:tcPr>
            <w:tcW w:w="3127" w:type="dxa"/>
            <w:gridSpan w:val="5"/>
            <w:vAlign w:val="top"/>
          </w:tcPr>
          <w:p w14:paraId="4C705DC7">
            <w:pPr>
              <w:rPr>
                <w:rFonts w:ascii="Arial"/>
                <w:sz w:val="21"/>
                <w:highlight w:val="none"/>
              </w:rPr>
            </w:pPr>
          </w:p>
        </w:tc>
        <w:tc>
          <w:tcPr>
            <w:tcW w:w="3640" w:type="dxa"/>
            <w:gridSpan w:val="2"/>
            <w:vAlign w:val="top"/>
          </w:tcPr>
          <w:p w14:paraId="20C86ABB">
            <w:pPr>
              <w:rPr>
                <w:rFonts w:ascii="Arial"/>
                <w:sz w:val="21"/>
                <w:highlight w:val="none"/>
              </w:rPr>
            </w:pPr>
          </w:p>
        </w:tc>
      </w:tr>
      <w:tr w14:paraId="6A998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703" w:type="dxa"/>
            <w:gridSpan w:val="2"/>
            <w:vAlign w:val="top"/>
          </w:tcPr>
          <w:p w14:paraId="257146B7">
            <w:pPr>
              <w:rPr>
                <w:rFonts w:ascii="Arial"/>
                <w:sz w:val="21"/>
                <w:highlight w:val="none"/>
              </w:rPr>
            </w:pPr>
          </w:p>
        </w:tc>
        <w:tc>
          <w:tcPr>
            <w:tcW w:w="3127" w:type="dxa"/>
            <w:gridSpan w:val="5"/>
            <w:vAlign w:val="top"/>
          </w:tcPr>
          <w:p w14:paraId="55F1C57F">
            <w:pPr>
              <w:rPr>
                <w:rFonts w:ascii="Arial"/>
                <w:sz w:val="21"/>
                <w:highlight w:val="none"/>
              </w:rPr>
            </w:pPr>
          </w:p>
        </w:tc>
        <w:tc>
          <w:tcPr>
            <w:tcW w:w="3640" w:type="dxa"/>
            <w:gridSpan w:val="2"/>
            <w:vAlign w:val="top"/>
          </w:tcPr>
          <w:p w14:paraId="659C9158">
            <w:pPr>
              <w:rPr>
                <w:rFonts w:ascii="Arial"/>
                <w:sz w:val="21"/>
                <w:highlight w:val="none"/>
              </w:rPr>
            </w:pPr>
          </w:p>
        </w:tc>
      </w:tr>
    </w:tbl>
    <w:p w14:paraId="3A8EE321">
      <w:pPr>
        <w:pStyle w:val="2"/>
        <w:rPr>
          <w:highlight w:val="none"/>
        </w:rPr>
      </w:pPr>
    </w:p>
    <w:p w14:paraId="1E605ACE">
      <w:pPr>
        <w:rPr>
          <w:highlight w:val="none"/>
        </w:rPr>
        <w:sectPr>
          <w:footerReference r:id="rId256" w:type="default"/>
          <w:pgSz w:w="11910" w:h="16840"/>
          <w:pgMar w:top="400" w:right="1655" w:bottom="1197" w:left="1774" w:header="0" w:footer="993" w:gutter="0"/>
          <w:cols w:space="720" w:num="1"/>
        </w:sectPr>
      </w:pPr>
    </w:p>
    <w:p w14:paraId="507CAF66">
      <w:pPr>
        <w:spacing w:before="18"/>
        <w:rPr>
          <w:highlight w:val="none"/>
        </w:rPr>
      </w:pPr>
    </w:p>
    <w:p w14:paraId="3DC5513E">
      <w:pPr>
        <w:spacing w:before="17"/>
        <w:rPr>
          <w:highlight w:val="none"/>
        </w:rPr>
      </w:pPr>
    </w:p>
    <w:p w14:paraId="03D029A5">
      <w:pPr>
        <w:spacing w:before="17"/>
        <w:rPr>
          <w:highlight w:val="none"/>
        </w:rPr>
      </w:pPr>
    </w:p>
    <w:p w14:paraId="3AEEB0AE">
      <w:pPr>
        <w:spacing w:before="17"/>
        <w:rPr>
          <w:highlight w:val="none"/>
        </w:rPr>
      </w:pPr>
    </w:p>
    <w:tbl>
      <w:tblPr>
        <w:tblStyle w:val="5"/>
        <w:tblW w:w="84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23"/>
        <w:gridCol w:w="3106"/>
        <w:gridCol w:w="3591"/>
      </w:tblGrid>
      <w:tr w14:paraId="6E372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trPr>
        <w:tc>
          <w:tcPr>
            <w:tcW w:w="1723" w:type="dxa"/>
            <w:vAlign w:val="top"/>
          </w:tcPr>
          <w:p w14:paraId="548E233B">
            <w:pPr>
              <w:rPr>
                <w:rFonts w:ascii="Arial"/>
                <w:sz w:val="21"/>
                <w:highlight w:val="none"/>
              </w:rPr>
            </w:pPr>
          </w:p>
        </w:tc>
        <w:tc>
          <w:tcPr>
            <w:tcW w:w="3106" w:type="dxa"/>
            <w:vAlign w:val="top"/>
          </w:tcPr>
          <w:p w14:paraId="032798E8">
            <w:pPr>
              <w:rPr>
                <w:rFonts w:ascii="Arial"/>
                <w:sz w:val="21"/>
                <w:highlight w:val="none"/>
              </w:rPr>
            </w:pPr>
          </w:p>
        </w:tc>
        <w:tc>
          <w:tcPr>
            <w:tcW w:w="3591" w:type="dxa"/>
            <w:vAlign w:val="top"/>
          </w:tcPr>
          <w:p w14:paraId="304E565B">
            <w:pPr>
              <w:rPr>
                <w:rFonts w:ascii="Arial"/>
                <w:sz w:val="21"/>
                <w:highlight w:val="none"/>
              </w:rPr>
            </w:pPr>
          </w:p>
        </w:tc>
      </w:tr>
    </w:tbl>
    <w:p w14:paraId="2A4E2A20">
      <w:pPr>
        <w:spacing w:before="153" w:line="355" w:lineRule="auto"/>
        <w:ind w:left="855" w:right="124" w:hanging="830"/>
        <w:rPr>
          <w:rFonts w:ascii="宋体" w:hAnsi="宋体" w:eastAsia="宋体" w:cs="宋体"/>
          <w:sz w:val="22"/>
          <w:szCs w:val="22"/>
          <w:highlight w:val="none"/>
        </w:rPr>
      </w:pPr>
      <w:r>
        <w:rPr>
          <w:rFonts w:ascii="宋体" w:hAnsi="宋体" w:eastAsia="宋体" w:cs="宋体"/>
          <w:spacing w:val="-7"/>
          <w:sz w:val="22"/>
          <w:szCs w:val="22"/>
          <w:highlight w:val="none"/>
        </w:rPr>
        <w:t>备注：1.设计负责人的证明资料按下列顺序附后，资格证书</w:t>
      </w:r>
      <w:r>
        <w:rPr>
          <w:rFonts w:ascii="宋体" w:hAnsi="宋体" w:eastAsia="宋体" w:cs="宋体"/>
          <w:spacing w:val="-8"/>
          <w:sz w:val="22"/>
          <w:szCs w:val="22"/>
          <w:highlight w:val="none"/>
        </w:rPr>
        <w:t>(如有)、注册证书、职称证、</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学历证扫描件。</w:t>
      </w:r>
    </w:p>
    <w:p w14:paraId="4DE1181A">
      <w:pPr>
        <w:spacing w:before="2" w:line="299" w:lineRule="auto"/>
        <w:ind w:left="854" w:right="119" w:hanging="229"/>
        <w:rPr>
          <w:rFonts w:ascii="宋体" w:hAnsi="宋体" w:eastAsia="宋体" w:cs="宋体"/>
          <w:sz w:val="21"/>
          <w:szCs w:val="21"/>
          <w:highlight w:val="none"/>
        </w:rPr>
      </w:pPr>
      <w:r>
        <w:rPr>
          <w:rFonts w:ascii="Times New Roman" w:hAnsi="Times New Roman" w:eastAsia="Times New Roman" w:cs="Times New Roman"/>
          <w:spacing w:val="1"/>
          <w:sz w:val="21"/>
          <w:szCs w:val="21"/>
          <w:highlight w:val="none"/>
        </w:rPr>
        <w:t>2.</w:t>
      </w:r>
      <w:r>
        <w:rPr>
          <w:rFonts w:ascii="Times New Roman" w:hAnsi="Times New Roman" w:eastAsia="Times New Roman" w:cs="Times New Roman"/>
          <w:spacing w:val="-16"/>
          <w:sz w:val="21"/>
          <w:szCs w:val="21"/>
          <w:highlight w:val="none"/>
        </w:rPr>
        <w:t xml:space="preserve"> </w:t>
      </w:r>
      <w:r>
        <w:rPr>
          <w:rFonts w:ascii="宋体" w:hAnsi="宋体" w:eastAsia="宋体" w:cs="宋体"/>
          <w:spacing w:val="1"/>
          <w:sz w:val="21"/>
          <w:szCs w:val="21"/>
          <w:highlight w:val="none"/>
        </w:rPr>
        <w:t>类似项目的证明资料应分别附中标通知书(如有)、合同协议书及其他证明</w:t>
      </w:r>
      <w:r>
        <w:rPr>
          <w:rFonts w:ascii="宋体" w:hAnsi="宋体" w:eastAsia="宋体" w:cs="宋体"/>
          <w:sz w:val="21"/>
          <w:szCs w:val="21"/>
          <w:highlight w:val="none"/>
        </w:rPr>
        <w:t xml:space="preserve">材料(如 </w:t>
      </w:r>
      <w:r>
        <w:rPr>
          <w:rFonts w:ascii="宋体" w:hAnsi="宋体" w:eastAsia="宋体" w:cs="宋体"/>
          <w:spacing w:val="7"/>
          <w:sz w:val="21"/>
          <w:szCs w:val="21"/>
          <w:highlight w:val="none"/>
        </w:rPr>
        <w:t>需要)的扫描件。</w:t>
      </w:r>
    </w:p>
    <w:p w14:paraId="3F0C2465">
      <w:pPr>
        <w:spacing w:before="149" w:line="290" w:lineRule="auto"/>
        <w:ind w:left="854" w:right="125" w:hanging="229"/>
        <w:rPr>
          <w:rFonts w:ascii="宋体" w:hAnsi="宋体" w:eastAsia="宋体" w:cs="宋体"/>
          <w:sz w:val="22"/>
          <w:szCs w:val="22"/>
          <w:highlight w:val="none"/>
        </w:rPr>
      </w:pPr>
      <w:r>
        <w:rPr>
          <w:rFonts w:ascii="宋体" w:hAnsi="宋体" w:eastAsia="宋体" w:cs="宋体"/>
          <w:spacing w:val="-6"/>
          <w:sz w:val="22"/>
          <w:szCs w:val="22"/>
          <w:highlight w:val="none"/>
        </w:rPr>
        <w:t>3.“获设计质量奖项情况”的证明资料应附中标通知</w:t>
      </w:r>
      <w:r>
        <w:rPr>
          <w:rFonts w:ascii="宋体" w:hAnsi="宋体" w:eastAsia="宋体" w:cs="宋体"/>
          <w:spacing w:val="-7"/>
          <w:sz w:val="22"/>
          <w:szCs w:val="22"/>
          <w:highlight w:val="none"/>
        </w:rPr>
        <w:t>书(如有)、合同协议书、颁奖</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机构颁发的获奖证书或表彰文件及其他证明材料等扫描件。</w:t>
      </w:r>
    </w:p>
    <w:p w14:paraId="54A5AFF3">
      <w:pPr>
        <w:spacing w:before="168" w:line="219" w:lineRule="auto"/>
        <w:ind w:left="625"/>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4. </w:t>
      </w:r>
      <w:r>
        <w:rPr>
          <w:rFonts w:ascii="宋体" w:hAnsi="宋体" w:eastAsia="宋体" w:cs="宋体"/>
          <w:sz w:val="21"/>
          <w:szCs w:val="21"/>
          <w:highlight w:val="none"/>
        </w:rPr>
        <w:t>获表彰情况的证明资料应附颁奖机构颁</w:t>
      </w:r>
      <w:r>
        <w:rPr>
          <w:rFonts w:ascii="宋体" w:hAnsi="宋体" w:eastAsia="宋体" w:cs="宋体"/>
          <w:spacing w:val="-1"/>
          <w:sz w:val="21"/>
          <w:szCs w:val="21"/>
          <w:highlight w:val="none"/>
        </w:rPr>
        <w:t>发的表彰证书或表彰文件的扫描件。</w:t>
      </w:r>
    </w:p>
    <w:p w14:paraId="1CD142F2">
      <w:pPr>
        <w:spacing w:line="219" w:lineRule="auto"/>
        <w:rPr>
          <w:rFonts w:ascii="宋体" w:hAnsi="宋体" w:eastAsia="宋体" w:cs="宋体"/>
          <w:sz w:val="21"/>
          <w:szCs w:val="21"/>
          <w:highlight w:val="none"/>
        </w:rPr>
        <w:sectPr>
          <w:footerReference r:id="rId257" w:type="default"/>
          <w:pgSz w:w="11910" w:h="16840"/>
          <w:pgMar w:top="400" w:right="1705" w:bottom="1197" w:left="1774" w:header="0" w:footer="993" w:gutter="0"/>
          <w:cols w:space="720" w:num="1"/>
        </w:sectPr>
      </w:pPr>
    </w:p>
    <w:p w14:paraId="58FA64C0">
      <w:pPr>
        <w:pStyle w:val="2"/>
        <w:spacing w:line="275" w:lineRule="auto"/>
        <w:rPr>
          <w:highlight w:val="none"/>
        </w:rPr>
      </w:pPr>
    </w:p>
    <w:p w14:paraId="0D40561E">
      <w:pPr>
        <w:pStyle w:val="2"/>
        <w:spacing w:line="275" w:lineRule="auto"/>
        <w:rPr>
          <w:highlight w:val="none"/>
        </w:rPr>
      </w:pPr>
    </w:p>
    <w:p w14:paraId="4A4149D0">
      <w:pPr>
        <w:pStyle w:val="2"/>
        <w:spacing w:line="275" w:lineRule="auto"/>
        <w:rPr>
          <w:highlight w:val="none"/>
        </w:rPr>
      </w:pPr>
    </w:p>
    <w:p w14:paraId="79C6B643">
      <w:pPr>
        <w:pStyle w:val="2"/>
        <w:spacing w:line="276" w:lineRule="auto"/>
        <w:rPr>
          <w:highlight w:val="none"/>
        </w:rPr>
      </w:pPr>
    </w:p>
    <w:p w14:paraId="7716D2D6">
      <w:pPr>
        <w:spacing w:before="91" w:line="221" w:lineRule="auto"/>
        <w:ind w:left="65"/>
        <w:rPr>
          <w:rFonts w:ascii="黑体" w:hAnsi="黑体" w:eastAsia="黑体" w:cs="黑体"/>
          <w:sz w:val="28"/>
          <w:szCs w:val="28"/>
          <w:highlight w:val="none"/>
        </w:rPr>
      </w:pPr>
      <w:r>
        <w:rPr>
          <w:rFonts w:ascii="黑体" w:hAnsi="黑体" w:eastAsia="黑体" w:cs="黑体"/>
          <w:sz w:val="28"/>
          <w:szCs w:val="28"/>
          <w:highlight w:val="none"/>
        </w:rPr>
        <w:t>(四)施工负责人简历表</w:t>
      </w:r>
    </w:p>
    <w:p w14:paraId="2D62CEB0">
      <w:pPr>
        <w:spacing w:before="24"/>
        <w:rPr>
          <w:highlight w:val="none"/>
        </w:rPr>
      </w:pPr>
    </w:p>
    <w:p w14:paraId="16E823AC">
      <w:pPr>
        <w:spacing w:before="23"/>
        <w:rPr>
          <w:highlight w:val="none"/>
        </w:rPr>
      </w:pPr>
    </w:p>
    <w:tbl>
      <w:tblPr>
        <w:tblStyle w:val="5"/>
        <w:tblW w:w="84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4"/>
        <w:gridCol w:w="609"/>
        <w:gridCol w:w="390"/>
        <w:gridCol w:w="1069"/>
        <w:gridCol w:w="1228"/>
        <w:gridCol w:w="430"/>
        <w:gridCol w:w="1588"/>
        <w:gridCol w:w="2052"/>
      </w:tblGrid>
      <w:tr w14:paraId="6C530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1104" w:type="dxa"/>
            <w:vAlign w:val="top"/>
          </w:tcPr>
          <w:p w14:paraId="450DDB2A">
            <w:pPr>
              <w:pStyle w:val="6"/>
              <w:spacing w:before="123" w:line="219" w:lineRule="auto"/>
              <w:ind w:left="105"/>
              <w:rPr>
                <w:highlight w:val="none"/>
              </w:rPr>
            </w:pPr>
            <w:r>
              <w:rPr>
                <w:spacing w:val="-5"/>
                <w:highlight w:val="none"/>
              </w:rPr>
              <w:t>姓</w:t>
            </w:r>
            <w:r>
              <w:rPr>
                <w:spacing w:val="51"/>
                <w:highlight w:val="none"/>
              </w:rPr>
              <w:t xml:space="preserve"> </w:t>
            </w:r>
            <w:r>
              <w:rPr>
                <w:spacing w:val="-5"/>
                <w:highlight w:val="none"/>
              </w:rPr>
              <w:t>名</w:t>
            </w:r>
          </w:p>
        </w:tc>
        <w:tc>
          <w:tcPr>
            <w:tcW w:w="999" w:type="dxa"/>
            <w:gridSpan w:val="2"/>
            <w:vAlign w:val="top"/>
          </w:tcPr>
          <w:p w14:paraId="691D2A24">
            <w:pPr>
              <w:rPr>
                <w:rFonts w:ascii="Arial"/>
                <w:sz w:val="21"/>
                <w:highlight w:val="none"/>
              </w:rPr>
            </w:pPr>
          </w:p>
        </w:tc>
        <w:tc>
          <w:tcPr>
            <w:tcW w:w="1069" w:type="dxa"/>
            <w:vAlign w:val="top"/>
          </w:tcPr>
          <w:p w14:paraId="738A6B09">
            <w:pPr>
              <w:pStyle w:val="6"/>
              <w:spacing w:before="123" w:line="219" w:lineRule="auto"/>
              <w:ind w:left="222"/>
              <w:rPr>
                <w:highlight w:val="none"/>
              </w:rPr>
            </w:pPr>
            <w:r>
              <w:rPr>
                <w:spacing w:val="-5"/>
                <w:highlight w:val="none"/>
              </w:rPr>
              <w:t>年</w:t>
            </w:r>
            <w:r>
              <w:rPr>
                <w:spacing w:val="7"/>
                <w:highlight w:val="none"/>
              </w:rPr>
              <w:t xml:space="preserve"> </w:t>
            </w:r>
            <w:r>
              <w:rPr>
                <w:spacing w:val="-5"/>
                <w:highlight w:val="none"/>
              </w:rPr>
              <w:t>龄</w:t>
            </w:r>
          </w:p>
        </w:tc>
        <w:tc>
          <w:tcPr>
            <w:tcW w:w="1228" w:type="dxa"/>
            <w:vAlign w:val="top"/>
          </w:tcPr>
          <w:p w14:paraId="25F09D12">
            <w:pPr>
              <w:rPr>
                <w:rFonts w:ascii="Arial"/>
                <w:sz w:val="21"/>
                <w:highlight w:val="none"/>
              </w:rPr>
            </w:pPr>
          </w:p>
        </w:tc>
        <w:tc>
          <w:tcPr>
            <w:tcW w:w="2018" w:type="dxa"/>
            <w:gridSpan w:val="2"/>
            <w:vAlign w:val="top"/>
          </w:tcPr>
          <w:p w14:paraId="4B3E898F">
            <w:pPr>
              <w:pStyle w:val="6"/>
              <w:spacing w:before="124" w:line="221" w:lineRule="auto"/>
              <w:ind w:left="795"/>
              <w:rPr>
                <w:highlight w:val="none"/>
              </w:rPr>
            </w:pPr>
            <w:r>
              <w:rPr>
                <w:spacing w:val="6"/>
                <w:highlight w:val="none"/>
              </w:rPr>
              <w:t>学历</w:t>
            </w:r>
          </w:p>
        </w:tc>
        <w:tc>
          <w:tcPr>
            <w:tcW w:w="2052" w:type="dxa"/>
            <w:vAlign w:val="top"/>
          </w:tcPr>
          <w:p w14:paraId="3ED5A1A4">
            <w:pPr>
              <w:rPr>
                <w:rFonts w:ascii="Arial"/>
                <w:sz w:val="21"/>
                <w:highlight w:val="none"/>
              </w:rPr>
            </w:pPr>
          </w:p>
        </w:tc>
      </w:tr>
      <w:tr w14:paraId="681DA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104" w:type="dxa"/>
            <w:vAlign w:val="top"/>
          </w:tcPr>
          <w:p w14:paraId="58BC9957">
            <w:pPr>
              <w:pStyle w:val="6"/>
              <w:spacing w:before="131" w:line="221" w:lineRule="auto"/>
              <w:ind w:left="105"/>
              <w:rPr>
                <w:highlight w:val="none"/>
              </w:rPr>
            </w:pPr>
            <w:r>
              <w:rPr>
                <w:spacing w:val="-5"/>
                <w:highlight w:val="none"/>
              </w:rPr>
              <w:t>职</w:t>
            </w:r>
            <w:r>
              <w:rPr>
                <w:spacing w:val="32"/>
                <w:highlight w:val="none"/>
              </w:rPr>
              <w:t xml:space="preserve"> </w:t>
            </w:r>
            <w:r>
              <w:rPr>
                <w:spacing w:val="-5"/>
                <w:highlight w:val="none"/>
              </w:rPr>
              <w:t>称</w:t>
            </w:r>
          </w:p>
        </w:tc>
        <w:tc>
          <w:tcPr>
            <w:tcW w:w="3296" w:type="dxa"/>
            <w:gridSpan w:val="4"/>
            <w:vAlign w:val="top"/>
          </w:tcPr>
          <w:p w14:paraId="59205C57">
            <w:pPr>
              <w:rPr>
                <w:rFonts w:ascii="Arial"/>
                <w:sz w:val="21"/>
                <w:highlight w:val="none"/>
              </w:rPr>
            </w:pPr>
          </w:p>
        </w:tc>
        <w:tc>
          <w:tcPr>
            <w:tcW w:w="2018" w:type="dxa"/>
            <w:gridSpan w:val="2"/>
            <w:vAlign w:val="top"/>
          </w:tcPr>
          <w:p w14:paraId="41CAF027">
            <w:pPr>
              <w:pStyle w:val="6"/>
              <w:spacing w:before="127" w:line="219" w:lineRule="auto"/>
              <w:ind w:left="265"/>
              <w:rPr>
                <w:highlight w:val="none"/>
              </w:rPr>
            </w:pPr>
            <w:r>
              <w:rPr>
                <w:spacing w:val="-2"/>
                <w:highlight w:val="none"/>
              </w:rPr>
              <w:t>拟在本工程任职</w:t>
            </w:r>
          </w:p>
        </w:tc>
        <w:tc>
          <w:tcPr>
            <w:tcW w:w="2052" w:type="dxa"/>
            <w:vAlign w:val="top"/>
          </w:tcPr>
          <w:p w14:paraId="40F44AA3">
            <w:pPr>
              <w:pStyle w:val="6"/>
              <w:spacing w:before="128" w:line="219" w:lineRule="auto"/>
              <w:ind w:left="497"/>
              <w:rPr>
                <w:highlight w:val="none"/>
              </w:rPr>
            </w:pPr>
            <w:r>
              <w:rPr>
                <w:spacing w:val="-2"/>
                <w:highlight w:val="none"/>
              </w:rPr>
              <w:t>施工负责人</w:t>
            </w:r>
          </w:p>
        </w:tc>
      </w:tr>
      <w:tr w14:paraId="0269A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3172" w:type="dxa"/>
            <w:gridSpan w:val="4"/>
            <w:vAlign w:val="top"/>
          </w:tcPr>
          <w:p w14:paraId="2DD91610">
            <w:pPr>
              <w:pStyle w:val="6"/>
              <w:spacing w:before="118" w:line="219" w:lineRule="auto"/>
              <w:ind w:left="445"/>
              <w:rPr>
                <w:highlight w:val="none"/>
              </w:rPr>
            </w:pPr>
            <w:r>
              <w:rPr>
                <w:spacing w:val="1"/>
                <w:highlight w:val="none"/>
              </w:rPr>
              <w:t>注册建造师执业资格等级</w:t>
            </w:r>
          </w:p>
        </w:tc>
        <w:tc>
          <w:tcPr>
            <w:tcW w:w="1228" w:type="dxa"/>
            <w:vAlign w:val="top"/>
          </w:tcPr>
          <w:p w14:paraId="798530A7">
            <w:pPr>
              <w:pStyle w:val="6"/>
              <w:spacing w:before="121" w:line="221" w:lineRule="auto"/>
              <w:ind w:left="823"/>
              <w:rPr>
                <w:highlight w:val="none"/>
              </w:rPr>
            </w:pPr>
            <w:r>
              <w:rPr>
                <w:highlight w:val="none"/>
              </w:rPr>
              <w:t>级</w:t>
            </w:r>
          </w:p>
        </w:tc>
        <w:tc>
          <w:tcPr>
            <w:tcW w:w="2018" w:type="dxa"/>
            <w:gridSpan w:val="2"/>
            <w:vAlign w:val="top"/>
          </w:tcPr>
          <w:p w14:paraId="4BF87D77">
            <w:pPr>
              <w:pStyle w:val="6"/>
              <w:spacing w:before="119" w:line="220" w:lineRule="auto"/>
              <w:ind w:left="795"/>
              <w:rPr>
                <w:highlight w:val="none"/>
              </w:rPr>
            </w:pPr>
            <w:r>
              <w:rPr>
                <w:spacing w:val="-3"/>
                <w:highlight w:val="none"/>
              </w:rPr>
              <w:t>专业</w:t>
            </w:r>
          </w:p>
        </w:tc>
        <w:tc>
          <w:tcPr>
            <w:tcW w:w="2052" w:type="dxa"/>
            <w:vAlign w:val="top"/>
          </w:tcPr>
          <w:p w14:paraId="2C83A75E">
            <w:pPr>
              <w:rPr>
                <w:rFonts w:ascii="Arial"/>
                <w:sz w:val="21"/>
                <w:highlight w:val="none"/>
              </w:rPr>
            </w:pPr>
          </w:p>
        </w:tc>
      </w:tr>
      <w:tr w14:paraId="794FD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104" w:type="dxa"/>
            <w:vAlign w:val="top"/>
          </w:tcPr>
          <w:p w14:paraId="69D35EA7">
            <w:pPr>
              <w:pStyle w:val="6"/>
              <w:spacing w:before="118" w:line="219" w:lineRule="auto"/>
              <w:ind w:left="105"/>
              <w:rPr>
                <w:highlight w:val="none"/>
              </w:rPr>
            </w:pPr>
            <w:r>
              <w:rPr>
                <w:spacing w:val="2"/>
                <w:highlight w:val="none"/>
              </w:rPr>
              <w:t>毕业学校</w:t>
            </w:r>
          </w:p>
        </w:tc>
        <w:tc>
          <w:tcPr>
            <w:tcW w:w="7366" w:type="dxa"/>
            <w:gridSpan w:val="7"/>
            <w:vAlign w:val="top"/>
          </w:tcPr>
          <w:p w14:paraId="0281EBF0">
            <w:pPr>
              <w:pStyle w:val="6"/>
              <w:spacing w:before="99" w:line="227" w:lineRule="auto"/>
              <w:ind w:left="981"/>
              <w:rPr>
                <w:highlight w:val="none"/>
              </w:rPr>
            </w:pPr>
            <w:r>
              <w:rPr>
                <w:spacing w:val="2"/>
                <w:highlight w:val="none"/>
              </w:rPr>
              <w:t>年毕业于</w:t>
            </w:r>
            <w:r>
              <w:rPr>
                <w:highlight w:val="none"/>
              </w:rPr>
              <w:t xml:space="preserve">                  </w:t>
            </w:r>
            <w:r>
              <w:rPr>
                <w:spacing w:val="2"/>
                <w:highlight w:val="none"/>
              </w:rPr>
              <w:t>学校</w:t>
            </w:r>
            <w:r>
              <w:rPr>
                <w:spacing w:val="1"/>
                <w:highlight w:val="none"/>
              </w:rPr>
              <w:t xml:space="preserve">            </w:t>
            </w:r>
            <w:r>
              <w:rPr>
                <w:spacing w:val="2"/>
                <w:highlight w:val="none"/>
              </w:rPr>
              <w:t>专业</w:t>
            </w:r>
          </w:p>
        </w:tc>
      </w:tr>
      <w:tr w14:paraId="612ED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470" w:type="dxa"/>
            <w:gridSpan w:val="8"/>
            <w:vAlign w:val="top"/>
          </w:tcPr>
          <w:p w14:paraId="450E4642">
            <w:pPr>
              <w:pStyle w:val="6"/>
              <w:spacing w:before="129" w:line="219" w:lineRule="auto"/>
              <w:ind w:left="3595"/>
              <w:rPr>
                <w:highlight w:val="none"/>
              </w:rPr>
            </w:pPr>
            <w:r>
              <w:rPr>
                <w:spacing w:val="2"/>
                <w:highlight w:val="none"/>
              </w:rPr>
              <w:t>主要管理经历</w:t>
            </w:r>
          </w:p>
        </w:tc>
      </w:tr>
      <w:tr w14:paraId="4B9BD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1713" w:type="dxa"/>
            <w:gridSpan w:val="2"/>
            <w:vAlign w:val="top"/>
          </w:tcPr>
          <w:p w14:paraId="4E7BB6AD">
            <w:pPr>
              <w:pStyle w:val="6"/>
              <w:spacing w:before="302" w:line="221" w:lineRule="auto"/>
              <w:ind w:left="585"/>
              <w:rPr>
                <w:highlight w:val="none"/>
              </w:rPr>
            </w:pPr>
            <w:r>
              <w:rPr>
                <w:spacing w:val="-10"/>
                <w:highlight w:val="none"/>
              </w:rPr>
              <w:t>时</w:t>
            </w:r>
            <w:r>
              <w:rPr>
                <w:spacing w:val="14"/>
                <w:highlight w:val="none"/>
              </w:rPr>
              <w:t xml:space="preserve"> </w:t>
            </w:r>
            <w:r>
              <w:rPr>
                <w:spacing w:val="-10"/>
                <w:highlight w:val="none"/>
              </w:rPr>
              <w:t>间</w:t>
            </w:r>
          </w:p>
        </w:tc>
        <w:tc>
          <w:tcPr>
            <w:tcW w:w="3117" w:type="dxa"/>
            <w:gridSpan w:val="4"/>
            <w:vAlign w:val="top"/>
          </w:tcPr>
          <w:p w14:paraId="0C14F63E">
            <w:pPr>
              <w:pStyle w:val="6"/>
              <w:spacing w:before="80" w:line="316" w:lineRule="auto"/>
              <w:ind w:left="1132" w:right="178" w:hanging="950"/>
              <w:rPr>
                <w:highlight w:val="none"/>
              </w:rPr>
            </w:pPr>
            <w:r>
              <w:rPr>
                <w:spacing w:val="1"/>
                <w:highlight w:val="none"/>
              </w:rPr>
              <w:t>担任过类似项目施工负责人的</w:t>
            </w:r>
            <w:r>
              <w:rPr>
                <w:spacing w:val="2"/>
                <w:highlight w:val="none"/>
              </w:rPr>
              <w:t xml:space="preserve"> 项目名称</w:t>
            </w:r>
          </w:p>
        </w:tc>
        <w:tc>
          <w:tcPr>
            <w:tcW w:w="3640" w:type="dxa"/>
            <w:gridSpan w:val="2"/>
            <w:vAlign w:val="top"/>
          </w:tcPr>
          <w:p w14:paraId="13C17C9C">
            <w:pPr>
              <w:pStyle w:val="6"/>
              <w:spacing w:before="300" w:line="220" w:lineRule="auto"/>
              <w:ind w:left="975"/>
              <w:rPr>
                <w:highlight w:val="none"/>
              </w:rPr>
            </w:pPr>
            <w:r>
              <w:rPr>
                <w:spacing w:val="-2"/>
                <w:highlight w:val="none"/>
              </w:rPr>
              <w:t>发包人及联系电话</w:t>
            </w:r>
          </w:p>
        </w:tc>
      </w:tr>
      <w:tr w14:paraId="3DBD7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713" w:type="dxa"/>
            <w:gridSpan w:val="2"/>
            <w:vAlign w:val="top"/>
          </w:tcPr>
          <w:p w14:paraId="2AAB95ED">
            <w:pPr>
              <w:rPr>
                <w:rFonts w:ascii="Arial"/>
                <w:sz w:val="21"/>
                <w:highlight w:val="none"/>
              </w:rPr>
            </w:pPr>
          </w:p>
        </w:tc>
        <w:tc>
          <w:tcPr>
            <w:tcW w:w="3117" w:type="dxa"/>
            <w:gridSpan w:val="4"/>
            <w:vAlign w:val="top"/>
          </w:tcPr>
          <w:p w14:paraId="4A144827">
            <w:pPr>
              <w:rPr>
                <w:rFonts w:ascii="Arial"/>
                <w:sz w:val="21"/>
                <w:highlight w:val="none"/>
              </w:rPr>
            </w:pPr>
          </w:p>
        </w:tc>
        <w:tc>
          <w:tcPr>
            <w:tcW w:w="3640" w:type="dxa"/>
            <w:gridSpan w:val="2"/>
            <w:vAlign w:val="top"/>
          </w:tcPr>
          <w:p w14:paraId="4AC33869">
            <w:pPr>
              <w:rPr>
                <w:rFonts w:ascii="Arial"/>
                <w:sz w:val="21"/>
                <w:highlight w:val="none"/>
              </w:rPr>
            </w:pPr>
          </w:p>
        </w:tc>
      </w:tr>
      <w:tr w14:paraId="2DE84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713" w:type="dxa"/>
            <w:gridSpan w:val="2"/>
            <w:vAlign w:val="top"/>
          </w:tcPr>
          <w:p w14:paraId="6239C96C">
            <w:pPr>
              <w:rPr>
                <w:rFonts w:ascii="Arial"/>
                <w:sz w:val="21"/>
                <w:highlight w:val="none"/>
              </w:rPr>
            </w:pPr>
          </w:p>
        </w:tc>
        <w:tc>
          <w:tcPr>
            <w:tcW w:w="3117" w:type="dxa"/>
            <w:gridSpan w:val="4"/>
            <w:vAlign w:val="top"/>
          </w:tcPr>
          <w:p w14:paraId="290E949A">
            <w:pPr>
              <w:rPr>
                <w:rFonts w:ascii="Arial"/>
                <w:sz w:val="21"/>
                <w:highlight w:val="none"/>
              </w:rPr>
            </w:pPr>
          </w:p>
        </w:tc>
        <w:tc>
          <w:tcPr>
            <w:tcW w:w="3640" w:type="dxa"/>
            <w:gridSpan w:val="2"/>
            <w:vAlign w:val="top"/>
          </w:tcPr>
          <w:p w14:paraId="713E69D1">
            <w:pPr>
              <w:rPr>
                <w:rFonts w:ascii="Arial"/>
                <w:sz w:val="21"/>
                <w:highlight w:val="none"/>
              </w:rPr>
            </w:pPr>
          </w:p>
        </w:tc>
      </w:tr>
      <w:tr w14:paraId="0835F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713" w:type="dxa"/>
            <w:gridSpan w:val="2"/>
            <w:vAlign w:val="top"/>
          </w:tcPr>
          <w:p w14:paraId="22734039">
            <w:pPr>
              <w:rPr>
                <w:rFonts w:ascii="Arial"/>
                <w:sz w:val="21"/>
                <w:highlight w:val="none"/>
              </w:rPr>
            </w:pPr>
          </w:p>
        </w:tc>
        <w:tc>
          <w:tcPr>
            <w:tcW w:w="3117" w:type="dxa"/>
            <w:gridSpan w:val="4"/>
            <w:vAlign w:val="top"/>
          </w:tcPr>
          <w:p w14:paraId="200DB52C">
            <w:pPr>
              <w:rPr>
                <w:rFonts w:ascii="Arial"/>
                <w:sz w:val="21"/>
                <w:highlight w:val="none"/>
              </w:rPr>
            </w:pPr>
          </w:p>
        </w:tc>
        <w:tc>
          <w:tcPr>
            <w:tcW w:w="3640" w:type="dxa"/>
            <w:gridSpan w:val="2"/>
            <w:vAlign w:val="top"/>
          </w:tcPr>
          <w:p w14:paraId="4EDEBA11">
            <w:pPr>
              <w:rPr>
                <w:rFonts w:ascii="Arial"/>
                <w:sz w:val="21"/>
                <w:highlight w:val="none"/>
              </w:rPr>
            </w:pPr>
          </w:p>
        </w:tc>
      </w:tr>
      <w:tr w14:paraId="2AEEC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713" w:type="dxa"/>
            <w:gridSpan w:val="2"/>
            <w:vAlign w:val="top"/>
          </w:tcPr>
          <w:p w14:paraId="6E1FB4AE">
            <w:pPr>
              <w:rPr>
                <w:rFonts w:ascii="Arial"/>
                <w:sz w:val="21"/>
                <w:highlight w:val="none"/>
              </w:rPr>
            </w:pPr>
          </w:p>
        </w:tc>
        <w:tc>
          <w:tcPr>
            <w:tcW w:w="3117" w:type="dxa"/>
            <w:gridSpan w:val="4"/>
            <w:vAlign w:val="top"/>
          </w:tcPr>
          <w:p w14:paraId="0E1B45E8">
            <w:pPr>
              <w:rPr>
                <w:rFonts w:ascii="Arial"/>
                <w:sz w:val="21"/>
                <w:highlight w:val="none"/>
              </w:rPr>
            </w:pPr>
          </w:p>
        </w:tc>
        <w:tc>
          <w:tcPr>
            <w:tcW w:w="3640" w:type="dxa"/>
            <w:gridSpan w:val="2"/>
            <w:vAlign w:val="top"/>
          </w:tcPr>
          <w:p w14:paraId="23737C3E">
            <w:pPr>
              <w:rPr>
                <w:rFonts w:ascii="Arial"/>
                <w:sz w:val="21"/>
                <w:highlight w:val="none"/>
              </w:rPr>
            </w:pPr>
          </w:p>
        </w:tc>
      </w:tr>
      <w:tr w14:paraId="69E63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13" w:type="dxa"/>
            <w:gridSpan w:val="2"/>
            <w:vAlign w:val="top"/>
          </w:tcPr>
          <w:p w14:paraId="5F6EEABB">
            <w:pPr>
              <w:rPr>
                <w:rFonts w:ascii="Arial"/>
                <w:sz w:val="21"/>
                <w:highlight w:val="none"/>
              </w:rPr>
            </w:pPr>
          </w:p>
        </w:tc>
        <w:tc>
          <w:tcPr>
            <w:tcW w:w="3117" w:type="dxa"/>
            <w:gridSpan w:val="4"/>
            <w:vAlign w:val="top"/>
          </w:tcPr>
          <w:p w14:paraId="62C21AE5">
            <w:pPr>
              <w:rPr>
                <w:rFonts w:ascii="Arial"/>
                <w:sz w:val="21"/>
                <w:highlight w:val="none"/>
              </w:rPr>
            </w:pPr>
          </w:p>
        </w:tc>
        <w:tc>
          <w:tcPr>
            <w:tcW w:w="3640" w:type="dxa"/>
            <w:gridSpan w:val="2"/>
            <w:vAlign w:val="top"/>
          </w:tcPr>
          <w:p w14:paraId="234197F0">
            <w:pPr>
              <w:rPr>
                <w:rFonts w:ascii="Arial"/>
                <w:sz w:val="21"/>
                <w:highlight w:val="none"/>
              </w:rPr>
            </w:pPr>
          </w:p>
        </w:tc>
      </w:tr>
      <w:tr w14:paraId="5D508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713" w:type="dxa"/>
            <w:gridSpan w:val="2"/>
            <w:vAlign w:val="top"/>
          </w:tcPr>
          <w:p w14:paraId="24CB4F70">
            <w:pPr>
              <w:rPr>
                <w:rFonts w:ascii="Arial"/>
                <w:sz w:val="21"/>
                <w:highlight w:val="none"/>
              </w:rPr>
            </w:pPr>
          </w:p>
        </w:tc>
        <w:tc>
          <w:tcPr>
            <w:tcW w:w="3117" w:type="dxa"/>
            <w:gridSpan w:val="4"/>
            <w:vAlign w:val="top"/>
          </w:tcPr>
          <w:p w14:paraId="21807E9B">
            <w:pPr>
              <w:rPr>
                <w:rFonts w:ascii="Arial"/>
                <w:sz w:val="21"/>
                <w:highlight w:val="none"/>
              </w:rPr>
            </w:pPr>
          </w:p>
        </w:tc>
        <w:tc>
          <w:tcPr>
            <w:tcW w:w="3640" w:type="dxa"/>
            <w:gridSpan w:val="2"/>
            <w:vAlign w:val="top"/>
          </w:tcPr>
          <w:p w14:paraId="1B935D01">
            <w:pPr>
              <w:rPr>
                <w:rFonts w:ascii="Arial"/>
                <w:sz w:val="21"/>
                <w:highlight w:val="none"/>
              </w:rPr>
            </w:pPr>
          </w:p>
        </w:tc>
      </w:tr>
      <w:tr w14:paraId="2C3B6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13" w:type="dxa"/>
            <w:gridSpan w:val="2"/>
            <w:vAlign w:val="top"/>
          </w:tcPr>
          <w:p w14:paraId="2283CB6D">
            <w:pPr>
              <w:rPr>
                <w:rFonts w:ascii="Arial"/>
                <w:sz w:val="21"/>
                <w:highlight w:val="none"/>
              </w:rPr>
            </w:pPr>
          </w:p>
        </w:tc>
        <w:tc>
          <w:tcPr>
            <w:tcW w:w="3117" w:type="dxa"/>
            <w:gridSpan w:val="4"/>
            <w:vAlign w:val="top"/>
          </w:tcPr>
          <w:p w14:paraId="241DE953">
            <w:pPr>
              <w:rPr>
                <w:rFonts w:ascii="Arial"/>
                <w:sz w:val="21"/>
                <w:highlight w:val="none"/>
              </w:rPr>
            </w:pPr>
          </w:p>
        </w:tc>
        <w:tc>
          <w:tcPr>
            <w:tcW w:w="3640" w:type="dxa"/>
            <w:gridSpan w:val="2"/>
            <w:vAlign w:val="top"/>
          </w:tcPr>
          <w:p w14:paraId="44E5D816">
            <w:pPr>
              <w:rPr>
                <w:rFonts w:ascii="Arial"/>
                <w:sz w:val="21"/>
                <w:highlight w:val="none"/>
              </w:rPr>
            </w:pPr>
          </w:p>
        </w:tc>
      </w:tr>
      <w:tr w14:paraId="361DF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8470" w:type="dxa"/>
            <w:gridSpan w:val="8"/>
            <w:vAlign w:val="top"/>
          </w:tcPr>
          <w:p w14:paraId="680E8553">
            <w:pPr>
              <w:pStyle w:val="6"/>
              <w:spacing w:before="175" w:line="219" w:lineRule="auto"/>
              <w:ind w:left="3494"/>
              <w:rPr>
                <w:highlight w:val="none"/>
              </w:rPr>
            </w:pPr>
            <w:r>
              <w:rPr>
                <w:spacing w:val="-1"/>
                <w:highlight w:val="none"/>
              </w:rPr>
              <w:t>近年获得的表彰</w:t>
            </w:r>
          </w:p>
        </w:tc>
      </w:tr>
      <w:tr w14:paraId="44C84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13" w:type="dxa"/>
            <w:gridSpan w:val="2"/>
            <w:vAlign w:val="top"/>
          </w:tcPr>
          <w:p w14:paraId="1C1F51B4">
            <w:pPr>
              <w:pStyle w:val="6"/>
              <w:spacing w:before="176" w:line="219" w:lineRule="auto"/>
              <w:ind w:left="425"/>
              <w:rPr>
                <w:highlight w:val="none"/>
              </w:rPr>
            </w:pPr>
            <w:r>
              <w:rPr>
                <w:spacing w:val="3"/>
                <w:highlight w:val="none"/>
              </w:rPr>
              <w:t>获奖日期</w:t>
            </w:r>
          </w:p>
        </w:tc>
        <w:tc>
          <w:tcPr>
            <w:tcW w:w="3117" w:type="dxa"/>
            <w:gridSpan w:val="4"/>
            <w:vAlign w:val="top"/>
          </w:tcPr>
          <w:p w14:paraId="699785E7">
            <w:pPr>
              <w:pStyle w:val="6"/>
              <w:spacing w:before="177" w:line="220" w:lineRule="auto"/>
              <w:ind w:left="1132"/>
              <w:rPr>
                <w:highlight w:val="none"/>
              </w:rPr>
            </w:pPr>
            <w:r>
              <w:rPr>
                <w:spacing w:val="-2"/>
                <w:highlight w:val="none"/>
              </w:rPr>
              <w:t>颁奖单位</w:t>
            </w:r>
          </w:p>
        </w:tc>
        <w:tc>
          <w:tcPr>
            <w:tcW w:w="3640" w:type="dxa"/>
            <w:gridSpan w:val="2"/>
            <w:vAlign w:val="top"/>
          </w:tcPr>
          <w:p w14:paraId="1FE1B151">
            <w:pPr>
              <w:pStyle w:val="6"/>
              <w:spacing w:before="176" w:line="219" w:lineRule="auto"/>
              <w:ind w:left="1395"/>
              <w:rPr>
                <w:highlight w:val="none"/>
              </w:rPr>
            </w:pPr>
            <w:r>
              <w:rPr>
                <w:spacing w:val="2"/>
                <w:highlight w:val="none"/>
              </w:rPr>
              <w:t>获奖名称</w:t>
            </w:r>
          </w:p>
        </w:tc>
      </w:tr>
      <w:tr w14:paraId="620D1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713" w:type="dxa"/>
            <w:gridSpan w:val="2"/>
            <w:vAlign w:val="top"/>
          </w:tcPr>
          <w:p w14:paraId="0FF144BA">
            <w:pPr>
              <w:rPr>
                <w:rFonts w:ascii="Arial"/>
                <w:sz w:val="21"/>
                <w:highlight w:val="none"/>
              </w:rPr>
            </w:pPr>
          </w:p>
        </w:tc>
        <w:tc>
          <w:tcPr>
            <w:tcW w:w="3117" w:type="dxa"/>
            <w:gridSpan w:val="4"/>
            <w:vAlign w:val="top"/>
          </w:tcPr>
          <w:p w14:paraId="2994E9B5">
            <w:pPr>
              <w:rPr>
                <w:rFonts w:ascii="Arial"/>
                <w:sz w:val="21"/>
                <w:highlight w:val="none"/>
              </w:rPr>
            </w:pPr>
          </w:p>
        </w:tc>
        <w:tc>
          <w:tcPr>
            <w:tcW w:w="3640" w:type="dxa"/>
            <w:gridSpan w:val="2"/>
            <w:vAlign w:val="top"/>
          </w:tcPr>
          <w:p w14:paraId="15C02942">
            <w:pPr>
              <w:rPr>
                <w:rFonts w:ascii="Arial"/>
                <w:sz w:val="21"/>
                <w:highlight w:val="none"/>
              </w:rPr>
            </w:pPr>
          </w:p>
        </w:tc>
      </w:tr>
      <w:tr w14:paraId="1EEA0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713" w:type="dxa"/>
            <w:gridSpan w:val="2"/>
            <w:vAlign w:val="top"/>
          </w:tcPr>
          <w:p w14:paraId="0FBF6CB7">
            <w:pPr>
              <w:rPr>
                <w:rFonts w:ascii="Arial"/>
                <w:sz w:val="21"/>
                <w:highlight w:val="none"/>
              </w:rPr>
            </w:pPr>
          </w:p>
        </w:tc>
        <w:tc>
          <w:tcPr>
            <w:tcW w:w="3117" w:type="dxa"/>
            <w:gridSpan w:val="4"/>
            <w:vAlign w:val="top"/>
          </w:tcPr>
          <w:p w14:paraId="4C03E614">
            <w:pPr>
              <w:rPr>
                <w:rFonts w:ascii="Arial"/>
                <w:sz w:val="21"/>
                <w:highlight w:val="none"/>
              </w:rPr>
            </w:pPr>
          </w:p>
        </w:tc>
        <w:tc>
          <w:tcPr>
            <w:tcW w:w="3640" w:type="dxa"/>
            <w:gridSpan w:val="2"/>
            <w:vAlign w:val="top"/>
          </w:tcPr>
          <w:p w14:paraId="2E893F07">
            <w:pPr>
              <w:rPr>
                <w:rFonts w:ascii="Arial"/>
                <w:sz w:val="21"/>
                <w:highlight w:val="none"/>
              </w:rPr>
            </w:pPr>
          </w:p>
        </w:tc>
      </w:tr>
      <w:tr w14:paraId="51266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1713" w:type="dxa"/>
            <w:gridSpan w:val="2"/>
            <w:vAlign w:val="top"/>
          </w:tcPr>
          <w:p w14:paraId="3BB2AD38">
            <w:pPr>
              <w:rPr>
                <w:rFonts w:ascii="Arial"/>
                <w:sz w:val="21"/>
                <w:highlight w:val="none"/>
              </w:rPr>
            </w:pPr>
          </w:p>
        </w:tc>
        <w:tc>
          <w:tcPr>
            <w:tcW w:w="3117" w:type="dxa"/>
            <w:gridSpan w:val="4"/>
            <w:vAlign w:val="top"/>
          </w:tcPr>
          <w:p w14:paraId="73DFDE53">
            <w:pPr>
              <w:rPr>
                <w:rFonts w:ascii="Arial"/>
                <w:sz w:val="21"/>
                <w:highlight w:val="none"/>
              </w:rPr>
            </w:pPr>
          </w:p>
        </w:tc>
        <w:tc>
          <w:tcPr>
            <w:tcW w:w="3640" w:type="dxa"/>
            <w:gridSpan w:val="2"/>
            <w:vAlign w:val="top"/>
          </w:tcPr>
          <w:p w14:paraId="7507BB9D">
            <w:pPr>
              <w:rPr>
                <w:rFonts w:ascii="Arial"/>
                <w:sz w:val="21"/>
                <w:highlight w:val="none"/>
              </w:rPr>
            </w:pPr>
          </w:p>
        </w:tc>
      </w:tr>
    </w:tbl>
    <w:p w14:paraId="07FAACFB">
      <w:pPr>
        <w:spacing w:before="152" w:line="361" w:lineRule="auto"/>
        <w:ind w:left="844" w:right="162" w:hanging="840"/>
        <w:rPr>
          <w:rFonts w:ascii="宋体" w:hAnsi="宋体" w:eastAsia="宋体" w:cs="宋体"/>
          <w:sz w:val="22"/>
          <w:szCs w:val="22"/>
          <w:highlight w:val="none"/>
        </w:rPr>
      </w:pPr>
      <w:r>
        <w:rPr>
          <w:rFonts w:ascii="宋体" w:hAnsi="宋体" w:eastAsia="宋体" w:cs="宋体"/>
          <w:spacing w:val="-7"/>
          <w:sz w:val="22"/>
          <w:szCs w:val="22"/>
          <w:highlight w:val="none"/>
        </w:rPr>
        <w:t>备注：1.施工负责人的证明资料按下列顺序附后，建造师资格证书(如有)、注册证书、安</w:t>
      </w:r>
      <w:r>
        <w:rPr>
          <w:rFonts w:ascii="宋体" w:hAnsi="宋体" w:eastAsia="宋体" w:cs="宋体"/>
          <w:spacing w:val="18"/>
          <w:sz w:val="22"/>
          <w:szCs w:val="22"/>
          <w:highlight w:val="none"/>
        </w:rPr>
        <w:t xml:space="preserve"> </w:t>
      </w:r>
      <w:r>
        <w:rPr>
          <w:rFonts w:ascii="宋体" w:hAnsi="宋体" w:eastAsia="宋体" w:cs="宋体"/>
          <w:spacing w:val="-11"/>
          <w:sz w:val="22"/>
          <w:szCs w:val="22"/>
          <w:highlight w:val="none"/>
        </w:rPr>
        <w:t>全生产考核合格证书</w:t>
      </w:r>
      <w:r>
        <w:rPr>
          <w:rFonts w:ascii="宋体" w:hAnsi="宋体" w:eastAsia="宋体" w:cs="宋体"/>
          <w:spacing w:val="-33"/>
          <w:sz w:val="22"/>
          <w:szCs w:val="22"/>
          <w:highlight w:val="none"/>
        </w:rPr>
        <w:t xml:space="preserve"> </w:t>
      </w:r>
      <w:r>
        <w:rPr>
          <w:rFonts w:ascii="宋体" w:hAnsi="宋体" w:eastAsia="宋体" w:cs="宋体"/>
          <w:spacing w:val="-11"/>
          <w:sz w:val="22"/>
          <w:szCs w:val="22"/>
          <w:highlight w:val="none"/>
        </w:rPr>
        <w:t>(</w:t>
      </w:r>
      <w:r>
        <w:rPr>
          <w:rFonts w:ascii="宋体" w:hAnsi="宋体" w:eastAsia="宋体" w:cs="宋体"/>
          <w:spacing w:val="-62"/>
          <w:sz w:val="22"/>
          <w:szCs w:val="22"/>
          <w:highlight w:val="none"/>
        </w:rPr>
        <w:t xml:space="preserve"> </w:t>
      </w:r>
      <w:r>
        <w:rPr>
          <w:rFonts w:ascii="Times New Roman" w:hAnsi="Times New Roman" w:eastAsia="Times New Roman" w:cs="Times New Roman"/>
          <w:spacing w:val="-11"/>
          <w:sz w:val="22"/>
          <w:szCs w:val="22"/>
          <w:highlight w:val="none"/>
        </w:rPr>
        <w:t xml:space="preserve">B </w:t>
      </w:r>
      <w:r>
        <w:rPr>
          <w:rFonts w:ascii="宋体" w:hAnsi="宋体" w:eastAsia="宋体" w:cs="宋体"/>
          <w:spacing w:val="-11"/>
          <w:sz w:val="22"/>
          <w:szCs w:val="22"/>
          <w:highlight w:val="none"/>
        </w:rPr>
        <w:t>证)、职称证、学历证扫描件。</w:t>
      </w:r>
    </w:p>
    <w:p w14:paraId="707ED5E1">
      <w:pPr>
        <w:spacing w:before="1" w:line="285" w:lineRule="auto"/>
        <w:ind w:left="844" w:right="84" w:hanging="219"/>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 xml:space="preserve">2. </w:t>
      </w:r>
      <w:r>
        <w:rPr>
          <w:rFonts w:ascii="宋体" w:hAnsi="宋体" w:eastAsia="宋体" w:cs="宋体"/>
          <w:spacing w:val="-6"/>
          <w:sz w:val="22"/>
          <w:szCs w:val="22"/>
          <w:highlight w:val="none"/>
        </w:rPr>
        <w:t>类似项目的证明资料应分别附中标通知书(如有)、合同协议书、工程接收证书或</w:t>
      </w:r>
      <w:r>
        <w:rPr>
          <w:rFonts w:ascii="宋体" w:hAnsi="宋体" w:eastAsia="宋体" w:cs="宋体"/>
          <w:spacing w:val="3"/>
          <w:sz w:val="22"/>
          <w:szCs w:val="22"/>
          <w:highlight w:val="none"/>
        </w:rPr>
        <w:t xml:space="preserve"> </w:t>
      </w:r>
      <w:r>
        <w:rPr>
          <w:rFonts w:ascii="宋体" w:hAnsi="宋体" w:eastAsia="宋体" w:cs="宋体"/>
          <w:spacing w:val="2"/>
          <w:sz w:val="22"/>
          <w:szCs w:val="22"/>
          <w:highlight w:val="none"/>
        </w:rPr>
        <w:t>工程竣工验收证书(工程竣工验收备案证)及其他证明材料(如需要)的扫</w:t>
      </w:r>
      <w:r>
        <w:rPr>
          <w:rFonts w:ascii="宋体" w:hAnsi="宋体" w:eastAsia="宋体" w:cs="宋体"/>
          <w:spacing w:val="1"/>
          <w:sz w:val="22"/>
          <w:szCs w:val="22"/>
          <w:highlight w:val="none"/>
        </w:rPr>
        <w:t>描件。</w:t>
      </w:r>
    </w:p>
    <w:p w14:paraId="01435628">
      <w:pPr>
        <w:spacing w:before="178" w:line="219" w:lineRule="auto"/>
        <w:ind w:left="635"/>
        <w:rPr>
          <w:rFonts w:ascii="宋体" w:hAnsi="宋体" w:eastAsia="宋体" w:cs="宋体"/>
          <w:sz w:val="20"/>
          <w:szCs w:val="20"/>
          <w:highlight w:val="none"/>
        </w:rPr>
      </w:pPr>
      <w:r>
        <w:rPr>
          <w:rFonts w:ascii="Times New Roman" w:hAnsi="Times New Roman" w:eastAsia="Times New Roman" w:cs="Times New Roman"/>
          <w:spacing w:val="9"/>
          <w:sz w:val="20"/>
          <w:szCs w:val="20"/>
          <w:highlight w:val="none"/>
        </w:rPr>
        <w:t xml:space="preserve">3. </w:t>
      </w:r>
      <w:r>
        <w:rPr>
          <w:rFonts w:ascii="宋体" w:hAnsi="宋体" w:eastAsia="宋体" w:cs="宋体"/>
          <w:spacing w:val="9"/>
          <w:sz w:val="20"/>
          <w:szCs w:val="20"/>
          <w:highlight w:val="none"/>
        </w:rPr>
        <w:t>施工负责人表彰的证明资料应附颁奖机构颁发的表彰证书或表彰文件的扫描件。</w:t>
      </w:r>
    </w:p>
    <w:p w14:paraId="42A3E24F">
      <w:pPr>
        <w:spacing w:line="219" w:lineRule="auto"/>
        <w:rPr>
          <w:rFonts w:ascii="宋体" w:hAnsi="宋体" w:eastAsia="宋体" w:cs="宋体"/>
          <w:sz w:val="20"/>
          <w:szCs w:val="20"/>
          <w:highlight w:val="none"/>
        </w:rPr>
        <w:sectPr>
          <w:footerReference r:id="rId258" w:type="default"/>
          <w:pgSz w:w="11910" w:h="16840"/>
          <w:pgMar w:top="400" w:right="1655" w:bottom="1218" w:left="1774" w:header="0" w:footer="986" w:gutter="0"/>
          <w:cols w:space="720" w:num="1"/>
        </w:sectPr>
      </w:pPr>
    </w:p>
    <w:p w14:paraId="221217E9">
      <w:pPr>
        <w:pStyle w:val="2"/>
        <w:spacing w:line="281" w:lineRule="auto"/>
        <w:rPr>
          <w:highlight w:val="none"/>
        </w:rPr>
      </w:pPr>
    </w:p>
    <w:p w14:paraId="2DAB4709">
      <w:pPr>
        <w:pStyle w:val="2"/>
        <w:spacing w:line="281" w:lineRule="auto"/>
        <w:rPr>
          <w:highlight w:val="none"/>
        </w:rPr>
      </w:pPr>
    </w:p>
    <w:p w14:paraId="738CBD83">
      <w:pPr>
        <w:pStyle w:val="2"/>
        <w:spacing w:line="282" w:lineRule="auto"/>
        <w:rPr>
          <w:highlight w:val="none"/>
        </w:rPr>
      </w:pPr>
    </w:p>
    <w:p w14:paraId="28832504">
      <w:pPr>
        <w:pStyle w:val="2"/>
        <w:spacing w:line="282" w:lineRule="auto"/>
        <w:rPr>
          <w:highlight w:val="none"/>
        </w:rPr>
      </w:pPr>
    </w:p>
    <w:p w14:paraId="3012ACE8">
      <w:pPr>
        <w:spacing w:before="88" w:line="222" w:lineRule="auto"/>
        <w:ind w:left="80"/>
        <w:rPr>
          <w:rFonts w:ascii="黑体" w:hAnsi="黑体" w:eastAsia="黑体" w:cs="黑体"/>
          <w:sz w:val="27"/>
          <w:szCs w:val="27"/>
          <w:highlight w:val="none"/>
        </w:rPr>
      </w:pPr>
      <w:r>
        <w:rPr>
          <w:rFonts w:ascii="黑体" w:hAnsi="黑体" w:eastAsia="黑体" w:cs="黑体"/>
          <w:spacing w:val="6"/>
          <w:sz w:val="27"/>
          <w:szCs w:val="27"/>
          <w:highlight w:val="none"/>
        </w:rPr>
        <w:t>(五)承诺书</w:t>
      </w:r>
    </w:p>
    <w:p w14:paraId="12702F02">
      <w:pPr>
        <w:pStyle w:val="2"/>
        <w:spacing w:line="422" w:lineRule="auto"/>
        <w:rPr>
          <w:highlight w:val="none"/>
        </w:rPr>
      </w:pPr>
    </w:p>
    <w:p w14:paraId="76A43C92">
      <w:pPr>
        <w:tabs>
          <w:tab w:val="left" w:pos="2260"/>
        </w:tabs>
        <w:spacing w:before="68" w:line="220" w:lineRule="auto"/>
        <w:rPr>
          <w:rFonts w:ascii="宋体" w:hAnsi="宋体" w:eastAsia="宋体" w:cs="宋体"/>
          <w:sz w:val="21"/>
          <w:szCs w:val="21"/>
          <w:highlight w:val="none"/>
        </w:rPr>
      </w:pPr>
      <w:r>
        <w:rPr>
          <w:rFonts w:ascii="宋体" w:hAnsi="宋体" w:eastAsia="宋体" w:cs="宋体"/>
          <w:sz w:val="21"/>
          <w:szCs w:val="21"/>
          <w:highlight w:val="none"/>
          <w:u w:val="single" w:color="auto"/>
        </w:rPr>
        <w:tab/>
      </w:r>
      <w:r>
        <w:rPr>
          <w:rFonts w:ascii="宋体" w:hAnsi="宋体" w:eastAsia="宋体" w:cs="宋体"/>
          <w:spacing w:val="-45"/>
          <w:sz w:val="21"/>
          <w:szCs w:val="21"/>
          <w:highlight w:val="none"/>
        </w:rPr>
        <w:t xml:space="preserve"> </w:t>
      </w:r>
      <w:r>
        <w:rPr>
          <w:rFonts w:ascii="宋体" w:hAnsi="宋体" w:eastAsia="宋体" w:cs="宋体"/>
          <w:spacing w:val="2"/>
          <w:sz w:val="21"/>
          <w:szCs w:val="21"/>
          <w:highlight w:val="none"/>
        </w:rPr>
        <w:t>(招标人名称):</w:t>
      </w:r>
    </w:p>
    <w:p w14:paraId="78B205BA">
      <w:pPr>
        <w:spacing w:before="197" w:line="387" w:lineRule="auto"/>
        <w:ind w:firstLine="430"/>
        <w:jc w:val="both"/>
        <w:rPr>
          <w:rFonts w:ascii="宋体" w:hAnsi="宋体" w:eastAsia="宋体" w:cs="宋体"/>
          <w:sz w:val="21"/>
          <w:szCs w:val="21"/>
          <w:highlight w:val="none"/>
        </w:rPr>
      </w:pPr>
      <w:r>
        <w:rPr>
          <w:rFonts w:ascii="宋体" w:hAnsi="宋体" w:eastAsia="宋体" w:cs="宋体"/>
          <w:spacing w:val="4"/>
          <w:sz w:val="21"/>
          <w:szCs w:val="21"/>
          <w:highlight w:val="none"/>
        </w:rPr>
        <w:t>我方在此声明，我方拟派往</w:t>
      </w:r>
      <w:r>
        <w:rPr>
          <w:rFonts w:ascii="宋体" w:hAnsi="宋体" w:eastAsia="宋体" w:cs="宋体"/>
          <w:spacing w:val="7"/>
          <w:sz w:val="21"/>
          <w:szCs w:val="21"/>
          <w:highlight w:val="none"/>
          <w:u w:val="single" w:color="auto"/>
        </w:rPr>
        <w:t xml:space="preserve">             </w:t>
      </w:r>
      <w:r>
        <w:rPr>
          <w:rFonts w:ascii="宋体" w:hAnsi="宋体" w:eastAsia="宋体" w:cs="宋体"/>
          <w:spacing w:val="4"/>
          <w:sz w:val="21"/>
          <w:szCs w:val="21"/>
          <w:highlight w:val="none"/>
        </w:rPr>
        <w:t xml:space="preserve"> (项目名称</w:t>
      </w:r>
      <w:r>
        <w:rPr>
          <w:rFonts w:ascii="宋体" w:hAnsi="宋体" w:eastAsia="宋体" w:cs="宋体"/>
          <w:spacing w:val="-54"/>
          <w:sz w:val="21"/>
          <w:szCs w:val="21"/>
          <w:highlight w:val="none"/>
        </w:rPr>
        <w:t xml:space="preserve"> </w:t>
      </w:r>
      <w:r>
        <w:rPr>
          <w:rFonts w:ascii="宋体" w:hAnsi="宋体" w:eastAsia="宋体" w:cs="宋体"/>
          <w:spacing w:val="4"/>
          <w:sz w:val="21"/>
          <w:szCs w:val="21"/>
          <w:highlight w:val="none"/>
        </w:rPr>
        <w:t>)</w:t>
      </w:r>
      <w:r>
        <w:rPr>
          <w:rFonts w:ascii="宋体" w:hAnsi="宋体" w:eastAsia="宋体" w:cs="宋体"/>
          <w:spacing w:val="9"/>
          <w:sz w:val="21"/>
          <w:szCs w:val="21"/>
          <w:highlight w:val="none"/>
          <w:u w:val="single" w:color="auto"/>
        </w:rPr>
        <w:t xml:space="preserve">        </w:t>
      </w:r>
      <w:r>
        <w:rPr>
          <w:rFonts w:ascii="宋体" w:hAnsi="宋体" w:eastAsia="宋体" w:cs="宋体"/>
          <w:spacing w:val="4"/>
          <w:sz w:val="21"/>
          <w:szCs w:val="21"/>
          <w:highlight w:val="none"/>
        </w:rPr>
        <w:t xml:space="preserve"> (标段名称)(以下</w:t>
      </w:r>
      <w:r>
        <w:rPr>
          <w:rFonts w:ascii="宋体" w:hAnsi="宋体" w:eastAsia="宋体" w:cs="宋体"/>
          <w:spacing w:val="2"/>
          <w:sz w:val="21"/>
          <w:szCs w:val="21"/>
          <w:highlight w:val="none"/>
        </w:rPr>
        <w:t xml:space="preserve"> </w:t>
      </w:r>
      <w:r>
        <w:rPr>
          <w:rFonts w:ascii="宋体" w:hAnsi="宋体" w:eastAsia="宋体" w:cs="宋体"/>
          <w:spacing w:val="3"/>
          <w:sz w:val="21"/>
          <w:szCs w:val="21"/>
          <w:highlight w:val="none"/>
        </w:rPr>
        <w:t>简称“本工程”)的项目经理</w:t>
      </w:r>
      <w:r>
        <w:rPr>
          <w:rFonts w:ascii="宋体" w:hAnsi="宋体" w:eastAsia="宋体" w:cs="宋体"/>
          <w:spacing w:val="-78"/>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110"/>
          <w:sz w:val="21"/>
          <w:szCs w:val="21"/>
          <w:highlight w:val="none"/>
        </w:rPr>
        <w:t xml:space="preserve"> </w:t>
      </w:r>
      <w:r>
        <w:rPr>
          <w:rFonts w:ascii="宋体" w:hAnsi="宋体" w:eastAsia="宋体" w:cs="宋体"/>
          <w:spacing w:val="3"/>
          <w:sz w:val="21"/>
          <w:szCs w:val="21"/>
          <w:highlight w:val="none"/>
        </w:rPr>
        <w:t>(项目经理姓名)及</w:t>
      </w:r>
      <w:r>
        <w:rPr>
          <w:rFonts w:ascii="宋体" w:hAnsi="宋体" w:eastAsia="宋体" w:cs="宋体"/>
          <w:spacing w:val="2"/>
          <w:sz w:val="21"/>
          <w:szCs w:val="21"/>
          <w:highlight w:val="none"/>
        </w:rPr>
        <w:t>施工负责人</w:t>
      </w:r>
      <w:r>
        <w:rPr>
          <w:rFonts w:ascii="宋体" w:hAnsi="宋体" w:eastAsia="宋体" w:cs="宋体"/>
          <w:spacing w:val="-9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2"/>
          <w:sz w:val="21"/>
          <w:szCs w:val="21"/>
          <w:highlight w:val="none"/>
        </w:rPr>
        <w:t xml:space="preserve">  (施工</w:t>
      </w:r>
      <w:r>
        <w:rPr>
          <w:rFonts w:ascii="宋体" w:hAnsi="宋体" w:eastAsia="宋体" w:cs="宋体"/>
          <w:spacing w:val="1"/>
          <w:sz w:val="21"/>
          <w:szCs w:val="21"/>
          <w:highlight w:val="none"/>
        </w:rPr>
        <w:t xml:space="preserve"> </w:t>
      </w:r>
      <w:r>
        <w:rPr>
          <w:rFonts w:ascii="宋体" w:hAnsi="宋体" w:eastAsia="宋体" w:cs="宋体"/>
          <w:spacing w:val="7"/>
          <w:sz w:val="21"/>
          <w:szCs w:val="21"/>
          <w:highlight w:val="none"/>
        </w:rPr>
        <w:t>负责人姓名)现阶段(投标截止时间之前)未同时担任其他工程的项目经理或施工负责人。</w:t>
      </w:r>
    </w:p>
    <w:p w14:paraId="1700447C">
      <w:pPr>
        <w:spacing w:line="218" w:lineRule="auto"/>
        <w:ind w:left="430"/>
        <w:rPr>
          <w:rFonts w:ascii="宋体" w:hAnsi="宋体" w:eastAsia="宋体" w:cs="宋体"/>
          <w:sz w:val="21"/>
          <w:szCs w:val="21"/>
          <w:highlight w:val="none"/>
        </w:rPr>
      </w:pPr>
      <w:r>
        <w:rPr>
          <w:rFonts w:ascii="宋体" w:hAnsi="宋体" w:eastAsia="宋体" w:cs="宋体"/>
          <w:spacing w:val="-2"/>
          <w:sz w:val="21"/>
          <w:szCs w:val="21"/>
          <w:highlight w:val="none"/>
        </w:rPr>
        <w:t>根据相关规定。我方拟派项目经理能够参加本工程的投标是基于以下理由：</w:t>
      </w:r>
    </w:p>
    <w:p w14:paraId="5A0813FC">
      <w:pPr>
        <w:spacing w:before="190" w:line="219" w:lineRule="auto"/>
        <w:ind w:left="539"/>
        <w:rPr>
          <w:rFonts w:ascii="宋体" w:hAnsi="宋体" w:eastAsia="宋体" w:cs="宋体"/>
          <w:sz w:val="20"/>
          <w:szCs w:val="20"/>
          <w:highlight w:val="none"/>
        </w:rPr>
      </w:pPr>
      <w:r>
        <w:rPr>
          <w:rFonts w:ascii="宋体" w:hAnsi="宋体" w:eastAsia="宋体" w:cs="宋体"/>
          <w:spacing w:val="5"/>
          <w:sz w:val="20"/>
          <w:szCs w:val="20"/>
          <w:highlight w:val="none"/>
        </w:rPr>
        <w:t>□</w:t>
      </w:r>
      <w:r>
        <w:rPr>
          <w:rFonts w:ascii="宋体" w:hAnsi="宋体" w:eastAsia="宋体" w:cs="宋体"/>
          <w:spacing w:val="24"/>
          <w:sz w:val="20"/>
          <w:szCs w:val="20"/>
          <w:highlight w:val="none"/>
        </w:rPr>
        <w:t xml:space="preserve">  </w:t>
      </w:r>
      <w:r>
        <w:rPr>
          <w:rFonts w:ascii="宋体" w:hAnsi="宋体" w:eastAsia="宋体" w:cs="宋体"/>
          <w:spacing w:val="5"/>
          <w:sz w:val="20"/>
          <w:szCs w:val="20"/>
          <w:highlight w:val="none"/>
        </w:rPr>
        <w:t>拟派项目经理符合下列情形：</w:t>
      </w:r>
    </w:p>
    <w:p w14:paraId="7DB811D2">
      <w:pPr>
        <w:spacing w:before="215" w:line="220" w:lineRule="auto"/>
        <w:ind w:left="950"/>
        <w:rPr>
          <w:rFonts w:ascii="宋体" w:hAnsi="宋体" w:eastAsia="宋体" w:cs="宋体"/>
          <w:sz w:val="20"/>
          <w:szCs w:val="20"/>
          <w:highlight w:val="none"/>
        </w:rPr>
      </w:pPr>
      <w:r>
        <w:rPr>
          <w:rFonts w:ascii="宋体" w:hAnsi="宋体" w:eastAsia="宋体" w:cs="宋体"/>
          <w:spacing w:val="7"/>
          <w:sz w:val="20"/>
          <w:szCs w:val="20"/>
          <w:highlight w:val="none"/>
        </w:rPr>
        <w:t>□同一工程相邻分段发包或分期施工的；</w:t>
      </w:r>
    </w:p>
    <w:p w14:paraId="4D38933A">
      <w:pPr>
        <w:spacing w:before="201" w:line="219" w:lineRule="auto"/>
        <w:ind w:left="950"/>
        <w:rPr>
          <w:rFonts w:ascii="宋体" w:hAnsi="宋体" w:eastAsia="宋体" w:cs="宋体"/>
          <w:sz w:val="20"/>
          <w:szCs w:val="20"/>
          <w:highlight w:val="none"/>
        </w:rPr>
      </w:pPr>
      <w:r>
        <w:rPr>
          <w:rFonts w:ascii="宋体" w:hAnsi="宋体" w:eastAsia="宋体" w:cs="宋体"/>
          <w:spacing w:val="5"/>
          <w:sz w:val="20"/>
          <w:szCs w:val="20"/>
          <w:highlight w:val="none"/>
        </w:rPr>
        <w:t>□合同约定的工程验收合格的；</w:t>
      </w:r>
    </w:p>
    <w:p w14:paraId="250B1EBB">
      <w:pPr>
        <w:spacing w:before="171" w:line="216" w:lineRule="auto"/>
        <w:ind w:left="950"/>
        <w:rPr>
          <w:rFonts w:ascii="宋体" w:hAnsi="宋体" w:eastAsia="宋体" w:cs="宋体"/>
          <w:sz w:val="22"/>
          <w:szCs w:val="22"/>
          <w:highlight w:val="none"/>
        </w:rPr>
      </w:pPr>
      <w:r>
        <w:rPr>
          <w:rFonts w:ascii="宋体" w:hAnsi="宋体" w:eastAsia="宋体" w:cs="宋体"/>
          <w:sz w:val="22"/>
          <w:szCs w:val="22"/>
          <w:highlight w:val="none"/>
        </w:rPr>
        <w:t>□因非承包方原因致使工程项目停工超过120天(含</w:t>
      </w:r>
      <w:r>
        <w:rPr>
          <w:rFonts w:ascii="宋体" w:hAnsi="宋体" w:eastAsia="宋体" w:cs="宋体"/>
          <w:spacing w:val="-1"/>
          <w:sz w:val="22"/>
          <w:szCs w:val="22"/>
          <w:highlight w:val="none"/>
        </w:rPr>
        <w:t>),经建设单位同意的。</w:t>
      </w:r>
    </w:p>
    <w:p w14:paraId="5D846B2A">
      <w:pPr>
        <w:spacing w:before="195" w:line="291" w:lineRule="auto"/>
        <w:ind w:right="55" w:firstLine="539"/>
        <w:rPr>
          <w:rFonts w:ascii="宋体" w:hAnsi="宋体" w:eastAsia="宋体" w:cs="宋体"/>
          <w:sz w:val="22"/>
          <w:szCs w:val="22"/>
          <w:highlight w:val="none"/>
        </w:rPr>
      </w:pPr>
      <w:r>
        <w:rPr>
          <w:rFonts w:ascii="宋体" w:hAnsi="宋体" w:eastAsia="宋体" w:cs="宋体"/>
          <w:spacing w:val="-10"/>
          <w:sz w:val="22"/>
          <w:szCs w:val="22"/>
          <w:highlight w:val="none"/>
        </w:rPr>
        <w:t>□  拟派项目经理担任其他工程的项目经理期间因下列原因进行了更换，并办理书面</w:t>
      </w:r>
      <w:r>
        <w:rPr>
          <w:rFonts w:ascii="宋体" w:hAnsi="宋体" w:eastAsia="宋体" w:cs="宋体"/>
          <w:spacing w:val="18"/>
          <w:sz w:val="22"/>
          <w:szCs w:val="22"/>
          <w:highlight w:val="none"/>
        </w:rPr>
        <w:t xml:space="preserve"> </w:t>
      </w:r>
      <w:r>
        <w:rPr>
          <w:rFonts w:ascii="宋体" w:hAnsi="宋体" w:eastAsia="宋体" w:cs="宋体"/>
          <w:spacing w:val="-16"/>
          <w:sz w:val="22"/>
          <w:szCs w:val="22"/>
          <w:highlight w:val="none"/>
        </w:rPr>
        <w:t>交接手续：</w:t>
      </w:r>
    </w:p>
    <w:p w14:paraId="3CB7E0E3">
      <w:pPr>
        <w:spacing w:before="185" w:line="219" w:lineRule="auto"/>
        <w:ind w:left="950"/>
        <w:rPr>
          <w:rFonts w:ascii="宋体" w:hAnsi="宋体" w:eastAsia="宋体" w:cs="宋体"/>
          <w:sz w:val="20"/>
          <w:szCs w:val="20"/>
          <w:highlight w:val="none"/>
        </w:rPr>
      </w:pPr>
      <w:r>
        <w:rPr>
          <w:rFonts w:ascii="宋体" w:hAnsi="宋体" w:eastAsia="宋体" w:cs="宋体"/>
          <w:spacing w:val="7"/>
          <w:sz w:val="20"/>
          <w:szCs w:val="20"/>
          <w:highlight w:val="none"/>
        </w:rPr>
        <w:t>□发包方与拟派项目经理受聘企业已解除承包合同的；</w:t>
      </w:r>
    </w:p>
    <w:p w14:paraId="2B7B1439">
      <w:pPr>
        <w:spacing w:before="224" w:line="220" w:lineRule="auto"/>
        <w:ind w:left="950"/>
        <w:rPr>
          <w:rFonts w:ascii="宋体" w:hAnsi="宋体" w:eastAsia="宋体" w:cs="宋体"/>
          <w:sz w:val="20"/>
          <w:szCs w:val="20"/>
          <w:highlight w:val="none"/>
        </w:rPr>
      </w:pPr>
      <w:r>
        <w:rPr>
          <w:rFonts w:ascii="宋体" w:hAnsi="宋体" w:eastAsia="宋体" w:cs="宋体"/>
          <w:spacing w:val="5"/>
          <w:sz w:val="20"/>
          <w:szCs w:val="20"/>
          <w:highlight w:val="none"/>
        </w:rPr>
        <w:t>□发包方同意更换项目经理的；</w:t>
      </w:r>
    </w:p>
    <w:p w14:paraId="7A210C99">
      <w:pPr>
        <w:spacing w:before="201" w:line="219" w:lineRule="auto"/>
        <w:ind w:left="950"/>
        <w:rPr>
          <w:rFonts w:ascii="宋体" w:hAnsi="宋体" w:eastAsia="宋体" w:cs="宋体"/>
          <w:sz w:val="20"/>
          <w:szCs w:val="20"/>
          <w:highlight w:val="none"/>
        </w:rPr>
      </w:pPr>
      <w:r>
        <w:rPr>
          <w:rFonts w:ascii="宋体" w:hAnsi="宋体" w:eastAsia="宋体" w:cs="宋体"/>
          <w:spacing w:val="7"/>
          <w:sz w:val="20"/>
          <w:szCs w:val="20"/>
          <w:highlight w:val="none"/>
        </w:rPr>
        <w:t>□因不可抗力等特殊情况必须更换项目经理的。</w:t>
      </w:r>
    </w:p>
    <w:p w14:paraId="3D724653">
      <w:pPr>
        <w:pStyle w:val="2"/>
        <w:spacing w:line="284" w:lineRule="auto"/>
        <w:rPr>
          <w:highlight w:val="none"/>
        </w:rPr>
      </w:pPr>
    </w:p>
    <w:p w14:paraId="1587D8B9">
      <w:pPr>
        <w:pStyle w:val="2"/>
        <w:spacing w:line="285" w:lineRule="auto"/>
        <w:rPr>
          <w:highlight w:val="none"/>
        </w:rPr>
      </w:pPr>
      <w:r>
        <w:rPr>
          <w:highlight w:val="none"/>
        </w:rPr>
        <w:drawing>
          <wp:anchor distT="0" distB="0" distL="0" distR="0" simplePos="0" relativeHeight="251700224" behindDoc="0" locked="0" layoutInCell="1" allowOverlap="1">
            <wp:simplePos x="0" y="0"/>
            <wp:positionH relativeFrom="column">
              <wp:posOffset>533400</wp:posOffset>
            </wp:positionH>
            <wp:positionV relativeFrom="paragraph">
              <wp:posOffset>68580</wp:posOffset>
            </wp:positionV>
            <wp:extent cx="3441700" cy="6350"/>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330"/>
                    <a:stretch>
                      <a:fillRect/>
                    </a:stretch>
                  </pic:blipFill>
                  <pic:spPr>
                    <a:xfrm>
                      <a:off x="0" y="0"/>
                      <a:ext cx="3441702" cy="6350"/>
                    </a:xfrm>
                    <a:prstGeom prst="rect">
                      <a:avLst/>
                    </a:prstGeom>
                  </pic:spPr>
                </pic:pic>
              </a:graphicData>
            </a:graphic>
          </wp:anchor>
        </w:drawing>
      </w:r>
    </w:p>
    <w:p w14:paraId="7B12E3A1">
      <w:pPr>
        <w:spacing w:before="70" w:line="219" w:lineRule="auto"/>
        <w:ind w:left="430"/>
        <w:rPr>
          <w:rFonts w:ascii="宋体" w:hAnsi="宋体" w:eastAsia="宋体" w:cs="宋体"/>
          <w:sz w:val="21"/>
          <w:szCs w:val="21"/>
          <w:highlight w:val="none"/>
        </w:rPr>
      </w:pPr>
      <w:r>
        <w:rPr>
          <w:rFonts w:ascii="宋体" w:hAnsi="宋体" w:eastAsia="宋体" w:cs="宋体"/>
          <w:spacing w:val="-1"/>
          <w:sz w:val="21"/>
          <w:szCs w:val="21"/>
          <w:highlight w:val="none"/>
        </w:rPr>
        <w:t>根据相关规定。我方拟派施工负责人能够参加本工程的投标是基于以下理由：</w:t>
      </w:r>
    </w:p>
    <w:p w14:paraId="530C1C61">
      <w:pPr>
        <w:spacing w:before="171" w:line="219" w:lineRule="auto"/>
        <w:ind w:left="539"/>
        <w:rPr>
          <w:rFonts w:ascii="宋体" w:hAnsi="宋体" w:eastAsia="宋体" w:cs="宋体"/>
          <w:sz w:val="22"/>
          <w:szCs w:val="22"/>
          <w:highlight w:val="none"/>
        </w:rPr>
      </w:pPr>
      <w:r>
        <w:rPr>
          <w:rFonts w:ascii="宋体" w:hAnsi="宋体" w:eastAsia="宋体" w:cs="宋体"/>
          <w:spacing w:val="-10"/>
          <w:sz w:val="22"/>
          <w:szCs w:val="22"/>
          <w:highlight w:val="none"/>
        </w:rPr>
        <w:t>□  拟派施工负责人符合下列情形：</w:t>
      </w:r>
    </w:p>
    <w:p w14:paraId="7690F50B">
      <w:pPr>
        <w:spacing w:before="190" w:line="220" w:lineRule="auto"/>
        <w:ind w:left="950"/>
        <w:rPr>
          <w:rFonts w:ascii="宋体" w:hAnsi="宋体" w:eastAsia="宋体" w:cs="宋体"/>
          <w:sz w:val="20"/>
          <w:szCs w:val="20"/>
          <w:highlight w:val="none"/>
        </w:rPr>
      </w:pPr>
      <w:r>
        <w:rPr>
          <w:rFonts w:ascii="宋体" w:hAnsi="宋体" w:eastAsia="宋体" w:cs="宋体"/>
          <w:spacing w:val="7"/>
          <w:sz w:val="20"/>
          <w:szCs w:val="20"/>
          <w:highlight w:val="none"/>
        </w:rPr>
        <w:t>□同一工程相邻分段发包或分期施工的；</w:t>
      </w:r>
    </w:p>
    <w:p w14:paraId="37247906">
      <w:pPr>
        <w:spacing w:before="211" w:line="219" w:lineRule="auto"/>
        <w:ind w:left="950"/>
        <w:rPr>
          <w:rFonts w:ascii="宋体" w:hAnsi="宋体" w:eastAsia="宋体" w:cs="宋体"/>
          <w:sz w:val="20"/>
          <w:szCs w:val="20"/>
          <w:highlight w:val="none"/>
        </w:rPr>
      </w:pPr>
      <w:r>
        <w:rPr>
          <w:rFonts w:ascii="宋体" w:hAnsi="宋体" w:eastAsia="宋体" w:cs="宋体"/>
          <w:spacing w:val="5"/>
          <w:sz w:val="20"/>
          <w:szCs w:val="20"/>
          <w:highlight w:val="none"/>
        </w:rPr>
        <w:t>□合同约定的工程验收合格的；</w:t>
      </w:r>
    </w:p>
    <w:p w14:paraId="5851DD72">
      <w:pPr>
        <w:spacing w:before="181" w:line="216" w:lineRule="auto"/>
        <w:ind w:left="950"/>
        <w:rPr>
          <w:rFonts w:ascii="宋体" w:hAnsi="宋体" w:eastAsia="宋体" w:cs="宋体"/>
          <w:sz w:val="22"/>
          <w:szCs w:val="22"/>
          <w:highlight w:val="none"/>
        </w:rPr>
      </w:pPr>
      <w:r>
        <w:rPr>
          <w:rFonts w:ascii="宋体" w:hAnsi="宋体" w:eastAsia="宋体" w:cs="宋体"/>
          <w:sz w:val="22"/>
          <w:szCs w:val="22"/>
          <w:highlight w:val="none"/>
        </w:rPr>
        <w:t>□因非承包方原因致使工程项目停工超过120天(含</w:t>
      </w:r>
      <w:r>
        <w:rPr>
          <w:rFonts w:ascii="宋体" w:hAnsi="宋体" w:eastAsia="宋体" w:cs="宋体"/>
          <w:spacing w:val="-1"/>
          <w:sz w:val="22"/>
          <w:szCs w:val="22"/>
          <w:highlight w:val="none"/>
        </w:rPr>
        <w:t>),经建设单位同意的。</w:t>
      </w:r>
    </w:p>
    <w:p w14:paraId="2C364BEF">
      <w:pPr>
        <w:spacing w:before="184" w:line="294" w:lineRule="auto"/>
        <w:ind w:right="57" w:firstLine="539"/>
        <w:rPr>
          <w:rFonts w:ascii="宋体" w:hAnsi="宋体" w:eastAsia="宋体" w:cs="宋体"/>
          <w:sz w:val="22"/>
          <w:szCs w:val="22"/>
          <w:highlight w:val="none"/>
        </w:rPr>
      </w:pPr>
      <w:r>
        <w:rPr>
          <w:rFonts w:ascii="宋体" w:hAnsi="宋体" w:eastAsia="宋体" w:cs="宋体"/>
          <w:spacing w:val="-10"/>
          <w:sz w:val="22"/>
          <w:szCs w:val="22"/>
          <w:highlight w:val="none"/>
        </w:rPr>
        <w:t>□  拟派施工负责人担任其他工程的施工负责人期间因下列原因进行了更换，并办理</w:t>
      </w:r>
      <w:r>
        <w:rPr>
          <w:rFonts w:ascii="宋体" w:hAnsi="宋体" w:eastAsia="宋体" w:cs="宋体"/>
          <w:spacing w:val="16"/>
          <w:sz w:val="22"/>
          <w:szCs w:val="22"/>
          <w:highlight w:val="none"/>
        </w:rPr>
        <w:t xml:space="preserve"> </w:t>
      </w:r>
      <w:r>
        <w:rPr>
          <w:rFonts w:ascii="宋体" w:hAnsi="宋体" w:eastAsia="宋体" w:cs="宋体"/>
          <w:spacing w:val="-15"/>
          <w:sz w:val="22"/>
          <w:szCs w:val="22"/>
          <w:highlight w:val="none"/>
        </w:rPr>
        <w:t>书面交接手续：</w:t>
      </w:r>
    </w:p>
    <w:p w14:paraId="1DEC7EC4">
      <w:pPr>
        <w:spacing w:before="179" w:line="219" w:lineRule="auto"/>
        <w:ind w:left="950"/>
        <w:rPr>
          <w:rFonts w:ascii="宋体" w:hAnsi="宋体" w:eastAsia="宋体" w:cs="宋体"/>
          <w:sz w:val="22"/>
          <w:szCs w:val="22"/>
          <w:highlight w:val="none"/>
        </w:rPr>
      </w:pPr>
      <w:r>
        <w:rPr>
          <w:rFonts w:ascii="宋体" w:hAnsi="宋体" w:eastAsia="宋体" w:cs="宋体"/>
          <w:spacing w:val="-12"/>
          <w:sz w:val="22"/>
          <w:szCs w:val="22"/>
          <w:highlight w:val="none"/>
        </w:rPr>
        <w:t>□发包方与拟派施工负责人受聘企业已解除承包合同的；</w:t>
      </w:r>
    </w:p>
    <w:p w14:paraId="558AD2C7">
      <w:pPr>
        <w:spacing w:before="200" w:line="219" w:lineRule="auto"/>
        <w:ind w:left="950"/>
        <w:rPr>
          <w:rFonts w:ascii="宋体" w:hAnsi="宋体" w:eastAsia="宋体" w:cs="宋体"/>
          <w:sz w:val="20"/>
          <w:szCs w:val="20"/>
          <w:highlight w:val="none"/>
        </w:rPr>
      </w:pPr>
      <w:r>
        <w:rPr>
          <w:rFonts w:ascii="宋体" w:hAnsi="宋体" w:eastAsia="宋体" w:cs="宋体"/>
          <w:spacing w:val="5"/>
          <w:sz w:val="20"/>
          <w:szCs w:val="20"/>
          <w:highlight w:val="none"/>
        </w:rPr>
        <w:t>□发包方同意更换施工负责人的；</w:t>
      </w:r>
    </w:p>
    <w:p w14:paraId="45D85733">
      <w:pPr>
        <w:spacing w:before="194" w:line="219" w:lineRule="auto"/>
        <w:ind w:left="950"/>
        <w:rPr>
          <w:rFonts w:ascii="宋体" w:hAnsi="宋体" w:eastAsia="宋体" w:cs="宋体"/>
          <w:sz w:val="22"/>
          <w:szCs w:val="22"/>
          <w:highlight w:val="none"/>
        </w:rPr>
      </w:pPr>
      <w:r>
        <w:rPr>
          <w:rFonts w:ascii="宋体" w:hAnsi="宋体" w:eastAsia="宋体" w:cs="宋体"/>
          <w:spacing w:val="-12"/>
          <w:sz w:val="22"/>
          <w:szCs w:val="22"/>
          <w:highlight w:val="none"/>
        </w:rPr>
        <w:t>□因不可抗力等特殊情况必须更换施工负责人的。</w:t>
      </w:r>
    </w:p>
    <w:p w14:paraId="736F396D">
      <w:pPr>
        <w:pStyle w:val="2"/>
        <w:spacing w:line="267" w:lineRule="auto"/>
        <w:rPr>
          <w:highlight w:val="none"/>
        </w:rPr>
      </w:pPr>
    </w:p>
    <w:p w14:paraId="191E7089">
      <w:pPr>
        <w:pStyle w:val="2"/>
        <w:spacing w:line="267" w:lineRule="auto"/>
        <w:rPr>
          <w:highlight w:val="none"/>
        </w:rPr>
      </w:pPr>
      <w:r>
        <w:rPr>
          <w:highlight w:val="none"/>
        </w:rPr>
        <w:drawing>
          <wp:anchor distT="0" distB="0" distL="0" distR="0" simplePos="0" relativeHeight="251699200" behindDoc="0" locked="0" layoutInCell="1" allowOverlap="1">
            <wp:simplePos x="0" y="0"/>
            <wp:positionH relativeFrom="column">
              <wp:posOffset>463550</wp:posOffset>
            </wp:positionH>
            <wp:positionV relativeFrom="paragraph">
              <wp:posOffset>76835</wp:posOffset>
            </wp:positionV>
            <wp:extent cx="3454400" cy="6350"/>
            <wp:effectExtent l="0" t="0" r="0" b="0"/>
            <wp:wrapNone/>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331"/>
                    <a:stretch>
                      <a:fillRect/>
                    </a:stretch>
                  </pic:blipFill>
                  <pic:spPr>
                    <a:xfrm>
                      <a:off x="0" y="0"/>
                      <a:ext cx="3454407" cy="6416"/>
                    </a:xfrm>
                    <a:prstGeom prst="rect">
                      <a:avLst/>
                    </a:prstGeom>
                  </pic:spPr>
                </pic:pic>
              </a:graphicData>
            </a:graphic>
          </wp:anchor>
        </w:drawing>
      </w:r>
    </w:p>
    <w:p w14:paraId="41A3F063">
      <w:pPr>
        <w:spacing w:before="72" w:line="371" w:lineRule="auto"/>
        <w:ind w:left="430" w:right="2095"/>
        <w:rPr>
          <w:rFonts w:ascii="宋体" w:hAnsi="宋体" w:eastAsia="宋体" w:cs="宋体"/>
          <w:sz w:val="22"/>
          <w:szCs w:val="22"/>
          <w:highlight w:val="none"/>
        </w:rPr>
      </w:pPr>
      <w:r>
        <w:rPr>
          <w:rFonts w:ascii="宋体" w:hAnsi="宋体" w:eastAsia="宋体" w:cs="宋体"/>
          <w:spacing w:val="-11"/>
          <w:sz w:val="22"/>
          <w:szCs w:val="22"/>
          <w:highlight w:val="none"/>
        </w:rPr>
        <w:t>我方保证上述信息的真实性和准确性，并承担相应的法律</w:t>
      </w:r>
      <w:r>
        <w:rPr>
          <w:rFonts w:ascii="宋体" w:hAnsi="宋体" w:eastAsia="宋体" w:cs="宋体"/>
          <w:spacing w:val="-12"/>
          <w:sz w:val="22"/>
          <w:szCs w:val="22"/>
          <w:highlight w:val="none"/>
        </w:rPr>
        <w:t>责任。</w:t>
      </w:r>
      <w:r>
        <w:rPr>
          <w:rFonts w:ascii="宋体" w:hAnsi="宋体" w:eastAsia="宋体" w:cs="宋体"/>
          <w:sz w:val="22"/>
          <w:szCs w:val="22"/>
          <w:highlight w:val="none"/>
        </w:rPr>
        <w:t xml:space="preserve"> </w:t>
      </w:r>
      <w:r>
        <w:rPr>
          <w:rFonts w:ascii="宋体" w:hAnsi="宋体" w:eastAsia="宋体" w:cs="宋体"/>
          <w:spacing w:val="-8"/>
          <w:sz w:val="22"/>
          <w:szCs w:val="22"/>
          <w:highlight w:val="none"/>
        </w:rPr>
        <w:t>特此承诺</w:t>
      </w:r>
    </w:p>
    <w:p w14:paraId="38C5FFD8">
      <w:pPr>
        <w:spacing w:line="371" w:lineRule="auto"/>
        <w:rPr>
          <w:rFonts w:ascii="宋体" w:hAnsi="宋体" w:eastAsia="宋体" w:cs="宋体"/>
          <w:sz w:val="22"/>
          <w:szCs w:val="22"/>
          <w:highlight w:val="none"/>
        </w:rPr>
        <w:sectPr>
          <w:footerReference r:id="rId259" w:type="default"/>
          <w:pgSz w:w="11910" w:h="16840"/>
          <w:pgMar w:top="400" w:right="1764" w:bottom="1217" w:left="1769" w:header="0" w:footer="1013" w:gutter="0"/>
          <w:cols w:space="720" w:num="1"/>
        </w:sectPr>
      </w:pPr>
    </w:p>
    <w:p w14:paraId="3C3FF1FA">
      <w:pPr>
        <w:pStyle w:val="2"/>
        <w:spacing w:line="282" w:lineRule="auto"/>
        <w:rPr>
          <w:highlight w:val="none"/>
        </w:rPr>
      </w:pPr>
    </w:p>
    <w:p w14:paraId="168909BB">
      <w:pPr>
        <w:pStyle w:val="2"/>
        <w:spacing w:line="282" w:lineRule="auto"/>
        <w:rPr>
          <w:highlight w:val="none"/>
        </w:rPr>
      </w:pPr>
    </w:p>
    <w:p w14:paraId="29BBAFE3">
      <w:pPr>
        <w:pStyle w:val="2"/>
        <w:spacing w:line="282" w:lineRule="auto"/>
        <w:rPr>
          <w:highlight w:val="none"/>
        </w:rPr>
      </w:pPr>
    </w:p>
    <w:p w14:paraId="50296C01">
      <w:pPr>
        <w:pStyle w:val="2"/>
        <w:spacing w:line="283" w:lineRule="auto"/>
        <w:rPr>
          <w:highlight w:val="none"/>
        </w:rPr>
      </w:pPr>
    </w:p>
    <w:p w14:paraId="3A743805">
      <w:pPr>
        <w:spacing w:before="71" w:line="230" w:lineRule="auto"/>
        <w:ind w:left="3893"/>
        <w:rPr>
          <w:rFonts w:ascii="宋体" w:hAnsi="宋体" w:eastAsia="宋体" w:cs="宋体"/>
          <w:sz w:val="20"/>
          <w:szCs w:val="20"/>
          <w:highlight w:val="none"/>
        </w:rPr>
      </w:pPr>
      <w:r>
        <w:rPr>
          <w:rFonts w:ascii="宋体" w:hAnsi="宋体" w:eastAsia="宋体" w:cs="宋体"/>
          <w:position w:val="-2"/>
          <w:sz w:val="22"/>
          <w:szCs w:val="22"/>
          <w:highlight w:val="none"/>
        </w:rPr>
        <w:t>投标人：</w:t>
      </w:r>
      <w:r>
        <w:rPr>
          <w:rFonts w:ascii="宋体" w:hAnsi="宋体" w:eastAsia="宋体" w:cs="宋体"/>
          <w:spacing w:val="-68"/>
          <w:position w:val="-2"/>
          <w:sz w:val="22"/>
          <w:szCs w:val="22"/>
          <w:highlight w:val="none"/>
        </w:rPr>
        <w:t xml:space="preserve"> </w:t>
      </w:r>
      <w:r>
        <w:rPr>
          <w:rFonts w:ascii="宋体" w:hAnsi="宋体" w:eastAsia="宋体" w:cs="宋体"/>
          <w:spacing w:val="1"/>
          <w:position w:val="-2"/>
          <w:sz w:val="22"/>
          <w:szCs w:val="22"/>
          <w:highlight w:val="none"/>
          <w:u w:val="single" w:color="auto"/>
        </w:rPr>
        <w:t xml:space="preserve">                    </w:t>
      </w:r>
      <w:r>
        <w:rPr>
          <w:rFonts w:ascii="宋体" w:hAnsi="宋体" w:eastAsia="宋体" w:cs="宋体"/>
          <w:spacing w:val="80"/>
          <w:position w:val="-2"/>
          <w:sz w:val="22"/>
          <w:szCs w:val="22"/>
          <w:highlight w:val="none"/>
        </w:rPr>
        <w:t xml:space="preserve"> </w:t>
      </w:r>
      <w:r>
        <w:rPr>
          <w:rFonts w:ascii="宋体" w:hAnsi="宋体" w:eastAsia="宋体" w:cs="宋体"/>
          <w:position w:val="1"/>
          <w:sz w:val="20"/>
          <w:szCs w:val="20"/>
          <w:highlight w:val="none"/>
        </w:rPr>
        <w:t>(盖单位章)</w:t>
      </w:r>
    </w:p>
    <w:p w14:paraId="3F407A82">
      <w:pPr>
        <w:spacing w:before="136" w:line="228" w:lineRule="auto"/>
        <w:ind w:left="3873"/>
        <w:rPr>
          <w:rFonts w:ascii="宋体" w:hAnsi="宋体" w:eastAsia="宋体" w:cs="宋体"/>
          <w:sz w:val="22"/>
          <w:szCs w:val="22"/>
          <w:highlight w:val="none"/>
        </w:rPr>
      </w:pPr>
      <w:r>
        <w:rPr>
          <w:rFonts w:ascii="宋体" w:hAnsi="宋体" w:eastAsia="宋体" w:cs="宋体"/>
          <w:spacing w:val="-4"/>
          <w:sz w:val="22"/>
          <w:szCs w:val="22"/>
          <w:highlight w:val="none"/>
        </w:rPr>
        <w:t>法定代表人：</w:t>
      </w:r>
      <w:r>
        <w:rPr>
          <w:rFonts w:ascii="宋体" w:hAnsi="宋体" w:eastAsia="宋体" w:cs="宋体"/>
          <w:spacing w:val="1"/>
          <w:sz w:val="22"/>
          <w:szCs w:val="22"/>
          <w:highlight w:val="none"/>
          <w:u w:val="single" w:color="auto"/>
        </w:rPr>
        <w:t xml:space="preserve">                    </w:t>
      </w:r>
      <w:r>
        <w:rPr>
          <w:rFonts w:ascii="宋体" w:hAnsi="宋体" w:eastAsia="宋体" w:cs="宋体"/>
          <w:spacing w:val="87"/>
          <w:sz w:val="22"/>
          <w:szCs w:val="22"/>
          <w:highlight w:val="none"/>
        </w:rPr>
        <w:t xml:space="preserve"> </w:t>
      </w:r>
      <w:r>
        <w:rPr>
          <w:rFonts w:ascii="宋体" w:hAnsi="宋体" w:eastAsia="宋体" w:cs="宋体"/>
          <w:spacing w:val="-4"/>
          <w:position w:val="1"/>
          <w:sz w:val="22"/>
          <w:szCs w:val="22"/>
          <w:highlight w:val="none"/>
        </w:rPr>
        <w:t>(签字)</w:t>
      </w:r>
    </w:p>
    <w:p w14:paraId="4EE144E0">
      <w:pPr>
        <w:pStyle w:val="2"/>
        <w:spacing w:line="265" w:lineRule="auto"/>
        <w:rPr>
          <w:highlight w:val="none"/>
        </w:rPr>
      </w:pPr>
    </w:p>
    <w:p w14:paraId="01ED9304">
      <w:pPr>
        <w:pStyle w:val="2"/>
        <w:spacing w:line="265" w:lineRule="auto"/>
        <w:rPr>
          <w:highlight w:val="none"/>
        </w:rPr>
      </w:pPr>
    </w:p>
    <w:p w14:paraId="14F44EC0">
      <w:pPr>
        <w:tabs>
          <w:tab w:val="left" w:pos="6132"/>
        </w:tabs>
        <w:spacing w:before="74" w:line="228" w:lineRule="auto"/>
        <w:ind w:left="5133"/>
        <w:rPr>
          <w:rFonts w:ascii="宋体" w:hAnsi="宋体" w:eastAsia="宋体" w:cs="宋体"/>
          <w:sz w:val="20"/>
          <w:szCs w:val="20"/>
          <w:highlight w:val="none"/>
        </w:rPr>
      </w:pPr>
      <w:r>
        <w:rPr>
          <w:rFonts w:ascii="宋体" w:hAnsi="宋体" w:eastAsia="宋体" w:cs="宋体"/>
          <w:sz w:val="23"/>
          <w:szCs w:val="23"/>
          <w:highlight w:val="none"/>
          <w:u w:val="single" w:color="auto"/>
        </w:rPr>
        <w:tab/>
      </w:r>
      <w:r>
        <w:rPr>
          <w:rFonts w:ascii="宋体" w:hAnsi="宋体" w:eastAsia="宋体" w:cs="宋体"/>
          <w:spacing w:val="-55"/>
          <w:sz w:val="23"/>
          <w:szCs w:val="23"/>
          <w:highlight w:val="none"/>
        </w:rPr>
        <w:t xml:space="preserve"> </w:t>
      </w:r>
      <w:r>
        <w:rPr>
          <w:rFonts w:ascii="宋体" w:hAnsi="宋体" w:eastAsia="宋体" w:cs="宋体"/>
          <w:spacing w:val="-6"/>
          <w:sz w:val="23"/>
          <w:szCs w:val="23"/>
          <w:highlight w:val="none"/>
        </w:rPr>
        <w:t>年</w:t>
      </w:r>
      <w:r>
        <w:rPr>
          <w:rFonts w:ascii="宋体" w:hAnsi="宋体" w:eastAsia="宋体" w:cs="宋体"/>
          <w:spacing w:val="12"/>
          <w:sz w:val="23"/>
          <w:szCs w:val="23"/>
          <w:highlight w:val="none"/>
          <w:u w:val="single" w:color="auto"/>
        </w:rPr>
        <w:t xml:space="preserve">     </w:t>
      </w:r>
      <w:r>
        <w:rPr>
          <w:rFonts w:ascii="宋体" w:hAnsi="宋体" w:eastAsia="宋体" w:cs="宋体"/>
          <w:spacing w:val="-11"/>
          <w:sz w:val="23"/>
          <w:szCs w:val="23"/>
          <w:highlight w:val="none"/>
        </w:rPr>
        <w:t xml:space="preserve"> </w:t>
      </w:r>
      <w:r>
        <w:rPr>
          <w:rFonts w:ascii="宋体" w:hAnsi="宋体" w:eastAsia="宋体" w:cs="宋体"/>
          <w:spacing w:val="-6"/>
          <w:sz w:val="22"/>
          <w:szCs w:val="22"/>
          <w:highlight w:val="none"/>
        </w:rPr>
        <w:t>月</w:t>
      </w:r>
      <w:r>
        <w:rPr>
          <w:rFonts w:ascii="宋体" w:hAnsi="宋体" w:eastAsia="宋体" w:cs="宋体"/>
          <w:spacing w:val="-46"/>
          <w:sz w:val="22"/>
          <w:szCs w:val="22"/>
          <w:highlight w:val="none"/>
        </w:rPr>
        <w:t xml:space="preserve"> </w:t>
      </w:r>
      <w:r>
        <w:rPr>
          <w:rFonts w:ascii="宋体" w:hAnsi="宋体" w:eastAsia="宋体" w:cs="宋体"/>
          <w:spacing w:val="8"/>
          <w:sz w:val="22"/>
          <w:szCs w:val="22"/>
          <w:highlight w:val="none"/>
          <w:u w:val="single" w:color="auto"/>
        </w:rPr>
        <w:t xml:space="preserve">     </w:t>
      </w:r>
      <w:r>
        <w:rPr>
          <w:rFonts w:ascii="宋体" w:hAnsi="宋体" w:eastAsia="宋体" w:cs="宋体"/>
          <w:spacing w:val="-6"/>
          <w:sz w:val="22"/>
          <w:szCs w:val="22"/>
          <w:highlight w:val="none"/>
        </w:rPr>
        <w:t xml:space="preserve"> </w:t>
      </w:r>
      <w:r>
        <w:rPr>
          <w:rFonts w:ascii="宋体" w:hAnsi="宋体" w:eastAsia="宋体" w:cs="宋体"/>
          <w:spacing w:val="-6"/>
          <w:sz w:val="20"/>
          <w:szCs w:val="20"/>
          <w:highlight w:val="none"/>
        </w:rPr>
        <w:t>日</w:t>
      </w:r>
    </w:p>
    <w:p w14:paraId="00C3C2D1">
      <w:pPr>
        <w:pStyle w:val="2"/>
        <w:spacing w:line="259" w:lineRule="auto"/>
        <w:rPr>
          <w:highlight w:val="none"/>
        </w:rPr>
      </w:pPr>
    </w:p>
    <w:p w14:paraId="387794B5">
      <w:pPr>
        <w:pStyle w:val="2"/>
        <w:spacing w:line="259" w:lineRule="auto"/>
        <w:rPr>
          <w:highlight w:val="none"/>
        </w:rPr>
      </w:pPr>
    </w:p>
    <w:p w14:paraId="5169DB36">
      <w:pPr>
        <w:pStyle w:val="2"/>
        <w:spacing w:line="259" w:lineRule="auto"/>
        <w:rPr>
          <w:highlight w:val="none"/>
        </w:rPr>
      </w:pPr>
    </w:p>
    <w:p w14:paraId="4A174845">
      <w:pPr>
        <w:pStyle w:val="2"/>
        <w:spacing w:line="259" w:lineRule="auto"/>
        <w:rPr>
          <w:highlight w:val="none"/>
        </w:rPr>
      </w:pPr>
    </w:p>
    <w:p w14:paraId="4D9FBDBD">
      <w:pPr>
        <w:pStyle w:val="2"/>
        <w:spacing w:line="259" w:lineRule="auto"/>
        <w:rPr>
          <w:highlight w:val="none"/>
        </w:rPr>
      </w:pPr>
    </w:p>
    <w:p w14:paraId="0C9B4372">
      <w:pPr>
        <w:pStyle w:val="2"/>
        <w:spacing w:line="259" w:lineRule="auto"/>
        <w:rPr>
          <w:highlight w:val="none"/>
        </w:rPr>
      </w:pPr>
    </w:p>
    <w:p w14:paraId="28E86731">
      <w:pPr>
        <w:pStyle w:val="2"/>
        <w:spacing w:line="260" w:lineRule="auto"/>
        <w:rPr>
          <w:highlight w:val="none"/>
        </w:rPr>
      </w:pPr>
    </w:p>
    <w:p w14:paraId="4BEB8EAF">
      <w:pPr>
        <w:spacing w:before="72" w:line="352" w:lineRule="auto"/>
        <w:ind w:left="833" w:right="23" w:hanging="830"/>
        <w:rPr>
          <w:rFonts w:ascii="宋体" w:hAnsi="宋体" w:eastAsia="宋体" w:cs="宋体"/>
          <w:sz w:val="22"/>
          <w:szCs w:val="22"/>
          <w:highlight w:val="none"/>
        </w:rPr>
      </w:pPr>
      <w:r>
        <w:rPr>
          <w:rFonts w:ascii="宋体" w:hAnsi="宋体" w:eastAsia="宋体" w:cs="宋体"/>
          <w:spacing w:val="-7"/>
          <w:sz w:val="22"/>
          <w:szCs w:val="22"/>
          <w:highlight w:val="none"/>
        </w:rPr>
        <w:t>备注：1.投标人应当根据“承诺书”的格式，如实说明拟派项目经理和施工负责人能够参</w:t>
      </w:r>
      <w:r>
        <w:rPr>
          <w:rFonts w:ascii="宋体" w:hAnsi="宋体" w:eastAsia="宋体" w:cs="宋体"/>
          <w:spacing w:val="9"/>
          <w:sz w:val="22"/>
          <w:szCs w:val="22"/>
          <w:highlight w:val="none"/>
        </w:rPr>
        <w:t xml:space="preserve"> </w:t>
      </w:r>
      <w:r>
        <w:rPr>
          <w:rFonts w:ascii="宋体" w:hAnsi="宋体" w:eastAsia="宋体" w:cs="宋体"/>
          <w:spacing w:val="-10"/>
          <w:sz w:val="22"/>
          <w:szCs w:val="22"/>
          <w:highlight w:val="none"/>
        </w:rPr>
        <w:t>加本工程投标的理由，并附相关证明材料的扫描件。</w:t>
      </w:r>
    </w:p>
    <w:p w14:paraId="2E0FA077">
      <w:pPr>
        <w:spacing w:line="218" w:lineRule="auto"/>
        <w:ind w:left="613"/>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2.</w:t>
      </w:r>
      <w:r>
        <w:rPr>
          <w:rFonts w:ascii="Times New Roman" w:hAnsi="Times New Roman" w:eastAsia="Times New Roman" w:cs="Times New Roman"/>
          <w:spacing w:val="60"/>
          <w:w w:val="101"/>
          <w:sz w:val="22"/>
          <w:szCs w:val="22"/>
          <w:highlight w:val="none"/>
        </w:rPr>
        <w:t xml:space="preserve"> </w:t>
      </w:r>
      <w:r>
        <w:rPr>
          <w:rFonts w:ascii="宋体" w:hAnsi="宋体" w:eastAsia="宋体" w:cs="宋体"/>
          <w:spacing w:val="-9"/>
          <w:sz w:val="22"/>
          <w:szCs w:val="22"/>
          <w:highlight w:val="none"/>
        </w:rPr>
        <w:t>投标人“承诺书”的实质内容应当与格式规定的实质内容一致。</w:t>
      </w:r>
    </w:p>
    <w:p w14:paraId="08524947">
      <w:pPr>
        <w:spacing w:line="218" w:lineRule="auto"/>
        <w:rPr>
          <w:rFonts w:ascii="宋体" w:hAnsi="宋体" w:eastAsia="宋体" w:cs="宋体"/>
          <w:sz w:val="22"/>
          <w:szCs w:val="22"/>
          <w:highlight w:val="none"/>
        </w:rPr>
        <w:sectPr>
          <w:footerReference r:id="rId260" w:type="default"/>
          <w:pgSz w:w="11910" w:h="16840"/>
          <w:pgMar w:top="400" w:right="1786" w:bottom="1238" w:left="1786" w:header="0" w:footer="1006" w:gutter="0"/>
          <w:cols w:space="720" w:num="1"/>
        </w:sectPr>
      </w:pPr>
    </w:p>
    <w:p w14:paraId="28C3A3A6">
      <w:pPr>
        <w:pStyle w:val="2"/>
        <w:spacing w:line="275" w:lineRule="auto"/>
        <w:rPr>
          <w:highlight w:val="none"/>
        </w:rPr>
      </w:pPr>
    </w:p>
    <w:p w14:paraId="50D687F4">
      <w:pPr>
        <w:pStyle w:val="2"/>
        <w:spacing w:line="275" w:lineRule="auto"/>
        <w:rPr>
          <w:highlight w:val="none"/>
        </w:rPr>
      </w:pPr>
    </w:p>
    <w:p w14:paraId="3D9D09FD">
      <w:pPr>
        <w:pStyle w:val="2"/>
        <w:spacing w:line="275" w:lineRule="auto"/>
        <w:rPr>
          <w:highlight w:val="none"/>
        </w:rPr>
      </w:pPr>
    </w:p>
    <w:p w14:paraId="4FFFFB08">
      <w:pPr>
        <w:pStyle w:val="2"/>
        <w:spacing w:line="276" w:lineRule="auto"/>
        <w:rPr>
          <w:highlight w:val="none"/>
        </w:rPr>
      </w:pPr>
    </w:p>
    <w:p w14:paraId="11EF9244">
      <w:pPr>
        <w:spacing w:before="91" w:line="221" w:lineRule="auto"/>
        <w:ind w:left="75"/>
        <w:rPr>
          <w:rFonts w:ascii="黑体" w:hAnsi="黑体" w:eastAsia="黑体" w:cs="黑体"/>
          <w:sz w:val="28"/>
          <w:szCs w:val="28"/>
          <w:highlight w:val="none"/>
        </w:rPr>
      </w:pPr>
      <w:r>
        <w:rPr>
          <w:rFonts w:ascii="黑体" w:hAnsi="黑体" w:eastAsia="黑体" w:cs="黑体"/>
          <w:sz w:val="28"/>
          <w:szCs w:val="28"/>
          <w:highlight w:val="none"/>
        </w:rPr>
        <w:t>(六)其他主要项目管理人员简历表</w:t>
      </w:r>
    </w:p>
    <w:p w14:paraId="239F252C">
      <w:pPr>
        <w:spacing w:before="29"/>
        <w:rPr>
          <w:highlight w:val="none"/>
        </w:rPr>
      </w:pPr>
    </w:p>
    <w:p w14:paraId="5EECDE97">
      <w:pPr>
        <w:spacing w:before="28"/>
        <w:rPr>
          <w:highlight w:val="none"/>
        </w:rPr>
      </w:pPr>
    </w:p>
    <w:tbl>
      <w:tblPr>
        <w:tblStyle w:val="5"/>
        <w:tblW w:w="84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609"/>
        <w:gridCol w:w="370"/>
        <w:gridCol w:w="1079"/>
        <w:gridCol w:w="1218"/>
        <w:gridCol w:w="440"/>
        <w:gridCol w:w="1578"/>
        <w:gridCol w:w="2062"/>
      </w:tblGrid>
      <w:tr w14:paraId="3E74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114" w:type="dxa"/>
            <w:vAlign w:val="top"/>
          </w:tcPr>
          <w:p w14:paraId="5FA9444C">
            <w:pPr>
              <w:pStyle w:val="6"/>
              <w:spacing w:before="123" w:line="219" w:lineRule="auto"/>
              <w:ind w:left="105"/>
              <w:rPr>
                <w:highlight w:val="none"/>
              </w:rPr>
            </w:pPr>
            <w:r>
              <w:rPr>
                <w:spacing w:val="-5"/>
                <w:highlight w:val="none"/>
              </w:rPr>
              <w:t>姓</w:t>
            </w:r>
            <w:r>
              <w:rPr>
                <w:spacing w:val="51"/>
                <w:highlight w:val="none"/>
              </w:rPr>
              <w:t xml:space="preserve"> </w:t>
            </w:r>
            <w:r>
              <w:rPr>
                <w:spacing w:val="-5"/>
                <w:highlight w:val="none"/>
              </w:rPr>
              <w:t>名</w:t>
            </w:r>
          </w:p>
        </w:tc>
        <w:tc>
          <w:tcPr>
            <w:tcW w:w="979" w:type="dxa"/>
            <w:gridSpan w:val="2"/>
            <w:vAlign w:val="top"/>
          </w:tcPr>
          <w:p w14:paraId="08091DF1">
            <w:pPr>
              <w:rPr>
                <w:rFonts w:ascii="Arial"/>
                <w:sz w:val="21"/>
                <w:highlight w:val="none"/>
              </w:rPr>
            </w:pPr>
          </w:p>
        </w:tc>
        <w:tc>
          <w:tcPr>
            <w:tcW w:w="1079" w:type="dxa"/>
            <w:vAlign w:val="top"/>
          </w:tcPr>
          <w:p w14:paraId="3DD021F7">
            <w:pPr>
              <w:pStyle w:val="6"/>
              <w:spacing w:before="123" w:line="219" w:lineRule="auto"/>
              <w:ind w:left="222"/>
              <w:rPr>
                <w:highlight w:val="none"/>
              </w:rPr>
            </w:pPr>
            <w:r>
              <w:rPr>
                <w:spacing w:val="-5"/>
                <w:highlight w:val="none"/>
              </w:rPr>
              <w:t>年</w:t>
            </w:r>
            <w:r>
              <w:rPr>
                <w:spacing w:val="7"/>
                <w:highlight w:val="none"/>
              </w:rPr>
              <w:t xml:space="preserve"> </w:t>
            </w:r>
            <w:r>
              <w:rPr>
                <w:spacing w:val="-5"/>
                <w:highlight w:val="none"/>
              </w:rPr>
              <w:t>龄</w:t>
            </w:r>
          </w:p>
        </w:tc>
        <w:tc>
          <w:tcPr>
            <w:tcW w:w="1218" w:type="dxa"/>
            <w:vAlign w:val="top"/>
          </w:tcPr>
          <w:p w14:paraId="61BBFA3A">
            <w:pPr>
              <w:rPr>
                <w:rFonts w:ascii="Arial"/>
                <w:sz w:val="21"/>
                <w:highlight w:val="none"/>
              </w:rPr>
            </w:pPr>
          </w:p>
        </w:tc>
        <w:tc>
          <w:tcPr>
            <w:tcW w:w="2018" w:type="dxa"/>
            <w:gridSpan w:val="2"/>
            <w:vAlign w:val="top"/>
          </w:tcPr>
          <w:p w14:paraId="30D51805">
            <w:pPr>
              <w:pStyle w:val="6"/>
              <w:spacing w:before="124" w:line="221" w:lineRule="auto"/>
              <w:ind w:left="795"/>
              <w:rPr>
                <w:highlight w:val="none"/>
              </w:rPr>
            </w:pPr>
            <w:r>
              <w:rPr>
                <w:spacing w:val="6"/>
                <w:highlight w:val="none"/>
              </w:rPr>
              <w:t>学历</w:t>
            </w:r>
          </w:p>
        </w:tc>
        <w:tc>
          <w:tcPr>
            <w:tcW w:w="2062" w:type="dxa"/>
            <w:vAlign w:val="top"/>
          </w:tcPr>
          <w:p w14:paraId="4792EE7C">
            <w:pPr>
              <w:rPr>
                <w:rFonts w:ascii="Arial"/>
                <w:sz w:val="21"/>
                <w:highlight w:val="none"/>
              </w:rPr>
            </w:pPr>
          </w:p>
        </w:tc>
      </w:tr>
      <w:tr w14:paraId="09154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114" w:type="dxa"/>
            <w:vAlign w:val="top"/>
          </w:tcPr>
          <w:p w14:paraId="4F71CA43">
            <w:pPr>
              <w:pStyle w:val="6"/>
              <w:spacing w:before="101" w:line="221" w:lineRule="auto"/>
              <w:ind w:left="105"/>
              <w:rPr>
                <w:highlight w:val="none"/>
              </w:rPr>
            </w:pPr>
            <w:r>
              <w:rPr>
                <w:spacing w:val="-5"/>
                <w:highlight w:val="none"/>
              </w:rPr>
              <w:t>职</w:t>
            </w:r>
            <w:r>
              <w:rPr>
                <w:spacing w:val="32"/>
                <w:highlight w:val="none"/>
              </w:rPr>
              <w:t xml:space="preserve"> </w:t>
            </w:r>
            <w:r>
              <w:rPr>
                <w:spacing w:val="-5"/>
                <w:highlight w:val="none"/>
              </w:rPr>
              <w:t>称</w:t>
            </w:r>
          </w:p>
        </w:tc>
        <w:tc>
          <w:tcPr>
            <w:tcW w:w="3276" w:type="dxa"/>
            <w:gridSpan w:val="4"/>
            <w:vAlign w:val="top"/>
          </w:tcPr>
          <w:p w14:paraId="5166C58C">
            <w:pPr>
              <w:rPr>
                <w:rFonts w:ascii="Arial"/>
                <w:sz w:val="21"/>
                <w:highlight w:val="none"/>
              </w:rPr>
            </w:pPr>
          </w:p>
        </w:tc>
        <w:tc>
          <w:tcPr>
            <w:tcW w:w="2018" w:type="dxa"/>
            <w:gridSpan w:val="2"/>
            <w:vAlign w:val="top"/>
          </w:tcPr>
          <w:p w14:paraId="7DA6F703">
            <w:pPr>
              <w:pStyle w:val="6"/>
              <w:spacing w:before="97" w:line="219" w:lineRule="auto"/>
              <w:ind w:left="265"/>
              <w:rPr>
                <w:highlight w:val="none"/>
              </w:rPr>
            </w:pPr>
            <w:r>
              <w:rPr>
                <w:spacing w:val="-2"/>
                <w:highlight w:val="none"/>
              </w:rPr>
              <w:t>拟在本工程任职</w:t>
            </w:r>
          </w:p>
        </w:tc>
        <w:tc>
          <w:tcPr>
            <w:tcW w:w="2062" w:type="dxa"/>
            <w:vAlign w:val="top"/>
          </w:tcPr>
          <w:p w14:paraId="00739D34">
            <w:pPr>
              <w:rPr>
                <w:rFonts w:ascii="Arial"/>
                <w:sz w:val="21"/>
                <w:highlight w:val="none"/>
              </w:rPr>
            </w:pPr>
          </w:p>
        </w:tc>
      </w:tr>
      <w:tr w14:paraId="376A2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3172" w:type="dxa"/>
            <w:gridSpan w:val="4"/>
            <w:vAlign w:val="top"/>
          </w:tcPr>
          <w:p w14:paraId="08197C7A">
            <w:pPr>
              <w:pStyle w:val="6"/>
              <w:spacing w:before="128" w:line="219" w:lineRule="auto"/>
              <w:ind w:left="745"/>
              <w:rPr>
                <w:highlight w:val="none"/>
              </w:rPr>
            </w:pPr>
            <w:r>
              <w:rPr>
                <w:spacing w:val="1"/>
                <w:highlight w:val="none"/>
              </w:rPr>
              <w:t>注册执业资格等级</w:t>
            </w:r>
          </w:p>
        </w:tc>
        <w:tc>
          <w:tcPr>
            <w:tcW w:w="1218" w:type="dxa"/>
            <w:vAlign w:val="top"/>
          </w:tcPr>
          <w:p w14:paraId="48AFF9E3">
            <w:pPr>
              <w:pStyle w:val="6"/>
              <w:spacing w:before="131" w:line="221" w:lineRule="auto"/>
              <w:ind w:left="803"/>
              <w:rPr>
                <w:highlight w:val="none"/>
              </w:rPr>
            </w:pPr>
            <w:r>
              <w:rPr>
                <w:highlight w:val="none"/>
              </w:rPr>
              <w:t>级</w:t>
            </w:r>
          </w:p>
        </w:tc>
        <w:tc>
          <w:tcPr>
            <w:tcW w:w="2018" w:type="dxa"/>
            <w:gridSpan w:val="2"/>
            <w:vAlign w:val="top"/>
          </w:tcPr>
          <w:p w14:paraId="5023FA35">
            <w:pPr>
              <w:pStyle w:val="6"/>
              <w:spacing w:before="129" w:line="220" w:lineRule="auto"/>
              <w:ind w:left="795"/>
              <w:rPr>
                <w:highlight w:val="none"/>
              </w:rPr>
            </w:pPr>
            <w:r>
              <w:rPr>
                <w:spacing w:val="-3"/>
                <w:highlight w:val="none"/>
              </w:rPr>
              <w:t>专业</w:t>
            </w:r>
          </w:p>
        </w:tc>
        <w:tc>
          <w:tcPr>
            <w:tcW w:w="2062" w:type="dxa"/>
            <w:vAlign w:val="top"/>
          </w:tcPr>
          <w:p w14:paraId="640D28A4">
            <w:pPr>
              <w:rPr>
                <w:rFonts w:ascii="Arial"/>
                <w:sz w:val="21"/>
                <w:highlight w:val="none"/>
              </w:rPr>
            </w:pPr>
          </w:p>
        </w:tc>
      </w:tr>
      <w:tr w14:paraId="4FDB6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114" w:type="dxa"/>
            <w:vAlign w:val="top"/>
          </w:tcPr>
          <w:p w14:paraId="27928230">
            <w:pPr>
              <w:pStyle w:val="6"/>
              <w:spacing w:before="118" w:line="219" w:lineRule="auto"/>
              <w:ind w:left="105"/>
              <w:rPr>
                <w:highlight w:val="none"/>
              </w:rPr>
            </w:pPr>
            <w:r>
              <w:rPr>
                <w:spacing w:val="2"/>
                <w:highlight w:val="none"/>
              </w:rPr>
              <w:t>毕业学校</w:t>
            </w:r>
          </w:p>
        </w:tc>
        <w:tc>
          <w:tcPr>
            <w:tcW w:w="7356" w:type="dxa"/>
            <w:gridSpan w:val="7"/>
            <w:vAlign w:val="top"/>
          </w:tcPr>
          <w:p w14:paraId="3C3308BC">
            <w:pPr>
              <w:pStyle w:val="6"/>
              <w:spacing w:before="118" w:line="220" w:lineRule="auto"/>
              <w:ind w:left="961"/>
              <w:rPr>
                <w:highlight w:val="none"/>
              </w:rPr>
            </w:pPr>
            <w:r>
              <w:rPr>
                <w:spacing w:val="2"/>
                <w:highlight w:val="none"/>
              </w:rPr>
              <w:t>年毕业于</w:t>
            </w:r>
            <w:r>
              <w:rPr>
                <w:highlight w:val="none"/>
              </w:rPr>
              <w:t xml:space="preserve">                  </w:t>
            </w:r>
            <w:r>
              <w:rPr>
                <w:spacing w:val="2"/>
                <w:highlight w:val="none"/>
              </w:rPr>
              <w:t>学校</w:t>
            </w:r>
            <w:r>
              <w:rPr>
                <w:spacing w:val="1"/>
                <w:highlight w:val="none"/>
              </w:rPr>
              <w:t xml:space="preserve">            </w:t>
            </w:r>
            <w:r>
              <w:rPr>
                <w:spacing w:val="2"/>
                <w:highlight w:val="none"/>
              </w:rPr>
              <w:t>专业</w:t>
            </w:r>
          </w:p>
        </w:tc>
      </w:tr>
      <w:tr w14:paraId="0AE17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470" w:type="dxa"/>
            <w:gridSpan w:val="8"/>
            <w:vAlign w:val="top"/>
          </w:tcPr>
          <w:p w14:paraId="7F3160BE">
            <w:pPr>
              <w:pStyle w:val="6"/>
              <w:spacing w:before="119" w:line="219" w:lineRule="auto"/>
              <w:ind w:left="3615"/>
              <w:rPr>
                <w:highlight w:val="none"/>
              </w:rPr>
            </w:pPr>
            <w:r>
              <w:rPr>
                <w:spacing w:val="2"/>
                <w:highlight w:val="none"/>
              </w:rPr>
              <w:t>主要管理经历</w:t>
            </w:r>
          </w:p>
        </w:tc>
      </w:tr>
      <w:tr w14:paraId="43385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23" w:type="dxa"/>
            <w:gridSpan w:val="2"/>
            <w:vAlign w:val="top"/>
          </w:tcPr>
          <w:p w14:paraId="230BC191">
            <w:pPr>
              <w:pStyle w:val="6"/>
              <w:spacing w:before="172" w:line="221" w:lineRule="auto"/>
              <w:ind w:left="515"/>
              <w:rPr>
                <w:highlight w:val="none"/>
              </w:rPr>
            </w:pPr>
            <w:r>
              <w:rPr>
                <w:spacing w:val="-10"/>
                <w:highlight w:val="none"/>
              </w:rPr>
              <w:t>时</w:t>
            </w:r>
            <w:r>
              <w:rPr>
                <w:spacing w:val="59"/>
                <w:highlight w:val="none"/>
              </w:rPr>
              <w:t xml:space="preserve"> </w:t>
            </w:r>
            <w:r>
              <w:rPr>
                <w:spacing w:val="-10"/>
                <w:highlight w:val="none"/>
              </w:rPr>
              <w:t>间</w:t>
            </w:r>
          </w:p>
        </w:tc>
        <w:tc>
          <w:tcPr>
            <w:tcW w:w="3107" w:type="dxa"/>
            <w:gridSpan w:val="4"/>
            <w:vAlign w:val="top"/>
          </w:tcPr>
          <w:p w14:paraId="5B10209E">
            <w:pPr>
              <w:pStyle w:val="6"/>
              <w:spacing w:before="169" w:line="219" w:lineRule="auto"/>
              <w:ind w:left="502"/>
              <w:rPr>
                <w:highlight w:val="none"/>
              </w:rPr>
            </w:pPr>
            <w:r>
              <w:rPr>
                <w:spacing w:val="1"/>
                <w:highlight w:val="none"/>
              </w:rPr>
              <w:t>参加过的类似项目名称</w:t>
            </w:r>
          </w:p>
        </w:tc>
        <w:tc>
          <w:tcPr>
            <w:tcW w:w="3640" w:type="dxa"/>
            <w:gridSpan w:val="2"/>
            <w:vAlign w:val="top"/>
          </w:tcPr>
          <w:p w14:paraId="24C29220">
            <w:pPr>
              <w:pStyle w:val="6"/>
              <w:spacing w:before="170" w:line="220" w:lineRule="auto"/>
              <w:ind w:left="975"/>
              <w:rPr>
                <w:highlight w:val="none"/>
              </w:rPr>
            </w:pPr>
            <w:r>
              <w:rPr>
                <w:spacing w:val="-2"/>
                <w:highlight w:val="none"/>
              </w:rPr>
              <w:t>发包人及联系电话</w:t>
            </w:r>
          </w:p>
        </w:tc>
      </w:tr>
      <w:tr w14:paraId="02710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723" w:type="dxa"/>
            <w:gridSpan w:val="2"/>
            <w:vAlign w:val="top"/>
          </w:tcPr>
          <w:p w14:paraId="66C8473B">
            <w:pPr>
              <w:rPr>
                <w:rFonts w:ascii="Arial"/>
                <w:sz w:val="21"/>
                <w:highlight w:val="none"/>
              </w:rPr>
            </w:pPr>
          </w:p>
        </w:tc>
        <w:tc>
          <w:tcPr>
            <w:tcW w:w="3107" w:type="dxa"/>
            <w:gridSpan w:val="4"/>
            <w:vAlign w:val="top"/>
          </w:tcPr>
          <w:p w14:paraId="321B801B">
            <w:pPr>
              <w:rPr>
                <w:rFonts w:ascii="Arial"/>
                <w:sz w:val="21"/>
                <w:highlight w:val="none"/>
              </w:rPr>
            </w:pPr>
          </w:p>
        </w:tc>
        <w:tc>
          <w:tcPr>
            <w:tcW w:w="3640" w:type="dxa"/>
            <w:gridSpan w:val="2"/>
            <w:vAlign w:val="top"/>
          </w:tcPr>
          <w:p w14:paraId="6E551D93">
            <w:pPr>
              <w:rPr>
                <w:rFonts w:ascii="Arial"/>
                <w:sz w:val="21"/>
                <w:highlight w:val="none"/>
              </w:rPr>
            </w:pPr>
          </w:p>
        </w:tc>
      </w:tr>
      <w:tr w14:paraId="65BFD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23" w:type="dxa"/>
            <w:gridSpan w:val="2"/>
            <w:vAlign w:val="top"/>
          </w:tcPr>
          <w:p w14:paraId="33BB510D">
            <w:pPr>
              <w:rPr>
                <w:rFonts w:ascii="Arial"/>
                <w:sz w:val="21"/>
                <w:highlight w:val="none"/>
              </w:rPr>
            </w:pPr>
          </w:p>
        </w:tc>
        <w:tc>
          <w:tcPr>
            <w:tcW w:w="3107" w:type="dxa"/>
            <w:gridSpan w:val="4"/>
            <w:vAlign w:val="top"/>
          </w:tcPr>
          <w:p w14:paraId="072200F0">
            <w:pPr>
              <w:rPr>
                <w:rFonts w:ascii="Arial"/>
                <w:sz w:val="21"/>
                <w:highlight w:val="none"/>
              </w:rPr>
            </w:pPr>
          </w:p>
        </w:tc>
        <w:tc>
          <w:tcPr>
            <w:tcW w:w="3640" w:type="dxa"/>
            <w:gridSpan w:val="2"/>
            <w:vAlign w:val="top"/>
          </w:tcPr>
          <w:p w14:paraId="693022CA">
            <w:pPr>
              <w:rPr>
                <w:rFonts w:ascii="Arial"/>
                <w:sz w:val="21"/>
                <w:highlight w:val="none"/>
              </w:rPr>
            </w:pPr>
          </w:p>
        </w:tc>
      </w:tr>
      <w:tr w14:paraId="78F4F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723" w:type="dxa"/>
            <w:gridSpan w:val="2"/>
            <w:vAlign w:val="top"/>
          </w:tcPr>
          <w:p w14:paraId="6DA90AA8">
            <w:pPr>
              <w:rPr>
                <w:rFonts w:ascii="Arial"/>
                <w:sz w:val="21"/>
                <w:highlight w:val="none"/>
              </w:rPr>
            </w:pPr>
          </w:p>
        </w:tc>
        <w:tc>
          <w:tcPr>
            <w:tcW w:w="3107" w:type="dxa"/>
            <w:gridSpan w:val="4"/>
            <w:vAlign w:val="top"/>
          </w:tcPr>
          <w:p w14:paraId="6AF041A0">
            <w:pPr>
              <w:rPr>
                <w:rFonts w:ascii="Arial"/>
                <w:sz w:val="21"/>
                <w:highlight w:val="none"/>
              </w:rPr>
            </w:pPr>
          </w:p>
        </w:tc>
        <w:tc>
          <w:tcPr>
            <w:tcW w:w="3640" w:type="dxa"/>
            <w:gridSpan w:val="2"/>
            <w:vAlign w:val="top"/>
          </w:tcPr>
          <w:p w14:paraId="020BDA7F">
            <w:pPr>
              <w:rPr>
                <w:rFonts w:ascii="Arial"/>
                <w:sz w:val="21"/>
                <w:highlight w:val="none"/>
              </w:rPr>
            </w:pPr>
          </w:p>
        </w:tc>
      </w:tr>
      <w:tr w14:paraId="56C85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23" w:type="dxa"/>
            <w:gridSpan w:val="2"/>
            <w:vAlign w:val="top"/>
          </w:tcPr>
          <w:p w14:paraId="1D4DD378">
            <w:pPr>
              <w:rPr>
                <w:rFonts w:ascii="Arial"/>
                <w:sz w:val="21"/>
                <w:highlight w:val="none"/>
              </w:rPr>
            </w:pPr>
          </w:p>
        </w:tc>
        <w:tc>
          <w:tcPr>
            <w:tcW w:w="3107" w:type="dxa"/>
            <w:gridSpan w:val="4"/>
            <w:vAlign w:val="top"/>
          </w:tcPr>
          <w:p w14:paraId="01A0A54F">
            <w:pPr>
              <w:rPr>
                <w:rFonts w:ascii="Arial"/>
                <w:sz w:val="21"/>
                <w:highlight w:val="none"/>
              </w:rPr>
            </w:pPr>
          </w:p>
        </w:tc>
        <w:tc>
          <w:tcPr>
            <w:tcW w:w="3640" w:type="dxa"/>
            <w:gridSpan w:val="2"/>
            <w:vAlign w:val="top"/>
          </w:tcPr>
          <w:p w14:paraId="241189AC">
            <w:pPr>
              <w:rPr>
                <w:rFonts w:ascii="Arial"/>
                <w:sz w:val="21"/>
                <w:highlight w:val="none"/>
              </w:rPr>
            </w:pPr>
          </w:p>
        </w:tc>
      </w:tr>
      <w:tr w14:paraId="634BD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23" w:type="dxa"/>
            <w:gridSpan w:val="2"/>
            <w:vAlign w:val="top"/>
          </w:tcPr>
          <w:p w14:paraId="51516641">
            <w:pPr>
              <w:rPr>
                <w:rFonts w:ascii="Arial"/>
                <w:sz w:val="21"/>
                <w:highlight w:val="none"/>
              </w:rPr>
            </w:pPr>
          </w:p>
        </w:tc>
        <w:tc>
          <w:tcPr>
            <w:tcW w:w="3107" w:type="dxa"/>
            <w:gridSpan w:val="4"/>
            <w:vAlign w:val="top"/>
          </w:tcPr>
          <w:p w14:paraId="1B403334">
            <w:pPr>
              <w:rPr>
                <w:rFonts w:ascii="Arial"/>
                <w:sz w:val="21"/>
                <w:highlight w:val="none"/>
              </w:rPr>
            </w:pPr>
          </w:p>
        </w:tc>
        <w:tc>
          <w:tcPr>
            <w:tcW w:w="3640" w:type="dxa"/>
            <w:gridSpan w:val="2"/>
            <w:vAlign w:val="top"/>
          </w:tcPr>
          <w:p w14:paraId="38F88471">
            <w:pPr>
              <w:rPr>
                <w:rFonts w:ascii="Arial"/>
                <w:sz w:val="21"/>
                <w:highlight w:val="none"/>
              </w:rPr>
            </w:pPr>
          </w:p>
        </w:tc>
      </w:tr>
      <w:tr w14:paraId="0AC98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723" w:type="dxa"/>
            <w:gridSpan w:val="2"/>
            <w:vAlign w:val="top"/>
          </w:tcPr>
          <w:p w14:paraId="427F677C">
            <w:pPr>
              <w:rPr>
                <w:rFonts w:ascii="Arial"/>
                <w:sz w:val="21"/>
                <w:highlight w:val="none"/>
              </w:rPr>
            </w:pPr>
          </w:p>
        </w:tc>
        <w:tc>
          <w:tcPr>
            <w:tcW w:w="3107" w:type="dxa"/>
            <w:gridSpan w:val="4"/>
            <w:vAlign w:val="top"/>
          </w:tcPr>
          <w:p w14:paraId="384CEBCC">
            <w:pPr>
              <w:rPr>
                <w:rFonts w:ascii="Arial"/>
                <w:sz w:val="21"/>
                <w:highlight w:val="none"/>
              </w:rPr>
            </w:pPr>
          </w:p>
        </w:tc>
        <w:tc>
          <w:tcPr>
            <w:tcW w:w="3640" w:type="dxa"/>
            <w:gridSpan w:val="2"/>
            <w:vAlign w:val="top"/>
          </w:tcPr>
          <w:p w14:paraId="72AF5A5E">
            <w:pPr>
              <w:rPr>
                <w:rFonts w:ascii="Arial"/>
                <w:sz w:val="21"/>
                <w:highlight w:val="none"/>
              </w:rPr>
            </w:pPr>
          </w:p>
        </w:tc>
      </w:tr>
      <w:tr w14:paraId="61151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723" w:type="dxa"/>
            <w:gridSpan w:val="2"/>
            <w:vAlign w:val="top"/>
          </w:tcPr>
          <w:p w14:paraId="60A29DC2">
            <w:pPr>
              <w:rPr>
                <w:rFonts w:ascii="Arial"/>
                <w:sz w:val="21"/>
                <w:highlight w:val="none"/>
              </w:rPr>
            </w:pPr>
          </w:p>
        </w:tc>
        <w:tc>
          <w:tcPr>
            <w:tcW w:w="3107" w:type="dxa"/>
            <w:gridSpan w:val="4"/>
            <w:vAlign w:val="top"/>
          </w:tcPr>
          <w:p w14:paraId="360B59A1">
            <w:pPr>
              <w:rPr>
                <w:rFonts w:ascii="Arial"/>
                <w:sz w:val="21"/>
                <w:highlight w:val="none"/>
              </w:rPr>
            </w:pPr>
          </w:p>
        </w:tc>
        <w:tc>
          <w:tcPr>
            <w:tcW w:w="3640" w:type="dxa"/>
            <w:gridSpan w:val="2"/>
            <w:vAlign w:val="top"/>
          </w:tcPr>
          <w:p w14:paraId="1BD85A1D">
            <w:pPr>
              <w:rPr>
                <w:rFonts w:ascii="Arial"/>
                <w:sz w:val="21"/>
                <w:highlight w:val="none"/>
              </w:rPr>
            </w:pPr>
          </w:p>
        </w:tc>
      </w:tr>
      <w:tr w14:paraId="31A1C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723" w:type="dxa"/>
            <w:gridSpan w:val="2"/>
            <w:vAlign w:val="top"/>
          </w:tcPr>
          <w:p w14:paraId="6A04F194">
            <w:pPr>
              <w:rPr>
                <w:rFonts w:ascii="Arial"/>
                <w:sz w:val="21"/>
                <w:highlight w:val="none"/>
              </w:rPr>
            </w:pPr>
          </w:p>
        </w:tc>
        <w:tc>
          <w:tcPr>
            <w:tcW w:w="3107" w:type="dxa"/>
            <w:gridSpan w:val="4"/>
            <w:vAlign w:val="top"/>
          </w:tcPr>
          <w:p w14:paraId="200F4C14">
            <w:pPr>
              <w:rPr>
                <w:rFonts w:ascii="Arial"/>
                <w:sz w:val="21"/>
                <w:highlight w:val="none"/>
              </w:rPr>
            </w:pPr>
          </w:p>
        </w:tc>
        <w:tc>
          <w:tcPr>
            <w:tcW w:w="3640" w:type="dxa"/>
            <w:gridSpan w:val="2"/>
            <w:vAlign w:val="top"/>
          </w:tcPr>
          <w:p w14:paraId="5857EA39">
            <w:pPr>
              <w:rPr>
                <w:rFonts w:ascii="Arial"/>
                <w:sz w:val="21"/>
                <w:highlight w:val="none"/>
              </w:rPr>
            </w:pPr>
          </w:p>
        </w:tc>
      </w:tr>
      <w:tr w14:paraId="4A450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1723" w:type="dxa"/>
            <w:gridSpan w:val="2"/>
            <w:vAlign w:val="top"/>
          </w:tcPr>
          <w:p w14:paraId="1369B2AE">
            <w:pPr>
              <w:rPr>
                <w:rFonts w:ascii="Arial"/>
                <w:sz w:val="21"/>
                <w:highlight w:val="none"/>
              </w:rPr>
            </w:pPr>
          </w:p>
        </w:tc>
        <w:tc>
          <w:tcPr>
            <w:tcW w:w="3107" w:type="dxa"/>
            <w:gridSpan w:val="4"/>
            <w:vAlign w:val="top"/>
          </w:tcPr>
          <w:p w14:paraId="396480F6">
            <w:pPr>
              <w:rPr>
                <w:rFonts w:ascii="Arial"/>
                <w:sz w:val="21"/>
                <w:highlight w:val="none"/>
              </w:rPr>
            </w:pPr>
          </w:p>
        </w:tc>
        <w:tc>
          <w:tcPr>
            <w:tcW w:w="3640" w:type="dxa"/>
            <w:gridSpan w:val="2"/>
            <w:vAlign w:val="top"/>
          </w:tcPr>
          <w:p w14:paraId="4453428C">
            <w:pPr>
              <w:rPr>
                <w:rFonts w:ascii="Arial"/>
                <w:sz w:val="21"/>
                <w:highlight w:val="none"/>
              </w:rPr>
            </w:pPr>
          </w:p>
        </w:tc>
      </w:tr>
    </w:tbl>
    <w:p w14:paraId="6E313EDC">
      <w:pPr>
        <w:pStyle w:val="2"/>
        <w:spacing w:line="257" w:lineRule="auto"/>
        <w:rPr>
          <w:highlight w:val="none"/>
        </w:rPr>
      </w:pPr>
    </w:p>
    <w:p w14:paraId="48E694E2">
      <w:pPr>
        <w:pStyle w:val="2"/>
        <w:spacing w:line="257" w:lineRule="auto"/>
        <w:rPr>
          <w:highlight w:val="none"/>
        </w:rPr>
      </w:pPr>
    </w:p>
    <w:p w14:paraId="74CDED77">
      <w:pPr>
        <w:pStyle w:val="2"/>
        <w:spacing w:line="257" w:lineRule="auto"/>
        <w:rPr>
          <w:highlight w:val="none"/>
        </w:rPr>
      </w:pPr>
    </w:p>
    <w:p w14:paraId="5674C331">
      <w:pPr>
        <w:pStyle w:val="2"/>
        <w:spacing w:line="257" w:lineRule="auto"/>
        <w:rPr>
          <w:highlight w:val="none"/>
        </w:rPr>
      </w:pPr>
    </w:p>
    <w:p w14:paraId="16331B74">
      <w:pPr>
        <w:pStyle w:val="2"/>
        <w:spacing w:line="257" w:lineRule="auto"/>
        <w:rPr>
          <w:highlight w:val="none"/>
        </w:rPr>
      </w:pPr>
    </w:p>
    <w:p w14:paraId="468AB210">
      <w:pPr>
        <w:pStyle w:val="2"/>
        <w:spacing w:line="258" w:lineRule="auto"/>
        <w:rPr>
          <w:highlight w:val="none"/>
        </w:rPr>
      </w:pPr>
    </w:p>
    <w:p w14:paraId="03B62907">
      <w:pPr>
        <w:pStyle w:val="2"/>
        <w:spacing w:line="258" w:lineRule="auto"/>
        <w:rPr>
          <w:highlight w:val="none"/>
        </w:rPr>
      </w:pPr>
    </w:p>
    <w:p w14:paraId="4A161E22">
      <w:pPr>
        <w:pStyle w:val="2"/>
        <w:spacing w:line="258" w:lineRule="auto"/>
        <w:rPr>
          <w:highlight w:val="none"/>
        </w:rPr>
      </w:pPr>
    </w:p>
    <w:p w14:paraId="11041DD4">
      <w:pPr>
        <w:pStyle w:val="2"/>
        <w:spacing w:line="258" w:lineRule="auto"/>
        <w:rPr>
          <w:highlight w:val="none"/>
        </w:rPr>
      </w:pPr>
    </w:p>
    <w:p w14:paraId="16CCF3B6">
      <w:pPr>
        <w:pStyle w:val="2"/>
        <w:spacing w:line="258" w:lineRule="auto"/>
        <w:rPr>
          <w:highlight w:val="none"/>
        </w:rPr>
      </w:pPr>
    </w:p>
    <w:p w14:paraId="1103AE9A">
      <w:pPr>
        <w:pStyle w:val="2"/>
        <w:spacing w:line="258" w:lineRule="auto"/>
        <w:rPr>
          <w:highlight w:val="none"/>
        </w:rPr>
      </w:pPr>
    </w:p>
    <w:p w14:paraId="5E7878E1">
      <w:pPr>
        <w:spacing w:before="72" w:line="332" w:lineRule="auto"/>
        <w:ind w:left="874" w:right="165" w:hanging="870"/>
        <w:rPr>
          <w:rFonts w:ascii="宋体" w:hAnsi="宋体" w:eastAsia="宋体" w:cs="宋体"/>
          <w:sz w:val="22"/>
          <w:szCs w:val="22"/>
          <w:highlight w:val="none"/>
        </w:rPr>
      </w:pPr>
      <w:r>
        <w:rPr>
          <w:rFonts w:ascii="宋体" w:hAnsi="宋体" w:eastAsia="宋体" w:cs="宋体"/>
          <w:spacing w:val="-1"/>
          <w:sz w:val="22"/>
          <w:szCs w:val="22"/>
          <w:highlight w:val="none"/>
        </w:rPr>
        <w:t>备注：1.应附资格证书(如有)、注册证书(临时执业证书)(如有)</w:t>
      </w:r>
      <w:r>
        <w:rPr>
          <w:rFonts w:ascii="宋体" w:hAnsi="宋体" w:eastAsia="宋体" w:cs="宋体"/>
          <w:spacing w:val="-2"/>
          <w:sz w:val="22"/>
          <w:szCs w:val="22"/>
          <w:highlight w:val="none"/>
        </w:rPr>
        <w:t>、岗位培训考核合格证</w:t>
      </w:r>
      <w:r>
        <w:rPr>
          <w:rFonts w:ascii="宋体" w:hAnsi="宋体" w:eastAsia="宋体" w:cs="宋体"/>
          <w:sz w:val="22"/>
          <w:szCs w:val="22"/>
          <w:highlight w:val="none"/>
        </w:rPr>
        <w:t xml:space="preserve"> </w:t>
      </w:r>
      <w:r>
        <w:rPr>
          <w:rFonts w:ascii="宋体" w:hAnsi="宋体" w:eastAsia="宋体" w:cs="宋体"/>
          <w:spacing w:val="-5"/>
          <w:sz w:val="22"/>
          <w:szCs w:val="22"/>
          <w:highlight w:val="none"/>
        </w:rPr>
        <w:t>书(如有)、职称证、学历证扫描件。</w:t>
      </w:r>
    </w:p>
    <w:p w14:paraId="7FE41D3B">
      <w:pPr>
        <w:spacing w:line="219" w:lineRule="auto"/>
        <w:ind w:left="635"/>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2.</w:t>
      </w:r>
      <w:r>
        <w:rPr>
          <w:rFonts w:ascii="Times New Roman" w:hAnsi="Times New Roman" w:eastAsia="Times New Roman" w:cs="Times New Roman"/>
          <w:spacing w:val="-20"/>
          <w:sz w:val="22"/>
          <w:szCs w:val="22"/>
          <w:highlight w:val="none"/>
        </w:rPr>
        <w:t xml:space="preserve"> </w:t>
      </w:r>
      <w:r>
        <w:rPr>
          <w:rFonts w:ascii="宋体" w:hAnsi="宋体" w:eastAsia="宋体" w:cs="宋体"/>
          <w:spacing w:val="-9"/>
          <w:sz w:val="22"/>
          <w:szCs w:val="22"/>
          <w:highlight w:val="none"/>
        </w:rPr>
        <w:t>每张表格只填写一个人，并标明序号。</w:t>
      </w:r>
    </w:p>
    <w:p w14:paraId="212C2B09">
      <w:pPr>
        <w:spacing w:line="219" w:lineRule="auto"/>
        <w:rPr>
          <w:rFonts w:ascii="宋体" w:hAnsi="宋体" w:eastAsia="宋体" w:cs="宋体"/>
          <w:sz w:val="22"/>
          <w:szCs w:val="22"/>
          <w:highlight w:val="none"/>
        </w:rPr>
        <w:sectPr>
          <w:footerReference r:id="rId261" w:type="default"/>
          <w:pgSz w:w="11910" w:h="16840"/>
          <w:pgMar w:top="400" w:right="1655" w:bottom="1238" w:left="1774" w:header="0" w:footer="1006" w:gutter="0"/>
          <w:cols w:space="720" w:num="1"/>
        </w:sectPr>
      </w:pPr>
    </w:p>
    <w:p w14:paraId="4AFDCAB8">
      <w:pPr>
        <w:pStyle w:val="2"/>
        <w:spacing w:line="267" w:lineRule="auto"/>
        <w:rPr>
          <w:highlight w:val="none"/>
        </w:rPr>
      </w:pPr>
    </w:p>
    <w:p w14:paraId="42A3BE81">
      <w:pPr>
        <w:pStyle w:val="2"/>
        <w:spacing w:line="267" w:lineRule="auto"/>
        <w:rPr>
          <w:highlight w:val="none"/>
        </w:rPr>
      </w:pPr>
    </w:p>
    <w:p w14:paraId="6501BA08">
      <w:pPr>
        <w:pStyle w:val="2"/>
        <w:spacing w:line="268" w:lineRule="auto"/>
        <w:rPr>
          <w:highlight w:val="none"/>
        </w:rPr>
      </w:pPr>
    </w:p>
    <w:p w14:paraId="069304EA">
      <w:pPr>
        <w:pStyle w:val="2"/>
        <w:spacing w:line="268" w:lineRule="auto"/>
        <w:rPr>
          <w:highlight w:val="none"/>
        </w:rPr>
      </w:pPr>
    </w:p>
    <w:p w14:paraId="1F53B816">
      <w:pPr>
        <w:spacing w:before="104" w:line="222" w:lineRule="auto"/>
        <w:ind w:left="33"/>
        <w:outlineLvl w:val="1"/>
        <w:rPr>
          <w:rFonts w:ascii="黑体" w:hAnsi="黑体" w:eastAsia="黑体" w:cs="黑体"/>
          <w:sz w:val="32"/>
          <w:szCs w:val="32"/>
          <w:highlight w:val="none"/>
        </w:rPr>
      </w:pPr>
      <w:bookmarkStart w:id="253" w:name="bookmark163"/>
      <w:bookmarkEnd w:id="253"/>
      <w:r>
        <w:rPr>
          <w:rFonts w:ascii="黑体" w:hAnsi="黑体" w:eastAsia="黑体" w:cs="黑体"/>
          <w:spacing w:val="1"/>
          <w:sz w:val="32"/>
          <w:szCs w:val="32"/>
          <w:highlight w:val="none"/>
        </w:rPr>
        <w:t>九、资格审查资料</w:t>
      </w:r>
    </w:p>
    <w:p w14:paraId="30736198">
      <w:pPr>
        <w:spacing w:before="142" w:line="219" w:lineRule="auto"/>
        <w:ind w:left="33"/>
        <w:rPr>
          <w:rFonts w:ascii="宋体" w:hAnsi="宋体" w:eastAsia="宋体" w:cs="宋体"/>
          <w:sz w:val="24"/>
          <w:szCs w:val="24"/>
          <w:highlight w:val="none"/>
        </w:rPr>
      </w:pPr>
      <w:r>
        <w:rPr>
          <w:rFonts w:ascii="宋体" w:hAnsi="宋体" w:eastAsia="宋体" w:cs="宋体"/>
          <w:spacing w:val="-5"/>
          <w:sz w:val="24"/>
          <w:szCs w:val="24"/>
          <w:highlight w:val="none"/>
        </w:rPr>
        <w:t>(一)投标人基本情况表</w:t>
      </w:r>
    </w:p>
    <w:p w14:paraId="407C6E8F">
      <w:pPr>
        <w:spacing w:before="286" w:line="219" w:lineRule="auto"/>
        <w:ind w:left="33"/>
        <w:rPr>
          <w:rFonts w:ascii="宋体" w:hAnsi="宋体" w:eastAsia="宋体" w:cs="宋体"/>
          <w:sz w:val="24"/>
          <w:szCs w:val="24"/>
          <w:highlight w:val="none"/>
        </w:rPr>
      </w:pPr>
      <w:r>
        <w:rPr>
          <w:rFonts w:ascii="宋体" w:hAnsi="宋体" w:eastAsia="宋体" w:cs="宋体"/>
          <w:spacing w:val="-5"/>
          <w:sz w:val="24"/>
          <w:szCs w:val="24"/>
          <w:highlight w:val="none"/>
        </w:rPr>
        <w:t>(二)关联单位情况说明</w:t>
      </w:r>
    </w:p>
    <w:p w14:paraId="6BBE3B41">
      <w:pPr>
        <w:spacing w:before="275" w:line="219" w:lineRule="auto"/>
        <w:ind w:left="33"/>
        <w:rPr>
          <w:rFonts w:ascii="宋体" w:hAnsi="宋体" w:eastAsia="宋体" w:cs="宋体"/>
          <w:sz w:val="24"/>
          <w:szCs w:val="24"/>
          <w:highlight w:val="none"/>
        </w:rPr>
      </w:pPr>
      <w:r>
        <w:rPr>
          <w:rFonts w:ascii="宋体" w:hAnsi="宋体" w:eastAsia="宋体" w:cs="宋体"/>
          <w:spacing w:val="-5"/>
          <w:sz w:val="24"/>
          <w:szCs w:val="24"/>
          <w:highlight w:val="none"/>
        </w:rPr>
        <w:t>(三)近年财务状况表</w:t>
      </w:r>
    </w:p>
    <w:p w14:paraId="4DC2F7EC">
      <w:pPr>
        <w:spacing w:before="255" w:line="219" w:lineRule="auto"/>
        <w:ind w:left="33"/>
        <w:rPr>
          <w:rFonts w:ascii="宋体" w:hAnsi="宋体" w:eastAsia="宋体" w:cs="宋体"/>
          <w:sz w:val="24"/>
          <w:szCs w:val="24"/>
          <w:highlight w:val="none"/>
        </w:rPr>
      </w:pPr>
      <w:r>
        <w:rPr>
          <w:rFonts w:ascii="宋体" w:hAnsi="宋体" w:eastAsia="宋体" w:cs="宋体"/>
          <w:spacing w:val="-2"/>
          <w:sz w:val="24"/>
          <w:szCs w:val="24"/>
          <w:highlight w:val="none"/>
        </w:rPr>
        <w:t>(四)近年完成的类似项目情况</w:t>
      </w:r>
    </w:p>
    <w:p w14:paraId="7D3005CB">
      <w:pPr>
        <w:spacing w:before="285" w:line="219" w:lineRule="auto"/>
        <w:ind w:left="33"/>
        <w:rPr>
          <w:rFonts w:ascii="宋体" w:hAnsi="宋体" w:eastAsia="宋体" w:cs="宋体"/>
          <w:sz w:val="24"/>
          <w:szCs w:val="24"/>
          <w:highlight w:val="none"/>
        </w:rPr>
      </w:pPr>
      <w:r>
        <w:rPr>
          <w:rFonts w:ascii="宋体" w:hAnsi="宋体" w:eastAsia="宋体" w:cs="宋体"/>
          <w:spacing w:val="-4"/>
          <w:sz w:val="24"/>
          <w:szCs w:val="24"/>
          <w:highlight w:val="none"/>
        </w:rPr>
        <w:t>(五)近年完成的类似设计项目情况</w:t>
      </w:r>
    </w:p>
    <w:p w14:paraId="1D8C8CAC">
      <w:pPr>
        <w:spacing w:before="286" w:line="219" w:lineRule="auto"/>
        <w:ind w:left="33"/>
        <w:rPr>
          <w:rFonts w:ascii="宋体" w:hAnsi="宋体" w:eastAsia="宋体" w:cs="宋体"/>
          <w:sz w:val="24"/>
          <w:szCs w:val="24"/>
          <w:highlight w:val="none"/>
        </w:rPr>
      </w:pPr>
      <w:r>
        <w:rPr>
          <w:rFonts w:ascii="宋体" w:hAnsi="宋体" w:eastAsia="宋体" w:cs="宋体"/>
          <w:spacing w:val="-4"/>
          <w:sz w:val="24"/>
          <w:szCs w:val="24"/>
          <w:highlight w:val="none"/>
        </w:rPr>
        <w:t>(六)近年完成的类似施工项目情况</w:t>
      </w:r>
    </w:p>
    <w:p w14:paraId="54273B13">
      <w:pPr>
        <w:spacing w:before="265" w:line="219" w:lineRule="auto"/>
        <w:ind w:left="33"/>
        <w:rPr>
          <w:rFonts w:ascii="宋体" w:hAnsi="宋体" w:eastAsia="宋体" w:cs="宋体"/>
          <w:sz w:val="24"/>
          <w:szCs w:val="24"/>
          <w:highlight w:val="none"/>
        </w:rPr>
      </w:pPr>
      <w:r>
        <w:rPr>
          <w:rFonts w:ascii="宋体" w:hAnsi="宋体" w:eastAsia="宋体" w:cs="宋体"/>
          <w:spacing w:val="-3"/>
          <w:sz w:val="24"/>
          <w:szCs w:val="24"/>
          <w:highlight w:val="none"/>
        </w:rPr>
        <w:t>(七)正在实施的和新承接的项目情况</w:t>
      </w:r>
    </w:p>
    <w:p w14:paraId="06A9ED0A">
      <w:pPr>
        <w:spacing w:before="274" w:line="219" w:lineRule="auto"/>
        <w:ind w:left="33"/>
        <w:rPr>
          <w:rFonts w:ascii="宋体" w:hAnsi="宋体" w:eastAsia="宋体" w:cs="宋体"/>
          <w:sz w:val="24"/>
          <w:szCs w:val="24"/>
          <w:highlight w:val="none"/>
        </w:rPr>
      </w:pPr>
      <w:r>
        <w:rPr>
          <w:rFonts w:ascii="宋体" w:hAnsi="宋体" w:eastAsia="宋体" w:cs="宋体"/>
          <w:spacing w:val="-6"/>
          <w:sz w:val="24"/>
          <w:szCs w:val="24"/>
          <w:highlight w:val="none"/>
        </w:rPr>
        <w:t>(八)企业信誉情况</w:t>
      </w:r>
    </w:p>
    <w:p w14:paraId="6B45E045">
      <w:pPr>
        <w:spacing w:line="219" w:lineRule="auto"/>
        <w:rPr>
          <w:rFonts w:ascii="宋体" w:hAnsi="宋体" w:eastAsia="宋体" w:cs="宋体"/>
          <w:sz w:val="24"/>
          <w:szCs w:val="24"/>
          <w:highlight w:val="none"/>
        </w:rPr>
        <w:sectPr>
          <w:footerReference r:id="rId262" w:type="default"/>
          <w:pgSz w:w="11910" w:h="16840"/>
          <w:pgMar w:top="400" w:right="1786" w:bottom="1218" w:left="1786" w:header="0" w:footer="986" w:gutter="0"/>
          <w:cols w:space="720" w:num="1"/>
        </w:sectPr>
      </w:pPr>
    </w:p>
    <w:p w14:paraId="33B24966">
      <w:pPr>
        <w:pStyle w:val="2"/>
        <w:spacing w:line="278" w:lineRule="auto"/>
        <w:rPr>
          <w:highlight w:val="none"/>
        </w:rPr>
      </w:pPr>
    </w:p>
    <w:p w14:paraId="77647FE3">
      <w:pPr>
        <w:pStyle w:val="2"/>
        <w:spacing w:line="278" w:lineRule="auto"/>
        <w:rPr>
          <w:highlight w:val="none"/>
        </w:rPr>
      </w:pPr>
    </w:p>
    <w:p w14:paraId="0956C334">
      <w:pPr>
        <w:pStyle w:val="2"/>
        <w:spacing w:line="278" w:lineRule="auto"/>
        <w:rPr>
          <w:highlight w:val="none"/>
        </w:rPr>
      </w:pPr>
    </w:p>
    <w:p w14:paraId="249EBAC9">
      <w:pPr>
        <w:pStyle w:val="2"/>
        <w:spacing w:line="279" w:lineRule="auto"/>
        <w:rPr>
          <w:highlight w:val="none"/>
        </w:rPr>
      </w:pPr>
    </w:p>
    <w:p w14:paraId="16616A80">
      <w:pPr>
        <w:spacing w:before="91" w:line="222" w:lineRule="auto"/>
        <w:ind w:left="154"/>
        <w:rPr>
          <w:rFonts w:ascii="黑体" w:hAnsi="黑体" w:eastAsia="黑体" w:cs="黑体"/>
          <w:sz w:val="28"/>
          <w:szCs w:val="28"/>
          <w:highlight w:val="none"/>
        </w:rPr>
      </w:pPr>
      <w:r>
        <w:rPr>
          <w:rFonts w:ascii="黑体" w:hAnsi="黑体" w:eastAsia="黑体" w:cs="黑体"/>
          <w:sz w:val="28"/>
          <w:szCs w:val="28"/>
          <w:highlight w:val="none"/>
        </w:rPr>
        <w:t>(一)投标人基本情况表</w:t>
      </w:r>
    </w:p>
    <w:p w14:paraId="05654F64">
      <w:pPr>
        <w:spacing w:before="257" w:line="207" w:lineRule="auto"/>
        <w:ind w:left="3128"/>
        <w:rPr>
          <w:rFonts w:ascii="宋体" w:hAnsi="宋体" w:eastAsia="宋体" w:cs="宋体"/>
          <w:sz w:val="24"/>
          <w:szCs w:val="24"/>
          <w:highlight w:val="none"/>
        </w:rPr>
      </w:pPr>
      <w:r>
        <w:rPr>
          <w:rFonts w:ascii="宋体" w:hAnsi="宋体" w:eastAsia="宋体" w:cs="宋体"/>
          <w:b/>
          <w:bCs/>
          <w:spacing w:val="-3"/>
          <w:sz w:val="24"/>
          <w:szCs w:val="24"/>
          <w:highlight w:val="none"/>
        </w:rPr>
        <w:t>1-1投标人基本情况表</w:t>
      </w:r>
    </w:p>
    <w:tbl>
      <w:tblPr>
        <w:tblStyle w:val="5"/>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3"/>
        <w:gridCol w:w="869"/>
        <w:gridCol w:w="1358"/>
        <w:gridCol w:w="1069"/>
        <w:gridCol w:w="1239"/>
        <w:gridCol w:w="339"/>
        <w:gridCol w:w="899"/>
        <w:gridCol w:w="1283"/>
      </w:tblGrid>
      <w:tr w14:paraId="05AEF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1453" w:type="dxa"/>
            <w:vAlign w:val="top"/>
          </w:tcPr>
          <w:p w14:paraId="437643E6">
            <w:pPr>
              <w:pStyle w:val="6"/>
              <w:spacing w:before="184" w:line="220" w:lineRule="auto"/>
              <w:ind w:left="194"/>
              <w:rPr>
                <w:highlight w:val="none"/>
              </w:rPr>
            </w:pPr>
            <w:r>
              <w:rPr>
                <w:spacing w:val="2"/>
                <w:highlight w:val="none"/>
              </w:rPr>
              <w:t>投标人名称</w:t>
            </w:r>
          </w:p>
        </w:tc>
        <w:tc>
          <w:tcPr>
            <w:tcW w:w="7056" w:type="dxa"/>
            <w:gridSpan w:val="7"/>
            <w:vAlign w:val="top"/>
          </w:tcPr>
          <w:p w14:paraId="7BDA452E">
            <w:pPr>
              <w:rPr>
                <w:rFonts w:ascii="Arial"/>
                <w:sz w:val="21"/>
                <w:highlight w:val="none"/>
              </w:rPr>
            </w:pPr>
          </w:p>
        </w:tc>
      </w:tr>
      <w:tr w14:paraId="2905E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453" w:type="dxa"/>
            <w:vAlign w:val="top"/>
          </w:tcPr>
          <w:p w14:paraId="6CC01162">
            <w:pPr>
              <w:pStyle w:val="6"/>
              <w:spacing w:before="180" w:line="221" w:lineRule="auto"/>
              <w:ind w:left="295"/>
              <w:rPr>
                <w:highlight w:val="none"/>
              </w:rPr>
            </w:pPr>
            <w:r>
              <w:rPr>
                <w:spacing w:val="-2"/>
                <w:highlight w:val="none"/>
              </w:rPr>
              <w:t>注册地址</w:t>
            </w:r>
          </w:p>
        </w:tc>
        <w:tc>
          <w:tcPr>
            <w:tcW w:w="3296" w:type="dxa"/>
            <w:gridSpan w:val="3"/>
            <w:vAlign w:val="top"/>
          </w:tcPr>
          <w:p w14:paraId="12064D1A">
            <w:pPr>
              <w:rPr>
                <w:rFonts w:ascii="Arial"/>
                <w:sz w:val="21"/>
                <w:highlight w:val="none"/>
              </w:rPr>
            </w:pPr>
          </w:p>
        </w:tc>
        <w:tc>
          <w:tcPr>
            <w:tcW w:w="1239" w:type="dxa"/>
            <w:vAlign w:val="top"/>
          </w:tcPr>
          <w:p w14:paraId="60AAB7EC">
            <w:pPr>
              <w:pStyle w:val="6"/>
              <w:spacing w:before="179" w:line="219" w:lineRule="auto"/>
              <w:ind w:left="195"/>
              <w:rPr>
                <w:highlight w:val="none"/>
              </w:rPr>
            </w:pPr>
            <w:r>
              <w:rPr>
                <w:spacing w:val="2"/>
                <w:highlight w:val="none"/>
              </w:rPr>
              <w:t>邮政编码</w:t>
            </w:r>
          </w:p>
        </w:tc>
        <w:tc>
          <w:tcPr>
            <w:tcW w:w="2521" w:type="dxa"/>
            <w:gridSpan w:val="3"/>
            <w:vAlign w:val="top"/>
          </w:tcPr>
          <w:p w14:paraId="6C9E82DF">
            <w:pPr>
              <w:rPr>
                <w:rFonts w:ascii="Arial"/>
                <w:sz w:val="21"/>
                <w:highlight w:val="none"/>
              </w:rPr>
            </w:pPr>
          </w:p>
        </w:tc>
      </w:tr>
      <w:tr w14:paraId="13F3B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453" w:type="dxa"/>
            <w:vMerge w:val="restart"/>
            <w:tcBorders>
              <w:bottom w:val="nil"/>
            </w:tcBorders>
            <w:vAlign w:val="top"/>
          </w:tcPr>
          <w:p w14:paraId="371B7B72">
            <w:pPr>
              <w:spacing w:line="391" w:lineRule="auto"/>
              <w:rPr>
                <w:rFonts w:ascii="Arial"/>
                <w:sz w:val="21"/>
                <w:highlight w:val="none"/>
              </w:rPr>
            </w:pPr>
          </w:p>
          <w:p w14:paraId="3ED640AE">
            <w:pPr>
              <w:pStyle w:val="6"/>
              <w:spacing w:before="68" w:line="221" w:lineRule="auto"/>
              <w:ind w:left="295"/>
              <w:rPr>
                <w:highlight w:val="none"/>
              </w:rPr>
            </w:pPr>
            <w:r>
              <w:rPr>
                <w:spacing w:val="-2"/>
                <w:highlight w:val="none"/>
              </w:rPr>
              <w:t>联系方式</w:t>
            </w:r>
          </w:p>
        </w:tc>
        <w:tc>
          <w:tcPr>
            <w:tcW w:w="869" w:type="dxa"/>
            <w:vAlign w:val="top"/>
          </w:tcPr>
          <w:p w14:paraId="163B4721">
            <w:pPr>
              <w:pStyle w:val="6"/>
              <w:spacing w:before="183" w:line="221" w:lineRule="auto"/>
              <w:ind w:left="111"/>
              <w:rPr>
                <w:highlight w:val="none"/>
              </w:rPr>
            </w:pPr>
            <w:r>
              <w:rPr>
                <w:spacing w:val="-3"/>
                <w:highlight w:val="none"/>
              </w:rPr>
              <w:t>联系人</w:t>
            </w:r>
          </w:p>
        </w:tc>
        <w:tc>
          <w:tcPr>
            <w:tcW w:w="2427" w:type="dxa"/>
            <w:gridSpan w:val="2"/>
            <w:vAlign w:val="top"/>
          </w:tcPr>
          <w:p w14:paraId="4DDB5BC8">
            <w:pPr>
              <w:rPr>
                <w:rFonts w:ascii="Arial"/>
                <w:sz w:val="21"/>
                <w:highlight w:val="none"/>
              </w:rPr>
            </w:pPr>
          </w:p>
        </w:tc>
        <w:tc>
          <w:tcPr>
            <w:tcW w:w="1239" w:type="dxa"/>
            <w:vAlign w:val="top"/>
          </w:tcPr>
          <w:p w14:paraId="06F1DFEC">
            <w:pPr>
              <w:pStyle w:val="6"/>
              <w:spacing w:before="183" w:line="221" w:lineRule="auto"/>
              <w:ind w:left="345"/>
              <w:rPr>
                <w:highlight w:val="none"/>
              </w:rPr>
            </w:pPr>
            <w:r>
              <w:rPr>
                <w:spacing w:val="-17"/>
                <w:highlight w:val="none"/>
              </w:rPr>
              <w:t>电</w:t>
            </w:r>
            <w:r>
              <w:rPr>
                <w:spacing w:val="54"/>
                <w:highlight w:val="none"/>
              </w:rPr>
              <w:t xml:space="preserve"> </w:t>
            </w:r>
            <w:r>
              <w:rPr>
                <w:spacing w:val="-17"/>
                <w:highlight w:val="none"/>
              </w:rPr>
              <w:t>话</w:t>
            </w:r>
          </w:p>
        </w:tc>
        <w:tc>
          <w:tcPr>
            <w:tcW w:w="2521" w:type="dxa"/>
            <w:gridSpan w:val="3"/>
            <w:vAlign w:val="top"/>
          </w:tcPr>
          <w:p w14:paraId="47A52E8F">
            <w:pPr>
              <w:rPr>
                <w:rFonts w:ascii="Arial"/>
                <w:sz w:val="21"/>
                <w:highlight w:val="none"/>
              </w:rPr>
            </w:pPr>
          </w:p>
        </w:tc>
      </w:tr>
      <w:tr w14:paraId="6C2CA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453" w:type="dxa"/>
            <w:vMerge w:val="continue"/>
            <w:tcBorders>
              <w:top w:val="nil"/>
            </w:tcBorders>
            <w:vAlign w:val="top"/>
          </w:tcPr>
          <w:p w14:paraId="4519B44A">
            <w:pPr>
              <w:rPr>
                <w:rFonts w:ascii="Arial"/>
                <w:sz w:val="21"/>
                <w:highlight w:val="none"/>
              </w:rPr>
            </w:pPr>
          </w:p>
        </w:tc>
        <w:tc>
          <w:tcPr>
            <w:tcW w:w="869" w:type="dxa"/>
            <w:vAlign w:val="top"/>
          </w:tcPr>
          <w:p w14:paraId="04ED1DE0">
            <w:pPr>
              <w:pStyle w:val="6"/>
              <w:spacing w:before="180" w:line="219" w:lineRule="auto"/>
              <w:ind w:left="161"/>
              <w:rPr>
                <w:highlight w:val="none"/>
              </w:rPr>
            </w:pPr>
            <w:r>
              <w:rPr>
                <w:spacing w:val="-4"/>
                <w:highlight w:val="none"/>
              </w:rPr>
              <w:t>传</w:t>
            </w:r>
            <w:r>
              <w:rPr>
                <w:spacing w:val="11"/>
                <w:highlight w:val="none"/>
              </w:rPr>
              <w:t xml:space="preserve"> </w:t>
            </w:r>
            <w:r>
              <w:rPr>
                <w:spacing w:val="-4"/>
                <w:highlight w:val="none"/>
              </w:rPr>
              <w:t>真</w:t>
            </w:r>
          </w:p>
        </w:tc>
        <w:tc>
          <w:tcPr>
            <w:tcW w:w="2427" w:type="dxa"/>
            <w:gridSpan w:val="2"/>
            <w:vAlign w:val="top"/>
          </w:tcPr>
          <w:p w14:paraId="3A002E2F">
            <w:pPr>
              <w:rPr>
                <w:rFonts w:ascii="Arial"/>
                <w:sz w:val="21"/>
                <w:highlight w:val="none"/>
              </w:rPr>
            </w:pPr>
          </w:p>
        </w:tc>
        <w:tc>
          <w:tcPr>
            <w:tcW w:w="1239" w:type="dxa"/>
            <w:vAlign w:val="top"/>
          </w:tcPr>
          <w:p w14:paraId="373B2DE9">
            <w:pPr>
              <w:pStyle w:val="6"/>
              <w:spacing w:before="187" w:line="224" w:lineRule="auto"/>
              <w:ind w:left="345"/>
              <w:rPr>
                <w:highlight w:val="none"/>
              </w:rPr>
            </w:pPr>
            <w:r>
              <w:rPr>
                <w:spacing w:val="-13"/>
                <w:highlight w:val="none"/>
              </w:rPr>
              <w:t>网</w:t>
            </w:r>
            <w:r>
              <w:rPr>
                <w:spacing w:val="20"/>
                <w:highlight w:val="none"/>
              </w:rPr>
              <w:t xml:space="preserve"> </w:t>
            </w:r>
            <w:r>
              <w:rPr>
                <w:spacing w:val="-13"/>
                <w:highlight w:val="none"/>
              </w:rPr>
              <w:t>址</w:t>
            </w:r>
          </w:p>
        </w:tc>
        <w:tc>
          <w:tcPr>
            <w:tcW w:w="2521" w:type="dxa"/>
            <w:gridSpan w:val="3"/>
            <w:vAlign w:val="top"/>
          </w:tcPr>
          <w:p w14:paraId="7580269E">
            <w:pPr>
              <w:rPr>
                <w:rFonts w:ascii="Arial"/>
                <w:sz w:val="21"/>
                <w:highlight w:val="none"/>
              </w:rPr>
            </w:pPr>
          </w:p>
        </w:tc>
      </w:tr>
      <w:tr w14:paraId="68536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453" w:type="dxa"/>
            <w:vAlign w:val="top"/>
          </w:tcPr>
          <w:p w14:paraId="737D7E74">
            <w:pPr>
              <w:pStyle w:val="6"/>
              <w:spacing w:before="193" w:line="220" w:lineRule="auto"/>
              <w:ind w:left="295"/>
              <w:rPr>
                <w:highlight w:val="none"/>
              </w:rPr>
            </w:pPr>
            <w:r>
              <w:rPr>
                <w:spacing w:val="3"/>
                <w:highlight w:val="none"/>
              </w:rPr>
              <w:t>组织结构</w:t>
            </w:r>
          </w:p>
        </w:tc>
        <w:tc>
          <w:tcPr>
            <w:tcW w:w="7056" w:type="dxa"/>
            <w:gridSpan w:val="7"/>
            <w:vAlign w:val="top"/>
          </w:tcPr>
          <w:p w14:paraId="13458D72">
            <w:pPr>
              <w:rPr>
                <w:rFonts w:ascii="Arial"/>
                <w:sz w:val="21"/>
                <w:highlight w:val="none"/>
              </w:rPr>
            </w:pPr>
          </w:p>
        </w:tc>
      </w:tr>
      <w:tr w14:paraId="0A9BD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453" w:type="dxa"/>
            <w:vAlign w:val="top"/>
          </w:tcPr>
          <w:p w14:paraId="07BEF794">
            <w:pPr>
              <w:pStyle w:val="6"/>
              <w:spacing w:before="182" w:line="219" w:lineRule="auto"/>
              <w:ind w:left="194"/>
              <w:rPr>
                <w:highlight w:val="none"/>
              </w:rPr>
            </w:pPr>
            <w:r>
              <w:rPr>
                <w:spacing w:val="-2"/>
                <w:highlight w:val="none"/>
              </w:rPr>
              <w:t>法定代表人</w:t>
            </w:r>
          </w:p>
        </w:tc>
        <w:tc>
          <w:tcPr>
            <w:tcW w:w="869" w:type="dxa"/>
            <w:vAlign w:val="top"/>
          </w:tcPr>
          <w:p w14:paraId="23DC6EF3">
            <w:pPr>
              <w:pStyle w:val="6"/>
              <w:spacing w:before="182" w:line="219" w:lineRule="auto"/>
              <w:ind w:left="212"/>
              <w:rPr>
                <w:highlight w:val="none"/>
              </w:rPr>
            </w:pPr>
            <w:r>
              <w:rPr>
                <w:spacing w:val="13"/>
                <w:highlight w:val="none"/>
              </w:rPr>
              <w:t>姓名</w:t>
            </w:r>
          </w:p>
        </w:tc>
        <w:tc>
          <w:tcPr>
            <w:tcW w:w="1358" w:type="dxa"/>
            <w:vAlign w:val="top"/>
          </w:tcPr>
          <w:p w14:paraId="2265E30B">
            <w:pPr>
              <w:rPr>
                <w:rFonts w:ascii="Arial"/>
                <w:sz w:val="21"/>
                <w:highlight w:val="none"/>
              </w:rPr>
            </w:pPr>
          </w:p>
        </w:tc>
        <w:tc>
          <w:tcPr>
            <w:tcW w:w="1069" w:type="dxa"/>
            <w:vAlign w:val="top"/>
          </w:tcPr>
          <w:p w14:paraId="768B0899">
            <w:pPr>
              <w:pStyle w:val="6"/>
              <w:spacing w:before="182" w:line="219" w:lineRule="auto"/>
              <w:ind w:left="105"/>
              <w:rPr>
                <w:highlight w:val="none"/>
              </w:rPr>
            </w:pPr>
            <w:r>
              <w:rPr>
                <w:spacing w:val="-2"/>
                <w:highlight w:val="none"/>
              </w:rPr>
              <w:t>技术职称</w:t>
            </w:r>
          </w:p>
        </w:tc>
        <w:tc>
          <w:tcPr>
            <w:tcW w:w="1578" w:type="dxa"/>
            <w:gridSpan w:val="2"/>
            <w:vAlign w:val="top"/>
          </w:tcPr>
          <w:p w14:paraId="0B452AF3">
            <w:pPr>
              <w:rPr>
                <w:rFonts w:ascii="Arial"/>
                <w:sz w:val="21"/>
                <w:highlight w:val="none"/>
              </w:rPr>
            </w:pPr>
          </w:p>
        </w:tc>
        <w:tc>
          <w:tcPr>
            <w:tcW w:w="899" w:type="dxa"/>
            <w:vAlign w:val="top"/>
          </w:tcPr>
          <w:p w14:paraId="674B150A">
            <w:pPr>
              <w:pStyle w:val="6"/>
              <w:spacing w:before="185" w:line="221" w:lineRule="auto"/>
              <w:ind w:left="247"/>
              <w:rPr>
                <w:highlight w:val="none"/>
              </w:rPr>
            </w:pPr>
            <w:r>
              <w:rPr>
                <w:spacing w:val="4"/>
                <w:highlight w:val="none"/>
              </w:rPr>
              <w:t>电话</w:t>
            </w:r>
          </w:p>
        </w:tc>
        <w:tc>
          <w:tcPr>
            <w:tcW w:w="1283" w:type="dxa"/>
            <w:vAlign w:val="top"/>
          </w:tcPr>
          <w:p w14:paraId="400B3D62">
            <w:pPr>
              <w:rPr>
                <w:rFonts w:ascii="Arial"/>
                <w:sz w:val="21"/>
                <w:highlight w:val="none"/>
              </w:rPr>
            </w:pPr>
          </w:p>
        </w:tc>
      </w:tr>
      <w:tr w14:paraId="20DC6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453" w:type="dxa"/>
            <w:vAlign w:val="top"/>
          </w:tcPr>
          <w:p w14:paraId="4CB153C5">
            <w:pPr>
              <w:pStyle w:val="6"/>
              <w:spacing w:before="184" w:line="221" w:lineRule="auto"/>
              <w:ind w:left="295"/>
              <w:rPr>
                <w:highlight w:val="none"/>
              </w:rPr>
            </w:pPr>
            <w:r>
              <w:rPr>
                <w:spacing w:val="5"/>
                <w:highlight w:val="none"/>
              </w:rPr>
              <w:t>成立时间</w:t>
            </w:r>
          </w:p>
        </w:tc>
        <w:tc>
          <w:tcPr>
            <w:tcW w:w="2227" w:type="dxa"/>
            <w:gridSpan w:val="2"/>
            <w:vAlign w:val="top"/>
          </w:tcPr>
          <w:p w14:paraId="03B111EC">
            <w:pPr>
              <w:rPr>
                <w:rFonts w:ascii="Arial"/>
                <w:sz w:val="21"/>
                <w:highlight w:val="none"/>
              </w:rPr>
            </w:pPr>
          </w:p>
        </w:tc>
        <w:tc>
          <w:tcPr>
            <w:tcW w:w="4829" w:type="dxa"/>
            <w:gridSpan w:val="5"/>
            <w:vAlign w:val="top"/>
          </w:tcPr>
          <w:p w14:paraId="4097E347">
            <w:pPr>
              <w:pStyle w:val="6"/>
              <w:spacing w:before="183" w:line="219" w:lineRule="auto"/>
              <w:ind w:left="1785"/>
              <w:rPr>
                <w:highlight w:val="none"/>
              </w:rPr>
            </w:pPr>
            <w:r>
              <w:rPr>
                <w:spacing w:val="-1"/>
                <w:highlight w:val="none"/>
              </w:rPr>
              <w:t>员工总人数：</w:t>
            </w:r>
          </w:p>
        </w:tc>
      </w:tr>
      <w:tr w14:paraId="1CACB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1453" w:type="dxa"/>
            <w:vAlign w:val="top"/>
          </w:tcPr>
          <w:p w14:paraId="0434639D">
            <w:pPr>
              <w:pStyle w:val="6"/>
              <w:spacing w:before="63" w:line="253" w:lineRule="auto"/>
              <w:ind w:left="613" w:right="188" w:hanging="419"/>
              <w:rPr>
                <w:highlight w:val="none"/>
              </w:rPr>
            </w:pPr>
            <w:r>
              <w:rPr>
                <w:spacing w:val="1"/>
                <w:highlight w:val="none"/>
              </w:rPr>
              <w:t>企业资质等</w:t>
            </w:r>
            <w:r>
              <w:rPr>
                <w:spacing w:val="3"/>
                <w:highlight w:val="none"/>
              </w:rPr>
              <w:t xml:space="preserve"> </w:t>
            </w:r>
            <w:r>
              <w:rPr>
                <w:highlight w:val="none"/>
              </w:rPr>
              <w:t>级</w:t>
            </w:r>
          </w:p>
        </w:tc>
        <w:tc>
          <w:tcPr>
            <w:tcW w:w="2227" w:type="dxa"/>
            <w:gridSpan w:val="2"/>
            <w:vAlign w:val="top"/>
          </w:tcPr>
          <w:p w14:paraId="06133B08">
            <w:pPr>
              <w:rPr>
                <w:rFonts w:ascii="Arial"/>
                <w:sz w:val="21"/>
                <w:highlight w:val="none"/>
              </w:rPr>
            </w:pPr>
          </w:p>
        </w:tc>
        <w:tc>
          <w:tcPr>
            <w:tcW w:w="1069" w:type="dxa"/>
            <w:vMerge w:val="restart"/>
            <w:tcBorders>
              <w:bottom w:val="nil"/>
            </w:tcBorders>
            <w:vAlign w:val="top"/>
          </w:tcPr>
          <w:p w14:paraId="637FAB31">
            <w:pPr>
              <w:spacing w:line="261" w:lineRule="auto"/>
              <w:rPr>
                <w:rFonts w:ascii="Arial"/>
                <w:sz w:val="21"/>
                <w:highlight w:val="none"/>
              </w:rPr>
            </w:pPr>
          </w:p>
          <w:p w14:paraId="6027716C">
            <w:pPr>
              <w:spacing w:line="261" w:lineRule="auto"/>
              <w:rPr>
                <w:rFonts w:ascii="Arial"/>
                <w:sz w:val="21"/>
                <w:highlight w:val="none"/>
              </w:rPr>
            </w:pPr>
          </w:p>
          <w:p w14:paraId="24AC984B">
            <w:pPr>
              <w:spacing w:line="261" w:lineRule="auto"/>
              <w:rPr>
                <w:rFonts w:ascii="Arial"/>
                <w:sz w:val="21"/>
                <w:highlight w:val="none"/>
              </w:rPr>
            </w:pPr>
          </w:p>
          <w:p w14:paraId="25B4CC1E">
            <w:pPr>
              <w:spacing w:line="261" w:lineRule="auto"/>
              <w:rPr>
                <w:rFonts w:ascii="Arial"/>
                <w:sz w:val="21"/>
                <w:highlight w:val="none"/>
              </w:rPr>
            </w:pPr>
          </w:p>
          <w:p w14:paraId="791D3DFD">
            <w:pPr>
              <w:spacing w:line="261" w:lineRule="auto"/>
              <w:rPr>
                <w:rFonts w:ascii="Arial"/>
                <w:sz w:val="21"/>
                <w:highlight w:val="none"/>
              </w:rPr>
            </w:pPr>
          </w:p>
          <w:p w14:paraId="08F72B5E">
            <w:pPr>
              <w:spacing w:line="261" w:lineRule="auto"/>
              <w:rPr>
                <w:rFonts w:ascii="Arial"/>
                <w:sz w:val="21"/>
                <w:highlight w:val="none"/>
              </w:rPr>
            </w:pPr>
          </w:p>
          <w:p w14:paraId="5CDC81D0">
            <w:pPr>
              <w:pStyle w:val="6"/>
              <w:spacing w:before="68" w:line="220" w:lineRule="auto"/>
              <w:ind w:left="314"/>
              <w:rPr>
                <w:highlight w:val="none"/>
              </w:rPr>
            </w:pPr>
            <w:r>
              <w:rPr>
                <w:spacing w:val="11"/>
                <w:highlight w:val="none"/>
              </w:rPr>
              <w:t>其中</w:t>
            </w:r>
          </w:p>
        </w:tc>
        <w:tc>
          <w:tcPr>
            <w:tcW w:w="1578" w:type="dxa"/>
            <w:gridSpan w:val="2"/>
            <w:vAlign w:val="top"/>
          </w:tcPr>
          <w:p w14:paraId="362D15A3">
            <w:pPr>
              <w:pStyle w:val="6"/>
              <w:spacing w:before="223" w:line="219" w:lineRule="auto"/>
              <w:ind w:left="255"/>
              <w:rPr>
                <w:highlight w:val="none"/>
              </w:rPr>
            </w:pPr>
            <w:r>
              <w:rPr>
                <w:spacing w:val="-2"/>
                <w:highlight w:val="none"/>
              </w:rPr>
              <w:t>注册建造师</w:t>
            </w:r>
          </w:p>
        </w:tc>
        <w:tc>
          <w:tcPr>
            <w:tcW w:w="2182" w:type="dxa"/>
            <w:gridSpan w:val="2"/>
            <w:vAlign w:val="top"/>
          </w:tcPr>
          <w:p w14:paraId="77F5AB19">
            <w:pPr>
              <w:rPr>
                <w:rFonts w:ascii="Arial"/>
                <w:sz w:val="21"/>
                <w:highlight w:val="none"/>
              </w:rPr>
            </w:pPr>
          </w:p>
        </w:tc>
      </w:tr>
      <w:tr w14:paraId="3A0E2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1453" w:type="dxa"/>
            <w:vAlign w:val="top"/>
          </w:tcPr>
          <w:p w14:paraId="0199B4AE">
            <w:pPr>
              <w:pStyle w:val="6"/>
              <w:spacing w:before="64" w:line="283" w:lineRule="auto"/>
              <w:ind w:left="134" w:right="137" w:firstLine="60"/>
              <w:rPr>
                <w:highlight w:val="none"/>
              </w:rPr>
            </w:pPr>
            <w:r>
              <w:rPr>
                <w:spacing w:val="2"/>
                <w:highlight w:val="none"/>
              </w:rPr>
              <w:t>统一社会信</w:t>
            </w:r>
            <w:r>
              <w:rPr>
                <w:spacing w:val="3"/>
                <w:highlight w:val="none"/>
              </w:rPr>
              <w:t xml:space="preserve"> </w:t>
            </w:r>
            <w:r>
              <w:rPr>
                <w:spacing w:val="2"/>
                <w:highlight w:val="none"/>
              </w:rPr>
              <w:t>用代码/注册</w:t>
            </w:r>
          </w:p>
          <w:p w14:paraId="09521120">
            <w:pPr>
              <w:pStyle w:val="6"/>
              <w:spacing w:line="193" w:lineRule="auto"/>
              <w:ind w:left="614"/>
              <w:rPr>
                <w:highlight w:val="none"/>
              </w:rPr>
            </w:pPr>
            <w:r>
              <w:rPr>
                <w:highlight w:val="none"/>
              </w:rPr>
              <w:t>码</w:t>
            </w:r>
          </w:p>
        </w:tc>
        <w:tc>
          <w:tcPr>
            <w:tcW w:w="2227" w:type="dxa"/>
            <w:gridSpan w:val="2"/>
            <w:vAlign w:val="top"/>
          </w:tcPr>
          <w:p w14:paraId="363B5B2B">
            <w:pPr>
              <w:rPr>
                <w:rFonts w:ascii="Arial"/>
                <w:sz w:val="21"/>
                <w:highlight w:val="none"/>
              </w:rPr>
            </w:pPr>
          </w:p>
        </w:tc>
        <w:tc>
          <w:tcPr>
            <w:tcW w:w="1069" w:type="dxa"/>
            <w:vMerge w:val="continue"/>
            <w:tcBorders>
              <w:top w:val="nil"/>
              <w:bottom w:val="nil"/>
            </w:tcBorders>
            <w:vAlign w:val="top"/>
          </w:tcPr>
          <w:p w14:paraId="6540AE5A">
            <w:pPr>
              <w:rPr>
                <w:rFonts w:ascii="Arial"/>
                <w:sz w:val="21"/>
                <w:highlight w:val="none"/>
              </w:rPr>
            </w:pPr>
          </w:p>
        </w:tc>
        <w:tc>
          <w:tcPr>
            <w:tcW w:w="1578" w:type="dxa"/>
            <w:gridSpan w:val="2"/>
            <w:vAlign w:val="top"/>
          </w:tcPr>
          <w:p w14:paraId="1397B77C">
            <w:pPr>
              <w:spacing w:line="304" w:lineRule="auto"/>
              <w:rPr>
                <w:rFonts w:ascii="Arial"/>
                <w:sz w:val="21"/>
                <w:highlight w:val="none"/>
              </w:rPr>
            </w:pPr>
          </w:p>
          <w:p w14:paraId="562E0013">
            <w:pPr>
              <w:pStyle w:val="6"/>
              <w:spacing w:before="68" w:line="219" w:lineRule="auto"/>
              <w:ind w:left="156"/>
              <w:rPr>
                <w:highlight w:val="none"/>
              </w:rPr>
            </w:pPr>
            <w:r>
              <w:rPr>
                <w:spacing w:val="4"/>
                <w:highlight w:val="none"/>
              </w:rPr>
              <w:t>高级职称人员</w:t>
            </w:r>
          </w:p>
        </w:tc>
        <w:tc>
          <w:tcPr>
            <w:tcW w:w="2182" w:type="dxa"/>
            <w:gridSpan w:val="2"/>
            <w:vAlign w:val="top"/>
          </w:tcPr>
          <w:p w14:paraId="47D26499">
            <w:pPr>
              <w:rPr>
                <w:rFonts w:ascii="Arial"/>
                <w:sz w:val="21"/>
                <w:highlight w:val="none"/>
              </w:rPr>
            </w:pPr>
          </w:p>
        </w:tc>
      </w:tr>
      <w:tr w14:paraId="08A75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453" w:type="dxa"/>
            <w:vAlign w:val="top"/>
          </w:tcPr>
          <w:p w14:paraId="453F69EC">
            <w:pPr>
              <w:pStyle w:val="6"/>
              <w:spacing w:before="196" w:line="221" w:lineRule="auto"/>
              <w:ind w:left="295"/>
              <w:rPr>
                <w:highlight w:val="none"/>
              </w:rPr>
            </w:pPr>
            <w:r>
              <w:rPr>
                <w:spacing w:val="-2"/>
                <w:highlight w:val="none"/>
              </w:rPr>
              <w:t>注册资金</w:t>
            </w:r>
          </w:p>
        </w:tc>
        <w:tc>
          <w:tcPr>
            <w:tcW w:w="2227" w:type="dxa"/>
            <w:gridSpan w:val="2"/>
            <w:vAlign w:val="top"/>
          </w:tcPr>
          <w:p w14:paraId="07F93C38">
            <w:pPr>
              <w:rPr>
                <w:rFonts w:ascii="Arial"/>
                <w:sz w:val="21"/>
                <w:highlight w:val="none"/>
              </w:rPr>
            </w:pPr>
          </w:p>
        </w:tc>
        <w:tc>
          <w:tcPr>
            <w:tcW w:w="1069" w:type="dxa"/>
            <w:vMerge w:val="continue"/>
            <w:tcBorders>
              <w:top w:val="nil"/>
              <w:bottom w:val="nil"/>
            </w:tcBorders>
            <w:vAlign w:val="top"/>
          </w:tcPr>
          <w:p w14:paraId="51FEDD3B">
            <w:pPr>
              <w:rPr>
                <w:rFonts w:ascii="Arial"/>
                <w:sz w:val="21"/>
                <w:highlight w:val="none"/>
              </w:rPr>
            </w:pPr>
          </w:p>
        </w:tc>
        <w:tc>
          <w:tcPr>
            <w:tcW w:w="1578" w:type="dxa"/>
            <w:gridSpan w:val="2"/>
            <w:vAlign w:val="top"/>
          </w:tcPr>
          <w:p w14:paraId="6B8BB127">
            <w:pPr>
              <w:pStyle w:val="6"/>
              <w:spacing w:before="196" w:line="220" w:lineRule="auto"/>
              <w:ind w:left="156"/>
              <w:rPr>
                <w:highlight w:val="none"/>
              </w:rPr>
            </w:pPr>
            <w:r>
              <w:rPr>
                <w:spacing w:val="4"/>
                <w:highlight w:val="none"/>
              </w:rPr>
              <w:t>中级职称人员</w:t>
            </w:r>
          </w:p>
        </w:tc>
        <w:tc>
          <w:tcPr>
            <w:tcW w:w="2182" w:type="dxa"/>
            <w:gridSpan w:val="2"/>
            <w:vAlign w:val="top"/>
          </w:tcPr>
          <w:p w14:paraId="30FC2E0F">
            <w:pPr>
              <w:rPr>
                <w:rFonts w:ascii="Arial"/>
                <w:sz w:val="21"/>
                <w:highlight w:val="none"/>
              </w:rPr>
            </w:pPr>
          </w:p>
        </w:tc>
      </w:tr>
      <w:tr w14:paraId="04522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453" w:type="dxa"/>
            <w:vAlign w:val="top"/>
          </w:tcPr>
          <w:p w14:paraId="3418317A">
            <w:pPr>
              <w:pStyle w:val="6"/>
              <w:spacing w:before="64" w:line="248" w:lineRule="auto"/>
              <w:ind w:left="295" w:right="279"/>
              <w:rPr>
                <w:highlight w:val="none"/>
              </w:rPr>
            </w:pPr>
            <w:r>
              <w:rPr>
                <w:spacing w:val="7"/>
                <w:highlight w:val="none"/>
              </w:rPr>
              <w:t>基本账户</w:t>
            </w:r>
            <w:r>
              <w:rPr>
                <w:highlight w:val="none"/>
              </w:rPr>
              <w:t xml:space="preserve"> </w:t>
            </w:r>
            <w:r>
              <w:rPr>
                <w:spacing w:val="-2"/>
                <w:highlight w:val="none"/>
              </w:rPr>
              <w:t>开户银行</w:t>
            </w:r>
          </w:p>
        </w:tc>
        <w:tc>
          <w:tcPr>
            <w:tcW w:w="2227" w:type="dxa"/>
            <w:gridSpan w:val="2"/>
            <w:vAlign w:val="top"/>
          </w:tcPr>
          <w:p w14:paraId="0F537AFC">
            <w:pPr>
              <w:rPr>
                <w:rFonts w:ascii="Arial"/>
                <w:sz w:val="21"/>
                <w:highlight w:val="none"/>
              </w:rPr>
            </w:pPr>
          </w:p>
        </w:tc>
        <w:tc>
          <w:tcPr>
            <w:tcW w:w="1069" w:type="dxa"/>
            <w:vMerge w:val="continue"/>
            <w:tcBorders>
              <w:top w:val="nil"/>
              <w:bottom w:val="nil"/>
            </w:tcBorders>
            <w:vAlign w:val="top"/>
          </w:tcPr>
          <w:p w14:paraId="43E41897">
            <w:pPr>
              <w:rPr>
                <w:rFonts w:ascii="Arial"/>
                <w:sz w:val="21"/>
                <w:highlight w:val="none"/>
              </w:rPr>
            </w:pPr>
          </w:p>
        </w:tc>
        <w:tc>
          <w:tcPr>
            <w:tcW w:w="1578" w:type="dxa"/>
            <w:gridSpan w:val="2"/>
            <w:vAlign w:val="top"/>
          </w:tcPr>
          <w:p w14:paraId="16F7743F">
            <w:pPr>
              <w:pStyle w:val="6"/>
              <w:spacing w:before="226" w:line="221" w:lineRule="auto"/>
              <w:ind w:left="156"/>
              <w:rPr>
                <w:highlight w:val="none"/>
              </w:rPr>
            </w:pPr>
            <w:r>
              <w:rPr>
                <w:spacing w:val="4"/>
                <w:highlight w:val="none"/>
              </w:rPr>
              <w:t>初级职称人员</w:t>
            </w:r>
          </w:p>
        </w:tc>
        <w:tc>
          <w:tcPr>
            <w:tcW w:w="2182" w:type="dxa"/>
            <w:gridSpan w:val="2"/>
            <w:vAlign w:val="top"/>
          </w:tcPr>
          <w:p w14:paraId="2F278465">
            <w:pPr>
              <w:rPr>
                <w:rFonts w:ascii="Arial"/>
                <w:sz w:val="21"/>
                <w:highlight w:val="none"/>
              </w:rPr>
            </w:pPr>
          </w:p>
        </w:tc>
      </w:tr>
      <w:tr w14:paraId="12487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453" w:type="dxa"/>
            <w:vAlign w:val="top"/>
          </w:tcPr>
          <w:p w14:paraId="068768B4">
            <w:pPr>
              <w:pStyle w:val="6"/>
              <w:spacing w:before="55" w:line="219" w:lineRule="auto"/>
              <w:ind w:left="295"/>
              <w:rPr>
                <w:highlight w:val="none"/>
              </w:rPr>
            </w:pPr>
            <w:r>
              <w:rPr>
                <w:spacing w:val="7"/>
                <w:highlight w:val="none"/>
              </w:rPr>
              <w:t>基本账户</w:t>
            </w:r>
          </w:p>
          <w:p w14:paraId="4257D213">
            <w:pPr>
              <w:pStyle w:val="6"/>
              <w:spacing w:before="83" w:line="212" w:lineRule="auto"/>
              <w:ind w:left="504"/>
              <w:rPr>
                <w:highlight w:val="none"/>
              </w:rPr>
            </w:pPr>
            <w:r>
              <w:rPr>
                <w:spacing w:val="6"/>
                <w:highlight w:val="none"/>
              </w:rPr>
              <w:t>账号</w:t>
            </w:r>
          </w:p>
        </w:tc>
        <w:tc>
          <w:tcPr>
            <w:tcW w:w="2227" w:type="dxa"/>
            <w:gridSpan w:val="2"/>
            <w:vAlign w:val="top"/>
          </w:tcPr>
          <w:p w14:paraId="604B946B">
            <w:pPr>
              <w:rPr>
                <w:rFonts w:ascii="Arial"/>
                <w:sz w:val="21"/>
                <w:highlight w:val="none"/>
              </w:rPr>
            </w:pPr>
          </w:p>
        </w:tc>
        <w:tc>
          <w:tcPr>
            <w:tcW w:w="1069" w:type="dxa"/>
            <w:vMerge w:val="continue"/>
            <w:tcBorders>
              <w:top w:val="nil"/>
            </w:tcBorders>
            <w:vAlign w:val="top"/>
          </w:tcPr>
          <w:p w14:paraId="0E0E89C5">
            <w:pPr>
              <w:rPr>
                <w:rFonts w:ascii="Arial"/>
                <w:sz w:val="21"/>
                <w:highlight w:val="none"/>
              </w:rPr>
            </w:pPr>
          </w:p>
        </w:tc>
        <w:tc>
          <w:tcPr>
            <w:tcW w:w="1578" w:type="dxa"/>
            <w:gridSpan w:val="2"/>
            <w:vAlign w:val="top"/>
          </w:tcPr>
          <w:p w14:paraId="5227F60A">
            <w:pPr>
              <w:pStyle w:val="6"/>
              <w:spacing w:before="227" w:line="221" w:lineRule="auto"/>
              <w:ind w:left="465"/>
              <w:rPr>
                <w:highlight w:val="none"/>
              </w:rPr>
            </w:pPr>
            <w:r>
              <w:rPr>
                <w:spacing w:val="-5"/>
                <w:highlight w:val="none"/>
              </w:rPr>
              <w:t>技</w:t>
            </w:r>
            <w:r>
              <w:rPr>
                <w:spacing w:val="20"/>
                <w:highlight w:val="none"/>
              </w:rPr>
              <w:t xml:space="preserve">  </w:t>
            </w:r>
            <w:r>
              <w:rPr>
                <w:spacing w:val="-5"/>
                <w:highlight w:val="none"/>
              </w:rPr>
              <w:t>工</w:t>
            </w:r>
          </w:p>
        </w:tc>
        <w:tc>
          <w:tcPr>
            <w:tcW w:w="2182" w:type="dxa"/>
            <w:gridSpan w:val="2"/>
            <w:vAlign w:val="top"/>
          </w:tcPr>
          <w:p w14:paraId="64E10419">
            <w:pPr>
              <w:rPr>
                <w:rFonts w:ascii="Arial"/>
                <w:sz w:val="21"/>
                <w:highlight w:val="none"/>
              </w:rPr>
            </w:pPr>
          </w:p>
        </w:tc>
      </w:tr>
      <w:tr w14:paraId="155BD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9" w:hRule="atLeast"/>
        </w:trPr>
        <w:tc>
          <w:tcPr>
            <w:tcW w:w="1453" w:type="dxa"/>
            <w:vAlign w:val="top"/>
          </w:tcPr>
          <w:p w14:paraId="54AA563F">
            <w:pPr>
              <w:spacing w:line="273" w:lineRule="auto"/>
              <w:rPr>
                <w:rFonts w:ascii="Arial"/>
                <w:sz w:val="21"/>
                <w:highlight w:val="none"/>
              </w:rPr>
            </w:pPr>
          </w:p>
          <w:p w14:paraId="34A9B4C2">
            <w:pPr>
              <w:spacing w:line="273" w:lineRule="auto"/>
              <w:rPr>
                <w:rFonts w:ascii="Arial"/>
                <w:sz w:val="21"/>
                <w:highlight w:val="none"/>
              </w:rPr>
            </w:pPr>
          </w:p>
          <w:p w14:paraId="40455003">
            <w:pPr>
              <w:pStyle w:val="6"/>
              <w:spacing w:before="68" w:line="220" w:lineRule="auto"/>
              <w:ind w:left="295"/>
              <w:rPr>
                <w:highlight w:val="none"/>
              </w:rPr>
            </w:pPr>
            <w:r>
              <w:rPr>
                <w:spacing w:val="4"/>
                <w:highlight w:val="none"/>
              </w:rPr>
              <w:t>经营范围</w:t>
            </w:r>
          </w:p>
        </w:tc>
        <w:tc>
          <w:tcPr>
            <w:tcW w:w="7056" w:type="dxa"/>
            <w:gridSpan w:val="7"/>
            <w:vAlign w:val="top"/>
          </w:tcPr>
          <w:p w14:paraId="56084D18">
            <w:pPr>
              <w:rPr>
                <w:rFonts w:ascii="Arial"/>
                <w:sz w:val="21"/>
                <w:highlight w:val="none"/>
              </w:rPr>
            </w:pPr>
          </w:p>
        </w:tc>
      </w:tr>
      <w:tr w14:paraId="21D00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1453" w:type="dxa"/>
            <w:vAlign w:val="top"/>
          </w:tcPr>
          <w:p w14:paraId="0A2BC386">
            <w:pPr>
              <w:pStyle w:val="6"/>
              <w:spacing w:before="189" w:line="221" w:lineRule="auto"/>
              <w:ind w:left="504"/>
              <w:rPr>
                <w:highlight w:val="none"/>
              </w:rPr>
            </w:pPr>
            <w:r>
              <w:rPr>
                <w:spacing w:val="5"/>
                <w:highlight w:val="none"/>
              </w:rPr>
              <w:t>备注</w:t>
            </w:r>
          </w:p>
        </w:tc>
        <w:tc>
          <w:tcPr>
            <w:tcW w:w="7056" w:type="dxa"/>
            <w:gridSpan w:val="7"/>
            <w:vAlign w:val="top"/>
          </w:tcPr>
          <w:p w14:paraId="05B65F2F">
            <w:pPr>
              <w:rPr>
                <w:rFonts w:ascii="Arial"/>
                <w:sz w:val="21"/>
                <w:highlight w:val="none"/>
              </w:rPr>
            </w:pPr>
          </w:p>
        </w:tc>
      </w:tr>
    </w:tbl>
    <w:p w14:paraId="7CC3BA54">
      <w:pPr>
        <w:spacing w:before="163" w:line="336" w:lineRule="auto"/>
        <w:ind w:left="94" w:right="114" w:firstLine="40"/>
        <w:rPr>
          <w:rFonts w:ascii="宋体" w:hAnsi="宋体" w:eastAsia="宋体" w:cs="宋体"/>
          <w:sz w:val="22"/>
          <w:szCs w:val="22"/>
          <w:highlight w:val="none"/>
        </w:rPr>
      </w:pPr>
      <w:r>
        <w:rPr>
          <w:rFonts w:ascii="宋体" w:hAnsi="宋体" w:eastAsia="宋体" w:cs="宋体"/>
          <w:spacing w:val="-8"/>
          <w:sz w:val="22"/>
          <w:szCs w:val="22"/>
          <w:highlight w:val="none"/>
        </w:rPr>
        <w:t>备注：1.本表后应附企业法人营业执照、企业资质证书、安全生产许可证(如有)、基本账</w:t>
      </w:r>
      <w:r>
        <w:rPr>
          <w:rFonts w:ascii="宋体" w:hAnsi="宋体" w:eastAsia="宋体" w:cs="宋体"/>
          <w:spacing w:val="17"/>
          <w:sz w:val="22"/>
          <w:szCs w:val="22"/>
          <w:highlight w:val="none"/>
        </w:rPr>
        <w:t xml:space="preserve"> </w:t>
      </w:r>
      <w:r>
        <w:rPr>
          <w:rFonts w:ascii="宋体" w:hAnsi="宋体" w:eastAsia="宋体" w:cs="宋体"/>
          <w:spacing w:val="-10"/>
          <w:sz w:val="22"/>
          <w:szCs w:val="22"/>
          <w:highlight w:val="none"/>
        </w:rPr>
        <w:t>户开户许可证、质量、环境、职业健康安全管理体系认证证书等材料的复印件。</w:t>
      </w:r>
    </w:p>
    <w:p w14:paraId="7EBDD798">
      <w:pPr>
        <w:spacing w:line="220" w:lineRule="auto"/>
        <w:ind w:left="714"/>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 xml:space="preserve">2. </w:t>
      </w:r>
      <w:r>
        <w:rPr>
          <w:rFonts w:ascii="宋体" w:hAnsi="宋体" w:eastAsia="宋体" w:cs="宋体"/>
          <w:spacing w:val="-10"/>
          <w:sz w:val="22"/>
          <w:szCs w:val="22"/>
          <w:highlight w:val="none"/>
        </w:rPr>
        <w:t>以联合体形式投标的，联合体各成员应分别填写。</w:t>
      </w:r>
    </w:p>
    <w:p w14:paraId="7245150B">
      <w:pPr>
        <w:spacing w:before="146" w:line="290" w:lineRule="auto"/>
        <w:ind w:left="94" w:right="115" w:firstLine="62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 xml:space="preserve">3. </w:t>
      </w:r>
      <w:r>
        <w:rPr>
          <w:rFonts w:ascii="宋体" w:hAnsi="宋体" w:eastAsia="宋体" w:cs="宋体"/>
          <w:spacing w:val="-2"/>
          <w:sz w:val="21"/>
          <w:szCs w:val="21"/>
          <w:highlight w:val="none"/>
        </w:rPr>
        <w:t>未披露或未真实披露投标人与其关联单位的关系的相关情况视为弄虚作假</w:t>
      </w:r>
      <w:r>
        <w:rPr>
          <w:rFonts w:ascii="宋体" w:hAnsi="宋体" w:eastAsia="宋体" w:cs="宋体"/>
          <w:spacing w:val="-3"/>
          <w:sz w:val="21"/>
          <w:szCs w:val="21"/>
          <w:highlight w:val="none"/>
        </w:rPr>
        <w:t>，没有关</w:t>
      </w:r>
      <w:r>
        <w:rPr>
          <w:rFonts w:ascii="宋体" w:hAnsi="宋体" w:eastAsia="宋体" w:cs="宋体"/>
          <w:sz w:val="21"/>
          <w:szCs w:val="21"/>
          <w:highlight w:val="none"/>
        </w:rPr>
        <w:t xml:space="preserve"> </w:t>
      </w:r>
      <w:r>
        <w:rPr>
          <w:rFonts w:ascii="宋体" w:hAnsi="宋体" w:eastAsia="宋体" w:cs="宋体"/>
          <w:spacing w:val="-12"/>
          <w:sz w:val="21"/>
          <w:szCs w:val="21"/>
          <w:highlight w:val="none"/>
        </w:rPr>
        <w:t>联单位的明确填“无”。</w:t>
      </w:r>
    </w:p>
    <w:p w14:paraId="77427C78">
      <w:pPr>
        <w:spacing w:line="290" w:lineRule="auto"/>
        <w:rPr>
          <w:rFonts w:ascii="宋体" w:hAnsi="宋体" w:eastAsia="宋体" w:cs="宋体"/>
          <w:sz w:val="21"/>
          <w:szCs w:val="21"/>
          <w:highlight w:val="none"/>
        </w:rPr>
        <w:sectPr>
          <w:footerReference r:id="rId263" w:type="default"/>
          <w:pgSz w:w="11910" w:h="16840"/>
          <w:pgMar w:top="400" w:right="1705" w:bottom="1238" w:left="1685" w:header="0" w:footer="1006" w:gutter="0"/>
          <w:cols w:space="720" w:num="1"/>
        </w:sectPr>
      </w:pPr>
    </w:p>
    <w:p w14:paraId="0AD240EF">
      <w:pPr>
        <w:pStyle w:val="2"/>
        <w:spacing w:line="277" w:lineRule="auto"/>
        <w:rPr>
          <w:highlight w:val="none"/>
        </w:rPr>
      </w:pPr>
    </w:p>
    <w:p w14:paraId="334638A5">
      <w:pPr>
        <w:pStyle w:val="2"/>
        <w:spacing w:line="278" w:lineRule="auto"/>
        <w:rPr>
          <w:highlight w:val="none"/>
        </w:rPr>
      </w:pPr>
    </w:p>
    <w:p w14:paraId="12834B5C">
      <w:pPr>
        <w:pStyle w:val="2"/>
        <w:spacing w:line="278" w:lineRule="auto"/>
        <w:rPr>
          <w:highlight w:val="none"/>
        </w:rPr>
      </w:pPr>
    </w:p>
    <w:p w14:paraId="4DCAA878">
      <w:pPr>
        <w:pStyle w:val="2"/>
        <w:spacing w:line="278" w:lineRule="auto"/>
        <w:rPr>
          <w:highlight w:val="none"/>
        </w:rPr>
      </w:pPr>
    </w:p>
    <w:p w14:paraId="1850B215">
      <w:pPr>
        <w:spacing w:before="91" w:line="221" w:lineRule="auto"/>
        <w:ind w:left="524"/>
        <w:rPr>
          <w:rFonts w:ascii="黑体" w:hAnsi="黑体" w:eastAsia="黑体" w:cs="黑体"/>
          <w:sz w:val="28"/>
          <w:szCs w:val="28"/>
          <w:highlight w:val="none"/>
        </w:rPr>
      </w:pPr>
      <w:r>
        <w:rPr>
          <w:rFonts w:ascii="黑体" w:hAnsi="黑体" w:eastAsia="黑体" w:cs="黑体"/>
          <w:spacing w:val="-1"/>
          <w:sz w:val="28"/>
          <w:szCs w:val="28"/>
          <w:highlight w:val="none"/>
        </w:rPr>
        <w:t>(二)关联单位情况说明</w:t>
      </w:r>
    </w:p>
    <w:p w14:paraId="79B871AD">
      <w:pPr>
        <w:spacing w:before="243" w:line="221" w:lineRule="auto"/>
        <w:ind w:left="3444"/>
        <w:rPr>
          <w:rFonts w:ascii="黑体" w:hAnsi="黑体" w:eastAsia="黑体" w:cs="黑体"/>
          <w:sz w:val="24"/>
          <w:szCs w:val="24"/>
          <w:highlight w:val="none"/>
        </w:rPr>
      </w:pPr>
      <w:r>
        <w:rPr>
          <w:rFonts w:ascii="黑体" w:hAnsi="黑体" w:eastAsia="黑体" w:cs="黑体"/>
          <w:spacing w:val="5"/>
          <w:sz w:val="24"/>
          <w:szCs w:val="24"/>
          <w:highlight w:val="none"/>
        </w:rPr>
        <w:t>1-2关联单位情况说明</w:t>
      </w:r>
    </w:p>
    <w:p w14:paraId="0F7C9465">
      <w:pPr>
        <w:spacing w:before="108"/>
        <w:rPr>
          <w:highlight w:val="none"/>
        </w:rPr>
      </w:pPr>
    </w:p>
    <w:tbl>
      <w:tblPr>
        <w:tblStyle w:val="5"/>
        <w:tblW w:w="9220" w:type="dxa"/>
        <w:tblInd w:w="5"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220"/>
      </w:tblGrid>
      <w:tr w14:paraId="4C8152E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8400" w:hRule="atLeast"/>
        </w:trPr>
        <w:tc>
          <w:tcPr>
            <w:tcW w:w="9220" w:type="dxa"/>
            <w:vAlign w:val="top"/>
          </w:tcPr>
          <w:p w14:paraId="586014AF">
            <w:pPr>
              <w:spacing w:line="361" w:lineRule="auto"/>
              <w:rPr>
                <w:rFonts w:ascii="Arial"/>
                <w:sz w:val="21"/>
                <w:highlight w:val="none"/>
              </w:rPr>
            </w:pPr>
          </w:p>
          <w:p w14:paraId="77BA26FB">
            <w:pPr>
              <w:pStyle w:val="6"/>
              <w:spacing w:before="69" w:line="219" w:lineRule="auto"/>
              <w:ind w:left="5"/>
              <w:rPr>
                <w:highlight w:val="none"/>
              </w:rPr>
            </w:pPr>
            <w:r>
              <w:rPr>
                <w:highlight w:val="none"/>
              </w:rPr>
              <w:t>单位负责人与本单位负责人为同一人的单位：</w:t>
            </w:r>
          </w:p>
          <w:p w14:paraId="3FBDF2D4">
            <w:pPr>
              <w:spacing w:line="271" w:lineRule="auto"/>
              <w:rPr>
                <w:rFonts w:ascii="Arial"/>
                <w:sz w:val="21"/>
                <w:highlight w:val="none"/>
              </w:rPr>
            </w:pPr>
          </w:p>
          <w:p w14:paraId="6FED600E">
            <w:pPr>
              <w:spacing w:line="271" w:lineRule="auto"/>
              <w:rPr>
                <w:rFonts w:ascii="Arial"/>
                <w:sz w:val="21"/>
                <w:highlight w:val="none"/>
              </w:rPr>
            </w:pPr>
          </w:p>
          <w:p w14:paraId="4884E1DC">
            <w:pPr>
              <w:spacing w:line="271" w:lineRule="auto"/>
              <w:rPr>
                <w:rFonts w:ascii="Arial"/>
                <w:sz w:val="21"/>
                <w:highlight w:val="none"/>
              </w:rPr>
            </w:pPr>
          </w:p>
          <w:p w14:paraId="05CBACDA">
            <w:pPr>
              <w:spacing w:line="271" w:lineRule="auto"/>
              <w:rPr>
                <w:rFonts w:ascii="Arial"/>
                <w:sz w:val="21"/>
                <w:highlight w:val="none"/>
              </w:rPr>
            </w:pPr>
          </w:p>
          <w:p w14:paraId="2D482389">
            <w:pPr>
              <w:spacing w:line="272" w:lineRule="auto"/>
              <w:rPr>
                <w:rFonts w:ascii="Arial"/>
                <w:sz w:val="21"/>
                <w:highlight w:val="none"/>
              </w:rPr>
            </w:pPr>
          </w:p>
          <w:p w14:paraId="76F54C98">
            <w:pPr>
              <w:spacing w:line="272" w:lineRule="auto"/>
              <w:rPr>
                <w:rFonts w:ascii="Arial"/>
                <w:sz w:val="21"/>
                <w:highlight w:val="none"/>
              </w:rPr>
            </w:pPr>
          </w:p>
          <w:p w14:paraId="03B5B9DC">
            <w:pPr>
              <w:spacing w:line="272" w:lineRule="auto"/>
              <w:rPr>
                <w:rFonts w:ascii="Arial"/>
                <w:sz w:val="21"/>
                <w:highlight w:val="none"/>
              </w:rPr>
            </w:pPr>
          </w:p>
          <w:p w14:paraId="079E6A19">
            <w:pPr>
              <w:pStyle w:val="6"/>
              <w:spacing w:before="69" w:line="219" w:lineRule="auto"/>
              <w:ind w:left="5"/>
              <w:rPr>
                <w:highlight w:val="none"/>
              </w:rPr>
            </w:pPr>
            <w:r>
              <w:rPr>
                <w:highlight w:val="none"/>
              </w:rPr>
              <w:t>与本单位存在控股与被控股关系的单位：</w:t>
            </w:r>
          </w:p>
          <w:p w14:paraId="7F0653AE">
            <w:pPr>
              <w:spacing w:line="261" w:lineRule="auto"/>
              <w:rPr>
                <w:rFonts w:ascii="Arial"/>
                <w:sz w:val="21"/>
                <w:highlight w:val="none"/>
              </w:rPr>
            </w:pPr>
          </w:p>
          <w:p w14:paraId="4B6B44A8">
            <w:pPr>
              <w:spacing w:line="261" w:lineRule="auto"/>
              <w:rPr>
                <w:rFonts w:ascii="Arial"/>
                <w:sz w:val="21"/>
                <w:highlight w:val="none"/>
              </w:rPr>
            </w:pPr>
          </w:p>
          <w:p w14:paraId="58DE178C">
            <w:pPr>
              <w:spacing w:line="261" w:lineRule="auto"/>
              <w:rPr>
                <w:rFonts w:ascii="Arial"/>
                <w:sz w:val="21"/>
                <w:highlight w:val="none"/>
              </w:rPr>
            </w:pPr>
          </w:p>
          <w:p w14:paraId="0DD47EF5">
            <w:pPr>
              <w:spacing w:line="261" w:lineRule="auto"/>
              <w:rPr>
                <w:rFonts w:ascii="Arial"/>
                <w:sz w:val="21"/>
                <w:highlight w:val="none"/>
              </w:rPr>
            </w:pPr>
          </w:p>
          <w:p w14:paraId="0C8B7297">
            <w:pPr>
              <w:spacing w:line="261" w:lineRule="auto"/>
              <w:rPr>
                <w:rFonts w:ascii="Arial"/>
                <w:sz w:val="21"/>
                <w:highlight w:val="none"/>
              </w:rPr>
            </w:pPr>
          </w:p>
          <w:p w14:paraId="36477038">
            <w:pPr>
              <w:spacing w:line="261" w:lineRule="auto"/>
              <w:rPr>
                <w:rFonts w:ascii="Arial"/>
                <w:sz w:val="21"/>
                <w:highlight w:val="none"/>
              </w:rPr>
            </w:pPr>
          </w:p>
          <w:p w14:paraId="4F317DDF">
            <w:pPr>
              <w:spacing w:line="261" w:lineRule="auto"/>
              <w:rPr>
                <w:rFonts w:ascii="Arial"/>
                <w:sz w:val="21"/>
                <w:highlight w:val="none"/>
              </w:rPr>
            </w:pPr>
          </w:p>
          <w:p w14:paraId="0FD1690A">
            <w:pPr>
              <w:spacing w:line="261" w:lineRule="auto"/>
              <w:rPr>
                <w:rFonts w:ascii="Arial"/>
                <w:sz w:val="21"/>
                <w:highlight w:val="none"/>
              </w:rPr>
            </w:pPr>
          </w:p>
          <w:p w14:paraId="2CB6A25E">
            <w:pPr>
              <w:spacing w:line="262" w:lineRule="auto"/>
              <w:rPr>
                <w:rFonts w:ascii="Arial"/>
                <w:sz w:val="21"/>
                <w:highlight w:val="none"/>
              </w:rPr>
            </w:pPr>
          </w:p>
          <w:p w14:paraId="15A69EEF">
            <w:pPr>
              <w:spacing w:line="262" w:lineRule="auto"/>
              <w:rPr>
                <w:rFonts w:ascii="Arial"/>
                <w:sz w:val="21"/>
                <w:highlight w:val="none"/>
              </w:rPr>
            </w:pPr>
          </w:p>
          <w:p w14:paraId="5139A4DA">
            <w:pPr>
              <w:spacing w:line="262" w:lineRule="auto"/>
              <w:rPr>
                <w:rFonts w:ascii="Arial"/>
                <w:sz w:val="21"/>
                <w:highlight w:val="none"/>
              </w:rPr>
            </w:pPr>
          </w:p>
          <w:p w14:paraId="2E1C41B3">
            <w:pPr>
              <w:pStyle w:val="6"/>
              <w:spacing w:before="69" w:line="219" w:lineRule="auto"/>
              <w:ind w:left="5"/>
              <w:rPr>
                <w:highlight w:val="none"/>
              </w:rPr>
            </w:pPr>
            <w:r>
              <w:rPr>
                <w:highlight w:val="none"/>
              </w:rPr>
              <w:t>与本单位存在管理与被管理关系的单位：</w:t>
            </w:r>
          </w:p>
        </w:tc>
      </w:tr>
    </w:tbl>
    <w:p w14:paraId="0193350E">
      <w:pPr>
        <w:pStyle w:val="2"/>
        <w:spacing w:line="400" w:lineRule="auto"/>
        <w:rPr>
          <w:highlight w:val="none"/>
        </w:rPr>
      </w:pPr>
    </w:p>
    <w:p w14:paraId="09C71C5D">
      <w:pPr>
        <w:spacing w:before="71" w:line="219" w:lineRule="auto"/>
        <w:ind w:left="474"/>
        <w:rPr>
          <w:rFonts w:ascii="宋体" w:hAnsi="宋体" w:eastAsia="宋体" w:cs="宋体"/>
          <w:sz w:val="22"/>
          <w:szCs w:val="22"/>
          <w:highlight w:val="none"/>
        </w:rPr>
      </w:pPr>
      <w:r>
        <w:rPr>
          <w:rFonts w:ascii="宋体" w:hAnsi="宋体" w:eastAsia="宋体" w:cs="宋体"/>
          <w:spacing w:val="-10"/>
          <w:sz w:val="22"/>
          <w:szCs w:val="22"/>
          <w:highlight w:val="none"/>
        </w:rPr>
        <w:t>备注：1.投标人应当如实披露相关关联单</w:t>
      </w:r>
      <w:r>
        <w:rPr>
          <w:rFonts w:ascii="宋体" w:hAnsi="宋体" w:eastAsia="宋体" w:cs="宋体"/>
          <w:spacing w:val="-11"/>
          <w:sz w:val="22"/>
          <w:szCs w:val="22"/>
          <w:highlight w:val="none"/>
        </w:rPr>
        <w:t>位的情况。没有相关关联单位的明确填“无”。</w:t>
      </w:r>
    </w:p>
    <w:p w14:paraId="0A40CE3C">
      <w:pPr>
        <w:spacing w:before="109" w:line="220" w:lineRule="auto"/>
        <w:ind w:left="1105"/>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2.</w:t>
      </w:r>
      <w:r>
        <w:rPr>
          <w:rFonts w:ascii="Times New Roman" w:hAnsi="Times New Roman" w:eastAsia="Times New Roman" w:cs="Times New Roman"/>
          <w:spacing w:val="47"/>
          <w:sz w:val="22"/>
          <w:szCs w:val="22"/>
          <w:highlight w:val="none"/>
        </w:rPr>
        <w:t xml:space="preserve"> </w:t>
      </w:r>
      <w:r>
        <w:rPr>
          <w:rFonts w:ascii="宋体" w:hAnsi="宋体" w:eastAsia="宋体" w:cs="宋体"/>
          <w:spacing w:val="-9"/>
          <w:sz w:val="22"/>
          <w:szCs w:val="22"/>
          <w:highlight w:val="none"/>
        </w:rPr>
        <w:t>联合体投标的，联合体各成员应分别填写。</w:t>
      </w:r>
    </w:p>
    <w:p w14:paraId="0FBAE71B">
      <w:pPr>
        <w:spacing w:line="220" w:lineRule="auto"/>
        <w:rPr>
          <w:rFonts w:ascii="宋体" w:hAnsi="宋体" w:eastAsia="宋体" w:cs="宋体"/>
          <w:sz w:val="22"/>
          <w:szCs w:val="22"/>
          <w:highlight w:val="none"/>
        </w:rPr>
        <w:sectPr>
          <w:footerReference r:id="rId264" w:type="default"/>
          <w:pgSz w:w="11910" w:h="16840"/>
          <w:pgMar w:top="400" w:right="1365" w:bottom="1238" w:left="1314" w:header="0" w:footer="1006" w:gutter="0"/>
          <w:cols w:space="720" w:num="1"/>
        </w:sectPr>
      </w:pPr>
    </w:p>
    <w:p w14:paraId="25E9C52A">
      <w:pPr>
        <w:pStyle w:val="2"/>
        <w:spacing w:line="277" w:lineRule="auto"/>
        <w:rPr>
          <w:highlight w:val="none"/>
        </w:rPr>
      </w:pPr>
    </w:p>
    <w:p w14:paraId="4C3768A4">
      <w:pPr>
        <w:pStyle w:val="2"/>
        <w:spacing w:line="278" w:lineRule="auto"/>
        <w:rPr>
          <w:highlight w:val="none"/>
        </w:rPr>
      </w:pPr>
    </w:p>
    <w:p w14:paraId="200F93D6">
      <w:pPr>
        <w:pStyle w:val="2"/>
        <w:spacing w:line="278" w:lineRule="auto"/>
        <w:rPr>
          <w:highlight w:val="none"/>
        </w:rPr>
      </w:pPr>
    </w:p>
    <w:p w14:paraId="5249C455">
      <w:pPr>
        <w:pStyle w:val="2"/>
        <w:spacing w:line="278" w:lineRule="auto"/>
        <w:rPr>
          <w:highlight w:val="none"/>
        </w:rPr>
      </w:pPr>
    </w:p>
    <w:p w14:paraId="700E0138">
      <w:pPr>
        <w:spacing w:before="91" w:line="221" w:lineRule="auto"/>
        <w:ind w:left="50"/>
        <w:rPr>
          <w:rFonts w:ascii="黑体" w:hAnsi="黑体" w:eastAsia="黑体" w:cs="黑体"/>
          <w:sz w:val="28"/>
          <w:szCs w:val="28"/>
          <w:highlight w:val="none"/>
        </w:rPr>
      </w:pPr>
      <w:r>
        <w:rPr>
          <w:rFonts w:ascii="黑体" w:hAnsi="黑体" w:eastAsia="黑体" w:cs="黑体"/>
          <w:sz w:val="28"/>
          <w:szCs w:val="28"/>
          <w:highlight w:val="none"/>
        </w:rPr>
        <w:t>(三)近年财务状况表</w:t>
      </w:r>
    </w:p>
    <w:p w14:paraId="73F7E0CF">
      <w:pPr>
        <w:spacing w:before="232" w:line="213" w:lineRule="auto"/>
        <w:ind w:left="3103"/>
        <w:rPr>
          <w:rFonts w:ascii="宋体" w:hAnsi="宋体" w:eastAsia="宋体" w:cs="宋体"/>
          <w:sz w:val="25"/>
          <w:szCs w:val="25"/>
          <w:highlight w:val="none"/>
        </w:rPr>
      </w:pPr>
      <w:r>
        <w:rPr>
          <w:rFonts w:ascii="宋体" w:hAnsi="宋体" w:eastAsia="宋体" w:cs="宋体"/>
          <w:b/>
          <w:bCs/>
          <w:spacing w:val="-4"/>
          <w:sz w:val="25"/>
          <w:szCs w:val="25"/>
          <w:highlight w:val="none"/>
        </w:rPr>
        <w:t>2-1近年财务状况表</w:t>
      </w:r>
    </w:p>
    <w:tbl>
      <w:tblPr>
        <w:tblStyle w:val="5"/>
        <w:tblW w:w="841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3"/>
        <w:gridCol w:w="739"/>
        <w:gridCol w:w="1329"/>
        <w:gridCol w:w="1458"/>
        <w:gridCol w:w="1438"/>
        <w:gridCol w:w="1453"/>
      </w:tblGrid>
      <w:tr w14:paraId="14DB8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atLeast"/>
        </w:trPr>
        <w:tc>
          <w:tcPr>
            <w:tcW w:w="1993" w:type="dxa"/>
            <w:vAlign w:val="top"/>
          </w:tcPr>
          <w:p w14:paraId="6E5CA63A">
            <w:pPr>
              <w:pStyle w:val="6"/>
              <w:spacing w:before="148" w:line="221" w:lineRule="auto"/>
              <w:ind w:left="775"/>
              <w:rPr>
                <w:sz w:val="24"/>
                <w:szCs w:val="24"/>
                <w:highlight w:val="none"/>
              </w:rPr>
            </w:pPr>
            <w:r>
              <w:rPr>
                <w:spacing w:val="6"/>
                <w:sz w:val="24"/>
                <w:szCs w:val="24"/>
                <w:highlight w:val="none"/>
              </w:rPr>
              <w:t>名称</w:t>
            </w:r>
          </w:p>
        </w:tc>
        <w:tc>
          <w:tcPr>
            <w:tcW w:w="739" w:type="dxa"/>
            <w:vAlign w:val="top"/>
          </w:tcPr>
          <w:p w14:paraId="6A280C3E">
            <w:pPr>
              <w:pStyle w:val="6"/>
              <w:spacing w:before="145" w:line="220" w:lineRule="auto"/>
              <w:ind w:left="122"/>
              <w:rPr>
                <w:sz w:val="24"/>
                <w:szCs w:val="24"/>
                <w:highlight w:val="none"/>
              </w:rPr>
            </w:pPr>
            <w:r>
              <w:rPr>
                <w:spacing w:val="4"/>
                <w:sz w:val="24"/>
                <w:szCs w:val="24"/>
                <w:highlight w:val="none"/>
              </w:rPr>
              <w:t>单位</w:t>
            </w:r>
          </w:p>
        </w:tc>
        <w:tc>
          <w:tcPr>
            <w:tcW w:w="1329" w:type="dxa"/>
            <w:vAlign w:val="top"/>
          </w:tcPr>
          <w:p w14:paraId="6EB1C460">
            <w:pPr>
              <w:pStyle w:val="6"/>
              <w:tabs>
                <w:tab w:val="left" w:pos="963"/>
              </w:tabs>
              <w:spacing w:before="145" w:line="219" w:lineRule="auto"/>
              <w:ind w:left="323"/>
              <w:rPr>
                <w:sz w:val="24"/>
                <w:szCs w:val="24"/>
                <w:highlight w:val="none"/>
              </w:rPr>
            </w:pPr>
            <w:r>
              <w:rPr>
                <w:sz w:val="24"/>
                <w:szCs w:val="24"/>
                <w:highlight w:val="none"/>
                <w:u w:val="single" w:color="auto"/>
              </w:rPr>
              <w:tab/>
            </w:r>
            <w:r>
              <w:rPr>
                <w:sz w:val="24"/>
                <w:szCs w:val="24"/>
                <w:highlight w:val="none"/>
              </w:rPr>
              <w:t>年</w:t>
            </w:r>
          </w:p>
        </w:tc>
        <w:tc>
          <w:tcPr>
            <w:tcW w:w="1458" w:type="dxa"/>
            <w:vAlign w:val="top"/>
          </w:tcPr>
          <w:p w14:paraId="0F710E74">
            <w:pPr>
              <w:pStyle w:val="6"/>
              <w:tabs>
                <w:tab w:val="left" w:pos="1044"/>
              </w:tabs>
              <w:spacing w:before="145" w:line="219" w:lineRule="auto"/>
              <w:ind w:left="354"/>
              <w:rPr>
                <w:sz w:val="24"/>
                <w:szCs w:val="24"/>
                <w:highlight w:val="none"/>
              </w:rPr>
            </w:pPr>
            <w:r>
              <w:rPr>
                <w:sz w:val="24"/>
                <w:szCs w:val="24"/>
                <w:highlight w:val="none"/>
                <w:u w:val="single" w:color="auto"/>
              </w:rPr>
              <w:tab/>
            </w:r>
            <w:r>
              <w:rPr>
                <w:sz w:val="24"/>
                <w:szCs w:val="24"/>
                <w:highlight w:val="none"/>
              </w:rPr>
              <w:t>年</w:t>
            </w:r>
          </w:p>
        </w:tc>
        <w:tc>
          <w:tcPr>
            <w:tcW w:w="1438" w:type="dxa"/>
            <w:vAlign w:val="top"/>
          </w:tcPr>
          <w:p w14:paraId="1EDDEE9A">
            <w:pPr>
              <w:pStyle w:val="6"/>
              <w:tabs>
                <w:tab w:val="left" w:pos="795"/>
              </w:tabs>
              <w:spacing w:before="145" w:line="219" w:lineRule="auto"/>
              <w:ind w:left="436"/>
              <w:rPr>
                <w:sz w:val="24"/>
                <w:szCs w:val="24"/>
                <w:highlight w:val="none"/>
              </w:rPr>
            </w:pPr>
            <w:r>
              <w:rPr>
                <w:sz w:val="24"/>
                <w:szCs w:val="24"/>
                <w:highlight w:val="none"/>
                <w:u w:val="single" w:color="auto"/>
              </w:rPr>
              <w:tab/>
            </w:r>
            <w:r>
              <w:rPr>
                <w:sz w:val="24"/>
                <w:szCs w:val="24"/>
                <w:highlight w:val="none"/>
              </w:rPr>
              <w:t>年</w:t>
            </w:r>
          </w:p>
        </w:tc>
        <w:tc>
          <w:tcPr>
            <w:tcW w:w="1453" w:type="dxa"/>
            <w:vAlign w:val="top"/>
          </w:tcPr>
          <w:p w14:paraId="2BCAA379">
            <w:pPr>
              <w:pStyle w:val="6"/>
              <w:spacing w:before="190" w:line="219" w:lineRule="auto"/>
              <w:ind w:left="78"/>
              <w:rPr>
                <w:sz w:val="14"/>
                <w:szCs w:val="14"/>
                <w:highlight w:val="none"/>
              </w:rPr>
            </w:pPr>
            <w:r>
              <w:rPr>
                <w:spacing w:val="-6"/>
                <w:sz w:val="14"/>
                <w:szCs w:val="14"/>
                <w:highlight w:val="none"/>
              </w:rPr>
              <w:t>近</w:t>
            </w:r>
            <w:r>
              <w:rPr>
                <w:spacing w:val="47"/>
                <w:sz w:val="14"/>
                <w:szCs w:val="14"/>
                <w:highlight w:val="none"/>
              </w:rPr>
              <w:t xml:space="preserve"> </w:t>
            </w:r>
            <w:r>
              <w:rPr>
                <w:spacing w:val="-6"/>
                <w:sz w:val="14"/>
                <w:szCs w:val="14"/>
                <w:highlight w:val="none"/>
              </w:rPr>
              <w:t>3</w:t>
            </w:r>
            <w:r>
              <w:rPr>
                <w:spacing w:val="40"/>
                <w:sz w:val="14"/>
                <w:szCs w:val="14"/>
                <w:highlight w:val="none"/>
              </w:rPr>
              <w:t xml:space="preserve"> </w:t>
            </w:r>
            <w:r>
              <w:rPr>
                <w:spacing w:val="-6"/>
                <w:sz w:val="14"/>
                <w:szCs w:val="14"/>
                <w:highlight w:val="none"/>
              </w:rPr>
              <w:t>年</w:t>
            </w:r>
            <w:r>
              <w:rPr>
                <w:spacing w:val="39"/>
                <w:sz w:val="14"/>
                <w:szCs w:val="14"/>
                <w:highlight w:val="none"/>
              </w:rPr>
              <w:t xml:space="preserve"> </w:t>
            </w:r>
            <w:r>
              <w:rPr>
                <w:spacing w:val="-6"/>
                <w:sz w:val="14"/>
                <w:szCs w:val="14"/>
                <w:highlight w:val="none"/>
              </w:rPr>
              <w:t>平</w:t>
            </w:r>
            <w:r>
              <w:rPr>
                <w:spacing w:val="40"/>
                <w:sz w:val="14"/>
                <w:szCs w:val="14"/>
                <w:highlight w:val="none"/>
              </w:rPr>
              <w:t xml:space="preserve"> </w:t>
            </w:r>
            <w:r>
              <w:rPr>
                <w:spacing w:val="-6"/>
                <w:sz w:val="14"/>
                <w:szCs w:val="14"/>
                <w:highlight w:val="none"/>
              </w:rPr>
              <w:t>均</w:t>
            </w:r>
            <w:r>
              <w:rPr>
                <w:spacing w:val="39"/>
                <w:w w:val="101"/>
                <w:sz w:val="14"/>
                <w:szCs w:val="14"/>
                <w:highlight w:val="none"/>
              </w:rPr>
              <w:t xml:space="preserve"> </w:t>
            </w:r>
            <w:r>
              <w:rPr>
                <w:spacing w:val="-6"/>
                <w:sz w:val="14"/>
                <w:szCs w:val="14"/>
                <w:highlight w:val="none"/>
              </w:rPr>
              <w:t>值</w:t>
            </w:r>
          </w:p>
        </w:tc>
      </w:tr>
      <w:tr w14:paraId="3EB2B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993" w:type="dxa"/>
            <w:vAlign w:val="top"/>
          </w:tcPr>
          <w:p w14:paraId="3EEE085E">
            <w:pPr>
              <w:pStyle w:val="6"/>
              <w:spacing w:before="141" w:line="221" w:lineRule="auto"/>
              <w:ind w:left="105"/>
              <w:rPr>
                <w:sz w:val="24"/>
                <w:szCs w:val="24"/>
                <w:highlight w:val="none"/>
              </w:rPr>
            </w:pPr>
            <w:r>
              <w:rPr>
                <w:spacing w:val="1"/>
                <w:sz w:val="24"/>
                <w:szCs w:val="24"/>
                <w:highlight w:val="none"/>
              </w:rPr>
              <w:t>一.注册资金</w:t>
            </w:r>
          </w:p>
        </w:tc>
        <w:tc>
          <w:tcPr>
            <w:tcW w:w="739" w:type="dxa"/>
            <w:vAlign w:val="top"/>
          </w:tcPr>
          <w:p w14:paraId="3DCE7E6D">
            <w:pPr>
              <w:pStyle w:val="6"/>
              <w:spacing w:before="140" w:line="220" w:lineRule="auto"/>
              <w:ind w:left="122"/>
              <w:rPr>
                <w:sz w:val="24"/>
                <w:szCs w:val="24"/>
                <w:highlight w:val="none"/>
              </w:rPr>
            </w:pPr>
            <w:r>
              <w:rPr>
                <w:spacing w:val="5"/>
                <w:sz w:val="24"/>
                <w:szCs w:val="24"/>
                <w:highlight w:val="none"/>
              </w:rPr>
              <w:t>万元</w:t>
            </w:r>
          </w:p>
        </w:tc>
        <w:tc>
          <w:tcPr>
            <w:tcW w:w="1329" w:type="dxa"/>
            <w:vAlign w:val="top"/>
          </w:tcPr>
          <w:p w14:paraId="070D12B4">
            <w:pPr>
              <w:rPr>
                <w:rFonts w:ascii="Arial"/>
                <w:sz w:val="21"/>
                <w:highlight w:val="none"/>
              </w:rPr>
            </w:pPr>
          </w:p>
        </w:tc>
        <w:tc>
          <w:tcPr>
            <w:tcW w:w="1458" w:type="dxa"/>
            <w:vAlign w:val="top"/>
          </w:tcPr>
          <w:p w14:paraId="4F5E3D96">
            <w:pPr>
              <w:rPr>
                <w:rFonts w:ascii="Arial"/>
                <w:sz w:val="21"/>
                <w:highlight w:val="none"/>
              </w:rPr>
            </w:pPr>
          </w:p>
        </w:tc>
        <w:tc>
          <w:tcPr>
            <w:tcW w:w="1438" w:type="dxa"/>
            <w:vAlign w:val="top"/>
          </w:tcPr>
          <w:p w14:paraId="7274827D">
            <w:pPr>
              <w:rPr>
                <w:rFonts w:ascii="Arial"/>
                <w:sz w:val="21"/>
                <w:highlight w:val="none"/>
              </w:rPr>
            </w:pPr>
          </w:p>
        </w:tc>
        <w:tc>
          <w:tcPr>
            <w:tcW w:w="1453" w:type="dxa"/>
            <w:vAlign w:val="top"/>
          </w:tcPr>
          <w:p w14:paraId="5643742D">
            <w:pPr>
              <w:pStyle w:val="6"/>
              <w:spacing w:before="251" w:line="46" w:lineRule="exact"/>
              <w:ind w:left="688"/>
              <w:rPr>
                <w:sz w:val="6"/>
                <w:szCs w:val="6"/>
                <w:highlight w:val="none"/>
              </w:rPr>
            </w:pPr>
            <w:r>
              <w:rPr>
                <w:position w:val="-1"/>
                <w:sz w:val="6"/>
                <w:szCs w:val="6"/>
                <w:highlight w:val="none"/>
              </w:rPr>
              <w:t>一</w:t>
            </w:r>
          </w:p>
        </w:tc>
      </w:tr>
      <w:tr w14:paraId="3742B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993" w:type="dxa"/>
            <w:vAlign w:val="top"/>
          </w:tcPr>
          <w:p w14:paraId="553A6788">
            <w:pPr>
              <w:pStyle w:val="6"/>
              <w:spacing w:before="131" w:line="219" w:lineRule="auto"/>
              <w:ind w:left="105"/>
              <w:rPr>
                <w:sz w:val="24"/>
                <w:szCs w:val="24"/>
                <w:highlight w:val="none"/>
              </w:rPr>
            </w:pPr>
            <w:r>
              <w:rPr>
                <w:spacing w:val="2"/>
                <w:sz w:val="24"/>
                <w:szCs w:val="24"/>
                <w:highlight w:val="none"/>
              </w:rPr>
              <w:t>二.净资产</w:t>
            </w:r>
          </w:p>
        </w:tc>
        <w:tc>
          <w:tcPr>
            <w:tcW w:w="739" w:type="dxa"/>
            <w:vAlign w:val="top"/>
          </w:tcPr>
          <w:p w14:paraId="31D86E8D">
            <w:pPr>
              <w:pStyle w:val="6"/>
              <w:spacing w:before="131" w:line="220" w:lineRule="auto"/>
              <w:ind w:left="122"/>
              <w:rPr>
                <w:sz w:val="24"/>
                <w:szCs w:val="24"/>
                <w:highlight w:val="none"/>
              </w:rPr>
            </w:pPr>
            <w:r>
              <w:rPr>
                <w:spacing w:val="5"/>
                <w:sz w:val="24"/>
                <w:szCs w:val="24"/>
                <w:highlight w:val="none"/>
              </w:rPr>
              <w:t>万元</w:t>
            </w:r>
          </w:p>
        </w:tc>
        <w:tc>
          <w:tcPr>
            <w:tcW w:w="1329" w:type="dxa"/>
            <w:vAlign w:val="top"/>
          </w:tcPr>
          <w:p w14:paraId="777002A8">
            <w:pPr>
              <w:rPr>
                <w:rFonts w:ascii="Arial"/>
                <w:sz w:val="21"/>
                <w:highlight w:val="none"/>
              </w:rPr>
            </w:pPr>
          </w:p>
        </w:tc>
        <w:tc>
          <w:tcPr>
            <w:tcW w:w="1458" w:type="dxa"/>
            <w:vAlign w:val="top"/>
          </w:tcPr>
          <w:p w14:paraId="4A9687F7">
            <w:pPr>
              <w:rPr>
                <w:rFonts w:ascii="Arial"/>
                <w:sz w:val="21"/>
                <w:highlight w:val="none"/>
              </w:rPr>
            </w:pPr>
          </w:p>
        </w:tc>
        <w:tc>
          <w:tcPr>
            <w:tcW w:w="1438" w:type="dxa"/>
            <w:vAlign w:val="top"/>
          </w:tcPr>
          <w:p w14:paraId="3CA456CC">
            <w:pPr>
              <w:rPr>
                <w:rFonts w:ascii="Arial"/>
                <w:sz w:val="21"/>
                <w:highlight w:val="none"/>
              </w:rPr>
            </w:pPr>
          </w:p>
        </w:tc>
        <w:tc>
          <w:tcPr>
            <w:tcW w:w="1453" w:type="dxa"/>
            <w:vAlign w:val="top"/>
          </w:tcPr>
          <w:p w14:paraId="2DFA3569">
            <w:pPr>
              <w:pStyle w:val="6"/>
              <w:spacing w:before="241" w:line="47" w:lineRule="exact"/>
              <w:ind w:left="688"/>
              <w:rPr>
                <w:sz w:val="6"/>
                <w:szCs w:val="6"/>
                <w:highlight w:val="none"/>
              </w:rPr>
            </w:pPr>
            <w:r>
              <w:rPr>
                <w:position w:val="-1"/>
                <w:sz w:val="6"/>
                <w:szCs w:val="6"/>
                <w:highlight w:val="none"/>
              </w:rPr>
              <w:t>一</w:t>
            </w:r>
          </w:p>
        </w:tc>
      </w:tr>
      <w:tr w14:paraId="62D66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993" w:type="dxa"/>
            <w:vAlign w:val="top"/>
          </w:tcPr>
          <w:p w14:paraId="2C30E6FB">
            <w:pPr>
              <w:pStyle w:val="6"/>
              <w:spacing w:before="152" w:line="219" w:lineRule="auto"/>
              <w:ind w:left="105"/>
              <w:rPr>
                <w:sz w:val="24"/>
                <w:szCs w:val="24"/>
                <w:highlight w:val="none"/>
              </w:rPr>
            </w:pPr>
            <w:r>
              <w:rPr>
                <w:spacing w:val="3"/>
                <w:sz w:val="24"/>
                <w:szCs w:val="24"/>
                <w:highlight w:val="none"/>
              </w:rPr>
              <w:t>三.总资产</w:t>
            </w:r>
          </w:p>
        </w:tc>
        <w:tc>
          <w:tcPr>
            <w:tcW w:w="739" w:type="dxa"/>
            <w:vAlign w:val="top"/>
          </w:tcPr>
          <w:p w14:paraId="064CBBC2">
            <w:pPr>
              <w:pStyle w:val="6"/>
              <w:spacing w:before="152" w:line="220" w:lineRule="auto"/>
              <w:ind w:left="122"/>
              <w:rPr>
                <w:sz w:val="24"/>
                <w:szCs w:val="24"/>
                <w:highlight w:val="none"/>
              </w:rPr>
            </w:pPr>
            <w:r>
              <w:rPr>
                <w:spacing w:val="5"/>
                <w:sz w:val="24"/>
                <w:szCs w:val="24"/>
                <w:highlight w:val="none"/>
              </w:rPr>
              <w:t>万元</w:t>
            </w:r>
          </w:p>
        </w:tc>
        <w:tc>
          <w:tcPr>
            <w:tcW w:w="1329" w:type="dxa"/>
            <w:vAlign w:val="top"/>
          </w:tcPr>
          <w:p w14:paraId="1A0ED426">
            <w:pPr>
              <w:rPr>
                <w:rFonts w:ascii="Arial"/>
                <w:sz w:val="21"/>
                <w:highlight w:val="none"/>
              </w:rPr>
            </w:pPr>
          </w:p>
        </w:tc>
        <w:tc>
          <w:tcPr>
            <w:tcW w:w="1458" w:type="dxa"/>
            <w:vAlign w:val="top"/>
          </w:tcPr>
          <w:p w14:paraId="62FC0CCC">
            <w:pPr>
              <w:rPr>
                <w:rFonts w:ascii="Arial"/>
                <w:sz w:val="21"/>
                <w:highlight w:val="none"/>
              </w:rPr>
            </w:pPr>
          </w:p>
        </w:tc>
        <w:tc>
          <w:tcPr>
            <w:tcW w:w="1438" w:type="dxa"/>
            <w:vAlign w:val="top"/>
          </w:tcPr>
          <w:p w14:paraId="74A657D3">
            <w:pPr>
              <w:rPr>
                <w:rFonts w:ascii="Arial"/>
                <w:sz w:val="21"/>
                <w:highlight w:val="none"/>
              </w:rPr>
            </w:pPr>
          </w:p>
        </w:tc>
        <w:tc>
          <w:tcPr>
            <w:tcW w:w="1453" w:type="dxa"/>
            <w:vAlign w:val="top"/>
          </w:tcPr>
          <w:p w14:paraId="0DF5A7D6">
            <w:pPr>
              <w:rPr>
                <w:rFonts w:ascii="Arial"/>
                <w:sz w:val="21"/>
                <w:highlight w:val="none"/>
              </w:rPr>
            </w:pPr>
          </w:p>
        </w:tc>
      </w:tr>
      <w:tr w14:paraId="6DBB7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993" w:type="dxa"/>
            <w:vAlign w:val="top"/>
          </w:tcPr>
          <w:p w14:paraId="56FDCCD7">
            <w:pPr>
              <w:pStyle w:val="6"/>
              <w:spacing w:before="133" w:line="219" w:lineRule="auto"/>
              <w:ind w:left="105"/>
              <w:rPr>
                <w:sz w:val="24"/>
                <w:szCs w:val="24"/>
                <w:highlight w:val="none"/>
              </w:rPr>
            </w:pPr>
            <w:r>
              <w:rPr>
                <w:spacing w:val="2"/>
                <w:sz w:val="24"/>
                <w:szCs w:val="24"/>
                <w:highlight w:val="none"/>
              </w:rPr>
              <w:t>四.固定资产</w:t>
            </w:r>
          </w:p>
        </w:tc>
        <w:tc>
          <w:tcPr>
            <w:tcW w:w="739" w:type="dxa"/>
            <w:vAlign w:val="top"/>
          </w:tcPr>
          <w:p w14:paraId="0C7F117E">
            <w:pPr>
              <w:pStyle w:val="6"/>
              <w:spacing w:before="133" w:line="220" w:lineRule="auto"/>
              <w:ind w:left="122"/>
              <w:rPr>
                <w:sz w:val="24"/>
                <w:szCs w:val="24"/>
                <w:highlight w:val="none"/>
              </w:rPr>
            </w:pPr>
            <w:r>
              <w:rPr>
                <w:spacing w:val="5"/>
                <w:sz w:val="24"/>
                <w:szCs w:val="24"/>
                <w:highlight w:val="none"/>
              </w:rPr>
              <w:t>万元</w:t>
            </w:r>
          </w:p>
        </w:tc>
        <w:tc>
          <w:tcPr>
            <w:tcW w:w="1329" w:type="dxa"/>
            <w:vAlign w:val="top"/>
          </w:tcPr>
          <w:p w14:paraId="6DE036D9">
            <w:pPr>
              <w:rPr>
                <w:rFonts w:ascii="Arial"/>
                <w:sz w:val="21"/>
                <w:highlight w:val="none"/>
              </w:rPr>
            </w:pPr>
          </w:p>
        </w:tc>
        <w:tc>
          <w:tcPr>
            <w:tcW w:w="1458" w:type="dxa"/>
            <w:vAlign w:val="top"/>
          </w:tcPr>
          <w:p w14:paraId="579D26E0">
            <w:pPr>
              <w:rPr>
                <w:rFonts w:ascii="Arial"/>
                <w:sz w:val="21"/>
                <w:highlight w:val="none"/>
              </w:rPr>
            </w:pPr>
          </w:p>
        </w:tc>
        <w:tc>
          <w:tcPr>
            <w:tcW w:w="1438" w:type="dxa"/>
            <w:vAlign w:val="top"/>
          </w:tcPr>
          <w:p w14:paraId="631243EC">
            <w:pPr>
              <w:rPr>
                <w:rFonts w:ascii="Arial"/>
                <w:sz w:val="21"/>
                <w:highlight w:val="none"/>
              </w:rPr>
            </w:pPr>
          </w:p>
        </w:tc>
        <w:tc>
          <w:tcPr>
            <w:tcW w:w="1453" w:type="dxa"/>
            <w:vAlign w:val="top"/>
          </w:tcPr>
          <w:p w14:paraId="02272862">
            <w:pPr>
              <w:pStyle w:val="6"/>
              <w:spacing w:before="244" w:line="46" w:lineRule="exact"/>
              <w:ind w:left="688"/>
              <w:rPr>
                <w:sz w:val="6"/>
                <w:szCs w:val="6"/>
                <w:highlight w:val="none"/>
              </w:rPr>
            </w:pPr>
            <w:r>
              <w:rPr>
                <w:position w:val="-1"/>
                <w:sz w:val="6"/>
                <w:szCs w:val="6"/>
                <w:highlight w:val="none"/>
              </w:rPr>
              <w:t>一</w:t>
            </w:r>
          </w:p>
        </w:tc>
      </w:tr>
      <w:tr w14:paraId="42654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993" w:type="dxa"/>
            <w:vAlign w:val="top"/>
          </w:tcPr>
          <w:p w14:paraId="3FD7224C">
            <w:pPr>
              <w:pStyle w:val="6"/>
              <w:spacing w:before="143" w:line="219" w:lineRule="auto"/>
              <w:ind w:left="105"/>
              <w:rPr>
                <w:sz w:val="24"/>
                <w:szCs w:val="24"/>
                <w:highlight w:val="none"/>
              </w:rPr>
            </w:pPr>
            <w:r>
              <w:rPr>
                <w:spacing w:val="2"/>
                <w:sz w:val="24"/>
                <w:szCs w:val="24"/>
                <w:highlight w:val="none"/>
              </w:rPr>
              <w:t>五.流动资产</w:t>
            </w:r>
          </w:p>
        </w:tc>
        <w:tc>
          <w:tcPr>
            <w:tcW w:w="739" w:type="dxa"/>
            <w:vAlign w:val="top"/>
          </w:tcPr>
          <w:p w14:paraId="022D5B59">
            <w:pPr>
              <w:pStyle w:val="6"/>
              <w:spacing w:before="143" w:line="220" w:lineRule="auto"/>
              <w:ind w:left="122"/>
              <w:rPr>
                <w:sz w:val="24"/>
                <w:szCs w:val="24"/>
                <w:highlight w:val="none"/>
              </w:rPr>
            </w:pPr>
            <w:r>
              <w:rPr>
                <w:spacing w:val="5"/>
                <w:sz w:val="24"/>
                <w:szCs w:val="24"/>
                <w:highlight w:val="none"/>
              </w:rPr>
              <w:t>万元</w:t>
            </w:r>
          </w:p>
        </w:tc>
        <w:tc>
          <w:tcPr>
            <w:tcW w:w="1329" w:type="dxa"/>
            <w:vAlign w:val="top"/>
          </w:tcPr>
          <w:p w14:paraId="53E28E9B">
            <w:pPr>
              <w:rPr>
                <w:rFonts w:ascii="Arial"/>
                <w:sz w:val="21"/>
                <w:highlight w:val="none"/>
              </w:rPr>
            </w:pPr>
          </w:p>
        </w:tc>
        <w:tc>
          <w:tcPr>
            <w:tcW w:w="1458" w:type="dxa"/>
            <w:vAlign w:val="top"/>
          </w:tcPr>
          <w:p w14:paraId="7239637F">
            <w:pPr>
              <w:rPr>
                <w:rFonts w:ascii="Arial"/>
                <w:sz w:val="21"/>
                <w:highlight w:val="none"/>
              </w:rPr>
            </w:pPr>
          </w:p>
        </w:tc>
        <w:tc>
          <w:tcPr>
            <w:tcW w:w="1438" w:type="dxa"/>
            <w:vAlign w:val="top"/>
          </w:tcPr>
          <w:p w14:paraId="2B9B43A2">
            <w:pPr>
              <w:rPr>
                <w:rFonts w:ascii="Arial"/>
                <w:sz w:val="21"/>
                <w:highlight w:val="none"/>
              </w:rPr>
            </w:pPr>
          </w:p>
        </w:tc>
        <w:tc>
          <w:tcPr>
            <w:tcW w:w="1453" w:type="dxa"/>
            <w:vAlign w:val="top"/>
          </w:tcPr>
          <w:p w14:paraId="193F75F5">
            <w:pPr>
              <w:rPr>
                <w:rFonts w:ascii="Arial"/>
                <w:sz w:val="21"/>
                <w:highlight w:val="none"/>
              </w:rPr>
            </w:pPr>
          </w:p>
        </w:tc>
      </w:tr>
      <w:tr w14:paraId="37B15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993" w:type="dxa"/>
            <w:vAlign w:val="top"/>
          </w:tcPr>
          <w:p w14:paraId="05BACE1A">
            <w:pPr>
              <w:pStyle w:val="6"/>
              <w:spacing w:before="144" w:line="219" w:lineRule="auto"/>
              <w:ind w:left="105"/>
              <w:rPr>
                <w:sz w:val="24"/>
                <w:szCs w:val="24"/>
                <w:highlight w:val="none"/>
              </w:rPr>
            </w:pPr>
            <w:r>
              <w:rPr>
                <w:spacing w:val="2"/>
                <w:sz w:val="24"/>
                <w:szCs w:val="24"/>
                <w:highlight w:val="none"/>
              </w:rPr>
              <w:t>六.流动负债</w:t>
            </w:r>
          </w:p>
        </w:tc>
        <w:tc>
          <w:tcPr>
            <w:tcW w:w="739" w:type="dxa"/>
            <w:vAlign w:val="top"/>
          </w:tcPr>
          <w:p w14:paraId="4A9178BB">
            <w:pPr>
              <w:pStyle w:val="6"/>
              <w:spacing w:before="144" w:line="220" w:lineRule="auto"/>
              <w:ind w:left="122"/>
              <w:rPr>
                <w:sz w:val="24"/>
                <w:szCs w:val="24"/>
                <w:highlight w:val="none"/>
              </w:rPr>
            </w:pPr>
            <w:r>
              <w:rPr>
                <w:spacing w:val="5"/>
                <w:sz w:val="24"/>
                <w:szCs w:val="24"/>
                <w:highlight w:val="none"/>
              </w:rPr>
              <w:t>万元</w:t>
            </w:r>
          </w:p>
        </w:tc>
        <w:tc>
          <w:tcPr>
            <w:tcW w:w="1329" w:type="dxa"/>
            <w:vAlign w:val="top"/>
          </w:tcPr>
          <w:p w14:paraId="63C6AFD7">
            <w:pPr>
              <w:rPr>
                <w:rFonts w:ascii="Arial"/>
                <w:sz w:val="21"/>
                <w:highlight w:val="none"/>
              </w:rPr>
            </w:pPr>
          </w:p>
        </w:tc>
        <w:tc>
          <w:tcPr>
            <w:tcW w:w="1458" w:type="dxa"/>
            <w:vAlign w:val="top"/>
          </w:tcPr>
          <w:p w14:paraId="1584A8D6">
            <w:pPr>
              <w:rPr>
                <w:rFonts w:ascii="Arial"/>
                <w:sz w:val="21"/>
                <w:highlight w:val="none"/>
              </w:rPr>
            </w:pPr>
          </w:p>
        </w:tc>
        <w:tc>
          <w:tcPr>
            <w:tcW w:w="1438" w:type="dxa"/>
            <w:vAlign w:val="top"/>
          </w:tcPr>
          <w:p w14:paraId="51D3E4F3">
            <w:pPr>
              <w:rPr>
                <w:rFonts w:ascii="Arial"/>
                <w:sz w:val="21"/>
                <w:highlight w:val="none"/>
              </w:rPr>
            </w:pPr>
          </w:p>
        </w:tc>
        <w:tc>
          <w:tcPr>
            <w:tcW w:w="1453" w:type="dxa"/>
            <w:vAlign w:val="top"/>
          </w:tcPr>
          <w:p w14:paraId="72009D97">
            <w:pPr>
              <w:rPr>
                <w:rFonts w:ascii="Arial"/>
                <w:sz w:val="21"/>
                <w:highlight w:val="none"/>
              </w:rPr>
            </w:pPr>
          </w:p>
        </w:tc>
      </w:tr>
      <w:tr w14:paraId="21DC2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993" w:type="dxa"/>
            <w:vAlign w:val="top"/>
          </w:tcPr>
          <w:p w14:paraId="22E356BB">
            <w:pPr>
              <w:pStyle w:val="6"/>
              <w:spacing w:before="145" w:line="219" w:lineRule="auto"/>
              <w:ind w:left="105"/>
              <w:rPr>
                <w:sz w:val="24"/>
                <w:szCs w:val="24"/>
                <w:highlight w:val="none"/>
              </w:rPr>
            </w:pPr>
            <w:r>
              <w:rPr>
                <w:spacing w:val="-1"/>
                <w:sz w:val="24"/>
                <w:szCs w:val="24"/>
                <w:highlight w:val="none"/>
              </w:rPr>
              <w:t>七.负债合计</w:t>
            </w:r>
          </w:p>
        </w:tc>
        <w:tc>
          <w:tcPr>
            <w:tcW w:w="739" w:type="dxa"/>
            <w:vAlign w:val="top"/>
          </w:tcPr>
          <w:p w14:paraId="21DF9A0B">
            <w:pPr>
              <w:pStyle w:val="6"/>
              <w:spacing w:before="145" w:line="220" w:lineRule="auto"/>
              <w:ind w:left="122"/>
              <w:rPr>
                <w:sz w:val="24"/>
                <w:szCs w:val="24"/>
                <w:highlight w:val="none"/>
              </w:rPr>
            </w:pPr>
            <w:r>
              <w:rPr>
                <w:spacing w:val="5"/>
                <w:sz w:val="24"/>
                <w:szCs w:val="24"/>
                <w:highlight w:val="none"/>
              </w:rPr>
              <w:t>万元</w:t>
            </w:r>
          </w:p>
        </w:tc>
        <w:tc>
          <w:tcPr>
            <w:tcW w:w="1329" w:type="dxa"/>
            <w:vAlign w:val="top"/>
          </w:tcPr>
          <w:p w14:paraId="7A756D5A">
            <w:pPr>
              <w:rPr>
                <w:rFonts w:ascii="Arial"/>
                <w:sz w:val="21"/>
                <w:highlight w:val="none"/>
              </w:rPr>
            </w:pPr>
          </w:p>
        </w:tc>
        <w:tc>
          <w:tcPr>
            <w:tcW w:w="1458" w:type="dxa"/>
            <w:vAlign w:val="top"/>
          </w:tcPr>
          <w:p w14:paraId="7CF9D2C5">
            <w:pPr>
              <w:rPr>
                <w:rFonts w:ascii="Arial"/>
                <w:sz w:val="21"/>
                <w:highlight w:val="none"/>
              </w:rPr>
            </w:pPr>
          </w:p>
        </w:tc>
        <w:tc>
          <w:tcPr>
            <w:tcW w:w="1438" w:type="dxa"/>
            <w:vAlign w:val="top"/>
          </w:tcPr>
          <w:p w14:paraId="1AAA242F">
            <w:pPr>
              <w:rPr>
                <w:rFonts w:ascii="Arial"/>
                <w:sz w:val="21"/>
                <w:highlight w:val="none"/>
              </w:rPr>
            </w:pPr>
          </w:p>
        </w:tc>
        <w:tc>
          <w:tcPr>
            <w:tcW w:w="1453" w:type="dxa"/>
            <w:vAlign w:val="top"/>
          </w:tcPr>
          <w:p w14:paraId="0FEE80E3">
            <w:pPr>
              <w:rPr>
                <w:rFonts w:ascii="Arial"/>
                <w:sz w:val="21"/>
                <w:highlight w:val="none"/>
              </w:rPr>
            </w:pPr>
          </w:p>
        </w:tc>
      </w:tr>
      <w:tr w14:paraId="53ADE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993" w:type="dxa"/>
            <w:vAlign w:val="top"/>
          </w:tcPr>
          <w:p w14:paraId="42DA37D7">
            <w:pPr>
              <w:pStyle w:val="6"/>
              <w:spacing w:before="145" w:line="219" w:lineRule="auto"/>
              <w:ind w:left="105"/>
              <w:rPr>
                <w:sz w:val="24"/>
                <w:szCs w:val="24"/>
                <w:highlight w:val="none"/>
              </w:rPr>
            </w:pPr>
            <w:r>
              <w:rPr>
                <w:spacing w:val="1"/>
                <w:sz w:val="24"/>
                <w:szCs w:val="24"/>
                <w:highlight w:val="none"/>
              </w:rPr>
              <w:t>八.营业收入</w:t>
            </w:r>
          </w:p>
        </w:tc>
        <w:tc>
          <w:tcPr>
            <w:tcW w:w="739" w:type="dxa"/>
            <w:vAlign w:val="top"/>
          </w:tcPr>
          <w:p w14:paraId="22C09BC8">
            <w:pPr>
              <w:pStyle w:val="6"/>
              <w:spacing w:before="145" w:line="220" w:lineRule="auto"/>
              <w:ind w:left="122"/>
              <w:rPr>
                <w:sz w:val="24"/>
                <w:szCs w:val="24"/>
                <w:highlight w:val="none"/>
              </w:rPr>
            </w:pPr>
            <w:r>
              <w:rPr>
                <w:spacing w:val="5"/>
                <w:sz w:val="24"/>
                <w:szCs w:val="24"/>
                <w:highlight w:val="none"/>
              </w:rPr>
              <w:t>万元</w:t>
            </w:r>
          </w:p>
        </w:tc>
        <w:tc>
          <w:tcPr>
            <w:tcW w:w="1329" w:type="dxa"/>
            <w:vAlign w:val="top"/>
          </w:tcPr>
          <w:p w14:paraId="390FF9BB">
            <w:pPr>
              <w:rPr>
                <w:rFonts w:ascii="Arial"/>
                <w:sz w:val="21"/>
                <w:highlight w:val="none"/>
              </w:rPr>
            </w:pPr>
          </w:p>
        </w:tc>
        <w:tc>
          <w:tcPr>
            <w:tcW w:w="1458" w:type="dxa"/>
            <w:vAlign w:val="top"/>
          </w:tcPr>
          <w:p w14:paraId="6A9427A2">
            <w:pPr>
              <w:rPr>
                <w:rFonts w:ascii="Arial"/>
                <w:sz w:val="21"/>
                <w:highlight w:val="none"/>
              </w:rPr>
            </w:pPr>
          </w:p>
        </w:tc>
        <w:tc>
          <w:tcPr>
            <w:tcW w:w="1438" w:type="dxa"/>
            <w:vAlign w:val="top"/>
          </w:tcPr>
          <w:p w14:paraId="0FAD8F35">
            <w:pPr>
              <w:rPr>
                <w:rFonts w:ascii="Arial"/>
                <w:sz w:val="21"/>
                <w:highlight w:val="none"/>
              </w:rPr>
            </w:pPr>
          </w:p>
        </w:tc>
        <w:tc>
          <w:tcPr>
            <w:tcW w:w="1453" w:type="dxa"/>
            <w:vAlign w:val="top"/>
          </w:tcPr>
          <w:p w14:paraId="705DDE06">
            <w:pPr>
              <w:rPr>
                <w:rFonts w:ascii="Arial"/>
                <w:sz w:val="21"/>
                <w:highlight w:val="none"/>
              </w:rPr>
            </w:pPr>
          </w:p>
        </w:tc>
      </w:tr>
      <w:tr w14:paraId="2D22F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993" w:type="dxa"/>
            <w:vAlign w:val="top"/>
          </w:tcPr>
          <w:p w14:paraId="0D749549">
            <w:pPr>
              <w:pStyle w:val="6"/>
              <w:spacing w:before="146" w:line="220" w:lineRule="auto"/>
              <w:ind w:left="105"/>
              <w:rPr>
                <w:sz w:val="24"/>
                <w:szCs w:val="24"/>
                <w:highlight w:val="none"/>
              </w:rPr>
            </w:pPr>
            <w:r>
              <w:rPr>
                <w:spacing w:val="3"/>
                <w:sz w:val="24"/>
                <w:szCs w:val="24"/>
                <w:highlight w:val="none"/>
              </w:rPr>
              <w:t>九.净利润</w:t>
            </w:r>
          </w:p>
        </w:tc>
        <w:tc>
          <w:tcPr>
            <w:tcW w:w="739" w:type="dxa"/>
            <w:vAlign w:val="top"/>
          </w:tcPr>
          <w:p w14:paraId="79176C4D">
            <w:pPr>
              <w:pStyle w:val="6"/>
              <w:spacing w:before="146" w:line="220" w:lineRule="auto"/>
              <w:ind w:left="122"/>
              <w:rPr>
                <w:sz w:val="24"/>
                <w:szCs w:val="24"/>
                <w:highlight w:val="none"/>
              </w:rPr>
            </w:pPr>
            <w:r>
              <w:rPr>
                <w:spacing w:val="5"/>
                <w:sz w:val="24"/>
                <w:szCs w:val="24"/>
                <w:highlight w:val="none"/>
              </w:rPr>
              <w:t>万元</w:t>
            </w:r>
          </w:p>
        </w:tc>
        <w:tc>
          <w:tcPr>
            <w:tcW w:w="1329" w:type="dxa"/>
            <w:vAlign w:val="top"/>
          </w:tcPr>
          <w:p w14:paraId="5961BED6">
            <w:pPr>
              <w:rPr>
                <w:rFonts w:ascii="Arial"/>
                <w:sz w:val="21"/>
                <w:highlight w:val="none"/>
              </w:rPr>
            </w:pPr>
          </w:p>
        </w:tc>
        <w:tc>
          <w:tcPr>
            <w:tcW w:w="1458" w:type="dxa"/>
            <w:vAlign w:val="top"/>
          </w:tcPr>
          <w:p w14:paraId="531F3A6B">
            <w:pPr>
              <w:rPr>
                <w:rFonts w:ascii="Arial"/>
                <w:sz w:val="21"/>
                <w:highlight w:val="none"/>
              </w:rPr>
            </w:pPr>
          </w:p>
        </w:tc>
        <w:tc>
          <w:tcPr>
            <w:tcW w:w="1438" w:type="dxa"/>
            <w:vAlign w:val="top"/>
          </w:tcPr>
          <w:p w14:paraId="0F2373D6">
            <w:pPr>
              <w:rPr>
                <w:rFonts w:ascii="Arial"/>
                <w:sz w:val="21"/>
                <w:highlight w:val="none"/>
              </w:rPr>
            </w:pPr>
          </w:p>
        </w:tc>
        <w:tc>
          <w:tcPr>
            <w:tcW w:w="1453" w:type="dxa"/>
            <w:vAlign w:val="top"/>
          </w:tcPr>
          <w:p w14:paraId="5AC085A5">
            <w:pPr>
              <w:pStyle w:val="6"/>
              <w:spacing w:before="257" w:line="46" w:lineRule="exact"/>
              <w:ind w:left="688"/>
              <w:rPr>
                <w:sz w:val="6"/>
                <w:szCs w:val="6"/>
                <w:highlight w:val="none"/>
              </w:rPr>
            </w:pPr>
            <w:r>
              <w:rPr>
                <w:position w:val="-1"/>
                <w:sz w:val="6"/>
                <w:szCs w:val="6"/>
                <w:highlight w:val="none"/>
              </w:rPr>
              <w:t>一</w:t>
            </w:r>
          </w:p>
        </w:tc>
      </w:tr>
      <w:tr w14:paraId="73A88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993" w:type="dxa"/>
            <w:vAlign w:val="top"/>
          </w:tcPr>
          <w:p w14:paraId="38CCBA72">
            <w:pPr>
              <w:pStyle w:val="6"/>
              <w:spacing w:before="146" w:line="219" w:lineRule="auto"/>
              <w:ind w:left="105"/>
              <w:rPr>
                <w:sz w:val="24"/>
                <w:szCs w:val="24"/>
                <w:highlight w:val="none"/>
              </w:rPr>
            </w:pPr>
            <w:r>
              <w:rPr>
                <w:spacing w:val="-2"/>
                <w:sz w:val="24"/>
                <w:szCs w:val="24"/>
                <w:highlight w:val="none"/>
              </w:rPr>
              <w:t>十.现金流量净额</w:t>
            </w:r>
          </w:p>
        </w:tc>
        <w:tc>
          <w:tcPr>
            <w:tcW w:w="739" w:type="dxa"/>
            <w:vAlign w:val="top"/>
          </w:tcPr>
          <w:p w14:paraId="283D9170">
            <w:pPr>
              <w:pStyle w:val="6"/>
              <w:spacing w:before="146" w:line="220" w:lineRule="auto"/>
              <w:ind w:left="122"/>
              <w:rPr>
                <w:sz w:val="24"/>
                <w:szCs w:val="24"/>
                <w:highlight w:val="none"/>
              </w:rPr>
            </w:pPr>
            <w:r>
              <w:rPr>
                <w:spacing w:val="5"/>
                <w:sz w:val="24"/>
                <w:szCs w:val="24"/>
                <w:highlight w:val="none"/>
              </w:rPr>
              <w:t>万元</w:t>
            </w:r>
          </w:p>
        </w:tc>
        <w:tc>
          <w:tcPr>
            <w:tcW w:w="1329" w:type="dxa"/>
            <w:vAlign w:val="top"/>
          </w:tcPr>
          <w:p w14:paraId="307AAB50">
            <w:pPr>
              <w:rPr>
                <w:rFonts w:ascii="Arial"/>
                <w:sz w:val="21"/>
                <w:highlight w:val="none"/>
              </w:rPr>
            </w:pPr>
          </w:p>
        </w:tc>
        <w:tc>
          <w:tcPr>
            <w:tcW w:w="1458" w:type="dxa"/>
            <w:vAlign w:val="top"/>
          </w:tcPr>
          <w:p w14:paraId="284EE941">
            <w:pPr>
              <w:rPr>
                <w:rFonts w:ascii="Arial"/>
                <w:sz w:val="21"/>
                <w:highlight w:val="none"/>
              </w:rPr>
            </w:pPr>
          </w:p>
        </w:tc>
        <w:tc>
          <w:tcPr>
            <w:tcW w:w="1438" w:type="dxa"/>
            <w:vAlign w:val="top"/>
          </w:tcPr>
          <w:p w14:paraId="23661AA0">
            <w:pPr>
              <w:rPr>
                <w:rFonts w:ascii="Arial"/>
                <w:sz w:val="21"/>
                <w:highlight w:val="none"/>
              </w:rPr>
            </w:pPr>
          </w:p>
        </w:tc>
        <w:tc>
          <w:tcPr>
            <w:tcW w:w="1453" w:type="dxa"/>
            <w:vAlign w:val="top"/>
          </w:tcPr>
          <w:p w14:paraId="7A1F40EA">
            <w:pPr>
              <w:pStyle w:val="6"/>
              <w:spacing w:before="257" w:line="46" w:lineRule="exact"/>
              <w:ind w:left="688"/>
              <w:rPr>
                <w:sz w:val="6"/>
                <w:szCs w:val="6"/>
                <w:highlight w:val="none"/>
              </w:rPr>
            </w:pPr>
            <w:r>
              <w:rPr>
                <w:position w:val="-1"/>
                <w:sz w:val="6"/>
                <w:szCs w:val="6"/>
                <w:highlight w:val="none"/>
              </w:rPr>
              <w:t>一</w:t>
            </w:r>
          </w:p>
        </w:tc>
      </w:tr>
      <w:tr w14:paraId="7021B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1993" w:type="dxa"/>
            <w:vAlign w:val="top"/>
          </w:tcPr>
          <w:p w14:paraId="4E36573A">
            <w:pPr>
              <w:pStyle w:val="6"/>
              <w:spacing w:before="95" w:line="263" w:lineRule="auto"/>
              <w:ind w:left="105" w:right="72" w:hanging="10"/>
              <w:rPr>
                <w:sz w:val="24"/>
                <w:szCs w:val="24"/>
                <w:highlight w:val="none"/>
              </w:rPr>
            </w:pPr>
            <w:r>
              <w:rPr>
                <w:spacing w:val="1"/>
                <w:sz w:val="24"/>
                <w:szCs w:val="24"/>
                <w:highlight w:val="none"/>
              </w:rPr>
              <w:t>十一.主要财务指</w:t>
            </w:r>
            <w:r>
              <w:rPr>
                <w:spacing w:val="6"/>
                <w:sz w:val="24"/>
                <w:szCs w:val="24"/>
                <w:highlight w:val="none"/>
              </w:rPr>
              <w:t xml:space="preserve"> </w:t>
            </w:r>
            <w:r>
              <w:rPr>
                <w:sz w:val="24"/>
                <w:szCs w:val="24"/>
                <w:highlight w:val="none"/>
              </w:rPr>
              <w:t>标</w:t>
            </w:r>
          </w:p>
        </w:tc>
        <w:tc>
          <w:tcPr>
            <w:tcW w:w="739" w:type="dxa"/>
            <w:vAlign w:val="top"/>
          </w:tcPr>
          <w:p w14:paraId="2FE9CFDA">
            <w:pPr>
              <w:rPr>
                <w:rFonts w:ascii="Arial"/>
                <w:sz w:val="21"/>
                <w:highlight w:val="none"/>
              </w:rPr>
            </w:pPr>
          </w:p>
        </w:tc>
        <w:tc>
          <w:tcPr>
            <w:tcW w:w="1329" w:type="dxa"/>
            <w:vAlign w:val="top"/>
          </w:tcPr>
          <w:p w14:paraId="38050664">
            <w:pPr>
              <w:rPr>
                <w:rFonts w:ascii="Arial"/>
                <w:sz w:val="21"/>
                <w:highlight w:val="none"/>
              </w:rPr>
            </w:pPr>
          </w:p>
        </w:tc>
        <w:tc>
          <w:tcPr>
            <w:tcW w:w="1458" w:type="dxa"/>
            <w:vAlign w:val="top"/>
          </w:tcPr>
          <w:p w14:paraId="18B36548">
            <w:pPr>
              <w:rPr>
                <w:rFonts w:ascii="Arial"/>
                <w:sz w:val="21"/>
                <w:highlight w:val="none"/>
              </w:rPr>
            </w:pPr>
          </w:p>
        </w:tc>
        <w:tc>
          <w:tcPr>
            <w:tcW w:w="1438" w:type="dxa"/>
            <w:vAlign w:val="top"/>
          </w:tcPr>
          <w:p w14:paraId="04FC8965">
            <w:pPr>
              <w:rPr>
                <w:rFonts w:ascii="Arial"/>
                <w:sz w:val="21"/>
                <w:highlight w:val="none"/>
              </w:rPr>
            </w:pPr>
          </w:p>
        </w:tc>
        <w:tc>
          <w:tcPr>
            <w:tcW w:w="1453" w:type="dxa"/>
            <w:vAlign w:val="top"/>
          </w:tcPr>
          <w:p w14:paraId="6611132C">
            <w:pPr>
              <w:spacing w:line="375" w:lineRule="auto"/>
              <w:rPr>
                <w:rFonts w:ascii="Arial"/>
                <w:sz w:val="21"/>
                <w:highlight w:val="none"/>
              </w:rPr>
            </w:pPr>
          </w:p>
          <w:p w14:paraId="39278348">
            <w:pPr>
              <w:pStyle w:val="6"/>
              <w:spacing w:before="19" w:line="47" w:lineRule="exact"/>
              <w:ind w:left="688"/>
              <w:rPr>
                <w:sz w:val="6"/>
                <w:szCs w:val="6"/>
                <w:highlight w:val="none"/>
              </w:rPr>
            </w:pPr>
            <w:r>
              <w:rPr>
                <w:position w:val="-1"/>
                <w:sz w:val="6"/>
                <w:szCs w:val="6"/>
                <w:highlight w:val="none"/>
              </w:rPr>
              <w:t>一</w:t>
            </w:r>
          </w:p>
        </w:tc>
      </w:tr>
      <w:tr w14:paraId="296E3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993" w:type="dxa"/>
            <w:vAlign w:val="top"/>
          </w:tcPr>
          <w:p w14:paraId="57FF97D0">
            <w:pPr>
              <w:pStyle w:val="6"/>
              <w:spacing w:before="147" w:line="219" w:lineRule="auto"/>
              <w:ind w:left="105"/>
              <w:rPr>
                <w:sz w:val="24"/>
                <w:szCs w:val="24"/>
                <w:highlight w:val="none"/>
              </w:rPr>
            </w:pPr>
            <w:r>
              <w:rPr>
                <w:spacing w:val="1"/>
                <w:sz w:val="24"/>
                <w:szCs w:val="24"/>
                <w:highlight w:val="none"/>
              </w:rPr>
              <w:t>1.净资产收益率</w:t>
            </w:r>
          </w:p>
        </w:tc>
        <w:tc>
          <w:tcPr>
            <w:tcW w:w="739" w:type="dxa"/>
            <w:vAlign w:val="top"/>
          </w:tcPr>
          <w:p w14:paraId="0B142BB3">
            <w:pPr>
              <w:pStyle w:val="6"/>
              <w:spacing w:before="170"/>
              <w:ind w:left="302"/>
              <w:rPr>
                <w:sz w:val="24"/>
                <w:szCs w:val="24"/>
                <w:highlight w:val="none"/>
              </w:rPr>
            </w:pPr>
            <w:r>
              <w:rPr>
                <w:sz w:val="24"/>
                <w:szCs w:val="24"/>
                <w:highlight w:val="none"/>
              </w:rPr>
              <w:t>%</w:t>
            </w:r>
          </w:p>
        </w:tc>
        <w:tc>
          <w:tcPr>
            <w:tcW w:w="1329" w:type="dxa"/>
            <w:vAlign w:val="top"/>
          </w:tcPr>
          <w:p w14:paraId="1F44DC31">
            <w:pPr>
              <w:rPr>
                <w:rFonts w:ascii="Arial"/>
                <w:sz w:val="21"/>
                <w:highlight w:val="none"/>
              </w:rPr>
            </w:pPr>
          </w:p>
        </w:tc>
        <w:tc>
          <w:tcPr>
            <w:tcW w:w="1458" w:type="dxa"/>
            <w:vAlign w:val="top"/>
          </w:tcPr>
          <w:p w14:paraId="72A994B9">
            <w:pPr>
              <w:rPr>
                <w:rFonts w:ascii="Arial"/>
                <w:sz w:val="21"/>
                <w:highlight w:val="none"/>
              </w:rPr>
            </w:pPr>
          </w:p>
        </w:tc>
        <w:tc>
          <w:tcPr>
            <w:tcW w:w="1438" w:type="dxa"/>
            <w:vAlign w:val="top"/>
          </w:tcPr>
          <w:p w14:paraId="3BD4E98D">
            <w:pPr>
              <w:rPr>
                <w:rFonts w:ascii="Arial"/>
                <w:sz w:val="21"/>
                <w:highlight w:val="none"/>
              </w:rPr>
            </w:pPr>
          </w:p>
        </w:tc>
        <w:tc>
          <w:tcPr>
            <w:tcW w:w="1453" w:type="dxa"/>
            <w:vAlign w:val="top"/>
          </w:tcPr>
          <w:p w14:paraId="1357AEC7">
            <w:pPr>
              <w:rPr>
                <w:rFonts w:ascii="Arial"/>
                <w:sz w:val="21"/>
                <w:highlight w:val="none"/>
              </w:rPr>
            </w:pPr>
          </w:p>
        </w:tc>
      </w:tr>
      <w:tr w14:paraId="13A92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993" w:type="dxa"/>
            <w:vAlign w:val="top"/>
          </w:tcPr>
          <w:p w14:paraId="289E4F28">
            <w:pPr>
              <w:pStyle w:val="6"/>
              <w:spacing w:before="147" w:line="219" w:lineRule="auto"/>
              <w:ind w:left="105"/>
              <w:rPr>
                <w:sz w:val="24"/>
                <w:szCs w:val="24"/>
                <w:highlight w:val="none"/>
              </w:rPr>
            </w:pPr>
            <w:r>
              <w:rPr>
                <w:spacing w:val="1"/>
                <w:sz w:val="24"/>
                <w:szCs w:val="24"/>
                <w:highlight w:val="none"/>
              </w:rPr>
              <w:t>2.总资产报酬率</w:t>
            </w:r>
          </w:p>
        </w:tc>
        <w:tc>
          <w:tcPr>
            <w:tcW w:w="739" w:type="dxa"/>
            <w:vAlign w:val="top"/>
          </w:tcPr>
          <w:p w14:paraId="3C2EA5ED">
            <w:pPr>
              <w:pStyle w:val="6"/>
              <w:spacing w:before="170"/>
              <w:ind w:left="302"/>
              <w:rPr>
                <w:sz w:val="24"/>
                <w:szCs w:val="24"/>
                <w:highlight w:val="none"/>
              </w:rPr>
            </w:pPr>
            <w:r>
              <w:rPr>
                <w:sz w:val="24"/>
                <w:szCs w:val="24"/>
                <w:highlight w:val="none"/>
              </w:rPr>
              <w:t>%</w:t>
            </w:r>
          </w:p>
        </w:tc>
        <w:tc>
          <w:tcPr>
            <w:tcW w:w="1329" w:type="dxa"/>
            <w:vAlign w:val="top"/>
          </w:tcPr>
          <w:p w14:paraId="7DD6D90B">
            <w:pPr>
              <w:rPr>
                <w:rFonts w:ascii="Arial"/>
                <w:sz w:val="21"/>
                <w:highlight w:val="none"/>
              </w:rPr>
            </w:pPr>
          </w:p>
        </w:tc>
        <w:tc>
          <w:tcPr>
            <w:tcW w:w="1458" w:type="dxa"/>
            <w:vAlign w:val="top"/>
          </w:tcPr>
          <w:p w14:paraId="47BD526B">
            <w:pPr>
              <w:rPr>
                <w:rFonts w:ascii="Arial"/>
                <w:sz w:val="21"/>
                <w:highlight w:val="none"/>
              </w:rPr>
            </w:pPr>
          </w:p>
        </w:tc>
        <w:tc>
          <w:tcPr>
            <w:tcW w:w="1438" w:type="dxa"/>
            <w:vAlign w:val="top"/>
          </w:tcPr>
          <w:p w14:paraId="45932714">
            <w:pPr>
              <w:rPr>
                <w:rFonts w:ascii="Arial"/>
                <w:sz w:val="21"/>
                <w:highlight w:val="none"/>
              </w:rPr>
            </w:pPr>
          </w:p>
        </w:tc>
        <w:tc>
          <w:tcPr>
            <w:tcW w:w="1453" w:type="dxa"/>
            <w:vAlign w:val="top"/>
          </w:tcPr>
          <w:p w14:paraId="58D75AC0">
            <w:pPr>
              <w:rPr>
                <w:rFonts w:ascii="Arial"/>
                <w:sz w:val="21"/>
                <w:highlight w:val="none"/>
              </w:rPr>
            </w:pPr>
          </w:p>
        </w:tc>
      </w:tr>
      <w:tr w14:paraId="6F62D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1993" w:type="dxa"/>
            <w:vAlign w:val="top"/>
          </w:tcPr>
          <w:p w14:paraId="09457CB6">
            <w:pPr>
              <w:pStyle w:val="6"/>
              <w:spacing w:before="138" w:line="219" w:lineRule="auto"/>
              <w:jc w:val="right"/>
              <w:rPr>
                <w:sz w:val="24"/>
                <w:szCs w:val="24"/>
                <w:highlight w:val="none"/>
              </w:rPr>
            </w:pPr>
            <w:r>
              <w:rPr>
                <w:spacing w:val="-4"/>
                <w:sz w:val="24"/>
                <w:szCs w:val="24"/>
                <w:highlight w:val="none"/>
              </w:rPr>
              <w:t>3.主营业务利润率</w:t>
            </w:r>
          </w:p>
        </w:tc>
        <w:tc>
          <w:tcPr>
            <w:tcW w:w="739" w:type="dxa"/>
            <w:vAlign w:val="top"/>
          </w:tcPr>
          <w:p w14:paraId="591C2C95">
            <w:pPr>
              <w:pStyle w:val="6"/>
              <w:spacing w:before="161"/>
              <w:ind w:left="302"/>
              <w:rPr>
                <w:sz w:val="24"/>
                <w:szCs w:val="24"/>
                <w:highlight w:val="none"/>
              </w:rPr>
            </w:pPr>
            <w:r>
              <w:rPr>
                <w:sz w:val="24"/>
                <w:szCs w:val="24"/>
                <w:highlight w:val="none"/>
              </w:rPr>
              <w:t>%</w:t>
            </w:r>
          </w:p>
        </w:tc>
        <w:tc>
          <w:tcPr>
            <w:tcW w:w="1329" w:type="dxa"/>
            <w:vAlign w:val="top"/>
          </w:tcPr>
          <w:p w14:paraId="03678769">
            <w:pPr>
              <w:rPr>
                <w:rFonts w:ascii="Arial"/>
                <w:sz w:val="21"/>
                <w:highlight w:val="none"/>
              </w:rPr>
            </w:pPr>
          </w:p>
        </w:tc>
        <w:tc>
          <w:tcPr>
            <w:tcW w:w="1458" w:type="dxa"/>
            <w:vAlign w:val="top"/>
          </w:tcPr>
          <w:p w14:paraId="0832735E">
            <w:pPr>
              <w:rPr>
                <w:rFonts w:ascii="Arial"/>
                <w:sz w:val="21"/>
                <w:highlight w:val="none"/>
              </w:rPr>
            </w:pPr>
          </w:p>
        </w:tc>
        <w:tc>
          <w:tcPr>
            <w:tcW w:w="1438" w:type="dxa"/>
            <w:vAlign w:val="top"/>
          </w:tcPr>
          <w:p w14:paraId="7DAE6107">
            <w:pPr>
              <w:rPr>
                <w:rFonts w:ascii="Arial"/>
                <w:sz w:val="21"/>
                <w:highlight w:val="none"/>
              </w:rPr>
            </w:pPr>
          </w:p>
        </w:tc>
        <w:tc>
          <w:tcPr>
            <w:tcW w:w="1453" w:type="dxa"/>
            <w:vAlign w:val="top"/>
          </w:tcPr>
          <w:p w14:paraId="07C80F21">
            <w:pPr>
              <w:pStyle w:val="6"/>
              <w:spacing w:before="249" w:line="46" w:lineRule="exact"/>
              <w:ind w:left="688"/>
              <w:rPr>
                <w:sz w:val="6"/>
                <w:szCs w:val="6"/>
                <w:highlight w:val="none"/>
              </w:rPr>
            </w:pPr>
            <w:r>
              <w:rPr>
                <w:position w:val="-1"/>
                <w:sz w:val="6"/>
                <w:szCs w:val="6"/>
                <w:highlight w:val="none"/>
              </w:rPr>
              <w:t>一</w:t>
            </w:r>
          </w:p>
        </w:tc>
      </w:tr>
      <w:tr w14:paraId="1E321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993" w:type="dxa"/>
            <w:vAlign w:val="top"/>
          </w:tcPr>
          <w:p w14:paraId="6E061EC0">
            <w:pPr>
              <w:pStyle w:val="6"/>
              <w:spacing w:before="159" w:line="219" w:lineRule="auto"/>
              <w:ind w:left="105"/>
              <w:rPr>
                <w:sz w:val="24"/>
                <w:szCs w:val="24"/>
                <w:highlight w:val="none"/>
              </w:rPr>
            </w:pPr>
            <w:r>
              <w:rPr>
                <w:spacing w:val="-1"/>
                <w:sz w:val="24"/>
                <w:szCs w:val="24"/>
                <w:highlight w:val="none"/>
              </w:rPr>
              <w:t>4.资产负债率</w:t>
            </w:r>
          </w:p>
        </w:tc>
        <w:tc>
          <w:tcPr>
            <w:tcW w:w="739" w:type="dxa"/>
            <w:vAlign w:val="top"/>
          </w:tcPr>
          <w:p w14:paraId="00C270B3">
            <w:pPr>
              <w:pStyle w:val="6"/>
              <w:spacing w:before="182"/>
              <w:ind w:left="302"/>
              <w:rPr>
                <w:sz w:val="24"/>
                <w:szCs w:val="24"/>
                <w:highlight w:val="none"/>
              </w:rPr>
            </w:pPr>
            <w:r>
              <w:rPr>
                <w:sz w:val="24"/>
                <w:szCs w:val="24"/>
                <w:highlight w:val="none"/>
              </w:rPr>
              <w:t>%</w:t>
            </w:r>
          </w:p>
        </w:tc>
        <w:tc>
          <w:tcPr>
            <w:tcW w:w="1329" w:type="dxa"/>
            <w:vAlign w:val="top"/>
          </w:tcPr>
          <w:p w14:paraId="31A707DF">
            <w:pPr>
              <w:rPr>
                <w:rFonts w:ascii="Arial"/>
                <w:sz w:val="21"/>
                <w:highlight w:val="none"/>
              </w:rPr>
            </w:pPr>
          </w:p>
        </w:tc>
        <w:tc>
          <w:tcPr>
            <w:tcW w:w="1458" w:type="dxa"/>
            <w:vAlign w:val="top"/>
          </w:tcPr>
          <w:p w14:paraId="3A0EA8DD">
            <w:pPr>
              <w:rPr>
                <w:rFonts w:ascii="Arial"/>
                <w:sz w:val="21"/>
                <w:highlight w:val="none"/>
              </w:rPr>
            </w:pPr>
          </w:p>
        </w:tc>
        <w:tc>
          <w:tcPr>
            <w:tcW w:w="1438" w:type="dxa"/>
            <w:vAlign w:val="top"/>
          </w:tcPr>
          <w:p w14:paraId="559DFE9C">
            <w:pPr>
              <w:rPr>
                <w:rFonts w:ascii="Arial"/>
                <w:sz w:val="21"/>
                <w:highlight w:val="none"/>
              </w:rPr>
            </w:pPr>
          </w:p>
        </w:tc>
        <w:tc>
          <w:tcPr>
            <w:tcW w:w="1453" w:type="dxa"/>
            <w:vAlign w:val="top"/>
          </w:tcPr>
          <w:p w14:paraId="72DC7A3A">
            <w:pPr>
              <w:rPr>
                <w:rFonts w:ascii="Arial"/>
                <w:sz w:val="21"/>
                <w:highlight w:val="none"/>
              </w:rPr>
            </w:pPr>
          </w:p>
        </w:tc>
      </w:tr>
      <w:tr w14:paraId="0A2C5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993" w:type="dxa"/>
            <w:vAlign w:val="top"/>
          </w:tcPr>
          <w:p w14:paraId="0093A1CC">
            <w:pPr>
              <w:pStyle w:val="6"/>
              <w:spacing w:before="149" w:line="219" w:lineRule="auto"/>
              <w:ind w:left="105"/>
              <w:rPr>
                <w:sz w:val="24"/>
                <w:szCs w:val="24"/>
                <w:highlight w:val="none"/>
              </w:rPr>
            </w:pPr>
            <w:r>
              <w:rPr>
                <w:spacing w:val="1"/>
                <w:sz w:val="24"/>
                <w:szCs w:val="24"/>
                <w:highlight w:val="none"/>
              </w:rPr>
              <w:t>5.流动比率</w:t>
            </w:r>
          </w:p>
        </w:tc>
        <w:tc>
          <w:tcPr>
            <w:tcW w:w="739" w:type="dxa"/>
            <w:vAlign w:val="top"/>
          </w:tcPr>
          <w:p w14:paraId="515751D2">
            <w:pPr>
              <w:pStyle w:val="6"/>
              <w:spacing w:before="172"/>
              <w:ind w:left="302"/>
              <w:rPr>
                <w:sz w:val="24"/>
                <w:szCs w:val="24"/>
                <w:highlight w:val="none"/>
              </w:rPr>
            </w:pPr>
            <w:r>
              <w:rPr>
                <w:sz w:val="24"/>
                <w:szCs w:val="24"/>
                <w:highlight w:val="none"/>
              </w:rPr>
              <w:t>%</w:t>
            </w:r>
          </w:p>
        </w:tc>
        <w:tc>
          <w:tcPr>
            <w:tcW w:w="1329" w:type="dxa"/>
            <w:vAlign w:val="top"/>
          </w:tcPr>
          <w:p w14:paraId="7B46F549">
            <w:pPr>
              <w:rPr>
                <w:rFonts w:ascii="Arial"/>
                <w:sz w:val="21"/>
                <w:highlight w:val="none"/>
              </w:rPr>
            </w:pPr>
          </w:p>
        </w:tc>
        <w:tc>
          <w:tcPr>
            <w:tcW w:w="1458" w:type="dxa"/>
            <w:vAlign w:val="top"/>
          </w:tcPr>
          <w:p w14:paraId="6BEB62A9">
            <w:pPr>
              <w:rPr>
                <w:rFonts w:ascii="Arial"/>
                <w:sz w:val="21"/>
                <w:highlight w:val="none"/>
              </w:rPr>
            </w:pPr>
          </w:p>
        </w:tc>
        <w:tc>
          <w:tcPr>
            <w:tcW w:w="1438" w:type="dxa"/>
            <w:vAlign w:val="top"/>
          </w:tcPr>
          <w:p w14:paraId="13D7434C">
            <w:pPr>
              <w:rPr>
                <w:rFonts w:ascii="Arial"/>
                <w:sz w:val="21"/>
                <w:highlight w:val="none"/>
              </w:rPr>
            </w:pPr>
          </w:p>
        </w:tc>
        <w:tc>
          <w:tcPr>
            <w:tcW w:w="1453" w:type="dxa"/>
            <w:vAlign w:val="top"/>
          </w:tcPr>
          <w:p w14:paraId="1F97A27F">
            <w:pPr>
              <w:rPr>
                <w:rFonts w:ascii="Arial"/>
                <w:sz w:val="21"/>
                <w:highlight w:val="none"/>
              </w:rPr>
            </w:pPr>
          </w:p>
        </w:tc>
      </w:tr>
      <w:tr w14:paraId="412E0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993" w:type="dxa"/>
            <w:vAlign w:val="top"/>
          </w:tcPr>
          <w:p w14:paraId="6CA8D740">
            <w:pPr>
              <w:pStyle w:val="6"/>
              <w:spacing w:before="139" w:line="219" w:lineRule="auto"/>
              <w:ind w:left="105"/>
              <w:rPr>
                <w:sz w:val="24"/>
                <w:szCs w:val="24"/>
                <w:highlight w:val="none"/>
              </w:rPr>
            </w:pPr>
            <w:r>
              <w:rPr>
                <w:spacing w:val="1"/>
                <w:sz w:val="24"/>
                <w:szCs w:val="24"/>
                <w:highlight w:val="none"/>
              </w:rPr>
              <w:t>6.速动比率</w:t>
            </w:r>
          </w:p>
        </w:tc>
        <w:tc>
          <w:tcPr>
            <w:tcW w:w="739" w:type="dxa"/>
            <w:vAlign w:val="top"/>
          </w:tcPr>
          <w:p w14:paraId="7AAC53E3">
            <w:pPr>
              <w:pStyle w:val="6"/>
              <w:spacing w:before="162"/>
              <w:ind w:left="302"/>
              <w:rPr>
                <w:sz w:val="24"/>
                <w:szCs w:val="24"/>
                <w:highlight w:val="none"/>
              </w:rPr>
            </w:pPr>
            <w:r>
              <w:rPr>
                <w:sz w:val="24"/>
                <w:szCs w:val="24"/>
                <w:highlight w:val="none"/>
              </w:rPr>
              <w:t>%</w:t>
            </w:r>
          </w:p>
        </w:tc>
        <w:tc>
          <w:tcPr>
            <w:tcW w:w="1329" w:type="dxa"/>
            <w:vAlign w:val="top"/>
          </w:tcPr>
          <w:p w14:paraId="67A940F9">
            <w:pPr>
              <w:rPr>
                <w:rFonts w:ascii="Arial"/>
                <w:sz w:val="21"/>
                <w:highlight w:val="none"/>
              </w:rPr>
            </w:pPr>
          </w:p>
        </w:tc>
        <w:tc>
          <w:tcPr>
            <w:tcW w:w="1458" w:type="dxa"/>
            <w:vAlign w:val="top"/>
          </w:tcPr>
          <w:p w14:paraId="20012ABF">
            <w:pPr>
              <w:rPr>
                <w:rFonts w:ascii="Arial"/>
                <w:sz w:val="21"/>
                <w:highlight w:val="none"/>
              </w:rPr>
            </w:pPr>
          </w:p>
        </w:tc>
        <w:tc>
          <w:tcPr>
            <w:tcW w:w="1438" w:type="dxa"/>
            <w:vAlign w:val="top"/>
          </w:tcPr>
          <w:p w14:paraId="2D3DC776">
            <w:pPr>
              <w:rPr>
                <w:rFonts w:ascii="Arial"/>
                <w:sz w:val="21"/>
                <w:highlight w:val="none"/>
              </w:rPr>
            </w:pPr>
          </w:p>
        </w:tc>
        <w:tc>
          <w:tcPr>
            <w:tcW w:w="1453" w:type="dxa"/>
            <w:vAlign w:val="top"/>
          </w:tcPr>
          <w:p w14:paraId="3ED5C354">
            <w:pPr>
              <w:rPr>
                <w:rFonts w:ascii="Arial"/>
                <w:sz w:val="21"/>
                <w:highlight w:val="none"/>
              </w:rPr>
            </w:pPr>
          </w:p>
        </w:tc>
      </w:tr>
    </w:tbl>
    <w:p w14:paraId="2F633247">
      <w:pPr>
        <w:pStyle w:val="2"/>
        <w:spacing w:line="338" w:lineRule="auto"/>
        <w:rPr>
          <w:highlight w:val="none"/>
        </w:rPr>
      </w:pPr>
    </w:p>
    <w:p w14:paraId="29F81919">
      <w:pPr>
        <w:spacing w:before="71" w:line="254" w:lineRule="auto"/>
        <w:ind w:left="870" w:right="126" w:hanging="870"/>
        <w:rPr>
          <w:rFonts w:ascii="宋体" w:hAnsi="宋体" w:eastAsia="宋体" w:cs="宋体"/>
          <w:sz w:val="22"/>
          <w:szCs w:val="22"/>
          <w:highlight w:val="none"/>
        </w:rPr>
      </w:pPr>
      <w:r>
        <w:rPr>
          <w:rFonts w:ascii="宋体" w:hAnsi="宋体" w:eastAsia="宋体" w:cs="宋体"/>
          <w:spacing w:val="-12"/>
          <w:sz w:val="22"/>
          <w:szCs w:val="22"/>
          <w:highlight w:val="none"/>
        </w:rPr>
        <w:t>备注：1.本表后应附近年财务会计报表，包括资产负债表、现金流</w:t>
      </w:r>
      <w:r>
        <w:rPr>
          <w:rFonts w:ascii="宋体" w:hAnsi="宋体" w:eastAsia="宋体" w:cs="宋体"/>
          <w:spacing w:val="-13"/>
          <w:sz w:val="22"/>
          <w:szCs w:val="22"/>
          <w:highlight w:val="none"/>
        </w:rPr>
        <w:t>量表、利润表和财务情况</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说明书的扫描件；具体年份要求见申请(投标)人须知前附表。</w:t>
      </w:r>
    </w:p>
    <w:p w14:paraId="29E02C4B">
      <w:pPr>
        <w:spacing w:before="36" w:line="248" w:lineRule="auto"/>
        <w:ind w:left="849" w:right="95" w:hanging="219"/>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 xml:space="preserve">2. </w:t>
      </w:r>
      <w:r>
        <w:rPr>
          <w:rFonts w:ascii="宋体" w:hAnsi="宋体" w:eastAsia="宋体" w:cs="宋体"/>
          <w:spacing w:val="-11"/>
          <w:sz w:val="22"/>
          <w:szCs w:val="22"/>
          <w:highlight w:val="none"/>
        </w:rPr>
        <w:t>本表所列数据必须与本表各附件中的数据相一致。如</w:t>
      </w:r>
      <w:r>
        <w:rPr>
          <w:rFonts w:ascii="宋体" w:hAnsi="宋体" w:eastAsia="宋体" w:cs="宋体"/>
          <w:spacing w:val="-12"/>
          <w:sz w:val="22"/>
          <w:szCs w:val="22"/>
          <w:highlight w:val="none"/>
        </w:rPr>
        <w:t>果有不一致之处，以不利于投</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标人的数据为准。</w:t>
      </w:r>
    </w:p>
    <w:p w14:paraId="53C91B18">
      <w:pPr>
        <w:spacing w:before="59" w:line="220" w:lineRule="auto"/>
        <w:ind w:left="630"/>
        <w:rPr>
          <w:rFonts w:ascii="宋体" w:hAnsi="宋体" w:eastAsia="宋体" w:cs="宋体"/>
          <w:sz w:val="21"/>
          <w:szCs w:val="21"/>
          <w:highlight w:val="none"/>
        </w:rPr>
      </w:pPr>
      <w:r>
        <w:rPr>
          <w:rFonts w:ascii="Times New Roman" w:hAnsi="Times New Roman" w:eastAsia="Times New Roman" w:cs="Times New Roman"/>
          <w:spacing w:val="-2"/>
          <w:sz w:val="21"/>
          <w:szCs w:val="21"/>
          <w:highlight w:val="none"/>
        </w:rPr>
        <w:t>3.</w:t>
      </w:r>
      <w:r>
        <w:rPr>
          <w:rFonts w:ascii="Times New Roman" w:hAnsi="Times New Roman" w:eastAsia="Times New Roman" w:cs="Times New Roman"/>
          <w:spacing w:val="33"/>
          <w:sz w:val="21"/>
          <w:szCs w:val="21"/>
          <w:highlight w:val="none"/>
        </w:rPr>
        <w:t xml:space="preserve"> </w:t>
      </w:r>
      <w:r>
        <w:rPr>
          <w:rFonts w:ascii="宋体" w:hAnsi="宋体" w:eastAsia="宋体" w:cs="宋体"/>
          <w:spacing w:val="-2"/>
          <w:sz w:val="21"/>
          <w:szCs w:val="21"/>
          <w:highlight w:val="none"/>
        </w:rPr>
        <w:t>以联合体形式投标的，联合体各成员应分别填写。</w:t>
      </w:r>
    </w:p>
    <w:p w14:paraId="646FA672">
      <w:pPr>
        <w:spacing w:line="220" w:lineRule="auto"/>
        <w:rPr>
          <w:rFonts w:ascii="宋体" w:hAnsi="宋体" w:eastAsia="宋体" w:cs="宋体"/>
          <w:sz w:val="21"/>
          <w:szCs w:val="21"/>
          <w:highlight w:val="none"/>
        </w:rPr>
        <w:sectPr>
          <w:footerReference r:id="rId265" w:type="default"/>
          <w:pgSz w:w="11910" w:h="16840"/>
          <w:pgMar w:top="400" w:right="1705" w:bottom="1238" w:left="1779" w:header="0" w:footer="1006" w:gutter="0"/>
          <w:cols w:space="720" w:num="1"/>
        </w:sectPr>
      </w:pPr>
    </w:p>
    <w:p w14:paraId="2C8BFFE9">
      <w:pPr>
        <w:pStyle w:val="2"/>
        <w:spacing w:line="276" w:lineRule="auto"/>
        <w:rPr>
          <w:highlight w:val="none"/>
        </w:rPr>
      </w:pPr>
    </w:p>
    <w:p w14:paraId="25AC729E">
      <w:pPr>
        <w:pStyle w:val="2"/>
        <w:spacing w:line="276" w:lineRule="auto"/>
        <w:rPr>
          <w:highlight w:val="none"/>
        </w:rPr>
      </w:pPr>
    </w:p>
    <w:p w14:paraId="1C2E5CAC">
      <w:pPr>
        <w:pStyle w:val="2"/>
        <w:spacing w:line="276" w:lineRule="auto"/>
        <w:rPr>
          <w:highlight w:val="none"/>
        </w:rPr>
      </w:pPr>
    </w:p>
    <w:p w14:paraId="168F0CBA">
      <w:pPr>
        <w:pStyle w:val="2"/>
        <w:spacing w:line="276" w:lineRule="auto"/>
        <w:rPr>
          <w:highlight w:val="none"/>
        </w:rPr>
      </w:pPr>
    </w:p>
    <w:p w14:paraId="67372922">
      <w:pPr>
        <w:pStyle w:val="2"/>
        <w:spacing w:line="277" w:lineRule="auto"/>
        <w:rPr>
          <w:highlight w:val="none"/>
        </w:rPr>
      </w:pPr>
    </w:p>
    <w:p w14:paraId="5268E809">
      <w:pPr>
        <w:spacing w:before="78" w:line="221" w:lineRule="auto"/>
        <w:ind w:left="2500"/>
        <w:rPr>
          <w:rFonts w:ascii="黑体" w:hAnsi="黑体" w:eastAsia="黑体" w:cs="黑体"/>
          <w:sz w:val="24"/>
          <w:szCs w:val="24"/>
          <w:highlight w:val="none"/>
        </w:rPr>
      </w:pPr>
      <w:r>
        <w:rPr>
          <w:rFonts w:ascii="黑体" w:hAnsi="黑体" w:eastAsia="黑体" w:cs="黑体"/>
          <w:spacing w:val="2"/>
          <w:sz w:val="24"/>
          <w:szCs w:val="24"/>
          <w:highlight w:val="none"/>
        </w:rPr>
        <w:t>2-2拟投入的流动资金函(格式)</w:t>
      </w:r>
    </w:p>
    <w:p w14:paraId="5A370B72">
      <w:pPr>
        <w:pStyle w:val="2"/>
        <w:spacing w:line="476" w:lineRule="auto"/>
        <w:rPr>
          <w:highlight w:val="none"/>
        </w:rPr>
      </w:pPr>
    </w:p>
    <w:p w14:paraId="215C3BD6">
      <w:pPr>
        <w:tabs>
          <w:tab w:val="left" w:pos="1690"/>
        </w:tabs>
        <w:spacing w:before="65" w:line="220" w:lineRule="auto"/>
        <w:rPr>
          <w:rFonts w:ascii="宋体" w:hAnsi="宋体" w:eastAsia="宋体" w:cs="宋体"/>
          <w:sz w:val="20"/>
          <w:szCs w:val="20"/>
          <w:highlight w:val="none"/>
        </w:rPr>
      </w:pPr>
      <w:r>
        <w:rPr>
          <w:rFonts w:ascii="宋体" w:hAnsi="宋体" w:eastAsia="宋体" w:cs="宋体"/>
          <w:sz w:val="20"/>
          <w:szCs w:val="20"/>
          <w:highlight w:val="none"/>
          <w:u w:val="single" w:color="auto"/>
        </w:rPr>
        <w:tab/>
      </w:r>
      <w:r>
        <w:rPr>
          <w:rFonts w:ascii="宋体" w:hAnsi="宋体" w:eastAsia="宋体" w:cs="宋体"/>
          <w:spacing w:val="-70"/>
          <w:sz w:val="20"/>
          <w:szCs w:val="20"/>
          <w:highlight w:val="none"/>
        </w:rPr>
        <w:t xml:space="preserve"> </w:t>
      </w:r>
      <w:r>
        <w:rPr>
          <w:rFonts w:ascii="宋体" w:hAnsi="宋体" w:eastAsia="宋体" w:cs="宋体"/>
          <w:spacing w:val="5"/>
          <w:sz w:val="20"/>
          <w:szCs w:val="20"/>
          <w:highlight w:val="none"/>
        </w:rPr>
        <w:t>(招标人名称):</w:t>
      </w:r>
    </w:p>
    <w:p w14:paraId="3EE68312">
      <w:pPr>
        <w:spacing w:before="171" w:line="332" w:lineRule="auto"/>
        <w:ind w:right="36" w:firstLine="410"/>
        <w:rPr>
          <w:rFonts w:ascii="宋体" w:hAnsi="宋体" w:eastAsia="宋体" w:cs="宋体"/>
          <w:sz w:val="21"/>
          <w:szCs w:val="21"/>
          <w:highlight w:val="none"/>
        </w:rPr>
      </w:pPr>
      <w:r>
        <w:rPr>
          <w:rFonts w:ascii="宋体" w:hAnsi="宋体" w:eastAsia="宋体" w:cs="宋体"/>
          <w:spacing w:val="2"/>
          <w:sz w:val="21"/>
          <w:szCs w:val="21"/>
          <w:highlight w:val="none"/>
        </w:rPr>
        <w:t>我方拟投入</w:t>
      </w:r>
      <w:r>
        <w:rPr>
          <w:rFonts w:ascii="宋体" w:hAnsi="宋体" w:eastAsia="宋体" w:cs="宋体"/>
          <w:spacing w:val="-54"/>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60"/>
          <w:sz w:val="21"/>
          <w:szCs w:val="21"/>
          <w:highlight w:val="none"/>
        </w:rPr>
        <w:t xml:space="preserve"> </w:t>
      </w:r>
      <w:r>
        <w:rPr>
          <w:rFonts w:ascii="宋体" w:hAnsi="宋体" w:eastAsia="宋体" w:cs="宋体"/>
          <w:spacing w:val="2"/>
          <w:sz w:val="21"/>
          <w:szCs w:val="21"/>
          <w:highlight w:val="none"/>
        </w:rPr>
        <w:t>(项目名称)</w:t>
      </w:r>
      <w:r>
        <w:rPr>
          <w:rFonts w:ascii="宋体" w:hAnsi="宋体" w:eastAsia="宋体" w:cs="宋体"/>
          <w:spacing w:val="16"/>
          <w:sz w:val="21"/>
          <w:szCs w:val="21"/>
          <w:highlight w:val="none"/>
          <w:u w:val="single" w:color="auto"/>
        </w:rPr>
        <w:t xml:space="preserve">    </w:t>
      </w:r>
      <w:r>
        <w:rPr>
          <w:rFonts w:ascii="宋体" w:hAnsi="宋体" w:eastAsia="宋体" w:cs="宋体"/>
          <w:spacing w:val="-85"/>
          <w:sz w:val="21"/>
          <w:szCs w:val="21"/>
          <w:highlight w:val="none"/>
        </w:rPr>
        <w:t xml:space="preserve"> </w:t>
      </w:r>
      <w:r>
        <w:rPr>
          <w:rFonts w:ascii="宋体" w:hAnsi="宋体" w:eastAsia="宋体" w:cs="宋体"/>
          <w:spacing w:val="2"/>
          <w:sz w:val="21"/>
          <w:szCs w:val="21"/>
          <w:highlight w:val="none"/>
        </w:rPr>
        <w:t>(标段名称)工程总承包</w:t>
      </w:r>
      <w:r>
        <w:rPr>
          <w:rFonts w:ascii="宋体" w:hAnsi="宋体" w:eastAsia="宋体" w:cs="宋体"/>
          <w:spacing w:val="1"/>
          <w:sz w:val="21"/>
          <w:szCs w:val="21"/>
          <w:highlight w:val="none"/>
        </w:rPr>
        <w:t>的流动资金为</w:t>
      </w:r>
      <w:r>
        <w:rPr>
          <w:rFonts w:ascii="宋体" w:hAnsi="宋体" w:eastAsia="宋体" w:cs="宋体"/>
          <w:spacing w:val="14"/>
          <w:sz w:val="21"/>
          <w:szCs w:val="21"/>
          <w:highlight w:val="none"/>
          <w:u w:val="single" w:color="auto"/>
        </w:rPr>
        <w:t xml:space="preserve">       </w:t>
      </w:r>
      <w:r>
        <w:rPr>
          <w:rFonts w:ascii="宋体" w:hAnsi="宋体" w:eastAsia="宋体" w:cs="宋体"/>
          <w:spacing w:val="1"/>
          <w:sz w:val="21"/>
          <w:szCs w:val="21"/>
          <w:highlight w:val="none"/>
        </w:rPr>
        <w:t>万</w:t>
      </w:r>
      <w:r>
        <w:rPr>
          <w:rFonts w:ascii="宋体" w:hAnsi="宋体" w:eastAsia="宋体" w:cs="宋体"/>
          <w:spacing w:val="6"/>
          <w:sz w:val="21"/>
          <w:szCs w:val="21"/>
          <w:highlight w:val="none"/>
        </w:rPr>
        <w:t xml:space="preserve"> </w:t>
      </w:r>
      <w:r>
        <w:rPr>
          <w:rFonts w:ascii="宋体" w:hAnsi="宋体" w:eastAsia="宋体" w:cs="宋体"/>
          <w:spacing w:val="1"/>
          <w:sz w:val="21"/>
          <w:szCs w:val="21"/>
          <w:highlight w:val="none"/>
        </w:rPr>
        <w:t>元，资金来源于</w:t>
      </w:r>
      <w:r>
        <w:rPr>
          <w:rFonts w:ascii="宋体" w:hAnsi="宋体" w:eastAsia="宋体" w:cs="宋体"/>
          <w:spacing w:val="-45"/>
          <w:sz w:val="21"/>
          <w:szCs w:val="21"/>
          <w:highlight w:val="none"/>
        </w:rPr>
        <w:t xml:space="preserve"> </w:t>
      </w:r>
      <w:r>
        <w:rPr>
          <w:rFonts w:ascii="宋体" w:hAnsi="宋体" w:eastAsia="宋体" w:cs="宋体"/>
          <w:sz w:val="21"/>
          <w:szCs w:val="21"/>
          <w:highlight w:val="none"/>
          <w:u w:val="single" w:color="auto"/>
        </w:rPr>
        <w:t xml:space="preserve">              </w:t>
      </w:r>
      <w:r>
        <w:rPr>
          <w:rFonts w:ascii="宋体" w:hAnsi="宋体" w:eastAsia="宋体" w:cs="宋体"/>
          <w:spacing w:val="1"/>
          <w:sz w:val="21"/>
          <w:szCs w:val="21"/>
          <w:highlight w:val="none"/>
        </w:rPr>
        <w:t>,资金来源证明文件附后。</w:t>
      </w:r>
    </w:p>
    <w:p w14:paraId="476AE4FC">
      <w:pPr>
        <w:spacing w:before="26" w:line="219" w:lineRule="auto"/>
        <w:ind w:left="410"/>
        <w:rPr>
          <w:rFonts w:ascii="宋体" w:hAnsi="宋体" w:eastAsia="宋体" w:cs="宋体"/>
          <w:sz w:val="22"/>
          <w:szCs w:val="22"/>
          <w:highlight w:val="none"/>
        </w:rPr>
      </w:pPr>
      <w:r>
        <w:rPr>
          <w:rFonts w:ascii="宋体" w:hAnsi="宋体" w:eastAsia="宋体" w:cs="宋体"/>
          <w:spacing w:val="-20"/>
          <w:w w:val="96"/>
          <w:sz w:val="24"/>
          <w:szCs w:val="24"/>
          <w:highlight w:val="none"/>
        </w:rPr>
        <w:t>我方可使用的银行授信余额和银行存款共计</w:t>
      </w:r>
      <w:r>
        <w:rPr>
          <w:rFonts w:ascii="宋体" w:hAnsi="宋体" w:eastAsia="宋体" w:cs="宋体"/>
          <w:spacing w:val="6"/>
          <w:sz w:val="24"/>
          <w:szCs w:val="24"/>
          <w:highlight w:val="none"/>
          <w:u w:val="single" w:color="auto"/>
        </w:rPr>
        <w:t xml:space="preserve">          </w:t>
      </w:r>
      <w:r>
        <w:rPr>
          <w:rFonts w:ascii="宋体" w:hAnsi="宋体" w:eastAsia="宋体" w:cs="宋体"/>
          <w:spacing w:val="-20"/>
          <w:w w:val="96"/>
          <w:position w:val="1"/>
          <w:sz w:val="22"/>
          <w:szCs w:val="22"/>
          <w:highlight w:val="none"/>
        </w:rPr>
        <w:t>_万元。</w:t>
      </w:r>
    </w:p>
    <w:p w14:paraId="4F70B3EA">
      <w:pPr>
        <w:pStyle w:val="2"/>
        <w:spacing w:line="419" w:lineRule="auto"/>
        <w:rPr>
          <w:highlight w:val="none"/>
        </w:rPr>
      </w:pPr>
    </w:p>
    <w:p w14:paraId="4E059CD3">
      <w:pPr>
        <w:tabs>
          <w:tab w:val="left" w:pos="6850"/>
        </w:tabs>
        <w:spacing w:before="71" w:line="347" w:lineRule="auto"/>
        <w:ind w:left="5769" w:right="36" w:hanging="929"/>
        <w:rPr>
          <w:rFonts w:ascii="宋体" w:hAnsi="宋体" w:eastAsia="宋体" w:cs="宋体"/>
          <w:sz w:val="20"/>
          <w:szCs w:val="20"/>
          <w:highlight w:val="none"/>
        </w:rPr>
      </w:pPr>
      <w:r>
        <w:rPr>
          <w:rFonts w:ascii="宋体" w:hAnsi="宋体" w:eastAsia="宋体" w:cs="宋体"/>
          <w:spacing w:val="-21"/>
          <w:w w:val="93"/>
          <w:position w:val="-1"/>
          <w:sz w:val="22"/>
          <w:szCs w:val="22"/>
          <w:highlight w:val="none"/>
        </w:rPr>
        <w:t>投标人：</w:t>
      </w:r>
      <w:r>
        <w:rPr>
          <w:rFonts w:ascii="宋体" w:hAnsi="宋体" w:eastAsia="宋体" w:cs="宋体"/>
          <w:spacing w:val="2"/>
          <w:position w:val="-1"/>
          <w:sz w:val="22"/>
          <w:szCs w:val="22"/>
          <w:highlight w:val="none"/>
          <w:u w:val="single" w:color="auto"/>
        </w:rPr>
        <w:t xml:space="preserve">                </w:t>
      </w:r>
      <w:r>
        <w:rPr>
          <w:rFonts w:ascii="宋体" w:hAnsi="宋体" w:eastAsia="宋体" w:cs="宋体"/>
          <w:spacing w:val="-68"/>
          <w:position w:val="-1"/>
          <w:sz w:val="22"/>
          <w:szCs w:val="22"/>
          <w:highlight w:val="none"/>
        </w:rPr>
        <w:t xml:space="preserve"> </w:t>
      </w:r>
      <w:r>
        <w:rPr>
          <w:rFonts w:ascii="宋体" w:hAnsi="宋体" w:eastAsia="宋体" w:cs="宋体"/>
          <w:spacing w:val="-21"/>
          <w:w w:val="93"/>
          <w:position w:val="1"/>
          <w:sz w:val="22"/>
          <w:szCs w:val="22"/>
          <w:highlight w:val="none"/>
        </w:rPr>
        <w:t>(盖单位章)</w:t>
      </w:r>
      <w:r>
        <w:rPr>
          <w:rFonts w:ascii="宋体" w:hAnsi="宋体" w:eastAsia="宋体" w:cs="宋体"/>
          <w:position w:val="1"/>
          <w:sz w:val="22"/>
          <w:szCs w:val="22"/>
          <w:highlight w:val="none"/>
        </w:rPr>
        <w:t xml:space="preserve"> </w:t>
      </w:r>
      <w:r>
        <w:rPr>
          <w:rFonts w:ascii="宋体" w:hAnsi="宋体" w:eastAsia="宋体" w:cs="宋体"/>
          <w:sz w:val="20"/>
          <w:szCs w:val="20"/>
          <w:highlight w:val="none"/>
          <w:u w:val="single" w:color="auto"/>
        </w:rPr>
        <w:tab/>
      </w:r>
      <w:r>
        <w:rPr>
          <w:rFonts w:ascii="宋体" w:hAnsi="宋体" w:eastAsia="宋体" w:cs="宋体"/>
          <w:spacing w:val="-29"/>
          <w:w w:val="77"/>
          <w:sz w:val="20"/>
          <w:szCs w:val="20"/>
          <w:highlight w:val="none"/>
        </w:rPr>
        <w:t>年</w:t>
      </w:r>
      <w:r>
        <w:rPr>
          <w:rFonts w:ascii="宋体" w:hAnsi="宋体" w:eastAsia="宋体" w:cs="宋体"/>
          <w:spacing w:val="-88"/>
          <w:sz w:val="20"/>
          <w:szCs w:val="20"/>
          <w:highlight w:val="none"/>
        </w:rPr>
        <w:t xml:space="preserve"> </w:t>
      </w:r>
      <w:r>
        <w:rPr>
          <w:rFonts w:ascii="宋体" w:hAnsi="宋体" w:eastAsia="宋体" w:cs="宋体"/>
          <w:spacing w:val="17"/>
          <w:sz w:val="20"/>
          <w:szCs w:val="20"/>
          <w:highlight w:val="none"/>
          <w:u w:val="single" w:color="auto"/>
        </w:rPr>
        <w:t xml:space="preserve">    </w:t>
      </w:r>
      <w:r>
        <w:rPr>
          <w:rFonts w:ascii="宋体" w:hAnsi="宋体" w:eastAsia="宋体" w:cs="宋体"/>
          <w:spacing w:val="-29"/>
          <w:w w:val="77"/>
          <w:sz w:val="20"/>
          <w:szCs w:val="20"/>
          <w:highlight w:val="none"/>
          <w:u w:val="single" w:color="auto"/>
        </w:rPr>
        <w:t>月</w:t>
      </w:r>
      <w:r>
        <w:rPr>
          <w:rFonts w:ascii="宋体" w:hAnsi="宋体" w:eastAsia="宋体" w:cs="宋体"/>
          <w:spacing w:val="16"/>
          <w:sz w:val="20"/>
          <w:szCs w:val="20"/>
          <w:highlight w:val="none"/>
          <w:u w:val="single" w:color="auto"/>
        </w:rPr>
        <w:t xml:space="preserve">     </w:t>
      </w:r>
      <w:r>
        <w:rPr>
          <w:rFonts w:ascii="宋体" w:hAnsi="宋体" w:eastAsia="宋体" w:cs="宋体"/>
          <w:spacing w:val="-29"/>
          <w:w w:val="77"/>
          <w:sz w:val="20"/>
          <w:szCs w:val="20"/>
          <w:highlight w:val="none"/>
        </w:rPr>
        <w:t>日</w:t>
      </w:r>
    </w:p>
    <w:p w14:paraId="2BE767EF">
      <w:pPr>
        <w:pStyle w:val="2"/>
        <w:spacing w:line="255" w:lineRule="auto"/>
        <w:rPr>
          <w:highlight w:val="none"/>
        </w:rPr>
      </w:pPr>
    </w:p>
    <w:p w14:paraId="0073BE79">
      <w:pPr>
        <w:pStyle w:val="2"/>
        <w:spacing w:line="256" w:lineRule="auto"/>
        <w:rPr>
          <w:highlight w:val="none"/>
        </w:rPr>
      </w:pPr>
    </w:p>
    <w:p w14:paraId="10D8C943">
      <w:pPr>
        <w:pStyle w:val="2"/>
        <w:spacing w:line="256" w:lineRule="auto"/>
        <w:rPr>
          <w:highlight w:val="none"/>
        </w:rPr>
      </w:pPr>
    </w:p>
    <w:p w14:paraId="2CD44EB6">
      <w:pPr>
        <w:pStyle w:val="2"/>
        <w:spacing w:line="256" w:lineRule="auto"/>
        <w:rPr>
          <w:highlight w:val="none"/>
        </w:rPr>
      </w:pPr>
    </w:p>
    <w:p w14:paraId="6FCF28F0">
      <w:pPr>
        <w:pStyle w:val="2"/>
        <w:spacing w:line="256" w:lineRule="auto"/>
        <w:rPr>
          <w:highlight w:val="none"/>
        </w:rPr>
      </w:pPr>
    </w:p>
    <w:p w14:paraId="42896C66">
      <w:pPr>
        <w:pStyle w:val="2"/>
        <w:spacing w:line="256" w:lineRule="auto"/>
        <w:rPr>
          <w:highlight w:val="none"/>
        </w:rPr>
      </w:pPr>
    </w:p>
    <w:p w14:paraId="001478FB">
      <w:pPr>
        <w:pStyle w:val="2"/>
        <w:spacing w:line="256" w:lineRule="auto"/>
        <w:rPr>
          <w:highlight w:val="none"/>
        </w:rPr>
      </w:pPr>
    </w:p>
    <w:p w14:paraId="3A13DD55">
      <w:pPr>
        <w:pStyle w:val="2"/>
        <w:spacing w:line="256" w:lineRule="auto"/>
        <w:rPr>
          <w:highlight w:val="none"/>
        </w:rPr>
      </w:pPr>
    </w:p>
    <w:p w14:paraId="37E3DEA3">
      <w:pPr>
        <w:pStyle w:val="2"/>
        <w:spacing w:line="256" w:lineRule="auto"/>
        <w:rPr>
          <w:highlight w:val="none"/>
        </w:rPr>
      </w:pPr>
    </w:p>
    <w:p w14:paraId="0DCA05F0">
      <w:pPr>
        <w:pStyle w:val="2"/>
        <w:spacing w:line="256" w:lineRule="auto"/>
        <w:rPr>
          <w:highlight w:val="none"/>
        </w:rPr>
      </w:pPr>
    </w:p>
    <w:p w14:paraId="5895A1E3">
      <w:pPr>
        <w:pStyle w:val="2"/>
        <w:spacing w:line="256" w:lineRule="auto"/>
        <w:rPr>
          <w:highlight w:val="none"/>
        </w:rPr>
      </w:pPr>
    </w:p>
    <w:p w14:paraId="04586A5E">
      <w:pPr>
        <w:pStyle w:val="2"/>
        <w:spacing w:line="256" w:lineRule="auto"/>
        <w:rPr>
          <w:highlight w:val="none"/>
        </w:rPr>
      </w:pPr>
    </w:p>
    <w:p w14:paraId="07D6AB98">
      <w:pPr>
        <w:pStyle w:val="2"/>
        <w:spacing w:line="256" w:lineRule="auto"/>
        <w:rPr>
          <w:highlight w:val="none"/>
        </w:rPr>
      </w:pPr>
    </w:p>
    <w:p w14:paraId="44C4E36E">
      <w:pPr>
        <w:pStyle w:val="2"/>
        <w:spacing w:line="256" w:lineRule="auto"/>
        <w:rPr>
          <w:highlight w:val="none"/>
        </w:rPr>
      </w:pPr>
    </w:p>
    <w:p w14:paraId="4DCA75AE">
      <w:pPr>
        <w:pStyle w:val="2"/>
        <w:spacing w:line="256" w:lineRule="auto"/>
        <w:rPr>
          <w:highlight w:val="none"/>
        </w:rPr>
      </w:pPr>
    </w:p>
    <w:p w14:paraId="4DB2B3FB">
      <w:pPr>
        <w:spacing w:before="68" w:line="285" w:lineRule="auto"/>
        <w:ind w:left="840" w:right="32" w:hanging="840"/>
        <w:rPr>
          <w:rFonts w:ascii="宋体" w:hAnsi="宋体" w:eastAsia="宋体" w:cs="宋体"/>
          <w:sz w:val="21"/>
          <w:szCs w:val="21"/>
          <w:highlight w:val="none"/>
        </w:rPr>
      </w:pPr>
      <w:r>
        <w:rPr>
          <w:rFonts w:ascii="宋体" w:hAnsi="宋体" w:eastAsia="宋体" w:cs="宋体"/>
          <w:spacing w:val="-2"/>
          <w:sz w:val="21"/>
          <w:szCs w:val="21"/>
          <w:highlight w:val="none"/>
        </w:rPr>
        <w:t>备注：1.如招标人为避免投标人中标后因流动资金不足影响工程进度，而</w:t>
      </w:r>
      <w:r>
        <w:rPr>
          <w:rFonts w:ascii="宋体" w:hAnsi="宋体" w:eastAsia="宋体" w:cs="宋体"/>
          <w:spacing w:val="-3"/>
          <w:sz w:val="21"/>
          <w:szCs w:val="21"/>
          <w:highlight w:val="none"/>
        </w:rPr>
        <w:t>要求投标人具有一</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定的流动资金的，投标人应当填写此表。</w:t>
      </w:r>
    </w:p>
    <w:p w14:paraId="6FE07420">
      <w:pPr>
        <w:spacing w:before="1" w:line="257" w:lineRule="auto"/>
        <w:ind w:left="839" w:right="28" w:hanging="429"/>
        <w:rPr>
          <w:rFonts w:ascii="宋体" w:hAnsi="宋体" w:eastAsia="宋体" w:cs="宋体"/>
          <w:sz w:val="20"/>
          <w:szCs w:val="20"/>
          <w:highlight w:val="none"/>
        </w:rPr>
      </w:pPr>
      <w:r>
        <w:rPr>
          <w:rFonts w:ascii="Times New Roman" w:hAnsi="Times New Roman" w:eastAsia="Times New Roman" w:cs="Times New Roman"/>
          <w:spacing w:val="8"/>
          <w:sz w:val="20"/>
          <w:szCs w:val="20"/>
          <w:highlight w:val="none"/>
        </w:rPr>
        <w:t xml:space="preserve">2. </w:t>
      </w:r>
      <w:r>
        <w:rPr>
          <w:rFonts w:ascii="宋体" w:hAnsi="宋体" w:eastAsia="宋体" w:cs="宋体"/>
          <w:spacing w:val="8"/>
          <w:sz w:val="20"/>
          <w:szCs w:val="20"/>
          <w:highlight w:val="none"/>
        </w:rPr>
        <w:t>资金来源填写银行存款、银行信贷或其它形式，</w:t>
      </w:r>
      <w:r>
        <w:rPr>
          <w:rFonts w:ascii="宋体" w:hAnsi="宋体" w:eastAsia="宋体" w:cs="宋体"/>
          <w:spacing w:val="7"/>
          <w:sz w:val="20"/>
          <w:szCs w:val="20"/>
          <w:highlight w:val="none"/>
        </w:rPr>
        <w:t>如银行授信总额度、本年度可使用的</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银行授信余额等。</w:t>
      </w:r>
    </w:p>
    <w:p w14:paraId="37148AFD">
      <w:pPr>
        <w:spacing w:before="42" w:line="257" w:lineRule="auto"/>
        <w:ind w:left="839" w:right="13" w:hanging="219"/>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3.</w:t>
      </w:r>
      <w:r>
        <w:rPr>
          <w:rFonts w:ascii="Times New Roman" w:hAnsi="Times New Roman" w:eastAsia="Times New Roman" w:cs="Times New Roman"/>
          <w:spacing w:val="-14"/>
          <w:sz w:val="22"/>
          <w:szCs w:val="22"/>
          <w:highlight w:val="none"/>
        </w:rPr>
        <w:t xml:space="preserve"> </w:t>
      </w:r>
      <w:r>
        <w:rPr>
          <w:rFonts w:ascii="宋体" w:hAnsi="宋体" w:eastAsia="宋体" w:cs="宋体"/>
          <w:spacing w:val="-11"/>
          <w:sz w:val="22"/>
          <w:szCs w:val="22"/>
          <w:highlight w:val="none"/>
        </w:rPr>
        <w:t>本表后附相关资金来源证明文件扫描件，银行存款证明、银行信贷证明应采用相关</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银行出具的格式。</w:t>
      </w:r>
    </w:p>
    <w:p w14:paraId="0BE0A818">
      <w:pPr>
        <w:spacing w:line="257" w:lineRule="auto"/>
        <w:rPr>
          <w:rFonts w:ascii="宋体" w:hAnsi="宋体" w:eastAsia="宋体" w:cs="宋体"/>
          <w:sz w:val="22"/>
          <w:szCs w:val="22"/>
          <w:highlight w:val="none"/>
        </w:rPr>
        <w:sectPr>
          <w:footerReference r:id="rId266" w:type="default"/>
          <w:pgSz w:w="11910" w:h="16840"/>
          <w:pgMar w:top="400" w:right="1786" w:bottom="1217" w:left="1779" w:header="0" w:footer="1013" w:gutter="0"/>
          <w:cols w:space="720" w:num="1"/>
        </w:sectPr>
      </w:pPr>
    </w:p>
    <w:p w14:paraId="5F78C128">
      <w:pPr>
        <w:pStyle w:val="2"/>
        <w:spacing w:line="277" w:lineRule="auto"/>
        <w:rPr>
          <w:highlight w:val="none"/>
        </w:rPr>
      </w:pPr>
    </w:p>
    <w:p w14:paraId="76667BFE">
      <w:pPr>
        <w:pStyle w:val="2"/>
        <w:spacing w:line="278" w:lineRule="auto"/>
        <w:rPr>
          <w:highlight w:val="none"/>
        </w:rPr>
      </w:pPr>
    </w:p>
    <w:p w14:paraId="6B91097A">
      <w:pPr>
        <w:pStyle w:val="2"/>
        <w:spacing w:line="278" w:lineRule="auto"/>
        <w:rPr>
          <w:highlight w:val="none"/>
        </w:rPr>
      </w:pPr>
    </w:p>
    <w:p w14:paraId="695A6B51">
      <w:pPr>
        <w:pStyle w:val="2"/>
        <w:spacing w:line="278" w:lineRule="auto"/>
        <w:rPr>
          <w:highlight w:val="none"/>
        </w:rPr>
      </w:pPr>
    </w:p>
    <w:p w14:paraId="7593DFBF">
      <w:pPr>
        <w:spacing w:before="91" w:line="221" w:lineRule="auto"/>
        <w:ind w:left="63"/>
        <w:rPr>
          <w:rFonts w:ascii="黑体" w:hAnsi="黑体" w:eastAsia="黑体" w:cs="黑体"/>
          <w:sz w:val="28"/>
          <w:szCs w:val="28"/>
          <w:highlight w:val="none"/>
        </w:rPr>
      </w:pPr>
      <w:r>
        <w:rPr>
          <w:rFonts w:ascii="黑体" w:hAnsi="黑体" w:eastAsia="黑体" w:cs="黑体"/>
          <w:spacing w:val="-2"/>
          <w:sz w:val="28"/>
          <w:szCs w:val="28"/>
          <w:highlight w:val="none"/>
        </w:rPr>
        <w:t>(四)近年完成的类似项目情况</w:t>
      </w:r>
    </w:p>
    <w:p w14:paraId="68A4E99E">
      <w:pPr>
        <w:pStyle w:val="2"/>
        <w:spacing w:line="244" w:lineRule="auto"/>
        <w:rPr>
          <w:highlight w:val="none"/>
        </w:rPr>
      </w:pPr>
    </w:p>
    <w:p w14:paraId="2CD1BE9A">
      <w:pPr>
        <w:pStyle w:val="2"/>
        <w:spacing w:line="245" w:lineRule="auto"/>
        <w:rPr>
          <w:highlight w:val="none"/>
        </w:rPr>
      </w:pPr>
    </w:p>
    <w:p w14:paraId="0F57B99A">
      <w:pPr>
        <w:pStyle w:val="2"/>
        <w:spacing w:before="78" w:line="327" w:lineRule="exact"/>
        <w:ind w:left="2473"/>
        <w:rPr>
          <w:rFonts w:ascii="黑体" w:hAnsi="黑体" w:eastAsia="黑体" w:cs="黑体"/>
          <w:sz w:val="24"/>
          <w:szCs w:val="24"/>
          <w:highlight w:val="none"/>
        </w:rPr>
      </w:pPr>
      <w:r>
        <w:rPr>
          <w:spacing w:val="-2"/>
          <w:position w:val="1"/>
          <w:sz w:val="24"/>
          <w:szCs w:val="24"/>
          <w:highlight w:val="none"/>
        </w:rPr>
        <w:t>3-1</w:t>
      </w:r>
      <w:r>
        <w:rPr>
          <w:spacing w:val="56"/>
          <w:w w:val="101"/>
          <w:position w:val="1"/>
          <w:sz w:val="24"/>
          <w:szCs w:val="24"/>
          <w:highlight w:val="none"/>
        </w:rPr>
        <w:t xml:space="preserve"> </w:t>
      </w:r>
      <w:r>
        <w:rPr>
          <w:rFonts w:ascii="黑体" w:hAnsi="黑体" w:eastAsia="黑体" w:cs="黑体"/>
          <w:spacing w:val="-2"/>
          <w:position w:val="1"/>
          <w:sz w:val="24"/>
          <w:szCs w:val="24"/>
          <w:highlight w:val="none"/>
        </w:rPr>
        <w:t>近年完成的类似项目汇总表</w:t>
      </w:r>
    </w:p>
    <w:p w14:paraId="40FEC71D">
      <w:pPr>
        <w:spacing w:before="221"/>
        <w:rPr>
          <w:highlight w:val="none"/>
        </w:rPr>
      </w:pPr>
    </w:p>
    <w:tbl>
      <w:tblPr>
        <w:tblStyle w:val="5"/>
        <w:tblW w:w="8829" w:type="dxa"/>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4"/>
        <w:gridCol w:w="1858"/>
        <w:gridCol w:w="1388"/>
        <w:gridCol w:w="1079"/>
        <w:gridCol w:w="1108"/>
        <w:gridCol w:w="1788"/>
        <w:gridCol w:w="1084"/>
      </w:tblGrid>
      <w:tr w14:paraId="6E86E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524" w:type="dxa"/>
            <w:textDirection w:val="tbRlV"/>
            <w:vAlign w:val="top"/>
          </w:tcPr>
          <w:p w14:paraId="72733795">
            <w:pPr>
              <w:pStyle w:val="6"/>
              <w:spacing w:before="171" w:line="199" w:lineRule="auto"/>
              <w:ind w:left="64"/>
              <w:rPr>
                <w:highlight w:val="none"/>
              </w:rPr>
            </w:pPr>
            <w:r>
              <w:rPr>
                <w:highlight w:val="none"/>
              </w:rPr>
              <w:t>序</w:t>
            </w:r>
            <w:r>
              <w:rPr>
                <w:spacing w:val="13"/>
                <w:highlight w:val="none"/>
              </w:rPr>
              <w:t xml:space="preserve">  </w:t>
            </w:r>
            <w:r>
              <w:rPr>
                <w:highlight w:val="none"/>
              </w:rPr>
              <w:t>号</w:t>
            </w:r>
          </w:p>
        </w:tc>
        <w:tc>
          <w:tcPr>
            <w:tcW w:w="1858" w:type="dxa"/>
            <w:vAlign w:val="top"/>
          </w:tcPr>
          <w:p w14:paraId="5C6E06EE">
            <w:pPr>
              <w:pStyle w:val="6"/>
              <w:spacing w:before="164" w:line="220" w:lineRule="auto"/>
              <w:ind w:left="510"/>
              <w:rPr>
                <w:highlight w:val="none"/>
              </w:rPr>
            </w:pPr>
            <w:r>
              <w:rPr>
                <w:spacing w:val="2"/>
                <w:highlight w:val="none"/>
              </w:rPr>
              <w:t>项目名称</w:t>
            </w:r>
          </w:p>
        </w:tc>
        <w:tc>
          <w:tcPr>
            <w:tcW w:w="1388" w:type="dxa"/>
            <w:vAlign w:val="top"/>
          </w:tcPr>
          <w:p w14:paraId="02B5E4DA">
            <w:pPr>
              <w:pStyle w:val="6"/>
              <w:spacing w:before="154" w:line="220" w:lineRule="auto"/>
              <w:ind w:left="162"/>
              <w:rPr>
                <w:highlight w:val="none"/>
              </w:rPr>
            </w:pPr>
            <w:r>
              <w:rPr>
                <w:spacing w:val="2"/>
                <w:highlight w:val="none"/>
              </w:rPr>
              <w:t>发包人名称</w:t>
            </w:r>
          </w:p>
        </w:tc>
        <w:tc>
          <w:tcPr>
            <w:tcW w:w="1079" w:type="dxa"/>
            <w:vAlign w:val="top"/>
          </w:tcPr>
          <w:p w14:paraId="3A9149D5">
            <w:pPr>
              <w:pStyle w:val="6"/>
              <w:spacing w:before="163" w:line="219" w:lineRule="auto"/>
              <w:ind w:left="134"/>
              <w:rPr>
                <w:highlight w:val="none"/>
              </w:rPr>
            </w:pPr>
            <w:r>
              <w:rPr>
                <w:spacing w:val="-3"/>
                <w:highlight w:val="none"/>
              </w:rPr>
              <w:t>工程规模</w:t>
            </w:r>
          </w:p>
        </w:tc>
        <w:tc>
          <w:tcPr>
            <w:tcW w:w="1108" w:type="dxa"/>
            <w:vAlign w:val="top"/>
          </w:tcPr>
          <w:p w14:paraId="119CDF11">
            <w:pPr>
              <w:pStyle w:val="6"/>
              <w:spacing w:before="161" w:line="218" w:lineRule="auto"/>
              <w:ind w:left="125"/>
              <w:rPr>
                <w:highlight w:val="none"/>
              </w:rPr>
            </w:pPr>
            <w:r>
              <w:rPr>
                <w:spacing w:val="-2"/>
                <w:highlight w:val="none"/>
              </w:rPr>
              <w:t>合同价格</w:t>
            </w:r>
          </w:p>
          <w:p w14:paraId="45231A58">
            <w:pPr>
              <w:pStyle w:val="6"/>
              <w:spacing w:before="144" w:line="202" w:lineRule="auto"/>
              <w:ind w:left="235"/>
              <w:rPr>
                <w:highlight w:val="none"/>
              </w:rPr>
            </w:pPr>
            <w:r>
              <w:rPr>
                <w:spacing w:val="11"/>
                <w:highlight w:val="none"/>
              </w:rPr>
              <w:t>(万元)</w:t>
            </w:r>
          </w:p>
        </w:tc>
        <w:tc>
          <w:tcPr>
            <w:tcW w:w="1788" w:type="dxa"/>
            <w:vAlign w:val="top"/>
          </w:tcPr>
          <w:p w14:paraId="754202F3">
            <w:pPr>
              <w:pStyle w:val="6"/>
              <w:spacing w:before="153" w:line="219" w:lineRule="auto"/>
              <w:ind w:left="268"/>
              <w:rPr>
                <w:highlight w:val="none"/>
              </w:rPr>
            </w:pPr>
            <w:r>
              <w:rPr>
                <w:spacing w:val="2"/>
                <w:highlight w:val="none"/>
              </w:rPr>
              <w:t>开、竣工日期</w:t>
            </w:r>
          </w:p>
        </w:tc>
        <w:tc>
          <w:tcPr>
            <w:tcW w:w="1084" w:type="dxa"/>
            <w:vAlign w:val="top"/>
          </w:tcPr>
          <w:p w14:paraId="280690B1">
            <w:pPr>
              <w:pStyle w:val="6"/>
              <w:spacing w:before="164" w:line="220" w:lineRule="auto"/>
              <w:ind w:left="130"/>
              <w:rPr>
                <w:highlight w:val="none"/>
              </w:rPr>
            </w:pPr>
            <w:r>
              <w:rPr>
                <w:spacing w:val="-3"/>
                <w:highlight w:val="none"/>
              </w:rPr>
              <w:t>项目经理</w:t>
            </w:r>
          </w:p>
        </w:tc>
      </w:tr>
      <w:tr w14:paraId="765E7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24" w:type="dxa"/>
            <w:vAlign w:val="top"/>
          </w:tcPr>
          <w:p w14:paraId="38288052">
            <w:pPr>
              <w:rPr>
                <w:rFonts w:ascii="Arial"/>
                <w:sz w:val="21"/>
                <w:highlight w:val="none"/>
              </w:rPr>
            </w:pPr>
          </w:p>
        </w:tc>
        <w:tc>
          <w:tcPr>
            <w:tcW w:w="1858" w:type="dxa"/>
            <w:vAlign w:val="top"/>
          </w:tcPr>
          <w:p w14:paraId="4440153D">
            <w:pPr>
              <w:rPr>
                <w:rFonts w:ascii="Arial"/>
                <w:sz w:val="21"/>
                <w:highlight w:val="none"/>
              </w:rPr>
            </w:pPr>
          </w:p>
        </w:tc>
        <w:tc>
          <w:tcPr>
            <w:tcW w:w="1388" w:type="dxa"/>
            <w:vAlign w:val="top"/>
          </w:tcPr>
          <w:p w14:paraId="017F4A48">
            <w:pPr>
              <w:rPr>
                <w:rFonts w:ascii="Arial"/>
                <w:sz w:val="21"/>
                <w:highlight w:val="none"/>
              </w:rPr>
            </w:pPr>
          </w:p>
        </w:tc>
        <w:tc>
          <w:tcPr>
            <w:tcW w:w="1079" w:type="dxa"/>
            <w:vAlign w:val="top"/>
          </w:tcPr>
          <w:p w14:paraId="162B6140">
            <w:pPr>
              <w:rPr>
                <w:rFonts w:ascii="Arial"/>
                <w:sz w:val="21"/>
                <w:highlight w:val="none"/>
              </w:rPr>
            </w:pPr>
          </w:p>
        </w:tc>
        <w:tc>
          <w:tcPr>
            <w:tcW w:w="1108" w:type="dxa"/>
            <w:vAlign w:val="top"/>
          </w:tcPr>
          <w:p w14:paraId="3CDC187B">
            <w:pPr>
              <w:rPr>
                <w:rFonts w:ascii="Arial"/>
                <w:sz w:val="21"/>
                <w:highlight w:val="none"/>
              </w:rPr>
            </w:pPr>
          </w:p>
        </w:tc>
        <w:tc>
          <w:tcPr>
            <w:tcW w:w="1788" w:type="dxa"/>
            <w:vAlign w:val="top"/>
          </w:tcPr>
          <w:p w14:paraId="697BD500">
            <w:pPr>
              <w:rPr>
                <w:rFonts w:ascii="Arial"/>
                <w:sz w:val="21"/>
                <w:highlight w:val="none"/>
              </w:rPr>
            </w:pPr>
          </w:p>
        </w:tc>
        <w:tc>
          <w:tcPr>
            <w:tcW w:w="1084" w:type="dxa"/>
            <w:vAlign w:val="top"/>
          </w:tcPr>
          <w:p w14:paraId="75130BE7">
            <w:pPr>
              <w:rPr>
                <w:rFonts w:ascii="Arial"/>
                <w:sz w:val="21"/>
                <w:highlight w:val="none"/>
              </w:rPr>
            </w:pPr>
          </w:p>
        </w:tc>
      </w:tr>
      <w:tr w14:paraId="1A889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24" w:type="dxa"/>
            <w:vAlign w:val="top"/>
          </w:tcPr>
          <w:p w14:paraId="197D3B79">
            <w:pPr>
              <w:rPr>
                <w:rFonts w:ascii="Arial"/>
                <w:sz w:val="21"/>
                <w:highlight w:val="none"/>
              </w:rPr>
            </w:pPr>
          </w:p>
        </w:tc>
        <w:tc>
          <w:tcPr>
            <w:tcW w:w="1858" w:type="dxa"/>
            <w:vAlign w:val="top"/>
          </w:tcPr>
          <w:p w14:paraId="18737B44">
            <w:pPr>
              <w:rPr>
                <w:rFonts w:ascii="Arial"/>
                <w:sz w:val="21"/>
                <w:highlight w:val="none"/>
              </w:rPr>
            </w:pPr>
          </w:p>
        </w:tc>
        <w:tc>
          <w:tcPr>
            <w:tcW w:w="1388" w:type="dxa"/>
            <w:vAlign w:val="top"/>
          </w:tcPr>
          <w:p w14:paraId="44134A7D">
            <w:pPr>
              <w:rPr>
                <w:rFonts w:ascii="Arial"/>
                <w:sz w:val="21"/>
                <w:highlight w:val="none"/>
              </w:rPr>
            </w:pPr>
          </w:p>
        </w:tc>
        <w:tc>
          <w:tcPr>
            <w:tcW w:w="1079" w:type="dxa"/>
            <w:vAlign w:val="top"/>
          </w:tcPr>
          <w:p w14:paraId="2394A893">
            <w:pPr>
              <w:rPr>
                <w:rFonts w:ascii="Arial"/>
                <w:sz w:val="21"/>
                <w:highlight w:val="none"/>
              </w:rPr>
            </w:pPr>
          </w:p>
        </w:tc>
        <w:tc>
          <w:tcPr>
            <w:tcW w:w="1108" w:type="dxa"/>
            <w:vAlign w:val="top"/>
          </w:tcPr>
          <w:p w14:paraId="1130E18A">
            <w:pPr>
              <w:rPr>
                <w:rFonts w:ascii="Arial"/>
                <w:sz w:val="21"/>
                <w:highlight w:val="none"/>
              </w:rPr>
            </w:pPr>
          </w:p>
        </w:tc>
        <w:tc>
          <w:tcPr>
            <w:tcW w:w="1788" w:type="dxa"/>
            <w:vAlign w:val="top"/>
          </w:tcPr>
          <w:p w14:paraId="1BF8EC12">
            <w:pPr>
              <w:rPr>
                <w:rFonts w:ascii="Arial"/>
                <w:sz w:val="21"/>
                <w:highlight w:val="none"/>
              </w:rPr>
            </w:pPr>
          </w:p>
        </w:tc>
        <w:tc>
          <w:tcPr>
            <w:tcW w:w="1084" w:type="dxa"/>
            <w:vAlign w:val="top"/>
          </w:tcPr>
          <w:p w14:paraId="65A2AA6B">
            <w:pPr>
              <w:rPr>
                <w:rFonts w:ascii="Arial"/>
                <w:sz w:val="21"/>
                <w:highlight w:val="none"/>
              </w:rPr>
            </w:pPr>
          </w:p>
        </w:tc>
      </w:tr>
      <w:tr w14:paraId="2942C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24" w:type="dxa"/>
            <w:vAlign w:val="top"/>
          </w:tcPr>
          <w:p w14:paraId="30C8EC1E">
            <w:pPr>
              <w:rPr>
                <w:rFonts w:ascii="Arial"/>
                <w:sz w:val="21"/>
                <w:highlight w:val="none"/>
              </w:rPr>
            </w:pPr>
          </w:p>
        </w:tc>
        <w:tc>
          <w:tcPr>
            <w:tcW w:w="1858" w:type="dxa"/>
            <w:vAlign w:val="top"/>
          </w:tcPr>
          <w:p w14:paraId="6416007B">
            <w:pPr>
              <w:rPr>
                <w:rFonts w:ascii="Arial"/>
                <w:sz w:val="21"/>
                <w:highlight w:val="none"/>
              </w:rPr>
            </w:pPr>
          </w:p>
        </w:tc>
        <w:tc>
          <w:tcPr>
            <w:tcW w:w="1388" w:type="dxa"/>
            <w:vAlign w:val="top"/>
          </w:tcPr>
          <w:p w14:paraId="414F57CA">
            <w:pPr>
              <w:rPr>
                <w:rFonts w:ascii="Arial"/>
                <w:sz w:val="21"/>
                <w:highlight w:val="none"/>
              </w:rPr>
            </w:pPr>
          </w:p>
        </w:tc>
        <w:tc>
          <w:tcPr>
            <w:tcW w:w="1079" w:type="dxa"/>
            <w:vAlign w:val="top"/>
          </w:tcPr>
          <w:p w14:paraId="300625EE">
            <w:pPr>
              <w:rPr>
                <w:rFonts w:ascii="Arial"/>
                <w:sz w:val="21"/>
                <w:highlight w:val="none"/>
              </w:rPr>
            </w:pPr>
          </w:p>
        </w:tc>
        <w:tc>
          <w:tcPr>
            <w:tcW w:w="1108" w:type="dxa"/>
            <w:vAlign w:val="top"/>
          </w:tcPr>
          <w:p w14:paraId="19DD6264">
            <w:pPr>
              <w:rPr>
                <w:rFonts w:ascii="Arial"/>
                <w:sz w:val="21"/>
                <w:highlight w:val="none"/>
              </w:rPr>
            </w:pPr>
          </w:p>
        </w:tc>
        <w:tc>
          <w:tcPr>
            <w:tcW w:w="1788" w:type="dxa"/>
            <w:vAlign w:val="top"/>
          </w:tcPr>
          <w:p w14:paraId="7CA45297">
            <w:pPr>
              <w:rPr>
                <w:rFonts w:ascii="Arial"/>
                <w:sz w:val="21"/>
                <w:highlight w:val="none"/>
              </w:rPr>
            </w:pPr>
          </w:p>
        </w:tc>
        <w:tc>
          <w:tcPr>
            <w:tcW w:w="1084" w:type="dxa"/>
            <w:vAlign w:val="top"/>
          </w:tcPr>
          <w:p w14:paraId="70DF31B2">
            <w:pPr>
              <w:rPr>
                <w:rFonts w:ascii="Arial"/>
                <w:sz w:val="21"/>
                <w:highlight w:val="none"/>
              </w:rPr>
            </w:pPr>
          </w:p>
        </w:tc>
      </w:tr>
      <w:tr w14:paraId="0DED9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524" w:type="dxa"/>
            <w:vAlign w:val="top"/>
          </w:tcPr>
          <w:p w14:paraId="08660839">
            <w:pPr>
              <w:rPr>
                <w:rFonts w:ascii="Arial"/>
                <w:sz w:val="21"/>
                <w:highlight w:val="none"/>
              </w:rPr>
            </w:pPr>
          </w:p>
        </w:tc>
        <w:tc>
          <w:tcPr>
            <w:tcW w:w="1858" w:type="dxa"/>
            <w:vAlign w:val="top"/>
          </w:tcPr>
          <w:p w14:paraId="5B452E77">
            <w:pPr>
              <w:rPr>
                <w:rFonts w:ascii="Arial"/>
                <w:sz w:val="21"/>
                <w:highlight w:val="none"/>
              </w:rPr>
            </w:pPr>
          </w:p>
        </w:tc>
        <w:tc>
          <w:tcPr>
            <w:tcW w:w="1388" w:type="dxa"/>
            <w:vAlign w:val="top"/>
          </w:tcPr>
          <w:p w14:paraId="62774D6B">
            <w:pPr>
              <w:rPr>
                <w:rFonts w:ascii="Arial"/>
                <w:sz w:val="21"/>
                <w:highlight w:val="none"/>
              </w:rPr>
            </w:pPr>
          </w:p>
        </w:tc>
        <w:tc>
          <w:tcPr>
            <w:tcW w:w="1079" w:type="dxa"/>
            <w:vAlign w:val="top"/>
          </w:tcPr>
          <w:p w14:paraId="7948BC5A">
            <w:pPr>
              <w:rPr>
                <w:rFonts w:ascii="Arial"/>
                <w:sz w:val="21"/>
                <w:highlight w:val="none"/>
              </w:rPr>
            </w:pPr>
          </w:p>
        </w:tc>
        <w:tc>
          <w:tcPr>
            <w:tcW w:w="1108" w:type="dxa"/>
            <w:vAlign w:val="top"/>
          </w:tcPr>
          <w:p w14:paraId="376DC5F6">
            <w:pPr>
              <w:rPr>
                <w:rFonts w:ascii="Arial"/>
                <w:sz w:val="21"/>
                <w:highlight w:val="none"/>
              </w:rPr>
            </w:pPr>
          </w:p>
        </w:tc>
        <w:tc>
          <w:tcPr>
            <w:tcW w:w="1788" w:type="dxa"/>
            <w:vAlign w:val="top"/>
          </w:tcPr>
          <w:p w14:paraId="42D2BF03">
            <w:pPr>
              <w:rPr>
                <w:rFonts w:ascii="Arial"/>
                <w:sz w:val="21"/>
                <w:highlight w:val="none"/>
              </w:rPr>
            </w:pPr>
          </w:p>
        </w:tc>
        <w:tc>
          <w:tcPr>
            <w:tcW w:w="1084" w:type="dxa"/>
            <w:vAlign w:val="top"/>
          </w:tcPr>
          <w:p w14:paraId="45CB520F">
            <w:pPr>
              <w:rPr>
                <w:rFonts w:ascii="Arial"/>
                <w:sz w:val="21"/>
                <w:highlight w:val="none"/>
              </w:rPr>
            </w:pPr>
          </w:p>
        </w:tc>
      </w:tr>
      <w:tr w14:paraId="36B39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24" w:type="dxa"/>
            <w:vAlign w:val="top"/>
          </w:tcPr>
          <w:p w14:paraId="59FB8EA6">
            <w:pPr>
              <w:rPr>
                <w:rFonts w:ascii="Arial"/>
                <w:sz w:val="21"/>
                <w:highlight w:val="none"/>
              </w:rPr>
            </w:pPr>
          </w:p>
        </w:tc>
        <w:tc>
          <w:tcPr>
            <w:tcW w:w="1858" w:type="dxa"/>
            <w:vAlign w:val="top"/>
          </w:tcPr>
          <w:p w14:paraId="50ADC361">
            <w:pPr>
              <w:rPr>
                <w:rFonts w:ascii="Arial"/>
                <w:sz w:val="21"/>
                <w:highlight w:val="none"/>
              </w:rPr>
            </w:pPr>
          </w:p>
        </w:tc>
        <w:tc>
          <w:tcPr>
            <w:tcW w:w="1388" w:type="dxa"/>
            <w:vAlign w:val="top"/>
          </w:tcPr>
          <w:p w14:paraId="55CBB661">
            <w:pPr>
              <w:rPr>
                <w:rFonts w:ascii="Arial"/>
                <w:sz w:val="21"/>
                <w:highlight w:val="none"/>
              </w:rPr>
            </w:pPr>
          </w:p>
        </w:tc>
        <w:tc>
          <w:tcPr>
            <w:tcW w:w="1079" w:type="dxa"/>
            <w:vAlign w:val="top"/>
          </w:tcPr>
          <w:p w14:paraId="0114C4BB">
            <w:pPr>
              <w:rPr>
                <w:rFonts w:ascii="Arial"/>
                <w:sz w:val="21"/>
                <w:highlight w:val="none"/>
              </w:rPr>
            </w:pPr>
          </w:p>
        </w:tc>
        <w:tc>
          <w:tcPr>
            <w:tcW w:w="1108" w:type="dxa"/>
            <w:vAlign w:val="top"/>
          </w:tcPr>
          <w:p w14:paraId="53F9CEA8">
            <w:pPr>
              <w:rPr>
                <w:rFonts w:ascii="Arial"/>
                <w:sz w:val="21"/>
                <w:highlight w:val="none"/>
              </w:rPr>
            </w:pPr>
          </w:p>
        </w:tc>
        <w:tc>
          <w:tcPr>
            <w:tcW w:w="1788" w:type="dxa"/>
            <w:vAlign w:val="top"/>
          </w:tcPr>
          <w:p w14:paraId="022C9741">
            <w:pPr>
              <w:rPr>
                <w:rFonts w:ascii="Arial"/>
                <w:sz w:val="21"/>
                <w:highlight w:val="none"/>
              </w:rPr>
            </w:pPr>
          </w:p>
        </w:tc>
        <w:tc>
          <w:tcPr>
            <w:tcW w:w="1084" w:type="dxa"/>
            <w:vAlign w:val="top"/>
          </w:tcPr>
          <w:p w14:paraId="46C2734B">
            <w:pPr>
              <w:rPr>
                <w:rFonts w:ascii="Arial"/>
                <w:sz w:val="21"/>
                <w:highlight w:val="none"/>
              </w:rPr>
            </w:pPr>
          </w:p>
        </w:tc>
      </w:tr>
      <w:tr w14:paraId="4EA72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24" w:type="dxa"/>
            <w:vAlign w:val="top"/>
          </w:tcPr>
          <w:p w14:paraId="36A8723A">
            <w:pPr>
              <w:rPr>
                <w:rFonts w:ascii="Arial"/>
                <w:sz w:val="21"/>
                <w:highlight w:val="none"/>
              </w:rPr>
            </w:pPr>
          </w:p>
        </w:tc>
        <w:tc>
          <w:tcPr>
            <w:tcW w:w="1858" w:type="dxa"/>
            <w:vAlign w:val="top"/>
          </w:tcPr>
          <w:p w14:paraId="6B89538A">
            <w:pPr>
              <w:rPr>
                <w:rFonts w:ascii="Arial"/>
                <w:sz w:val="21"/>
                <w:highlight w:val="none"/>
              </w:rPr>
            </w:pPr>
          </w:p>
        </w:tc>
        <w:tc>
          <w:tcPr>
            <w:tcW w:w="1388" w:type="dxa"/>
            <w:vAlign w:val="top"/>
          </w:tcPr>
          <w:p w14:paraId="09B54582">
            <w:pPr>
              <w:rPr>
                <w:rFonts w:ascii="Arial"/>
                <w:sz w:val="21"/>
                <w:highlight w:val="none"/>
              </w:rPr>
            </w:pPr>
          </w:p>
        </w:tc>
        <w:tc>
          <w:tcPr>
            <w:tcW w:w="1079" w:type="dxa"/>
            <w:vAlign w:val="top"/>
          </w:tcPr>
          <w:p w14:paraId="286E32E0">
            <w:pPr>
              <w:rPr>
                <w:rFonts w:ascii="Arial"/>
                <w:sz w:val="21"/>
                <w:highlight w:val="none"/>
              </w:rPr>
            </w:pPr>
          </w:p>
        </w:tc>
        <w:tc>
          <w:tcPr>
            <w:tcW w:w="1108" w:type="dxa"/>
            <w:vAlign w:val="top"/>
          </w:tcPr>
          <w:p w14:paraId="12F92727">
            <w:pPr>
              <w:rPr>
                <w:rFonts w:ascii="Arial"/>
                <w:sz w:val="21"/>
                <w:highlight w:val="none"/>
              </w:rPr>
            </w:pPr>
          </w:p>
        </w:tc>
        <w:tc>
          <w:tcPr>
            <w:tcW w:w="1788" w:type="dxa"/>
            <w:vAlign w:val="top"/>
          </w:tcPr>
          <w:p w14:paraId="380DBAAE">
            <w:pPr>
              <w:rPr>
                <w:rFonts w:ascii="Arial"/>
                <w:sz w:val="21"/>
                <w:highlight w:val="none"/>
              </w:rPr>
            </w:pPr>
          </w:p>
        </w:tc>
        <w:tc>
          <w:tcPr>
            <w:tcW w:w="1084" w:type="dxa"/>
            <w:vAlign w:val="top"/>
          </w:tcPr>
          <w:p w14:paraId="2BE65685">
            <w:pPr>
              <w:rPr>
                <w:rFonts w:ascii="Arial"/>
                <w:sz w:val="21"/>
                <w:highlight w:val="none"/>
              </w:rPr>
            </w:pPr>
          </w:p>
        </w:tc>
      </w:tr>
      <w:tr w14:paraId="52990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24" w:type="dxa"/>
            <w:vAlign w:val="top"/>
          </w:tcPr>
          <w:p w14:paraId="316E4415">
            <w:pPr>
              <w:rPr>
                <w:rFonts w:ascii="Arial"/>
                <w:sz w:val="21"/>
                <w:highlight w:val="none"/>
              </w:rPr>
            </w:pPr>
          </w:p>
        </w:tc>
        <w:tc>
          <w:tcPr>
            <w:tcW w:w="1858" w:type="dxa"/>
            <w:vAlign w:val="top"/>
          </w:tcPr>
          <w:p w14:paraId="5CF44170">
            <w:pPr>
              <w:rPr>
                <w:rFonts w:ascii="Arial"/>
                <w:sz w:val="21"/>
                <w:highlight w:val="none"/>
              </w:rPr>
            </w:pPr>
          </w:p>
        </w:tc>
        <w:tc>
          <w:tcPr>
            <w:tcW w:w="1388" w:type="dxa"/>
            <w:vAlign w:val="top"/>
          </w:tcPr>
          <w:p w14:paraId="61A8EBF9">
            <w:pPr>
              <w:rPr>
                <w:rFonts w:ascii="Arial"/>
                <w:sz w:val="21"/>
                <w:highlight w:val="none"/>
              </w:rPr>
            </w:pPr>
          </w:p>
        </w:tc>
        <w:tc>
          <w:tcPr>
            <w:tcW w:w="1079" w:type="dxa"/>
            <w:vAlign w:val="top"/>
          </w:tcPr>
          <w:p w14:paraId="2EE32A07">
            <w:pPr>
              <w:rPr>
                <w:rFonts w:ascii="Arial"/>
                <w:sz w:val="21"/>
                <w:highlight w:val="none"/>
              </w:rPr>
            </w:pPr>
          </w:p>
        </w:tc>
        <w:tc>
          <w:tcPr>
            <w:tcW w:w="1108" w:type="dxa"/>
            <w:vAlign w:val="top"/>
          </w:tcPr>
          <w:p w14:paraId="67562746">
            <w:pPr>
              <w:rPr>
                <w:rFonts w:ascii="Arial"/>
                <w:sz w:val="21"/>
                <w:highlight w:val="none"/>
              </w:rPr>
            </w:pPr>
          </w:p>
        </w:tc>
        <w:tc>
          <w:tcPr>
            <w:tcW w:w="1788" w:type="dxa"/>
            <w:vAlign w:val="top"/>
          </w:tcPr>
          <w:p w14:paraId="491E7189">
            <w:pPr>
              <w:rPr>
                <w:rFonts w:ascii="Arial"/>
                <w:sz w:val="21"/>
                <w:highlight w:val="none"/>
              </w:rPr>
            </w:pPr>
          </w:p>
        </w:tc>
        <w:tc>
          <w:tcPr>
            <w:tcW w:w="1084" w:type="dxa"/>
            <w:vAlign w:val="top"/>
          </w:tcPr>
          <w:p w14:paraId="71A977ED">
            <w:pPr>
              <w:rPr>
                <w:rFonts w:ascii="Arial"/>
                <w:sz w:val="21"/>
                <w:highlight w:val="none"/>
              </w:rPr>
            </w:pPr>
          </w:p>
        </w:tc>
      </w:tr>
      <w:tr w14:paraId="593AB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524" w:type="dxa"/>
            <w:vAlign w:val="top"/>
          </w:tcPr>
          <w:p w14:paraId="3DEE24DD">
            <w:pPr>
              <w:rPr>
                <w:rFonts w:ascii="Arial"/>
                <w:sz w:val="21"/>
                <w:highlight w:val="none"/>
              </w:rPr>
            </w:pPr>
          </w:p>
        </w:tc>
        <w:tc>
          <w:tcPr>
            <w:tcW w:w="1858" w:type="dxa"/>
            <w:vAlign w:val="top"/>
          </w:tcPr>
          <w:p w14:paraId="62C8F981">
            <w:pPr>
              <w:rPr>
                <w:rFonts w:ascii="Arial"/>
                <w:sz w:val="21"/>
                <w:highlight w:val="none"/>
              </w:rPr>
            </w:pPr>
          </w:p>
        </w:tc>
        <w:tc>
          <w:tcPr>
            <w:tcW w:w="1388" w:type="dxa"/>
            <w:vAlign w:val="top"/>
          </w:tcPr>
          <w:p w14:paraId="6410EF06">
            <w:pPr>
              <w:rPr>
                <w:rFonts w:ascii="Arial"/>
                <w:sz w:val="21"/>
                <w:highlight w:val="none"/>
              </w:rPr>
            </w:pPr>
          </w:p>
        </w:tc>
        <w:tc>
          <w:tcPr>
            <w:tcW w:w="1079" w:type="dxa"/>
            <w:vAlign w:val="top"/>
          </w:tcPr>
          <w:p w14:paraId="54059873">
            <w:pPr>
              <w:rPr>
                <w:rFonts w:ascii="Arial"/>
                <w:sz w:val="21"/>
                <w:highlight w:val="none"/>
              </w:rPr>
            </w:pPr>
          </w:p>
        </w:tc>
        <w:tc>
          <w:tcPr>
            <w:tcW w:w="1108" w:type="dxa"/>
            <w:vAlign w:val="top"/>
          </w:tcPr>
          <w:p w14:paraId="3718D7AA">
            <w:pPr>
              <w:rPr>
                <w:rFonts w:ascii="Arial"/>
                <w:sz w:val="21"/>
                <w:highlight w:val="none"/>
              </w:rPr>
            </w:pPr>
          </w:p>
        </w:tc>
        <w:tc>
          <w:tcPr>
            <w:tcW w:w="1788" w:type="dxa"/>
            <w:vAlign w:val="top"/>
          </w:tcPr>
          <w:p w14:paraId="6B9DCFE2">
            <w:pPr>
              <w:rPr>
                <w:rFonts w:ascii="Arial"/>
                <w:sz w:val="21"/>
                <w:highlight w:val="none"/>
              </w:rPr>
            </w:pPr>
          </w:p>
        </w:tc>
        <w:tc>
          <w:tcPr>
            <w:tcW w:w="1084" w:type="dxa"/>
            <w:vAlign w:val="top"/>
          </w:tcPr>
          <w:p w14:paraId="37F91716">
            <w:pPr>
              <w:rPr>
                <w:rFonts w:ascii="Arial"/>
                <w:sz w:val="21"/>
                <w:highlight w:val="none"/>
              </w:rPr>
            </w:pPr>
          </w:p>
        </w:tc>
      </w:tr>
      <w:tr w14:paraId="26361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524" w:type="dxa"/>
            <w:vAlign w:val="top"/>
          </w:tcPr>
          <w:p w14:paraId="41083E13">
            <w:pPr>
              <w:rPr>
                <w:rFonts w:ascii="Arial"/>
                <w:sz w:val="21"/>
                <w:highlight w:val="none"/>
              </w:rPr>
            </w:pPr>
          </w:p>
        </w:tc>
        <w:tc>
          <w:tcPr>
            <w:tcW w:w="1858" w:type="dxa"/>
            <w:vAlign w:val="top"/>
          </w:tcPr>
          <w:p w14:paraId="0CA5DD28">
            <w:pPr>
              <w:rPr>
                <w:rFonts w:ascii="Arial"/>
                <w:sz w:val="21"/>
                <w:highlight w:val="none"/>
              </w:rPr>
            </w:pPr>
          </w:p>
        </w:tc>
        <w:tc>
          <w:tcPr>
            <w:tcW w:w="1388" w:type="dxa"/>
            <w:vAlign w:val="top"/>
          </w:tcPr>
          <w:p w14:paraId="79BE24FC">
            <w:pPr>
              <w:rPr>
                <w:rFonts w:ascii="Arial"/>
                <w:sz w:val="21"/>
                <w:highlight w:val="none"/>
              </w:rPr>
            </w:pPr>
          </w:p>
        </w:tc>
        <w:tc>
          <w:tcPr>
            <w:tcW w:w="1079" w:type="dxa"/>
            <w:vAlign w:val="top"/>
          </w:tcPr>
          <w:p w14:paraId="56896114">
            <w:pPr>
              <w:rPr>
                <w:rFonts w:ascii="Arial"/>
                <w:sz w:val="21"/>
                <w:highlight w:val="none"/>
              </w:rPr>
            </w:pPr>
          </w:p>
        </w:tc>
        <w:tc>
          <w:tcPr>
            <w:tcW w:w="1108" w:type="dxa"/>
            <w:vAlign w:val="top"/>
          </w:tcPr>
          <w:p w14:paraId="55DCF7A5">
            <w:pPr>
              <w:rPr>
                <w:rFonts w:ascii="Arial"/>
                <w:sz w:val="21"/>
                <w:highlight w:val="none"/>
              </w:rPr>
            </w:pPr>
          </w:p>
        </w:tc>
        <w:tc>
          <w:tcPr>
            <w:tcW w:w="1788" w:type="dxa"/>
            <w:vAlign w:val="top"/>
          </w:tcPr>
          <w:p w14:paraId="7ED1F08C">
            <w:pPr>
              <w:rPr>
                <w:rFonts w:ascii="Arial"/>
                <w:sz w:val="21"/>
                <w:highlight w:val="none"/>
              </w:rPr>
            </w:pPr>
          </w:p>
        </w:tc>
        <w:tc>
          <w:tcPr>
            <w:tcW w:w="1084" w:type="dxa"/>
            <w:vAlign w:val="top"/>
          </w:tcPr>
          <w:p w14:paraId="7FCC037C">
            <w:pPr>
              <w:rPr>
                <w:rFonts w:ascii="Arial"/>
                <w:sz w:val="21"/>
                <w:highlight w:val="none"/>
              </w:rPr>
            </w:pPr>
          </w:p>
        </w:tc>
      </w:tr>
      <w:tr w14:paraId="68E0C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24" w:type="dxa"/>
            <w:vAlign w:val="top"/>
          </w:tcPr>
          <w:p w14:paraId="648ACEE2">
            <w:pPr>
              <w:rPr>
                <w:rFonts w:ascii="Arial"/>
                <w:sz w:val="21"/>
                <w:highlight w:val="none"/>
              </w:rPr>
            </w:pPr>
          </w:p>
        </w:tc>
        <w:tc>
          <w:tcPr>
            <w:tcW w:w="1858" w:type="dxa"/>
            <w:vAlign w:val="top"/>
          </w:tcPr>
          <w:p w14:paraId="58912700">
            <w:pPr>
              <w:rPr>
                <w:rFonts w:ascii="Arial"/>
                <w:sz w:val="21"/>
                <w:highlight w:val="none"/>
              </w:rPr>
            </w:pPr>
          </w:p>
        </w:tc>
        <w:tc>
          <w:tcPr>
            <w:tcW w:w="1388" w:type="dxa"/>
            <w:vAlign w:val="top"/>
          </w:tcPr>
          <w:p w14:paraId="00C682F8">
            <w:pPr>
              <w:rPr>
                <w:rFonts w:ascii="Arial"/>
                <w:sz w:val="21"/>
                <w:highlight w:val="none"/>
              </w:rPr>
            </w:pPr>
          </w:p>
        </w:tc>
        <w:tc>
          <w:tcPr>
            <w:tcW w:w="1079" w:type="dxa"/>
            <w:vAlign w:val="top"/>
          </w:tcPr>
          <w:p w14:paraId="5B930A98">
            <w:pPr>
              <w:rPr>
                <w:rFonts w:ascii="Arial"/>
                <w:sz w:val="21"/>
                <w:highlight w:val="none"/>
              </w:rPr>
            </w:pPr>
          </w:p>
        </w:tc>
        <w:tc>
          <w:tcPr>
            <w:tcW w:w="1108" w:type="dxa"/>
            <w:vAlign w:val="top"/>
          </w:tcPr>
          <w:p w14:paraId="641EBD9D">
            <w:pPr>
              <w:rPr>
                <w:rFonts w:ascii="Arial"/>
                <w:sz w:val="21"/>
                <w:highlight w:val="none"/>
              </w:rPr>
            </w:pPr>
          </w:p>
        </w:tc>
        <w:tc>
          <w:tcPr>
            <w:tcW w:w="1788" w:type="dxa"/>
            <w:vAlign w:val="top"/>
          </w:tcPr>
          <w:p w14:paraId="0FA145C8">
            <w:pPr>
              <w:rPr>
                <w:rFonts w:ascii="Arial"/>
                <w:sz w:val="21"/>
                <w:highlight w:val="none"/>
              </w:rPr>
            </w:pPr>
          </w:p>
        </w:tc>
        <w:tc>
          <w:tcPr>
            <w:tcW w:w="1084" w:type="dxa"/>
            <w:vAlign w:val="top"/>
          </w:tcPr>
          <w:p w14:paraId="3DCF9154">
            <w:pPr>
              <w:rPr>
                <w:rFonts w:ascii="Arial"/>
                <w:sz w:val="21"/>
                <w:highlight w:val="none"/>
              </w:rPr>
            </w:pPr>
          </w:p>
        </w:tc>
      </w:tr>
      <w:tr w14:paraId="35B05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24" w:type="dxa"/>
            <w:vAlign w:val="top"/>
          </w:tcPr>
          <w:p w14:paraId="6D8AC240">
            <w:pPr>
              <w:rPr>
                <w:rFonts w:ascii="Arial"/>
                <w:sz w:val="21"/>
                <w:highlight w:val="none"/>
              </w:rPr>
            </w:pPr>
          </w:p>
        </w:tc>
        <w:tc>
          <w:tcPr>
            <w:tcW w:w="1858" w:type="dxa"/>
            <w:vAlign w:val="top"/>
          </w:tcPr>
          <w:p w14:paraId="68C7E08E">
            <w:pPr>
              <w:rPr>
                <w:rFonts w:ascii="Arial"/>
                <w:sz w:val="21"/>
                <w:highlight w:val="none"/>
              </w:rPr>
            </w:pPr>
          </w:p>
        </w:tc>
        <w:tc>
          <w:tcPr>
            <w:tcW w:w="1388" w:type="dxa"/>
            <w:vAlign w:val="top"/>
          </w:tcPr>
          <w:p w14:paraId="27A191C6">
            <w:pPr>
              <w:rPr>
                <w:rFonts w:ascii="Arial"/>
                <w:sz w:val="21"/>
                <w:highlight w:val="none"/>
              </w:rPr>
            </w:pPr>
          </w:p>
        </w:tc>
        <w:tc>
          <w:tcPr>
            <w:tcW w:w="1079" w:type="dxa"/>
            <w:vAlign w:val="top"/>
          </w:tcPr>
          <w:p w14:paraId="040F630E">
            <w:pPr>
              <w:rPr>
                <w:rFonts w:ascii="Arial"/>
                <w:sz w:val="21"/>
                <w:highlight w:val="none"/>
              </w:rPr>
            </w:pPr>
          </w:p>
        </w:tc>
        <w:tc>
          <w:tcPr>
            <w:tcW w:w="1108" w:type="dxa"/>
            <w:vAlign w:val="top"/>
          </w:tcPr>
          <w:p w14:paraId="17FFEBD9">
            <w:pPr>
              <w:rPr>
                <w:rFonts w:ascii="Arial"/>
                <w:sz w:val="21"/>
                <w:highlight w:val="none"/>
              </w:rPr>
            </w:pPr>
          </w:p>
        </w:tc>
        <w:tc>
          <w:tcPr>
            <w:tcW w:w="1788" w:type="dxa"/>
            <w:vAlign w:val="top"/>
          </w:tcPr>
          <w:p w14:paraId="020BABE1">
            <w:pPr>
              <w:rPr>
                <w:rFonts w:ascii="Arial"/>
                <w:sz w:val="21"/>
                <w:highlight w:val="none"/>
              </w:rPr>
            </w:pPr>
          </w:p>
        </w:tc>
        <w:tc>
          <w:tcPr>
            <w:tcW w:w="1084" w:type="dxa"/>
            <w:vAlign w:val="top"/>
          </w:tcPr>
          <w:p w14:paraId="3FAFB569">
            <w:pPr>
              <w:rPr>
                <w:rFonts w:ascii="Arial"/>
                <w:sz w:val="21"/>
                <w:highlight w:val="none"/>
              </w:rPr>
            </w:pPr>
          </w:p>
        </w:tc>
      </w:tr>
      <w:tr w14:paraId="2E1EC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24" w:type="dxa"/>
            <w:vAlign w:val="top"/>
          </w:tcPr>
          <w:p w14:paraId="7DE69E0E">
            <w:pPr>
              <w:rPr>
                <w:rFonts w:ascii="Arial"/>
                <w:sz w:val="21"/>
                <w:highlight w:val="none"/>
              </w:rPr>
            </w:pPr>
          </w:p>
        </w:tc>
        <w:tc>
          <w:tcPr>
            <w:tcW w:w="1858" w:type="dxa"/>
            <w:vAlign w:val="top"/>
          </w:tcPr>
          <w:p w14:paraId="49901414">
            <w:pPr>
              <w:rPr>
                <w:rFonts w:ascii="Arial"/>
                <w:sz w:val="21"/>
                <w:highlight w:val="none"/>
              </w:rPr>
            </w:pPr>
          </w:p>
        </w:tc>
        <w:tc>
          <w:tcPr>
            <w:tcW w:w="1388" w:type="dxa"/>
            <w:vAlign w:val="top"/>
          </w:tcPr>
          <w:p w14:paraId="3759ADE8">
            <w:pPr>
              <w:rPr>
                <w:rFonts w:ascii="Arial"/>
                <w:sz w:val="21"/>
                <w:highlight w:val="none"/>
              </w:rPr>
            </w:pPr>
          </w:p>
        </w:tc>
        <w:tc>
          <w:tcPr>
            <w:tcW w:w="1079" w:type="dxa"/>
            <w:vAlign w:val="top"/>
          </w:tcPr>
          <w:p w14:paraId="73368697">
            <w:pPr>
              <w:rPr>
                <w:rFonts w:ascii="Arial"/>
                <w:sz w:val="21"/>
                <w:highlight w:val="none"/>
              </w:rPr>
            </w:pPr>
          </w:p>
        </w:tc>
        <w:tc>
          <w:tcPr>
            <w:tcW w:w="1108" w:type="dxa"/>
            <w:vAlign w:val="top"/>
          </w:tcPr>
          <w:p w14:paraId="70766BB2">
            <w:pPr>
              <w:rPr>
                <w:rFonts w:ascii="Arial"/>
                <w:sz w:val="21"/>
                <w:highlight w:val="none"/>
              </w:rPr>
            </w:pPr>
          </w:p>
        </w:tc>
        <w:tc>
          <w:tcPr>
            <w:tcW w:w="1788" w:type="dxa"/>
            <w:vAlign w:val="top"/>
          </w:tcPr>
          <w:p w14:paraId="4181EDD5">
            <w:pPr>
              <w:rPr>
                <w:rFonts w:ascii="Arial"/>
                <w:sz w:val="21"/>
                <w:highlight w:val="none"/>
              </w:rPr>
            </w:pPr>
          </w:p>
        </w:tc>
        <w:tc>
          <w:tcPr>
            <w:tcW w:w="1084" w:type="dxa"/>
            <w:vAlign w:val="top"/>
          </w:tcPr>
          <w:p w14:paraId="2BA9B596">
            <w:pPr>
              <w:rPr>
                <w:rFonts w:ascii="Arial"/>
                <w:sz w:val="21"/>
                <w:highlight w:val="none"/>
              </w:rPr>
            </w:pPr>
          </w:p>
        </w:tc>
      </w:tr>
      <w:tr w14:paraId="7FA5E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24" w:type="dxa"/>
            <w:vAlign w:val="top"/>
          </w:tcPr>
          <w:p w14:paraId="6CDEE1E0">
            <w:pPr>
              <w:rPr>
                <w:rFonts w:ascii="Arial"/>
                <w:sz w:val="21"/>
                <w:highlight w:val="none"/>
              </w:rPr>
            </w:pPr>
          </w:p>
        </w:tc>
        <w:tc>
          <w:tcPr>
            <w:tcW w:w="1858" w:type="dxa"/>
            <w:vAlign w:val="top"/>
          </w:tcPr>
          <w:p w14:paraId="124DFFD6">
            <w:pPr>
              <w:rPr>
                <w:rFonts w:ascii="Arial"/>
                <w:sz w:val="21"/>
                <w:highlight w:val="none"/>
              </w:rPr>
            </w:pPr>
          </w:p>
        </w:tc>
        <w:tc>
          <w:tcPr>
            <w:tcW w:w="1388" w:type="dxa"/>
            <w:vAlign w:val="top"/>
          </w:tcPr>
          <w:p w14:paraId="4D850681">
            <w:pPr>
              <w:rPr>
                <w:rFonts w:ascii="Arial"/>
                <w:sz w:val="21"/>
                <w:highlight w:val="none"/>
              </w:rPr>
            </w:pPr>
          </w:p>
        </w:tc>
        <w:tc>
          <w:tcPr>
            <w:tcW w:w="1079" w:type="dxa"/>
            <w:vAlign w:val="top"/>
          </w:tcPr>
          <w:p w14:paraId="766CC90B">
            <w:pPr>
              <w:rPr>
                <w:rFonts w:ascii="Arial"/>
                <w:sz w:val="21"/>
                <w:highlight w:val="none"/>
              </w:rPr>
            </w:pPr>
          </w:p>
        </w:tc>
        <w:tc>
          <w:tcPr>
            <w:tcW w:w="1108" w:type="dxa"/>
            <w:vAlign w:val="top"/>
          </w:tcPr>
          <w:p w14:paraId="345EA206">
            <w:pPr>
              <w:rPr>
                <w:rFonts w:ascii="Arial"/>
                <w:sz w:val="21"/>
                <w:highlight w:val="none"/>
              </w:rPr>
            </w:pPr>
          </w:p>
        </w:tc>
        <w:tc>
          <w:tcPr>
            <w:tcW w:w="1788" w:type="dxa"/>
            <w:vAlign w:val="top"/>
          </w:tcPr>
          <w:p w14:paraId="0AAFC6B7">
            <w:pPr>
              <w:rPr>
                <w:rFonts w:ascii="Arial"/>
                <w:sz w:val="21"/>
                <w:highlight w:val="none"/>
              </w:rPr>
            </w:pPr>
          </w:p>
        </w:tc>
        <w:tc>
          <w:tcPr>
            <w:tcW w:w="1084" w:type="dxa"/>
            <w:vAlign w:val="top"/>
          </w:tcPr>
          <w:p w14:paraId="15207D8B">
            <w:pPr>
              <w:rPr>
                <w:rFonts w:ascii="Arial"/>
                <w:sz w:val="21"/>
                <w:highlight w:val="none"/>
              </w:rPr>
            </w:pPr>
          </w:p>
        </w:tc>
      </w:tr>
      <w:tr w14:paraId="3C608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24" w:type="dxa"/>
            <w:vAlign w:val="top"/>
          </w:tcPr>
          <w:p w14:paraId="55652DDA">
            <w:pPr>
              <w:rPr>
                <w:rFonts w:ascii="Arial"/>
                <w:sz w:val="21"/>
                <w:highlight w:val="none"/>
              </w:rPr>
            </w:pPr>
          </w:p>
        </w:tc>
        <w:tc>
          <w:tcPr>
            <w:tcW w:w="1858" w:type="dxa"/>
            <w:vAlign w:val="top"/>
          </w:tcPr>
          <w:p w14:paraId="6779BAAA">
            <w:pPr>
              <w:rPr>
                <w:rFonts w:ascii="Arial"/>
                <w:sz w:val="21"/>
                <w:highlight w:val="none"/>
              </w:rPr>
            </w:pPr>
          </w:p>
        </w:tc>
        <w:tc>
          <w:tcPr>
            <w:tcW w:w="1388" w:type="dxa"/>
            <w:vAlign w:val="top"/>
          </w:tcPr>
          <w:p w14:paraId="631F7EFC">
            <w:pPr>
              <w:rPr>
                <w:rFonts w:ascii="Arial"/>
                <w:sz w:val="21"/>
                <w:highlight w:val="none"/>
              </w:rPr>
            </w:pPr>
          </w:p>
        </w:tc>
        <w:tc>
          <w:tcPr>
            <w:tcW w:w="1079" w:type="dxa"/>
            <w:vAlign w:val="top"/>
          </w:tcPr>
          <w:p w14:paraId="4E361678">
            <w:pPr>
              <w:rPr>
                <w:rFonts w:ascii="Arial"/>
                <w:sz w:val="21"/>
                <w:highlight w:val="none"/>
              </w:rPr>
            </w:pPr>
          </w:p>
        </w:tc>
        <w:tc>
          <w:tcPr>
            <w:tcW w:w="1108" w:type="dxa"/>
            <w:vAlign w:val="top"/>
          </w:tcPr>
          <w:p w14:paraId="1E07E4ED">
            <w:pPr>
              <w:rPr>
                <w:rFonts w:ascii="Arial"/>
                <w:sz w:val="21"/>
                <w:highlight w:val="none"/>
              </w:rPr>
            </w:pPr>
          </w:p>
        </w:tc>
        <w:tc>
          <w:tcPr>
            <w:tcW w:w="1788" w:type="dxa"/>
            <w:vAlign w:val="top"/>
          </w:tcPr>
          <w:p w14:paraId="79ECB563">
            <w:pPr>
              <w:rPr>
                <w:rFonts w:ascii="Arial"/>
                <w:sz w:val="21"/>
                <w:highlight w:val="none"/>
              </w:rPr>
            </w:pPr>
          </w:p>
        </w:tc>
        <w:tc>
          <w:tcPr>
            <w:tcW w:w="1084" w:type="dxa"/>
            <w:vAlign w:val="top"/>
          </w:tcPr>
          <w:p w14:paraId="71DE0473">
            <w:pPr>
              <w:rPr>
                <w:rFonts w:ascii="Arial"/>
                <w:sz w:val="21"/>
                <w:highlight w:val="none"/>
              </w:rPr>
            </w:pPr>
          </w:p>
        </w:tc>
      </w:tr>
      <w:tr w14:paraId="65E66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524" w:type="dxa"/>
            <w:vAlign w:val="top"/>
          </w:tcPr>
          <w:p w14:paraId="127AD412">
            <w:pPr>
              <w:rPr>
                <w:rFonts w:ascii="Arial"/>
                <w:sz w:val="21"/>
                <w:highlight w:val="none"/>
              </w:rPr>
            </w:pPr>
          </w:p>
        </w:tc>
        <w:tc>
          <w:tcPr>
            <w:tcW w:w="1858" w:type="dxa"/>
            <w:vAlign w:val="top"/>
          </w:tcPr>
          <w:p w14:paraId="50DF92B6">
            <w:pPr>
              <w:rPr>
                <w:rFonts w:ascii="Arial"/>
                <w:sz w:val="21"/>
                <w:highlight w:val="none"/>
              </w:rPr>
            </w:pPr>
          </w:p>
        </w:tc>
        <w:tc>
          <w:tcPr>
            <w:tcW w:w="1388" w:type="dxa"/>
            <w:vAlign w:val="top"/>
          </w:tcPr>
          <w:p w14:paraId="5FD9A5DD">
            <w:pPr>
              <w:rPr>
                <w:rFonts w:ascii="Arial"/>
                <w:sz w:val="21"/>
                <w:highlight w:val="none"/>
              </w:rPr>
            </w:pPr>
          </w:p>
        </w:tc>
        <w:tc>
          <w:tcPr>
            <w:tcW w:w="1079" w:type="dxa"/>
            <w:vAlign w:val="top"/>
          </w:tcPr>
          <w:p w14:paraId="6CC6CC52">
            <w:pPr>
              <w:rPr>
                <w:rFonts w:ascii="Arial"/>
                <w:sz w:val="21"/>
                <w:highlight w:val="none"/>
              </w:rPr>
            </w:pPr>
          </w:p>
        </w:tc>
        <w:tc>
          <w:tcPr>
            <w:tcW w:w="1108" w:type="dxa"/>
            <w:vAlign w:val="top"/>
          </w:tcPr>
          <w:p w14:paraId="62711106">
            <w:pPr>
              <w:rPr>
                <w:rFonts w:ascii="Arial"/>
                <w:sz w:val="21"/>
                <w:highlight w:val="none"/>
              </w:rPr>
            </w:pPr>
          </w:p>
        </w:tc>
        <w:tc>
          <w:tcPr>
            <w:tcW w:w="1788" w:type="dxa"/>
            <w:vAlign w:val="top"/>
          </w:tcPr>
          <w:p w14:paraId="36BD6555">
            <w:pPr>
              <w:rPr>
                <w:rFonts w:ascii="Arial"/>
                <w:sz w:val="21"/>
                <w:highlight w:val="none"/>
              </w:rPr>
            </w:pPr>
          </w:p>
        </w:tc>
        <w:tc>
          <w:tcPr>
            <w:tcW w:w="1084" w:type="dxa"/>
            <w:vAlign w:val="top"/>
          </w:tcPr>
          <w:p w14:paraId="7503B2FE">
            <w:pPr>
              <w:rPr>
                <w:rFonts w:ascii="Arial"/>
                <w:sz w:val="21"/>
                <w:highlight w:val="none"/>
              </w:rPr>
            </w:pPr>
          </w:p>
        </w:tc>
      </w:tr>
      <w:tr w14:paraId="7229C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24" w:type="dxa"/>
            <w:vAlign w:val="top"/>
          </w:tcPr>
          <w:p w14:paraId="03E247FA">
            <w:pPr>
              <w:rPr>
                <w:rFonts w:ascii="Arial"/>
                <w:sz w:val="21"/>
                <w:highlight w:val="none"/>
              </w:rPr>
            </w:pPr>
          </w:p>
        </w:tc>
        <w:tc>
          <w:tcPr>
            <w:tcW w:w="1858" w:type="dxa"/>
            <w:vAlign w:val="top"/>
          </w:tcPr>
          <w:p w14:paraId="150B215E">
            <w:pPr>
              <w:rPr>
                <w:rFonts w:ascii="Arial"/>
                <w:sz w:val="21"/>
                <w:highlight w:val="none"/>
              </w:rPr>
            </w:pPr>
          </w:p>
        </w:tc>
        <w:tc>
          <w:tcPr>
            <w:tcW w:w="1388" w:type="dxa"/>
            <w:vAlign w:val="top"/>
          </w:tcPr>
          <w:p w14:paraId="4E04D92F">
            <w:pPr>
              <w:rPr>
                <w:rFonts w:ascii="Arial"/>
                <w:sz w:val="21"/>
                <w:highlight w:val="none"/>
              </w:rPr>
            </w:pPr>
          </w:p>
        </w:tc>
        <w:tc>
          <w:tcPr>
            <w:tcW w:w="1079" w:type="dxa"/>
            <w:vAlign w:val="top"/>
          </w:tcPr>
          <w:p w14:paraId="7917E4FE">
            <w:pPr>
              <w:rPr>
                <w:rFonts w:ascii="Arial"/>
                <w:sz w:val="21"/>
                <w:highlight w:val="none"/>
              </w:rPr>
            </w:pPr>
          </w:p>
        </w:tc>
        <w:tc>
          <w:tcPr>
            <w:tcW w:w="1108" w:type="dxa"/>
            <w:vAlign w:val="top"/>
          </w:tcPr>
          <w:p w14:paraId="16981B1F">
            <w:pPr>
              <w:rPr>
                <w:rFonts w:ascii="Arial"/>
                <w:sz w:val="21"/>
                <w:highlight w:val="none"/>
              </w:rPr>
            </w:pPr>
          </w:p>
        </w:tc>
        <w:tc>
          <w:tcPr>
            <w:tcW w:w="1788" w:type="dxa"/>
            <w:vAlign w:val="top"/>
          </w:tcPr>
          <w:p w14:paraId="297B6DF5">
            <w:pPr>
              <w:rPr>
                <w:rFonts w:ascii="Arial"/>
                <w:sz w:val="21"/>
                <w:highlight w:val="none"/>
              </w:rPr>
            </w:pPr>
          </w:p>
        </w:tc>
        <w:tc>
          <w:tcPr>
            <w:tcW w:w="1084" w:type="dxa"/>
            <w:vAlign w:val="top"/>
          </w:tcPr>
          <w:p w14:paraId="7A1B6E42">
            <w:pPr>
              <w:rPr>
                <w:rFonts w:ascii="Arial"/>
                <w:sz w:val="21"/>
                <w:highlight w:val="none"/>
              </w:rPr>
            </w:pPr>
          </w:p>
        </w:tc>
      </w:tr>
    </w:tbl>
    <w:p w14:paraId="5CA8D498">
      <w:pPr>
        <w:pStyle w:val="2"/>
        <w:rPr>
          <w:highlight w:val="none"/>
        </w:rPr>
      </w:pPr>
    </w:p>
    <w:p w14:paraId="49F94CA8">
      <w:pPr>
        <w:rPr>
          <w:highlight w:val="none"/>
        </w:rPr>
        <w:sectPr>
          <w:footerReference r:id="rId267" w:type="default"/>
          <w:pgSz w:w="11910" w:h="16840"/>
          <w:pgMar w:top="400" w:right="1105" w:bottom="1238" w:left="1786" w:header="0" w:footer="1006" w:gutter="0"/>
          <w:cols w:space="720" w:num="1"/>
        </w:sectPr>
      </w:pPr>
    </w:p>
    <w:p w14:paraId="4846345A">
      <w:pPr>
        <w:pStyle w:val="2"/>
        <w:spacing w:line="283" w:lineRule="auto"/>
        <w:rPr>
          <w:highlight w:val="none"/>
        </w:rPr>
      </w:pPr>
    </w:p>
    <w:p w14:paraId="3F91E882">
      <w:pPr>
        <w:pStyle w:val="2"/>
        <w:spacing w:line="283" w:lineRule="auto"/>
        <w:rPr>
          <w:highlight w:val="none"/>
        </w:rPr>
      </w:pPr>
    </w:p>
    <w:p w14:paraId="423EC257">
      <w:pPr>
        <w:pStyle w:val="2"/>
        <w:spacing w:line="283" w:lineRule="auto"/>
        <w:rPr>
          <w:highlight w:val="none"/>
        </w:rPr>
      </w:pPr>
    </w:p>
    <w:p w14:paraId="4ABCB038">
      <w:pPr>
        <w:pStyle w:val="2"/>
        <w:spacing w:line="284" w:lineRule="auto"/>
        <w:rPr>
          <w:highlight w:val="none"/>
        </w:rPr>
      </w:pPr>
    </w:p>
    <w:p w14:paraId="4C893976">
      <w:pPr>
        <w:pStyle w:val="2"/>
        <w:spacing w:line="284" w:lineRule="auto"/>
        <w:rPr>
          <w:highlight w:val="none"/>
        </w:rPr>
      </w:pPr>
    </w:p>
    <w:p w14:paraId="6AA6E661">
      <w:pPr>
        <w:pStyle w:val="2"/>
        <w:spacing w:before="78" w:line="328" w:lineRule="exact"/>
        <w:ind w:left="2574"/>
        <w:rPr>
          <w:rFonts w:ascii="黑体" w:hAnsi="黑体" w:eastAsia="黑体" w:cs="黑体"/>
          <w:sz w:val="24"/>
          <w:szCs w:val="24"/>
          <w:highlight w:val="none"/>
        </w:rPr>
      </w:pPr>
      <w:r>
        <w:rPr>
          <w:spacing w:val="-1"/>
          <w:position w:val="1"/>
          <w:sz w:val="24"/>
          <w:szCs w:val="24"/>
          <w:highlight w:val="none"/>
        </w:rPr>
        <w:t xml:space="preserve">3-2  </w:t>
      </w:r>
      <w:r>
        <w:rPr>
          <w:rFonts w:ascii="黑体" w:hAnsi="黑体" w:eastAsia="黑体" w:cs="黑体"/>
          <w:spacing w:val="-1"/>
          <w:position w:val="1"/>
          <w:sz w:val="24"/>
          <w:szCs w:val="24"/>
          <w:highlight w:val="none"/>
        </w:rPr>
        <w:t>近年完成的类似项目情况表</w:t>
      </w:r>
    </w:p>
    <w:p w14:paraId="55371342">
      <w:pPr>
        <w:spacing w:before="151"/>
        <w:rPr>
          <w:highlight w:val="none"/>
        </w:rPr>
      </w:pPr>
    </w:p>
    <w:tbl>
      <w:tblPr>
        <w:tblStyle w:val="5"/>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22"/>
        <w:gridCol w:w="6087"/>
      </w:tblGrid>
      <w:tr w14:paraId="72A1C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2422" w:type="dxa"/>
            <w:vAlign w:val="top"/>
          </w:tcPr>
          <w:p w14:paraId="642E861A">
            <w:pPr>
              <w:pStyle w:val="6"/>
              <w:spacing w:before="214" w:line="220" w:lineRule="auto"/>
              <w:ind w:left="784"/>
              <w:rPr>
                <w:highlight w:val="none"/>
              </w:rPr>
            </w:pPr>
            <w:r>
              <w:rPr>
                <w:spacing w:val="2"/>
                <w:highlight w:val="none"/>
              </w:rPr>
              <w:t>项目名称</w:t>
            </w:r>
          </w:p>
        </w:tc>
        <w:tc>
          <w:tcPr>
            <w:tcW w:w="6087" w:type="dxa"/>
            <w:vAlign w:val="top"/>
          </w:tcPr>
          <w:p w14:paraId="7EA291B9">
            <w:pPr>
              <w:rPr>
                <w:rFonts w:ascii="Arial"/>
                <w:sz w:val="21"/>
                <w:highlight w:val="none"/>
              </w:rPr>
            </w:pPr>
          </w:p>
        </w:tc>
      </w:tr>
      <w:tr w14:paraId="04935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2BDB384C">
            <w:pPr>
              <w:pStyle w:val="6"/>
              <w:spacing w:before="210" w:line="220" w:lineRule="auto"/>
              <w:ind w:left="674"/>
              <w:rPr>
                <w:highlight w:val="none"/>
              </w:rPr>
            </w:pPr>
            <w:r>
              <w:rPr>
                <w:spacing w:val="-2"/>
                <w:highlight w:val="none"/>
              </w:rPr>
              <w:t>项目所在地</w:t>
            </w:r>
          </w:p>
        </w:tc>
        <w:tc>
          <w:tcPr>
            <w:tcW w:w="6087" w:type="dxa"/>
            <w:vAlign w:val="top"/>
          </w:tcPr>
          <w:p w14:paraId="29DCEDC1">
            <w:pPr>
              <w:rPr>
                <w:rFonts w:ascii="Arial"/>
                <w:sz w:val="21"/>
                <w:highlight w:val="none"/>
              </w:rPr>
            </w:pPr>
          </w:p>
        </w:tc>
      </w:tr>
      <w:tr w14:paraId="11A92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06F6EE94">
            <w:pPr>
              <w:pStyle w:val="6"/>
              <w:spacing w:before="211" w:line="220" w:lineRule="auto"/>
              <w:ind w:left="674"/>
              <w:rPr>
                <w:highlight w:val="none"/>
              </w:rPr>
            </w:pPr>
            <w:r>
              <w:rPr>
                <w:spacing w:val="2"/>
                <w:highlight w:val="none"/>
              </w:rPr>
              <w:t>发包人名称</w:t>
            </w:r>
          </w:p>
        </w:tc>
        <w:tc>
          <w:tcPr>
            <w:tcW w:w="6087" w:type="dxa"/>
            <w:vAlign w:val="top"/>
          </w:tcPr>
          <w:p w14:paraId="0E5CCA93">
            <w:pPr>
              <w:rPr>
                <w:rFonts w:ascii="Arial"/>
                <w:sz w:val="21"/>
                <w:highlight w:val="none"/>
              </w:rPr>
            </w:pPr>
          </w:p>
        </w:tc>
      </w:tr>
      <w:tr w14:paraId="16D56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7A735C23">
            <w:pPr>
              <w:pStyle w:val="6"/>
              <w:spacing w:before="212" w:line="220" w:lineRule="auto"/>
              <w:ind w:left="674"/>
              <w:rPr>
                <w:highlight w:val="none"/>
              </w:rPr>
            </w:pPr>
            <w:r>
              <w:rPr>
                <w:spacing w:val="1"/>
                <w:highlight w:val="none"/>
              </w:rPr>
              <w:t>发包人地址</w:t>
            </w:r>
          </w:p>
        </w:tc>
        <w:tc>
          <w:tcPr>
            <w:tcW w:w="6087" w:type="dxa"/>
            <w:vAlign w:val="top"/>
          </w:tcPr>
          <w:p w14:paraId="074B59B0">
            <w:pPr>
              <w:rPr>
                <w:rFonts w:ascii="Arial"/>
                <w:sz w:val="21"/>
                <w:highlight w:val="none"/>
              </w:rPr>
            </w:pPr>
          </w:p>
        </w:tc>
      </w:tr>
      <w:tr w14:paraId="4888C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422" w:type="dxa"/>
            <w:vAlign w:val="top"/>
          </w:tcPr>
          <w:p w14:paraId="0E15873E">
            <w:pPr>
              <w:pStyle w:val="6"/>
              <w:spacing w:before="213" w:line="220" w:lineRule="auto"/>
              <w:ind w:left="254"/>
              <w:rPr>
                <w:highlight w:val="none"/>
              </w:rPr>
            </w:pPr>
            <w:r>
              <w:rPr>
                <w:spacing w:val="-2"/>
                <w:highlight w:val="none"/>
              </w:rPr>
              <w:t>发包人联系人及电话</w:t>
            </w:r>
          </w:p>
        </w:tc>
        <w:tc>
          <w:tcPr>
            <w:tcW w:w="6087" w:type="dxa"/>
            <w:vAlign w:val="top"/>
          </w:tcPr>
          <w:p w14:paraId="2A908515">
            <w:pPr>
              <w:rPr>
                <w:rFonts w:ascii="Arial"/>
                <w:sz w:val="21"/>
                <w:highlight w:val="none"/>
              </w:rPr>
            </w:pPr>
          </w:p>
        </w:tc>
      </w:tr>
      <w:tr w14:paraId="01579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729EF7E7">
            <w:pPr>
              <w:pStyle w:val="6"/>
              <w:spacing w:before="210" w:line="218" w:lineRule="auto"/>
              <w:ind w:left="784"/>
              <w:rPr>
                <w:highlight w:val="none"/>
              </w:rPr>
            </w:pPr>
            <w:r>
              <w:rPr>
                <w:spacing w:val="-2"/>
                <w:highlight w:val="none"/>
              </w:rPr>
              <w:t>合同价格</w:t>
            </w:r>
          </w:p>
        </w:tc>
        <w:tc>
          <w:tcPr>
            <w:tcW w:w="6087" w:type="dxa"/>
            <w:vAlign w:val="top"/>
          </w:tcPr>
          <w:p w14:paraId="19F12E0F">
            <w:pPr>
              <w:rPr>
                <w:rFonts w:ascii="Arial"/>
                <w:sz w:val="21"/>
                <w:highlight w:val="none"/>
              </w:rPr>
            </w:pPr>
          </w:p>
        </w:tc>
      </w:tr>
      <w:tr w14:paraId="57F18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422" w:type="dxa"/>
            <w:vAlign w:val="top"/>
          </w:tcPr>
          <w:p w14:paraId="1C86DC3B">
            <w:pPr>
              <w:pStyle w:val="6"/>
              <w:spacing w:before="224" w:line="220" w:lineRule="auto"/>
              <w:ind w:left="784"/>
              <w:rPr>
                <w:highlight w:val="none"/>
              </w:rPr>
            </w:pPr>
            <w:r>
              <w:rPr>
                <w:spacing w:val="3"/>
                <w:highlight w:val="none"/>
              </w:rPr>
              <w:t>开工日期</w:t>
            </w:r>
          </w:p>
        </w:tc>
        <w:tc>
          <w:tcPr>
            <w:tcW w:w="6087" w:type="dxa"/>
            <w:vAlign w:val="top"/>
          </w:tcPr>
          <w:p w14:paraId="056DCF82">
            <w:pPr>
              <w:rPr>
                <w:rFonts w:ascii="Arial"/>
                <w:sz w:val="21"/>
                <w:highlight w:val="none"/>
              </w:rPr>
            </w:pPr>
          </w:p>
        </w:tc>
      </w:tr>
      <w:tr w14:paraId="7C488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60A00559">
            <w:pPr>
              <w:pStyle w:val="6"/>
              <w:spacing w:before="214" w:line="219" w:lineRule="auto"/>
              <w:ind w:left="784"/>
              <w:rPr>
                <w:highlight w:val="none"/>
              </w:rPr>
            </w:pPr>
            <w:r>
              <w:rPr>
                <w:spacing w:val="3"/>
                <w:highlight w:val="none"/>
              </w:rPr>
              <w:t>竣工日期</w:t>
            </w:r>
          </w:p>
        </w:tc>
        <w:tc>
          <w:tcPr>
            <w:tcW w:w="6087" w:type="dxa"/>
            <w:vAlign w:val="top"/>
          </w:tcPr>
          <w:p w14:paraId="2178883B">
            <w:pPr>
              <w:rPr>
                <w:rFonts w:ascii="Arial"/>
                <w:sz w:val="21"/>
                <w:highlight w:val="none"/>
              </w:rPr>
            </w:pPr>
          </w:p>
        </w:tc>
      </w:tr>
      <w:tr w14:paraId="36928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0FFF59FF">
            <w:pPr>
              <w:pStyle w:val="6"/>
              <w:spacing w:before="215" w:line="219" w:lineRule="auto"/>
              <w:ind w:left="674"/>
              <w:rPr>
                <w:highlight w:val="none"/>
              </w:rPr>
            </w:pPr>
            <w:r>
              <w:rPr>
                <w:spacing w:val="2"/>
                <w:highlight w:val="none"/>
              </w:rPr>
              <w:t>承担的工作</w:t>
            </w:r>
          </w:p>
        </w:tc>
        <w:tc>
          <w:tcPr>
            <w:tcW w:w="6087" w:type="dxa"/>
            <w:vAlign w:val="top"/>
          </w:tcPr>
          <w:p w14:paraId="6181C17D">
            <w:pPr>
              <w:rPr>
                <w:rFonts w:ascii="Arial"/>
                <w:sz w:val="21"/>
                <w:highlight w:val="none"/>
              </w:rPr>
            </w:pPr>
          </w:p>
        </w:tc>
      </w:tr>
      <w:tr w14:paraId="348D7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422" w:type="dxa"/>
            <w:vAlign w:val="top"/>
          </w:tcPr>
          <w:p w14:paraId="25EB1891">
            <w:pPr>
              <w:pStyle w:val="6"/>
              <w:spacing w:before="207" w:line="220" w:lineRule="auto"/>
              <w:ind w:left="784"/>
              <w:rPr>
                <w:highlight w:val="none"/>
              </w:rPr>
            </w:pPr>
            <w:r>
              <w:rPr>
                <w:spacing w:val="-3"/>
                <w:highlight w:val="none"/>
              </w:rPr>
              <w:t>工程质量</w:t>
            </w:r>
          </w:p>
        </w:tc>
        <w:tc>
          <w:tcPr>
            <w:tcW w:w="6087" w:type="dxa"/>
            <w:vAlign w:val="top"/>
          </w:tcPr>
          <w:p w14:paraId="284D0B55">
            <w:pPr>
              <w:rPr>
                <w:rFonts w:ascii="Arial"/>
                <w:sz w:val="21"/>
                <w:highlight w:val="none"/>
              </w:rPr>
            </w:pPr>
          </w:p>
        </w:tc>
      </w:tr>
      <w:tr w14:paraId="288A4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422" w:type="dxa"/>
            <w:vAlign w:val="top"/>
          </w:tcPr>
          <w:p w14:paraId="4915F580">
            <w:pPr>
              <w:pStyle w:val="6"/>
              <w:spacing w:before="227" w:line="220" w:lineRule="auto"/>
              <w:ind w:left="784"/>
              <w:rPr>
                <w:highlight w:val="none"/>
              </w:rPr>
            </w:pPr>
            <w:r>
              <w:rPr>
                <w:spacing w:val="-3"/>
                <w:highlight w:val="none"/>
              </w:rPr>
              <w:t>项目经理</w:t>
            </w:r>
          </w:p>
        </w:tc>
        <w:tc>
          <w:tcPr>
            <w:tcW w:w="6087" w:type="dxa"/>
            <w:vAlign w:val="top"/>
          </w:tcPr>
          <w:p w14:paraId="285FE7EE">
            <w:pPr>
              <w:rPr>
                <w:rFonts w:ascii="Arial"/>
                <w:sz w:val="21"/>
                <w:highlight w:val="none"/>
              </w:rPr>
            </w:pPr>
          </w:p>
        </w:tc>
      </w:tr>
      <w:tr w14:paraId="2410B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422" w:type="dxa"/>
            <w:vAlign w:val="top"/>
          </w:tcPr>
          <w:p w14:paraId="2F62DB3F">
            <w:pPr>
              <w:pStyle w:val="6"/>
              <w:spacing w:before="217" w:line="219" w:lineRule="auto"/>
              <w:ind w:left="254"/>
              <w:rPr>
                <w:highlight w:val="none"/>
              </w:rPr>
            </w:pPr>
            <w:r>
              <w:rPr>
                <w:highlight w:val="none"/>
              </w:rPr>
              <w:t>总监理工程师及电话</w:t>
            </w:r>
          </w:p>
        </w:tc>
        <w:tc>
          <w:tcPr>
            <w:tcW w:w="6087" w:type="dxa"/>
            <w:vAlign w:val="top"/>
          </w:tcPr>
          <w:p w14:paraId="28FCD0EC">
            <w:pPr>
              <w:rPr>
                <w:rFonts w:ascii="Arial"/>
                <w:sz w:val="21"/>
                <w:highlight w:val="none"/>
              </w:rPr>
            </w:pPr>
          </w:p>
        </w:tc>
      </w:tr>
      <w:tr w14:paraId="0A695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422" w:type="dxa"/>
            <w:vAlign w:val="top"/>
          </w:tcPr>
          <w:p w14:paraId="0DB17F5E">
            <w:pPr>
              <w:pStyle w:val="6"/>
              <w:spacing w:before="239" w:line="220" w:lineRule="auto"/>
              <w:ind w:left="784"/>
              <w:rPr>
                <w:highlight w:val="none"/>
              </w:rPr>
            </w:pPr>
            <w:r>
              <w:rPr>
                <w:spacing w:val="-3"/>
                <w:highlight w:val="none"/>
              </w:rPr>
              <w:t>项目描述</w:t>
            </w:r>
          </w:p>
        </w:tc>
        <w:tc>
          <w:tcPr>
            <w:tcW w:w="6087" w:type="dxa"/>
            <w:vAlign w:val="top"/>
          </w:tcPr>
          <w:p w14:paraId="7B9812AF">
            <w:pPr>
              <w:rPr>
                <w:rFonts w:ascii="Arial"/>
                <w:sz w:val="21"/>
                <w:highlight w:val="none"/>
              </w:rPr>
            </w:pPr>
          </w:p>
        </w:tc>
      </w:tr>
      <w:tr w14:paraId="14900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422" w:type="dxa"/>
            <w:vAlign w:val="top"/>
          </w:tcPr>
          <w:p w14:paraId="182F720B">
            <w:pPr>
              <w:pStyle w:val="6"/>
              <w:spacing w:before="209" w:line="221" w:lineRule="auto"/>
              <w:ind w:left="994"/>
              <w:rPr>
                <w:highlight w:val="none"/>
              </w:rPr>
            </w:pPr>
            <w:r>
              <w:rPr>
                <w:spacing w:val="5"/>
                <w:highlight w:val="none"/>
              </w:rPr>
              <w:t>备注</w:t>
            </w:r>
          </w:p>
        </w:tc>
        <w:tc>
          <w:tcPr>
            <w:tcW w:w="6087" w:type="dxa"/>
            <w:vAlign w:val="top"/>
          </w:tcPr>
          <w:p w14:paraId="28D29590">
            <w:pPr>
              <w:rPr>
                <w:rFonts w:ascii="Arial"/>
                <w:sz w:val="21"/>
                <w:highlight w:val="none"/>
              </w:rPr>
            </w:pPr>
          </w:p>
        </w:tc>
      </w:tr>
    </w:tbl>
    <w:p w14:paraId="54E6EB12">
      <w:pPr>
        <w:spacing w:before="182" w:line="374" w:lineRule="auto"/>
        <w:ind w:left="834" w:hanging="720"/>
        <w:rPr>
          <w:rFonts w:ascii="宋体" w:hAnsi="宋体" w:eastAsia="宋体" w:cs="宋体"/>
          <w:sz w:val="22"/>
          <w:szCs w:val="22"/>
          <w:highlight w:val="none"/>
        </w:rPr>
      </w:pPr>
      <w:r>
        <w:rPr>
          <w:rFonts w:ascii="黑体" w:hAnsi="黑体" w:eastAsia="黑体" w:cs="黑体"/>
          <w:spacing w:val="5"/>
          <w:sz w:val="21"/>
          <w:szCs w:val="21"/>
          <w:highlight w:val="none"/>
        </w:rPr>
        <w:t>备注：1.“</w:t>
      </w:r>
      <w:r>
        <w:rPr>
          <w:rFonts w:ascii="宋体" w:hAnsi="宋体" w:eastAsia="宋体" w:cs="宋体"/>
          <w:spacing w:val="5"/>
          <w:sz w:val="21"/>
          <w:szCs w:val="21"/>
          <w:highlight w:val="none"/>
        </w:rPr>
        <w:t>类似项目”见投标人须知前附表；具体年份要求见申请(投标)人须知前附表。</w:t>
      </w:r>
      <w:r>
        <w:rPr>
          <w:rFonts w:ascii="宋体" w:hAnsi="宋体" w:eastAsia="宋体" w:cs="宋体"/>
          <w:spacing w:val="8"/>
          <w:sz w:val="21"/>
          <w:szCs w:val="21"/>
          <w:highlight w:val="none"/>
        </w:rPr>
        <w:t xml:space="preserve"> </w:t>
      </w:r>
      <w:r>
        <w:rPr>
          <w:rFonts w:ascii="Times New Roman" w:hAnsi="Times New Roman" w:eastAsia="Times New Roman" w:cs="Times New Roman"/>
          <w:spacing w:val="-5"/>
          <w:sz w:val="22"/>
          <w:szCs w:val="22"/>
          <w:highlight w:val="none"/>
        </w:rPr>
        <w:t>2.</w:t>
      </w:r>
      <w:r>
        <w:rPr>
          <w:rFonts w:ascii="Times New Roman" w:hAnsi="Times New Roman" w:eastAsia="Times New Roman" w:cs="Times New Roman"/>
          <w:spacing w:val="19"/>
          <w:w w:val="101"/>
          <w:sz w:val="22"/>
          <w:szCs w:val="22"/>
          <w:highlight w:val="none"/>
        </w:rPr>
        <w:t xml:space="preserve">  </w:t>
      </w:r>
      <w:r>
        <w:rPr>
          <w:rFonts w:ascii="宋体" w:hAnsi="宋体" w:eastAsia="宋体" w:cs="宋体"/>
          <w:spacing w:val="-5"/>
          <w:sz w:val="22"/>
          <w:szCs w:val="22"/>
          <w:highlight w:val="none"/>
        </w:rPr>
        <w:t>本表后附中标通知书(如有)、合同协议书、工程接收</w:t>
      </w:r>
      <w:r>
        <w:rPr>
          <w:rFonts w:ascii="宋体" w:hAnsi="宋体" w:eastAsia="宋体" w:cs="宋体"/>
          <w:spacing w:val="-6"/>
          <w:sz w:val="22"/>
          <w:szCs w:val="22"/>
          <w:highlight w:val="none"/>
        </w:rPr>
        <w:t>证书或工程竣工验收证书</w:t>
      </w:r>
    </w:p>
    <w:p w14:paraId="18EC4F1C">
      <w:pPr>
        <w:spacing w:before="1" w:line="362" w:lineRule="auto"/>
        <w:ind w:left="1064" w:right="56" w:firstLine="110"/>
        <w:rPr>
          <w:rFonts w:ascii="宋体" w:hAnsi="宋体" w:eastAsia="宋体" w:cs="宋体"/>
          <w:sz w:val="22"/>
          <w:szCs w:val="22"/>
          <w:highlight w:val="none"/>
        </w:rPr>
      </w:pPr>
      <w:r>
        <w:rPr>
          <w:rFonts w:ascii="宋体" w:hAnsi="宋体" w:eastAsia="宋体" w:cs="宋体"/>
          <w:spacing w:val="1"/>
          <w:sz w:val="22"/>
          <w:szCs w:val="22"/>
          <w:highlight w:val="none"/>
        </w:rPr>
        <w:t>(或工程竣工验收备案证)(如有)及其他证明材料(如需要</w:t>
      </w:r>
      <w:r>
        <w:rPr>
          <w:rFonts w:ascii="宋体" w:hAnsi="宋体" w:eastAsia="宋体" w:cs="宋体"/>
          <w:sz w:val="22"/>
          <w:szCs w:val="22"/>
          <w:highlight w:val="none"/>
        </w:rPr>
        <w:t xml:space="preserve">)的扫描件。其中招 </w:t>
      </w:r>
      <w:r>
        <w:rPr>
          <w:rFonts w:ascii="宋体" w:hAnsi="宋体" w:eastAsia="宋体" w:cs="宋体"/>
          <w:spacing w:val="-10"/>
          <w:sz w:val="22"/>
          <w:szCs w:val="22"/>
          <w:highlight w:val="none"/>
        </w:rPr>
        <w:t>标发包的工程应附中标通知书。每张表格只填写一个项目，并标明序号。</w:t>
      </w:r>
    </w:p>
    <w:p w14:paraId="3FF453AD">
      <w:pPr>
        <w:spacing w:line="362" w:lineRule="auto"/>
        <w:rPr>
          <w:rFonts w:ascii="宋体" w:hAnsi="宋体" w:eastAsia="宋体" w:cs="宋体"/>
          <w:sz w:val="22"/>
          <w:szCs w:val="22"/>
          <w:highlight w:val="none"/>
        </w:rPr>
        <w:sectPr>
          <w:footerReference r:id="rId268" w:type="default"/>
          <w:pgSz w:w="11910" w:h="16840"/>
          <w:pgMar w:top="400" w:right="1725" w:bottom="1238" w:left="1665" w:header="0" w:footer="1007" w:gutter="0"/>
          <w:cols w:space="720" w:num="1"/>
        </w:sectPr>
      </w:pPr>
    </w:p>
    <w:p w14:paraId="20D514D3">
      <w:pPr>
        <w:pStyle w:val="2"/>
        <w:spacing w:line="277" w:lineRule="auto"/>
        <w:rPr>
          <w:highlight w:val="none"/>
        </w:rPr>
      </w:pPr>
    </w:p>
    <w:p w14:paraId="4B4E5856">
      <w:pPr>
        <w:pStyle w:val="2"/>
        <w:spacing w:line="278" w:lineRule="auto"/>
        <w:rPr>
          <w:highlight w:val="none"/>
        </w:rPr>
      </w:pPr>
    </w:p>
    <w:p w14:paraId="33A0FA15">
      <w:pPr>
        <w:pStyle w:val="2"/>
        <w:spacing w:line="278" w:lineRule="auto"/>
        <w:rPr>
          <w:highlight w:val="none"/>
        </w:rPr>
      </w:pPr>
    </w:p>
    <w:p w14:paraId="108014C2">
      <w:pPr>
        <w:pStyle w:val="2"/>
        <w:spacing w:line="278" w:lineRule="auto"/>
        <w:rPr>
          <w:highlight w:val="none"/>
        </w:rPr>
      </w:pPr>
    </w:p>
    <w:p w14:paraId="2082293D">
      <w:pPr>
        <w:spacing w:before="91" w:line="221" w:lineRule="auto"/>
        <w:ind w:left="63"/>
        <w:rPr>
          <w:rFonts w:ascii="黑体" w:hAnsi="黑体" w:eastAsia="黑体" w:cs="黑体"/>
          <w:sz w:val="28"/>
          <w:szCs w:val="28"/>
          <w:highlight w:val="none"/>
        </w:rPr>
      </w:pPr>
      <w:r>
        <w:rPr>
          <w:rFonts w:ascii="黑体" w:hAnsi="黑体" w:eastAsia="黑体" w:cs="黑体"/>
          <w:spacing w:val="-1"/>
          <w:sz w:val="28"/>
          <w:szCs w:val="28"/>
          <w:highlight w:val="none"/>
        </w:rPr>
        <w:t>(五)近年完成的类似设计项目情况</w:t>
      </w:r>
    </w:p>
    <w:p w14:paraId="0B164042">
      <w:pPr>
        <w:pStyle w:val="2"/>
        <w:spacing w:line="266" w:lineRule="auto"/>
        <w:rPr>
          <w:highlight w:val="none"/>
        </w:rPr>
      </w:pPr>
    </w:p>
    <w:p w14:paraId="70C3EA55">
      <w:pPr>
        <w:pStyle w:val="2"/>
        <w:spacing w:line="266" w:lineRule="auto"/>
        <w:rPr>
          <w:highlight w:val="none"/>
        </w:rPr>
      </w:pPr>
    </w:p>
    <w:p w14:paraId="3447EB2D">
      <w:pPr>
        <w:pStyle w:val="2"/>
        <w:spacing w:before="78" w:line="221" w:lineRule="auto"/>
        <w:ind w:left="2203"/>
        <w:rPr>
          <w:rFonts w:ascii="黑体" w:hAnsi="黑体" w:eastAsia="黑体" w:cs="黑体"/>
          <w:sz w:val="24"/>
          <w:szCs w:val="24"/>
          <w:highlight w:val="none"/>
        </w:rPr>
      </w:pPr>
      <w:r>
        <w:rPr>
          <w:sz w:val="24"/>
          <w:szCs w:val="24"/>
          <w:highlight w:val="none"/>
        </w:rPr>
        <w:t xml:space="preserve">4-1  </w:t>
      </w:r>
      <w:r>
        <w:rPr>
          <w:rFonts w:ascii="黑体" w:hAnsi="黑体" w:eastAsia="黑体" w:cs="黑体"/>
          <w:sz w:val="24"/>
          <w:szCs w:val="24"/>
          <w:highlight w:val="none"/>
        </w:rPr>
        <w:t>近年完成的类似设计项目汇总表</w:t>
      </w:r>
    </w:p>
    <w:p w14:paraId="117C6988">
      <w:pPr>
        <w:spacing w:before="218"/>
        <w:rPr>
          <w:highlight w:val="none"/>
        </w:rPr>
      </w:pPr>
    </w:p>
    <w:tbl>
      <w:tblPr>
        <w:tblStyle w:val="5"/>
        <w:tblW w:w="8829" w:type="dxa"/>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4"/>
        <w:gridCol w:w="1858"/>
        <w:gridCol w:w="1388"/>
        <w:gridCol w:w="1079"/>
        <w:gridCol w:w="1108"/>
        <w:gridCol w:w="1788"/>
        <w:gridCol w:w="1084"/>
      </w:tblGrid>
      <w:tr w14:paraId="7289A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524" w:type="dxa"/>
            <w:textDirection w:val="tbRlV"/>
            <w:vAlign w:val="top"/>
          </w:tcPr>
          <w:p w14:paraId="1F5355A3">
            <w:pPr>
              <w:pStyle w:val="6"/>
              <w:spacing w:before="171" w:line="199" w:lineRule="auto"/>
              <w:ind w:left="64"/>
              <w:rPr>
                <w:highlight w:val="none"/>
              </w:rPr>
            </w:pPr>
            <w:r>
              <w:rPr>
                <w:highlight w:val="none"/>
              </w:rPr>
              <w:t>序</w:t>
            </w:r>
            <w:r>
              <w:rPr>
                <w:spacing w:val="13"/>
                <w:highlight w:val="none"/>
              </w:rPr>
              <w:t xml:space="preserve">  </w:t>
            </w:r>
            <w:r>
              <w:rPr>
                <w:highlight w:val="none"/>
              </w:rPr>
              <w:t>号</w:t>
            </w:r>
          </w:p>
        </w:tc>
        <w:tc>
          <w:tcPr>
            <w:tcW w:w="1858" w:type="dxa"/>
            <w:vAlign w:val="top"/>
          </w:tcPr>
          <w:p w14:paraId="2FB64A01">
            <w:pPr>
              <w:pStyle w:val="6"/>
              <w:spacing w:before="164" w:line="220" w:lineRule="auto"/>
              <w:ind w:left="510"/>
              <w:rPr>
                <w:highlight w:val="none"/>
              </w:rPr>
            </w:pPr>
            <w:r>
              <w:rPr>
                <w:spacing w:val="2"/>
                <w:highlight w:val="none"/>
              </w:rPr>
              <w:t>项目名称</w:t>
            </w:r>
          </w:p>
        </w:tc>
        <w:tc>
          <w:tcPr>
            <w:tcW w:w="1388" w:type="dxa"/>
            <w:vAlign w:val="top"/>
          </w:tcPr>
          <w:p w14:paraId="48EE3498">
            <w:pPr>
              <w:pStyle w:val="6"/>
              <w:spacing w:before="154" w:line="220" w:lineRule="auto"/>
              <w:ind w:left="162"/>
              <w:rPr>
                <w:highlight w:val="none"/>
              </w:rPr>
            </w:pPr>
            <w:r>
              <w:rPr>
                <w:spacing w:val="2"/>
                <w:highlight w:val="none"/>
              </w:rPr>
              <w:t>发包人名称</w:t>
            </w:r>
          </w:p>
        </w:tc>
        <w:tc>
          <w:tcPr>
            <w:tcW w:w="1079" w:type="dxa"/>
            <w:vAlign w:val="top"/>
          </w:tcPr>
          <w:p w14:paraId="66117440">
            <w:pPr>
              <w:pStyle w:val="6"/>
              <w:spacing w:before="163" w:line="219" w:lineRule="auto"/>
              <w:ind w:left="134"/>
              <w:rPr>
                <w:highlight w:val="none"/>
              </w:rPr>
            </w:pPr>
            <w:r>
              <w:rPr>
                <w:spacing w:val="-3"/>
                <w:highlight w:val="none"/>
              </w:rPr>
              <w:t>工程规模</w:t>
            </w:r>
          </w:p>
        </w:tc>
        <w:tc>
          <w:tcPr>
            <w:tcW w:w="1108" w:type="dxa"/>
            <w:vAlign w:val="top"/>
          </w:tcPr>
          <w:p w14:paraId="09B80089">
            <w:pPr>
              <w:pStyle w:val="6"/>
              <w:spacing w:before="161" w:line="218" w:lineRule="auto"/>
              <w:ind w:left="125"/>
              <w:rPr>
                <w:highlight w:val="none"/>
              </w:rPr>
            </w:pPr>
            <w:r>
              <w:rPr>
                <w:spacing w:val="-2"/>
                <w:highlight w:val="none"/>
              </w:rPr>
              <w:t>合同价格</w:t>
            </w:r>
          </w:p>
          <w:p w14:paraId="58926FC4">
            <w:pPr>
              <w:pStyle w:val="6"/>
              <w:spacing w:before="144" w:line="202" w:lineRule="auto"/>
              <w:ind w:left="235"/>
              <w:rPr>
                <w:highlight w:val="none"/>
              </w:rPr>
            </w:pPr>
            <w:r>
              <w:rPr>
                <w:spacing w:val="11"/>
                <w:highlight w:val="none"/>
              </w:rPr>
              <w:t>(万元)</w:t>
            </w:r>
          </w:p>
        </w:tc>
        <w:tc>
          <w:tcPr>
            <w:tcW w:w="1788" w:type="dxa"/>
            <w:vAlign w:val="top"/>
          </w:tcPr>
          <w:p w14:paraId="0E0585EB">
            <w:pPr>
              <w:pStyle w:val="6"/>
              <w:spacing w:before="153" w:line="219" w:lineRule="auto"/>
              <w:ind w:left="268"/>
              <w:rPr>
                <w:highlight w:val="none"/>
              </w:rPr>
            </w:pPr>
            <w:r>
              <w:rPr>
                <w:spacing w:val="2"/>
                <w:highlight w:val="none"/>
              </w:rPr>
              <w:t>开、完成日期</w:t>
            </w:r>
          </w:p>
        </w:tc>
        <w:tc>
          <w:tcPr>
            <w:tcW w:w="1084" w:type="dxa"/>
            <w:vAlign w:val="top"/>
          </w:tcPr>
          <w:p w14:paraId="0E12A1DF">
            <w:pPr>
              <w:pStyle w:val="6"/>
              <w:spacing w:before="165" w:line="272" w:lineRule="auto"/>
              <w:ind w:left="219" w:right="215" w:firstLine="110"/>
              <w:rPr>
                <w:highlight w:val="none"/>
              </w:rPr>
            </w:pPr>
            <w:r>
              <w:rPr>
                <w:spacing w:val="-30"/>
                <w:highlight w:val="none"/>
              </w:rPr>
              <w:t>项</w:t>
            </w:r>
            <w:r>
              <w:rPr>
                <w:spacing w:val="-6"/>
                <w:highlight w:val="none"/>
              </w:rPr>
              <w:t xml:space="preserve"> </w:t>
            </w:r>
            <w:r>
              <w:rPr>
                <w:spacing w:val="-30"/>
                <w:highlight w:val="none"/>
              </w:rPr>
              <w:t>目</w:t>
            </w:r>
            <w:r>
              <w:rPr>
                <w:highlight w:val="none"/>
              </w:rPr>
              <w:t xml:space="preserve"> </w:t>
            </w:r>
            <w:r>
              <w:rPr>
                <w:spacing w:val="3"/>
                <w:highlight w:val="none"/>
              </w:rPr>
              <w:t>负责人</w:t>
            </w:r>
          </w:p>
        </w:tc>
      </w:tr>
      <w:tr w14:paraId="60B2E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24" w:type="dxa"/>
            <w:vAlign w:val="top"/>
          </w:tcPr>
          <w:p w14:paraId="02255FF1">
            <w:pPr>
              <w:rPr>
                <w:rFonts w:ascii="Arial"/>
                <w:sz w:val="21"/>
                <w:highlight w:val="none"/>
              </w:rPr>
            </w:pPr>
          </w:p>
        </w:tc>
        <w:tc>
          <w:tcPr>
            <w:tcW w:w="1858" w:type="dxa"/>
            <w:vAlign w:val="top"/>
          </w:tcPr>
          <w:p w14:paraId="2CB004E8">
            <w:pPr>
              <w:rPr>
                <w:rFonts w:ascii="Arial"/>
                <w:sz w:val="21"/>
                <w:highlight w:val="none"/>
              </w:rPr>
            </w:pPr>
          </w:p>
        </w:tc>
        <w:tc>
          <w:tcPr>
            <w:tcW w:w="1388" w:type="dxa"/>
            <w:vAlign w:val="top"/>
          </w:tcPr>
          <w:p w14:paraId="1D3ECCF2">
            <w:pPr>
              <w:rPr>
                <w:rFonts w:ascii="Arial"/>
                <w:sz w:val="21"/>
                <w:highlight w:val="none"/>
              </w:rPr>
            </w:pPr>
          </w:p>
        </w:tc>
        <w:tc>
          <w:tcPr>
            <w:tcW w:w="1079" w:type="dxa"/>
            <w:vAlign w:val="top"/>
          </w:tcPr>
          <w:p w14:paraId="198C4B0C">
            <w:pPr>
              <w:rPr>
                <w:rFonts w:ascii="Arial"/>
                <w:sz w:val="21"/>
                <w:highlight w:val="none"/>
              </w:rPr>
            </w:pPr>
          </w:p>
        </w:tc>
        <w:tc>
          <w:tcPr>
            <w:tcW w:w="1108" w:type="dxa"/>
            <w:vAlign w:val="top"/>
          </w:tcPr>
          <w:p w14:paraId="760A8E92">
            <w:pPr>
              <w:rPr>
                <w:rFonts w:ascii="Arial"/>
                <w:sz w:val="21"/>
                <w:highlight w:val="none"/>
              </w:rPr>
            </w:pPr>
          </w:p>
        </w:tc>
        <w:tc>
          <w:tcPr>
            <w:tcW w:w="1788" w:type="dxa"/>
            <w:vAlign w:val="top"/>
          </w:tcPr>
          <w:p w14:paraId="17CDEE41">
            <w:pPr>
              <w:rPr>
                <w:rFonts w:ascii="Arial"/>
                <w:sz w:val="21"/>
                <w:highlight w:val="none"/>
              </w:rPr>
            </w:pPr>
          </w:p>
        </w:tc>
        <w:tc>
          <w:tcPr>
            <w:tcW w:w="1084" w:type="dxa"/>
            <w:vAlign w:val="top"/>
          </w:tcPr>
          <w:p w14:paraId="725188B4">
            <w:pPr>
              <w:rPr>
                <w:rFonts w:ascii="Arial"/>
                <w:sz w:val="21"/>
                <w:highlight w:val="none"/>
              </w:rPr>
            </w:pPr>
          </w:p>
        </w:tc>
      </w:tr>
      <w:tr w14:paraId="62A57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24" w:type="dxa"/>
            <w:vAlign w:val="top"/>
          </w:tcPr>
          <w:p w14:paraId="6EEFAEA1">
            <w:pPr>
              <w:rPr>
                <w:rFonts w:ascii="Arial"/>
                <w:sz w:val="21"/>
                <w:highlight w:val="none"/>
              </w:rPr>
            </w:pPr>
          </w:p>
        </w:tc>
        <w:tc>
          <w:tcPr>
            <w:tcW w:w="1858" w:type="dxa"/>
            <w:vAlign w:val="top"/>
          </w:tcPr>
          <w:p w14:paraId="3C580D40">
            <w:pPr>
              <w:rPr>
                <w:rFonts w:ascii="Arial"/>
                <w:sz w:val="21"/>
                <w:highlight w:val="none"/>
              </w:rPr>
            </w:pPr>
          </w:p>
        </w:tc>
        <w:tc>
          <w:tcPr>
            <w:tcW w:w="1388" w:type="dxa"/>
            <w:vAlign w:val="top"/>
          </w:tcPr>
          <w:p w14:paraId="1177194B">
            <w:pPr>
              <w:rPr>
                <w:rFonts w:ascii="Arial"/>
                <w:sz w:val="21"/>
                <w:highlight w:val="none"/>
              </w:rPr>
            </w:pPr>
          </w:p>
        </w:tc>
        <w:tc>
          <w:tcPr>
            <w:tcW w:w="1079" w:type="dxa"/>
            <w:vAlign w:val="top"/>
          </w:tcPr>
          <w:p w14:paraId="642F5E46">
            <w:pPr>
              <w:rPr>
                <w:rFonts w:ascii="Arial"/>
                <w:sz w:val="21"/>
                <w:highlight w:val="none"/>
              </w:rPr>
            </w:pPr>
          </w:p>
        </w:tc>
        <w:tc>
          <w:tcPr>
            <w:tcW w:w="1108" w:type="dxa"/>
            <w:vAlign w:val="top"/>
          </w:tcPr>
          <w:p w14:paraId="0D90179C">
            <w:pPr>
              <w:rPr>
                <w:rFonts w:ascii="Arial"/>
                <w:sz w:val="21"/>
                <w:highlight w:val="none"/>
              </w:rPr>
            </w:pPr>
          </w:p>
        </w:tc>
        <w:tc>
          <w:tcPr>
            <w:tcW w:w="1788" w:type="dxa"/>
            <w:vAlign w:val="top"/>
          </w:tcPr>
          <w:p w14:paraId="447C6139">
            <w:pPr>
              <w:rPr>
                <w:rFonts w:ascii="Arial"/>
                <w:sz w:val="21"/>
                <w:highlight w:val="none"/>
              </w:rPr>
            </w:pPr>
          </w:p>
        </w:tc>
        <w:tc>
          <w:tcPr>
            <w:tcW w:w="1084" w:type="dxa"/>
            <w:vAlign w:val="top"/>
          </w:tcPr>
          <w:p w14:paraId="63679052">
            <w:pPr>
              <w:rPr>
                <w:rFonts w:ascii="Arial"/>
                <w:sz w:val="21"/>
                <w:highlight w:val="none"/>
              </w:rPr>
            </w:pPr>
          </w:p>
        </w:tc>
      </w:tr>
      <w:tr w14:paraId="2FDD8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24" w:type="dxa"/>
            <w:vAlign w:val="top"/>
          </w:tcPr>
          <w:p w14:paraId="025E80F4">
            <w:pPr>
              <w:rPr>
                <w:rFonts w:ascii="Arial"/>
                <w:sz w:val="21"/>
                <w:highlight w:val="none"/>
              </w:rPr>
            </w:pPr>
          </w:p>
        </w:tc>
        <w:tc>
          <w:tcPr>
            <w:tcW w:w="1858" w:type="dxa"/>
            <w:vAlign w:val="top"/>
          </w:tcPr>
          <w:p w14:paraId="1DFAE065">
            <w:pPr>
              <w:rPr>
                <w:rFonts w:ascii="Arial"/>
                <w:sz w:val="21"/>
                <w:highlight w:val="none"/>
              </w:rPr>
            </w:pPr>
          </w:p>
        </w:tc>
        <w:tc>
          <w:tcPr>
            <w:tcW w:w="1388" w:type="dxa"/>
            <w:vAlign w:val="top"/>
          </w:tcPr>
          <w:p w14:paraId="639A5D6A">
            <w:pPr>
              <w:rPr>
                <w:rFonts w:ascii="Arial"/>
                <w:sz w:val="21"/>
                <w:highlight w:val="none"/>
              </w:rPr>
            </w:pPr>
          </w:p>
        </w:tc>
        <w:tc>
          <w:tcPr>
            <w:tcW w:w="1079" w:type="dxa"/>
            <w:vAlign w:val="top"/>
          </w:tcPr>
          <w:p w14:paraId="6F18EDF7">
            <w:pPr>
              <w:rPr>
                <w:rFonts w:ascii="Arial"/>
                <w:sz w:val="21"/>
                <w:highlight w:val="none"/>
              </w:rPr>
            </w:pPr>
          </w:p>
        </w:tc>
        <w:tc>
          <w:tcPr>
            <w:tcW w:w="1108" w:type="dxa"/>
            <w:vAlign w:val="top"/>
          </w:tcPr>
          <w:p w14:paraId="2930F279">
            <w:pPr>
              <w:rPr>
                <w:rFonts w:ascii="Arial"/>
                <w:sz w:val="21"/>
                <w:highlight w:val="none"/>
              </w:rPr>
            </w:pPr>
          </w:p>
        </w:tc>
        <w:tc>
          <w:tcPr>
            <w:tcW w:w="1788" w:type="dxa"/>
            <w:vAlign w:val="top"/>
          </w:tcPr>
          <w:p w14:paraId="33ACE1D0">
            <w:pPr>
              <w:rPr>
                <w:rFonts w:ascii="Arial"/>
                <w:sz w:val="21"/>
                <w:highlight w:val="none"/>
              </w:rPr>
            </w:pPr>
          </w:p>
        </w:tc>
        <w:tc>
          <w:tcPr>
            <w:tcW w:w="1084" w:type="dxa"/>
            <w:vAlign w:val="top"/>
          </w:tcPr>
          <w:p w14:paraId="32238D11">
            <w:pPr>
              <w:rPr>
                <w:rFonts w:ascii="Arial"/>
                <w:sz w:val="21"/>
                <w:highlight w:val="none"/>
              </w:rPr>
            </w:pPr>
          </w:p>
        </w:tc>
      </w:tr>
      <w:tr w14:paraId="383D9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524" w:type="dxa"/>
            <w:vAlign w:val="top"/>
          </w:tcPr>
          <w:p w14:paraId="625EF787">
            <w:pPr>
              <w:rPr>
                <w:rFonts w:ascii="Arial"/>
                <w:sz w:val="21"/>
                <w:highlight w:val="none"/>
              </w:rPr>
            </w:pPr>
          </w:p>
        </w:tc>
        <w:tc>
          <w:tcPr>
            <w:tcW w:w="1858" w:type="dxa"/>
            <w:vAlign w:val="top"/>
          </w:tcPr>
          <w:p w14:paraId="25D5D630">
            <w:pPr>
              <w:rPr>
                <w:rFonts w:ascii="Arial"/>
                <w:sz w:val="21"/>
                <w:highlight w:val="none"/>
              </w:rPr>
            </w:pPr>
          </w:p>
        </w:tc>
        <w:tc>
          <w:tcPr>
            <w:tcW w:w="1388" w:type="dxa"/>
            <w:vAlign w:val="top"/>
          </w:tcPr>
          <w:p w14:paraId="1776A038">
            <w:pPr>
              <w:rPr>
                <w:rFonts w:ascii="Arial"/>
                <w:sz w:val="21"/>
                <w:highlight w:val="none"/>
              </w:rPr>
            </w:pPr>
          </w:p>
        </w:tc>
        <w:tc>
          <w:tcPr>
            <w:tcW w:w="1079" w:type="dxa"/>
            <w:vAlign w:val="top"/>
          </w:tcPr>
          <w:p w14:paraId="7FB5C3C4">
            <w:pPr>
              <w:rPr>
                <w:rFonts w:ascii="Arial"/>
                <w:sz w:val="21"/>
                <w:highlight w:val="none"/>
              </w:rPr>
            </w:pPr>
          </w:p>
        </w:tc>
        <w:tc>
          <w:tcPr>
            <w:tcW w:w="1108" w:type="dxa"/>
            <w:vAlign w:val="top"/>
          </w:tcPr>
          <w:p w14:paraId="07A64B1F">
            <w:pPr>
              <w:rPr>
                <w:rFonts w:ascii="Arial"/>
                <w:sz w:val="21"/>
                <w:highlight w:val="none"/>
              </w:rPr>
            </w:pPr>
          </w:p>
        </w:tc>
        <w:tc>
          <w:tcPr>
            <w:tcW w:w="1788" w:type="dxa"/>
            <w:vAlign w:val="top"/>
          </w:tcPr>
          <w:p w14:paraId="3EDC298E">
            <w:pPr>
              <w:rPr>
                <w:rFonts w:ascii="Arial"/>
                <w:sz w:val="21"/>
                <w:highlight w:val="none"/>
              </w:rPr>
            </w:pPr>
          </w:p>
        </w:tc>
        <w:tc>
          <w:tcPr>
            <w:tcW w:w="1084" w:type="dxa"/>
            <w:vAlign w:val="top"/>
          </w:tcPr>
          <w:p w14:paraId="424072CF">
            <w:pPr>
              <w:rPr>
                <w:rFonts w:ascii="Arial"/>
                <w:sz w:val="21"/>
                <w:highlight w:val="none"/>
              </w:rPr>
            </w:pPr>
          </w:p>
        </w:tc>
      </w:tr>
      <w:tr w14:paraId="06808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24" w:type="dxa"/>
            <w:vAlign w:val="top"/>
          </w:tcPr>
          <w:p w14:paraId="41F593F0">
            <w:pPr>
              <w:rPr>
                <w:rFonts w:ascii="Arial"/>
                <w:sz w:val="21"/>
                <w:highlight w:val="none"/>
              </w:rPr>
            </w:pPr>
          </w:p>
        </w:tc>
        <w:tc>
          <w:tcPr>
            <w:tcW w:w="1858" w:type="dxa"/>
            <w:vAlign w:val="top"/>
          </w:tcPr>
          <w:p w14:paraId="4EC91049">
            <w:pPr>
              <w:rPr>
                <w:rFonts w:ascii="Arial"/>
                <w:sz w:val="21"/>
                <w:highlight w:val="none"/>
              </w:rPr>
            </w:pPr>
          </w:p>
        </w:tc>
        <w:tc>
          <w:tcPr>
            <w:tcW w:w="1388" w:type="dxa"/>
            <w:vAlign w:val="top"/>
          </w:tcPr>
          <w:p w14:paraId="559321A7">
            <w:pPr>
              <w:rPr>
                <w:rFonts w:ascii="Arial"/>
                <w:sz w:val="21"/>
                <w:highlight w:val="none"/>
              </w:rPr>
            </w:pPr>
          </w:p>
        </w:tc>
        <w:tc>
          <w:tcPr>
            <w:tcW w:w="1079" w:type="dxa"/>
            <w:vAlign w:val="top"/>
          </w:tcPr>
          <w:p w14:paraId="118E9363">
            <w:pPr>
              <w:rPr>
                <w:rFonts w:ascii="Arial"/>
                <w:sz w:val="21"/>
                <w:highlight w:val="none"/>
              </w:rPr>
            </w:pPr>
          </w:p>
        </w:tc>
        <w:tc>
          <w:tcPr>
            <w:tcW w:w="1108" w:type="dxa"/>
            <w:vAlign w:val="top"/>
          </w:tcPr>
          <w:p w14:paraId="09BB2960">
            <w:pPr>
              <w:rPr>
                <w:rFonts w:ascii="Arial"/>
                <w:sz w:val="21"/>
                <w:highlight w:val="none"/>
              </w:rPr>
            </w:pPr>
          </w:p>
        </w:tc>
        <w:tc>
          <w:tcPr>
            <w:tcW w:w="1788" w:type="dxa"/>
            <w:vAlign w:val="top"/>
          </w:tcPr>
          <w:p w14:paraId="0E2C11CF">
            <w:pPr>
              <w:rPr>
                <w:rFonts w:ascii="Arial"/>
                <w:sz w:val="21"/>
                <w:highlight w:val="none"/>
              </w:rPr>
            </w:pPr>
          </w:p>
        </w:tc>
        <w:tc>
          <w:tcPr>
            <w:tcW w:w="1084" w:type="dxa"/>
            <w:vAlign w:val="top"/>
          </w:tcPr>
          <w:p w14:paraId="46E73AA3">
            <w:pPr>
              <w:rPr>
                <w:rFonts w:ascii="Arial"/>
                <w:sz w:val="21"/>
                <w:highlight w:val="none"/>
              </w:rPr>
            </w:pPr>
          </w:p>
        </w:tc>
      </w:tr>
      <w:tr w14:paraId="1255F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24" w:type="dxa"/>
            <w:vAlign w:val="top"/>
          </w:tcPr>
          <w:p w14:paraId="3A70789B">
            <w:pPr>
              <w:rPr>
                <w:rFonts w:ascii="Arial"/>
                <w:sz w:val="21"/>
                <w:highlight w:val="none"/>
              </w:rPr>
            </w:pPr>
          </w:p>
        </w:tc>
        <w:tc>
          <w:tcPr>
            <w:tcW w:w="1858" w:type="dxa"/>
            <w:vAlign w:val="top"/>
          </w:tcPr>
          <w:p w14:paraId="6958A27F">
            <w:pPr>
              <w:rPr>
                <w:rFonts w:ascii="Arial"/>
                <w:sz w:val="21"/>
                <w:highlight w:val="none"/>
              </w:rPr>
            </w:pPr>
          </w:p>
        </w:tc>
        <w:tc>
          <w:tcPr>
            <w:tcW w:w="1388" w:type="dxa"/>
            <w:vAlign w:val="top"/>
          </w:tcPr>
          <w:p w14:paraId="1591CA9A">
            <w:pPr>
              <w:rPr>
                <w:rFonts w:ascii="Arial"/>
                <w:sz w:val="21"/>
                <w:highlight w:val="none"/>
              </w:rPr>
            </w:pPr>
          </w:p>
        </w:tc>
        <w:tc>
          <w:tcPr>
            <w:tcW w:w="1079" w:type="dxa"/>
            <w:vAlign w:val="top"/>
          </w:tcPr>
          <w:p w14:paraId="16349588">
            <w:pPr>
              <w:rPr>
                <w:rFonts w:ascii="Arial"/>
                <w:sz w:val="21"/>
                <w:highlight w:val="none"/>
              </w:rPr>
            </w:pPr>
          </w:p>
        </w:tc>
        <w:tc>
          <w:tcPr>
            <w:tcW w:w="1108" w:type="dxa"/>
            <w:vAlign w:val="top"/>
          </w:tcPr>
          <w:p w14:paraId="60D7644E">
            <w:pPr>
              <w:rPr>
                <w:rFonts w:ascii="Arial"/>
                <w:sz w:val="21"/>
                <w:highlight w:val="none"/>
              </w:rPr>
            </w:pPr>
          </w:p>
        </w:tc>
        <w:tc>
          <w:tcPr>
            <w:tcW w:w="1788" w:type="dxa"/>
            <w:vAlign w:val="top"/>
          </w:tcPr>
          <w:p w14:paraId="2F5248DE">
            <w:pPr>
              <w:rPr>
                <w:rFonts w:ascii="Arial"/>
                <w:sz w:val="21"/>
                <w:highlight w:val="none"/>
              </w:rPr>
            </w:pPr>
          </w:p>
        </w:tc>
        <w:tc>
          <w:tcPr>
            <w:tcW w:w="1084" w:type="dxa"/>
            <w:vAlign w:val="top"/>
          </w:tcPr>
          <w:p w14:paraId="3CF70C18">
            <w:pPr>
              <w:rPr>
                <w:rFonts w:ascii="Arial"/>
                <w:sz w:val="21"/>
                <w:highlight w:val="none"/>
              </w:rPr>
            </w:pPr>
          </w:p>
        </w:tc>
      </w:tr>
      <w:tr w14:paraId="76BAD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24" w:type="dxa"/>
            <w:vAlign w:val="top"/>
          </w:tcPr>
          <w:p w14:paraId="01495D2E">
            <w:pPr>
              <w:rPr>
                <w:rFonts w:ascii="Arial"/>
                <w:sz w:val="21"/>
                <w:highlight w:val="none"/>
              </w:rPr>
            </w:pPr>
          </w:p>
        </w:tc>
        <w:tc>
          <w:tcPr>
            <w:tcW w:w="1858" w:type="dxa"/>
            <w:vAlign w:val="top"/>
          </w:tcPr>
          <w:p w14:paraId="3DBA179A">
            <w:pPr>
              <w:rPr>
                <w:rFonts w:ascii="Arial"/>
                <w:sz w:val="21"/>
                <w:highlight w:val="none"/>
              </w:rPr>
            </w:pPr>
          </w:p>
        </w:tc>
        <w:tc>
          <w:tcPr>
            <w:tcW w:w="1388" w:type="dxa"/>
            <w:vAlign w:val="top"/>
          </w:tcPr>
          <w:p w14:paraId="2B6011B4">
            <w:pPr>
              <w:rPr>
                <w:rFonts w:ascii="Arial"/>
                <w:sz w:val="21"/>
                <w:highlight w:val="none"/>
              </w:rPr>
            </w:pPr>
          </w:p>
        </w:tc>
        <w:tc>
          <w:tcPr>
            <w:tcW w:w="1079" w:type="dxa"/>
            <w:vAlign w:val="top"/>
          </w:tcPr>
          <w:p w14:paraId="48B66AD2">
            <w:pPr>
              <w:rPr>
                <w:rFonts w:ascii="Arial"/>
                <w:sz w:val="21"/>
                <w:highlight w:val="none"/>
              </w:rPr>
            </w:pPr>
          </w:p>
        </w:tc>
        <w:tc>
          <w:tcPr>
            <w:tcW w:w="1108" w:type="dxa"/>
            <w:vAlign w:val="top"/>
          </w:tcPr>
          <w:p w14:paraId="62B9BC8D">
            <w:pPr>
              <w:rPr>
                <w:rFonts w:ascii="Arial"/>
                <w:sz w:val="21"/>
                <w:highlight w:val="none"/>
              </w:rPr>
            </w:pPr>
          </w:p>
        </w:tc>
        <w:tc>
          <w:tcPr>
            <w:tcW w:w="1788" w:type="dxa"/>
            <w:vAlign w:val="top"/>
          </w:tcPr>
          <w:p w14:paraId="3FE99209">
            <w:pPr>
              <w:rPr>
                <w:rFonts w:ascii="Arial"/>
                <w:sz w:val="21"/>
                <w:highlight w:val="none"/>
              </w:rPr>
            </w:pPr>
          </w:p>
        </w:tc>
        <w:tc>
          <w:tcPr>
            <w:tcW w:w="1084" w:type="dxa"/>
            <w:vAlign w:val="top"/>
          </w:tcPr>
          <w:p w14:paraId="185D508B">
            <w:pPr>
              <w:rPr>
                <w:rFonts w:ascii="Arial"/>
                <w:sz w:val="21"/>
                <w:highlight w:val="none"/>
              </w:rPr>
            </w:pPr>
          </w:p>
        </w:tc>
      </w:tr>
      <w:tr w14:paraId="7E221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524" w:type="dxa"/>
            <w:vAlign w:val="top"/>
          </w:tcPr>
          <w:p w14:paraId="490558ED">
            <w:pPr>
              <w:rPr>
                <w:rFonts w:ascii="Arial"/>
                <w:sz w:val="21"/>
                <w:highlight w:val="none"/>
              </w:rPr>
            </w:pPr>
          </w:p>
        </w:tc>
        <w:tc>
          <w:tcPr>
            <w:tcW w:w="1858" w:type="dxa"/>
            <w:vAlign w:val="top"/>
          </w:tcPr>
          <w:p w14:paraId="0EEF2385">
            <w:pPr>
              <w:rPr>
                <w:rFonts w:ascii="Arial"/>
                <w:sz w:val="21"/>
                <w:highlight w:val="none"/>
              </w:rPr>
            </w:pPr>
          </w:p>
        </w:tc>
        <w:tc>
          <w:tcPr>
            <w:tcW w:w="1388" w:type="dxa"/>
            <w:vAlign w:val="top"/>
          </w:tcPr>
          <w:p w14:paraId="27DCCDFF">
            <w:pPr>
              <w:rPr>
                <w:rFonts w:ascii="Arial"/>
                <w:sz w:val="21"/>
                <w:highlight w:val="none"/>
              </w:rPr>
            </w:pPr>
          </w:p>
        </w:tc>
        <w:tc>
          <w:tcPr>
            <w:tcW w:w="1079" w:type="dxa"/>
            <w:vAlign w:val="top"/>
          </w:tcPr>
          <w:p w14:paraId="2F24BF32">
            <w:pPr>
              <w:rPr>
                <w:rFonts w:ascii="Arial"/>
                <w:sz w:val="21"/>
                <w:highlight w:val="none"/>
              </w:rPr>
            </w:pPr>
          </w:p>
        </w:tc>
        <w:tc>
          <w:tcPr>
            <w:tcW w:w="1108" w:type="dxa"/>
            <w:vAlign w:val="top"/>
          </w:tcPr>
          <w:p w14:paraId="2F13E5C4">
            <w:pPr>
              <w:rPr>
                <w:rFonts w:ascii="Arial"/>
                <w:sz w:val="21"/>
                <w:highlight w:val="none"/>
              </w:rPr>
            </w:pPr>
          </w:p>
        </w:tc>
        <w:tc>
          <w:tcPr>
            <w:tcW w:w="1788" w:type="dxa"/>
            <w:vAlign w:val="top"/>
          </w:tcPr>
          <w:p w14:paraId="78ED491E">
            <w:pPr>
              <w:rPr>
                <w:rFonts w:ascii="Arial"/>
                <w:sz w:val="21"/>
                <w:highlight w:val="none"/>
              </w:rPr>
            </w:pPr>
          </w:p>
        </w:tc>
        <w:tc>
          <w:tcPr>
            <w:tcW w:w="1084" w:type="dxa"/>
            <w:vAlign w:val="top"/>
          </w:tcPr>
          <w:p w14:paraId="06F0D5A6">
            <w:pPr>
              <w:rPr>
                <w:rFonts w:ascii="Arial"/>
                <w:sz w:val="21"/>
                <w:highlight w:val="none"/>
              </w:rPr>
            </w:pPr>
          </w:p>
        </w:tc>
      </w:tr>
      <w:tr w14:paraId="7ED5E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524" w:type="dxa"/>
            <w:vAlign w:val="top"/>
          </w:tcPr>
          <w:p w14:paraId="00534042">
            <w:pPr>
              <w:rPr>
                <w:rFonts w:ascii="Arial"/>
                <w:sz w:val="21"/>
                <w:highlight w:val="none"/>
              </w:rPr>
            </w:pPr>
          </w:p>
        </w:tc>
        <w:tc>
          <w:tcPr>
            <w:tcW w:w="1858" w:type="dxa"/>
            <w:vAlign w:val="top"/>
          </w:tcPr>
          <w:p w14:paraId="0A29177E">
            <w:pPr>
              <w:rPr>
                <w:rFonts w:ascii="Arial"/>
                <w:sz w:val="21"/>
                <w:highlight w:val="none"/>
              </w:rPr>
            </w:pPr>
          </w:p>
        </w:tc>
        <w:tc>
          <w:tcPr>
            <w:tcW w:w="1388" w:type="dxa"/>
            <w:vAlign w:val="top"/>
          </w:tcPr>
          <w:p w14:paraId="5BEBD99E">
            <w:pPr>
              <w:rPr>
                <w:rFonts w:ascii="Arial"/>
                <w:sz w:val="21"/>
                <w:highlight w:val="none"/>
              </w:rPr>
            </w:pPr>
          </w:p>
        </w:tc>
        <w:tc>
          <w:tcPr>
            <w:tcW w:w="1079" w:type="dxa"/>
            <w:vAlign w:val="top"/>
          </w:tcPr>
          <w:p w14:paraId="384F0D52">
            <w:pPr>
              <w:rPr>
                <w:rFonts w:ascii="Arial"/>
                <w:sz w:val="21"/>
                <w:highlight w:val="none"/>
              </w:rPr>
            </w:pPr>
          </w:p>
        </w:tc>
        <w:tc>
          <w:tcPr>
            <w:tcW w:w="1108" w:type="dxa"/>
            <w:vAlign w:val="top"/>
          </w:tcPr>
          <w:p w14:paraId="78460786">
            <w:pPr>
              <w:rPr>
                <w:rFonts w:ascii="Arial"/>
                <w:sz w:val="21"/>
                <w:highlight w:val="none"/>
              </w:rPr>
            </w:pPr>
          </w:p>
        </w:tc>
        <w:tc>
          <w:tcPr>
            <w:tcW w:w="1788" w:type="dxa"/>
            <w:vAlign w:val="top"/>
          </w:tcPr>
          <w:p w14:paraId="5CEB2412">
            <w:pPr>
              <w:rPr>
                <w:rFonts w:ascii="Arial"/>
                <w:sz w:val="21"/>
                <w:highlight w:val="none"/>
              </w:rPr>
            </w:pPr>
          </w:p>
        </w:tc>
        <w:tc>
          <w:tcPr>
            <w:tcW w:w="1084" w:type="dxa"/>
            <w:vAlign w:val="top"/>
          </w:tcPr>
          <w:p w14:paraId="7B6C35C8">
            <w:pPr>
              <w:rPr>
                <w:rFonts w:ascii="Arial"/>
                <w:sz w:val="21"/>
                <w:highlight w:val="none"/>
              </w:rPr>
            </w:pPr>
          </w:p>
        </w:tc>
      </w:tr>
      <w:tr w14:paraId="3EDDB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24" w:type="dxa"/>
            <w:vAlign w:val="top"/>
          </w:tcPr>
          <w:p w14:paraId="137ABA88">
            <w:pPr>
              <w:rPr>
                <w:rFonts w:ascii="Arial"/>
                <w:sz w:val="21"/>
                <w:highlight w:val="none"/>
              </w:rPr>
            </w:pPr>
          </w:p>
        </w:tc>
        <w:tc>
          <w:tcPr>
            <w:tcW w:w="1858" w:type="dxa"/>
            <w:vAlign w:val="top"/>
          </w:tcPr>
          <w:p w14:paraId="2FD1F70A">
            <w:pPr>
              <w:rPr>
                <w:rFonts w:ascii="Arial"/>
                <w:sz w:val="21"/>
                <w:highlight w:val="none"/>
              </w:rPr>
            </w:pPr>
          </w:p>
        </w:tc>
        <w:tc>
          <w:tcPr>
            <w:tcW w:w="1388" w:type="dxa"/>
            <w:vAlign w:val="top"/>
          </w:tcPr>
          <w:p w14:paraId="1A37D0CE">
            <w:pPr>
              <w:rPr>
                <w:rFonts w:ascii="Arial"/>
                <w:sz w:val="21"/>
                <w:highlight w:val="none"/>
              </w:rPr>
            </w:pPr>
          </w:p>
        </w:tc>
        <w:tc>
          <w:tcPr>
            <w:tcW w:w="1079" w:type="dxa"/>
            <w:vAlign w:val="top"/>
          </w:tcPr>
          <w:p w14:paraId="3C7623C3">
            <w:pPr>
              <w:rPr>
                <w:rFonts w:ascii="Arial"/>
                <w:sz w:val="21"/>
                <w:highlight w:val="none"/>
              </w:rPr>
            </w:pPr>
          </w:p>
        </w:tc>
        <w:tc>
          <w:tcPr>
            <w:tcW w:w="1108" w:type="dxa"/>
            <w:vAlign w:val="top"/>
          </w:tcPr>
          <w:p w14:paraId="55F441C6">
            <w:pPr>
              <w:rPr>
                <w:rFonts w:ascii="Arial"/>
                <w:sz w:val="21"/>
                <w:highlight w:val="none"/>
              </w:rPr>
            </w:pPr>
          </w:p>
        </w:tc>
        <w:tc>
          <w:tcPr>
            <w:tcW w:w="1788" w:type="dxa"/>
            <w:vAlign w:val="top"/>
          </w:tcPr>
          <w:p w14:paraId="5DFD585E">
            <w:pPr>
              <w:rPr>
                <w:rFonts w:ascii="Arial"/>
                <w:sz w:val="21"/>
                <w:highlight w:val="none"/>
              </w:rPr>
            </w:pPr>
          </w:p>
        </w:tc>
        <w:tc>
          <w:tcPr>
            <w:tcW w:w="1084" w:type="dxa"/>
            <w:vAlign w:val="top"/>
          </w:tcPr>
          <w:p w14:paraId="40D02D19">
            <w:pPr>
              <w:rPr>
                <w:rFonts w:ascii="Arial"/>
                <w:sz w:val="21"/>
                <w:highlight w:val="none"/>
              </w:rPr>
            </w:pPr>
          </w:p>
        </w:tc>
      </w:tr>
      <w:tr w14:paraId="239BF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24" w:type="dxa"/>
            <w:vAlign w:val="top"/>
          </w:tcPr>
          <w:p w14:paraId="608A318A">
            <w:pPr>
              <w:rPr>
                <w:rFonts w:ascii="Arial"/>
                <w:sz w:val="21"/>
                <w:highlight w:val="none"/>
              </w:rPr>
            </w:pPr>
          </w:p>
        </w:tc>
        <w:tc>
          <w:tcPr>
            <w:tcW w:w="1858" w:type="dxa"/>
            <w:vAlign w:val="top"/>
          </w:tcPr>
          <w:p w14:paraId="2ACCB0EA">
            <w:pPr>
              <w:rPr>
                <w:rFonts w:ascii="Arial"/>
                <w:sz w:val="21"/>
                <w:highlight w:val="none"/>
              </w:rPr>
            </w:pPr>
          </w:p>
        </w:tc>
        <w:tc>
          <w:tcPr>
            <w:tcW w:w="1388" w:type="dxa"/>
            <w:vAlign w:val="top"/>
          </w:tcPr>
          <w:p w14:paraId="5C193826">
            <w:pPr>
              <w:rPr>
                <w:rFonts w:ascii="Arial"/>
                <w:sz w:val="21"/>
                <w:highlight w:val="none"/>
              </w:rPr>
            </w:pPr>
          </w:p>
        </w:tc>
        <w:tc>
          <w:tcPr>
            <w:tcW w:w="1079" w:type="dxa"/>
            <w:vAlign w:val="top"/>
          </w:tcPr>
          <w:p w14:paraId="46A51BD3">
            <w:pPr>
              <w:rPr>
                <w:rFonts w:ascii="Arial"/>
                <w:sz w:val="21"/>
                <w:highlight w:val="none"/>
              </w:rPr>
            </w:pPr>
          </w:p>
        </w:tc>
        <w:tc>
          <w:tcPr>
            <w:tcW w:w="1108" w:type="dxa"/>
            <w:vAlign w:val="top"/>
          </w:tcPr>
          <w:p w14:paraId="03AB39BF">
            <w:pPr>
              <w:rPr>
                <w:rFonts w:ascii="Arial"/>
                <w:sz w:val="21"/>
                <w:highlight w:val="none"/>
              </w:rPr>
            </w:pPr>
          </w:p>
        </w:tc>
        <w:tc>
          <w:tcPr>
            <w:tcW w:w="1788" w:type="dxa"/>
            <w:vAlign w:val="top"/>
          </w:tcPr>
          <w:p w14:paraId="688012C0">
            <w:pPr>
              <w:rPr>
                <w:rFonts w:ascii="Arial"/>
                <w:sz w:val="21"/>
                <w:highlight w:val="none"/>
              </w:rPr>
            </w:pPr>
          </w:p>
        </w:tc>
        <w:tc>
          <w:tcPr>
            <w:tcW w:w="1084" w:type="dxa"/>
            <w:vAlign w:val="top"/>
          </w:tcPr>
          <w:p w14:paraId="1496030B">
            <w:pPr>
              <w:rPr>
                <w:rFonts w:ascii="Arial"/>
                <w:sz w:val="21"/>
                <w:highlight w:val="none"/>
              </w:rPr>
            </w:pPr>
          </w:p>
        </w:tc>
      </w:tr>
      <w:tr w14:paraId="45E26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24" w:type="dxa"/>
            <w:vAlign w:val="top"/>
          </w:tcPr>
          <w:p w14:paraId="3CC7BF99">
            <w:pPr>
              <w:rPr>
                <w:rFonts w:ascii="Arial"/>
                <w:sz w:val="21"/>
                <w:highlight w:val="none"/>
              </w:rPr>
            </w:pPr>
          </w:p>
        </w:tc>
        <w:tc>
          <w:tcPr>
            <w:tcW w:w="1858" w:type="dxa"/>
            <w:vAlign w:val="top"/>
          </w:tcPr>
          <w:p w14:paraId="34A4F406">
            <w:pPr>
              <w:rPr>
                <w:rFonts w:ascii="Arial"/>
                <w:sz w:val="21"/>
                <w:highlight w:val="none"/>
              </w:rPr>
            </w:pPr>
          </w:p>
        </w:tc>
        <w:tc>
          <w:tcPr>
            <w:tcW w:w="1388" w:type="dxa"/>
            <w:vAlign w:val="top"/>
          </w:tcPr>
          <w:p w14:paraId="3A02A1A4">
            <w:pPr>
              <w:rPr>
                <w:rFonts w:ascii="Arial"/>
                <w:sz w:val="21"/>
                <w:highlight w:val="none"/>
              </w:rPr>
            </w:pPr>
          </w:p>
        </w:tc>
        <w:tc>
          <w:tcPr>
            <w:tcW w:w="1079" w:type="dxa"/>
            <w:vAlign w:val="top"/>
          </w:tcPr>
          <w:p w14:paraId="042349E8">
            <w:pPr>
              <w:rPr>
                <w:rFonts w:ascii="Arial"/>
                <w:sz w:val="21"/>
                <w:highlight w:val="none"/>
              </w:rPr>
            </w:pPr>
          </w:p>
        </w:tc>
        <w:tc>
          <w:tcPr>
            <w:tcW w:w="1108" w:type="dxa"/>
            <w:vAlign w:val="top"/>
          </w:tcPr>
          <w:p w14:paraId="2F27523F">
            <w:pPr>
              <w:rPr>
                <w:rFonts w:ascii="Arial"/>
                <w:sz w:val="21"/>
                <w:highlight w:val="none"/>
              </w:rPr>
            </w:pPr>
          </w:p>
        </w:tc>
        <w:tc>
          <w:tcPr>
            <w:tcW w:w="1788" w:type="dxa"/>
            <w:vAlign w:val="top"/>
          </w:tcPr>
          <w:p w14:paraId="4503B360">
            <w:pPr>
              <w:rPr>
                <w:rFonts w:ascii="Arial"/>
                <w:sz w:val="21"/>
                <w:highlight w:val="none"/>
              </w:rPr>
            </w:pPr>
          </w:p>
        </w:tc>
        <w:tc>
          <w:tcPr>
            <w:tcW w:w="1084" w:type="dxa"/>
            <w:vAlign w:val="top"/>
          </w:tcPr>
          <w:p w14:paraId="2208A63E">
            <w:pPr>
              <w:rPr>
                <w:rFonts w:ascii="Arial"/>
                <w:sz w:val="21"/>
                <w:highlight w:val="none"/>
              </w:rPr>
            </w:pPr>
          </w:p>
        </w:tc>
      </w:tr>
      <w:tr w14:paraId="7D32C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24" w:type="dxa"/>
            <w:vAlign w:val="top"/>
          </w:tcPr>
          <w:p w14:paraId="7D2615C5">
            <w:pPr>
              <w:rPr>
                <w:rFonts w:ascii="Arial"/>
                <w:sz w:val="21"/>
                <w:highlight w:val="none"/>
              </w:rPr>
            </w:pPr>
          </w:p>
        </w:tc>
        <w:tc>
          <w:tcPr>
            <w:tcW w:w="1858" w:type="dxa"/>
            <w:vAlign w:val="top"/>
          </w:tcPr>
          <w:p w14:paraId="08E7C27F">
            <w:pPr>
              <w:rPr>
                <w:rFonts w:ascii="Arial"/>
                <w:sz w:val="21"/>
                <w:highlight w:val="none"/>
              </w:rPr>
            </w:pPr>
          </w:p>
        </w:tc>
        <w:tc>
          <w:tcPr>
            <w:tcW w:w="1388" w:type="dxa"/>
            <w:vAlign w:val="top"/>
          </w:tcPr>
          <w:p w14:paraId="0985F01A">
            <w:pPr>
              <w:rPr>
                <w:rFonts w:ascii="Arial"/>
                <w:sz w:val="21"/>
                <w:highlight w:val="none"/>
              </w:rPr>
            </w:pPr>
          </w:p>
        </w:tc>
        <w:tc>
          <w:tcPr>
            <w:tcW w:w="1079" w:type="dxa"/>
            <w:vAlign w:val="top"/>
          </w:tcPr>
          <w:p w14:paraId="78102019">
            <w:pPr>
              <w:rPr>
                <w:rFonts w:ascii="Arial"/>
                <w:sz w:val="21"/>
                <w:highlight w:val="none"/>
              </w:rPr>
            </w:pPr>
          </w:p>
        </w:tc>
        <w:tc>
          <w:tcPr>
            <w:tcW w:w="1108" w:type="dxa"/>
            <w:vAlign w:val="top"/>
          </w:tcPr>
          <w:p w14:paraId="2A8C2C7E">
            <w:pPr>
              <w:rPr>
                <w:rFonts w:ascii="Arial"/>
                <w:sz w:val="21"/>
                <w:highlight w:val="none"/>
              </w:rPr>
            </w:pPr>
          </w:p>
        </w:tc>
        <w:tc>
          <w:tcPr>
            <w:tcW w:w="1788" w:type="dxa"/>
            <w:vAlign w:val="top"/>
          </w:tcPr>
          <w:p w14:paraId="53FBB29B">
            <w:pPr>
              <w:rPr>
                <w:rFonts w:ascii="Arial"/>
                <w:sz w:val="21"/>
                <w:highlight w:val="none"/>
              </w:rPr>
            </w:pPr>
          </w:p>
        </w:tc>
        <w:tc>
          <w:tcPr>
            <w:tcW w:w="1084" w:type="dxa"/>
            <w:vAlign w:val="top"/>
          </w:tcPr>
          <w:p w14:paraId="635876DF">
            <w:pPr>
              <w:rPr>
                <w:rFonts w:ascii="Arial"/>
                <w:sz w:val="21"/>
                <w:highlight w:val="none"/>
              </w:rPr>
            </w:pPr>
          </w:p>
        </w:tc>
      </w:tr>
      <w:tr w14:paraId="69C9F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24" w:type="dxa"/>
            <w:vAlign w:val="top"/>
          </w:tcPr>
          <w:p w14:paraId="127A4F16">
            <w:pPr>
              <w:rPr>
                <w:rFonts w:ascii="Arial"/>
                <w:sz w:val="21"/>
                <w:highlight w:val="none"/>
              </w:rPr>
            </w:pPr>
          </w:p>
        </w:tc>
        <w:tc>
          <w:tcPr>
            <w:tcW w:w="1858" w:type="dxa"/>
            <w:vAlign w:val="top"/>
          </w:tcPr>
          <w:p w14:paraId="1FC9009E">
            <w:pPr>
              <w:rPr>
                <w:rFonts w:ascii="Arial"/>
                <w:sz w:val="21"/>
                <w:highlight w:val="none"/>
              </w:rPr>
            </w:pPr>
          </w:p>
        </w:tc>
        <w:tc>
          <w:tcPr>
            <w:tcW w:w="1388" w:type="dxa"/>
            <w:vAlign w:val="top"/>
          </w:tcPr>
          <w:p w14:paraId="55EB9FB7">
            <w:pPr>
              <w:rPr>
                <w:rFonts w:ascii="Arial"/>
                <w:sz w:val="21"/>
                <w:highlight w:val="none"/>
              </w:rPr>
            </w:pPr>
          </w:p>
        </w:tc>
        <w:tc>
          <w:tcPr>
            <w:tcW w:w="1079" w:type="dxa"/>
            <w:vAlign w:val="top"/>
          </w:tcPr>
          <w:p w14:paraId="3645EF9B">
            <w:pPr>
              <w:rPr>
                <w:rFonts w:ascii="Arial"/>
                <w:sz w:val="21"/>
                <w:highlight w:val="none"/>
              </w:rPr>
            </w:pPr>
          </w:p>
        </w:tc>
        <w:tc>
          <w:tcPr>
            <w:tcW w:w="1108" w:type="dxa"/>
            <w:vAlign w:val="top"/>
          </w:tcPr>
          <w:p w14:paraId="2030C83B">
            <w:pPr>
              <w:rPr>
                <w:rFonts w:ascii="Arial"/>
                <w:sz w:val="21"/>
                <w:highlight w:val="none"/>
              </w:rPr>
            </w:pPr>
          </w:p>
        </w:tc>
        <w:tc>
          <w:tcPr>
            <w:tcW w:w="1788" w:type="dxa"/>
            <w:vAlign w:val="top"/>
          </w:tcPr>
          <w:p w14:paraId="64D55DD6">
            <w:pPr>
              <w:rPr>
                <w:rFonts w:ascii="Arial"/>
                <w:sz w:val="21"/>
                <w:highlight w:val="none"/>
              </w:rPr>
            </w:pPr>
          </w:p>
        </w:tc>
        <w:tc>
          <w:tcPr>
            <w:tcW w:w="1084" w:type="dxa"/>
            <w:vAlign w:val="top"/>
          </w:tcPr>
          <w:p w14:paraId="47DD98A3">
            <w:pPr>
              <w:rPr>
                <w:rFonts w:ascii="Arial"/>
                <w:sz w:val="21"/>
                <w:highlight w:val="none"/>
              </w:rPr>
            </w:pPr>
          </w:p>
        </w:tc>
      </w:tr>
      <w:tr w14:paraId="5AAA6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524" w:type="dxa"/>
            <w:vAlign w:val="top"/>
          </w:tcPr>
          <w:p w14:paraId="61C96EA8">
            <w:pPr>
              <w:rPr>
                <w:rFonts w:ascii="Arial"/>
                <w:sz w:val="21"/>
                <w:highlight w:val="none"/>
              </w:rPr>
            </w:pPr>
          </w:p>
        </w:tc>
        <w:tc>
          <w:tcPr>
            <w:tcW w:w="1858" w:type="dxa"/>
            <w:vAlign w:val="top"/>
          </w:tcPr>
          <w:p w14:paraId="3A89872B">
            <w:pPr>
              <w:rPr>
                <w:rFonts w:ascii="Arial"/>
                <w:sz w:val="21"/>
                <w:highlight w:val="none"/>
              </w:rPr>
            </w:pPr>
          </w:p>
        </w:tc>
        <w:tc>
          <w:tcPr>
            <w:tcW w:w="1388" w:type="dxa"/>
            <w:vAlign w:val="top"/>
          </w:tcPr>
          <w:p w14:paraId="3FBC7FD6">
            <w:pPr>
              <w:rPr>
                <w:rFonts w:ascii="Arial"/>
                <w:sz w:val="21"/>
                <w:highlight w:val="none"/>
              </w:rPr>
            </w:pPr>
          </w:p>
        </w:tc>
        <w:tc>
          <w:tcPr>
            <w:tcW w:w="1079" w:type="dxa"/>
            <w:vAlign w:val="top"/>
          </w:tcPr>
          <w:p w14:paraId="6E09CEAF">
            <w:pPr>
              <w:rPr>
                <w:rFonts w:ascii="Arial"/>
                <w:sz w:val="21"/>
                <w:highlight w:val="none"/>
              </w:rPr>
            </w:pPr>
          </w:p>
        </w:tc>
        <w:tc>
          <w:tcPr>
            <w:tcW w:w="1108" w:type="dxa"/>
            <w:vAlign w:val="top"/>
          </w:tcPr>
          <w:p w14:paraId="155B9706">
            <w:pPr>
              <w:rPr>
                <w:rFonts w:ascii="Arial"/>
                <w:sz w:val="21"/>
                <w:highlight w:val="none"/>
              </w:rPr>
            </w:pPr>
          </w:p>
        </w:tc>
        <w:tc>
          <w:tcPr>
            <w:tcW w:w="1788" w:type="dxa"/>
            <w:vAlign w:val="top"/>
          </w:tcPr>
          <w:p w14:paraId="084C9AEF">
            <w:pPr>
              <w:rPr>
                <w:rFonts w:ascii="Arial"/>
                <w:sz w:val="21"/>
                <w:highlight w:val="none"/>
              </w:rPr>
            </w:pPr>
          </w:p>
        </w:tc>
        <w:tc>
          <w:tcPr>
            <w:tcW w:w="1084" w:type="dxa"/>
            <w:vAlign w:val="top"/>
          </w:tcPr>
          <w:p w14:paraId="744D13B3">
            <w:pPr>
              <w:rPr>
                <w:rFonts w:ascii="Arial"/>
                <w:sz w:val="21"/>
                <w:highlight w:val="none"/>
              </w:rPr>
            </w:pPr>
          </w:p>
        </w:tc>
      </w:tr>
      <w:tr w14:paraId="59646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24" w:type="dxa"/>
            <w:vAlign w:val="top"/>
          </w:tcPr>
          <w:p w14:paraId="61F80363">
            <w:pPr>
              <w:rPr>
                <w:rFonts w:ascii="Arial"/>
                <w:sz w:val="21"/>
                <w:highlight w:val="none"/>
              </w:rPr>
            </w:pPr>
          </w:p>
        </w:tc>
        <w:tc>
          <w:tcPr>
            <w:tcW w:w="1858" w:type="dxa"/>
            <w:vAlign w:val="top"/>
          </w:tcPr>
          <w:p w14:paraId="6FD570FD">
            <w:pPr>
              <w:rPr>
                <w:rFonts w:ascii="Arial"/>
                <w:sz w:val="21"/>
                <w:highlight w:val="none"/>
              </w:rPr>
            </w:pPr>
          </w:p>
        </w:tc>
        <w:tc>
          <w:tcPr>
            <w:tcW w:w="1388" w:type="dxa"/>
            <w:vAlign w:val="top"/>
          </w:tcPr>
          <w:p w14:paraId="29F4D6E0">
            <w:pPr>
              <w:rPr>
                <w:rFonts w:ascii="Arial"/>
                <w:sz w:val="21"/>
                <w:highlight w:val="none"/>
              </w:rPr>
            </w:pPr>
          </w:p>
        </w:tc>
        <w:tc>
          <w:tcPr>
            <w:tcW w:w="1079" w:type="dxa"/>
            <w:vAlign w:val="top"/>
          </w:tcPr>
          <w:p w14:paraId="0631B53C">
            <w:pPr>
              <w:rPr>
                <w:rFonts w:ascii="Arial"/>
                <w:sz w:val="21"/>
                <w:highlight w:val="none"/>
              </w:rPr>
            </w:pPr>
          </w:p>
        </w:tc>
        <w:tc>
          <w:tcPr>
            <w:tcW w:w="1108" w:type="dxa"/>
            <w:vAlign w:val="top"/>
          </w:tcPr>
          <w:p w14:paraId="5EF70CF7">
            <w:pPr>
              <w:rPr>
                <w:rFonts w:ascii="Arial"/>
                <w:sz w:val="21"/>
                <w:highlight w:val="none"/>
              </w:rPr>
            </w:pPr>
          </w:p>
        </w:tc>
        <w:tc>
          <w:tcPr>
            <w:tcW w:w="1788" w:type="dxa"/>
            <w:vAlign w:val="top"/>
          </w:tcPr>
          <w:p w14:paraId="644CEA4B">
            <w:pPr>
              <w:rPr>
                <w:rFonts w:ascii="Arial"/>
                <w:sz w:val="21"/>
                <w:highlight w:val="none"/>
              </w:rPr>
            </w:pPr>
          </w:p>
        </w:tc>
        <w:tc>
          <w:tcPr>
            <w:tcW w:w="1084" w:type="dxa"/>
            <w:vAlign w:val="top"/>
          </w:tcPr>
          <w:p w14:paraId="5AEA9C8F">
            <w:pPr>
              <w:rPr>
                <w:rFonts w:ascii="Arial"/>
                <w:sz w:val="21"/>
                <w:highlight w:val="none"/>
              </w:rPr>
            </w:pPr>
          </w:p>
        </w:tc>
      </w:tr>
    </w:tbl>
    <w:p w14:paraId="13C767BF">
      <w:pPr>
        <w:pStyle w:val="2"/>
        <w:rPr>
          <w:highlight w:val="none"/>
        </w:rPr>
      </w:pPr>
    </w:p>
    <w:p w14:paraId="4DCD3D73">
      <w:pPr>
        <w:rPr>
          <w:highlight w:val="none"/>
        </w:rPr>
        <w:sectPr>
          <w:footerReference r:id="rId269" w:type="default"/>
          <w:pgSz w:w="11910" w:h="16840"/>
          <w:pgMar w:top="400" w:right="1105" w:bottom="1217" w:left="1786" w:header="0" w:footer="1013" w:gutter="0"/>
          <w:cols w:space="720" w:num="1"/>
        </w:sectPr>
      </w:pPr>
    </w:p>
    <w:p w14:paraId="1FE4CD91">
      <w:pPr>
        <w:spacing w:before="149"/>
        <w:rPr>
          <w:highlight w:val="none"/>
        </w:rPr>
      </w:pPr>
    </w:p>
    <w:tbl>
      <w:tblPr>
        <w:tblStyle w:val="5"/>
        <w:tblW w:w="84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12"/>
        <w:gridCol w:w="6087"/>
      </w:tblGrid>
      <w:tr w14:paraId="0B77F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412" w:type="dxa"/>
            <w:vAlign w:val="top"/>
          </w:tcPr>
          <w:p w14:paraId="6CCDDBA4">
            <w:pPr>
              <w:pStyle w:val="6"/>
              <w:spacing w:before="204" w:line="220" w:lineRule="auto"/>
              <w:ind w:left="774"/>
              <w:rPr>
                <w:highlight w:val="none"/>
              </w:rPr>
            </w:pPr>
            <w:r>
              <w:rPr>
                <w:spacing w:val="2"/>
                <w:highlight w:val="none"/>
              </w:rPr>
              <w:t>项目名称</w:t>
            </w:r>
          </w:p>
        </w:tc>
        <w:tc>
          <w:tcPr>
            <w:tcW w:w="6087" w:type="dxa"/>
            <w:vAlign w:val="top"/>
          </w:tcPr>
          <w:p w14:paraId="4D6FA143">
            <w:pPr>
              <w:rPr>
                <w:rFonts w:ascii="Arial"/>
                <w:sz w:val="21"/>
                <w:highlight w:val="none"/>
              </w:rPr>
            </w:pPr>
          </w:p>
        </w:tc>
      </w:tr>
      <w:tr w14:paraId="64A57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36473C2A">
            <w:pPr>
              <w:pStyle w:val="6"/>
              <w:spacing w:before="209" w:line="220" w:lineRule="auto"/>
              <w:ind w:left="674"/>
              <w:rPr>
                <w:highlight w:val="none"/>
              </w:rPr>
            </w:pPr>
            <w:r>
              <w:rPr>
                <w:spacing w:val="-2"/>
                <w:highlight w:val="none"/>
              </w:rPr>
              <w:t>项目所在地</w:t>
            </w:r>
          </w:p>
        </w:tc>
        <w:tc>
          <w:tcPr>
            <w:tcW w:w="6087" w:type="dxa"/>
            <w:vAlign w:val="top"/>
          </w:tcPr>
          <w:p w14:paraId="144FB626">
            <w:pPr>
              <w:rPr>
                <w:rFonts w:ascii="Arial"/>
                <w:sz w:val="21"/>
                <w:highlight w:val="none"/>
              </w:rPr>
            </w:pPr>
          </w:p>
        </w:tc>
      </w:tr>
      <w:tr w14:paraId="405C4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412" w:type="dxa"/>
            <w:vAlign w:val="top"/>
          </w:tcPr>
          <w:p w14:paraId="0DD46065">
            <w:pPr>
              <w:pStyle w:val="6"/>
              <w:spacing w:before="220" w:line="220" w:lineRule="auto"/>
              <w:ind w:left="674"/>
              <w:rPr>
                <w:highlight w:val="none"/>
              </w:rPr>
            </w:pPr>
            <w:r>
              <w:rPr>
                <w:spacing w:val="2"/>
                <w:highlight w:val="none"/>
              </w:rPr>
              <w:t>发包人名称</w:t>
            </w:r>
          </w:p>
        </w:tc>
        <w:tc>
          <w:tcPr>
            <w:tcW w:w="6087" w:type="dxa"/>
            <w:vAlign w:val="top"/>
          </w:tcPr>
          <w:p w14:paraId="5F10246A">
            <w:pPr>
              <w:rPr>
                <w:rFonts w:ascii="Arial"/>
                <w:sz w:val="21"/>
                <w:highlight w:val="none"/>
              </w:rPr>
            </w:pPr>
          </w:p>
        </w:tc>
      </w:tr>
      <w:tr w14:paraId="4EACE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412" w:type="dxa"/>
            <w:vAlign w:val="top"/>
          </w:tcPr>
          <w:p w14:paraId="578F4BFB">
            <w:pPr>
              <w:pStyle w:val="6"/>
              <w:spacing w:before="201" w:line="220" w:lineRule="auto"/>
              <w:ind w:left="674"/>
              <w:rPr>
                <w:highlight w:val="none"/>
              </w:rPr>
            </w:pPr>
            <w:r>
              <w:rPr>
                <w:spacing w:val="1"/>
                <w:highlight w:val="none"/>
              </w:rPr>
              <w:t>发包人地址</w:t>
            </w:r>
          </w:p>
        </w:tc>
        <w:tc>
          <w:tcPr>
            <w:tcW w:w="6087" w:type="dxa"/>
            <w:vAlign w:val="top"/>
          </w:tcPr>
          <w:p w14:paraId="233FF926">
            <w:pPr>
              <w:rPr>
                <w:rFonts w:ascii="Arial"/>
                <w:sz w:val="21"/>
                <w:highlight w:val="none"/>
              </w:rPr>
            </w:pPr>
          </w:p>
        </w:tc>
      </w:tr>
      <w:tr w14:paraId="06992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412" w:type="dxa"/>
            <w:vAlign w:val="top"/>
          </w:tcPr>
          <w:p w14:paraId="7831F229">
            <w:pPr>
              <w:pStyle w:val="6"/>
              <w:spacing w:before="212" w:line="220" w:lineRule="auto"/>
              <w:ind w:left="254"/>
              <w:rPr>
                <w:highlight w:val="none"/>
              </w:rPr>
            </w:pPr>
            <w:r>
              <w:rPr>
                <w:spacing w:val="-2"/>
                <w:highlight w:val="none"/>
              </w:rPr>
              <w:t>发包人联系人及电话</w:t>
            </w:r>
          </w:p>
        </w:tc>
        <w:tc>
          <w:tcPr>
            <w:tcW w:w="6087" w:type="dxa"/>
            <w:vAlign w:val="top"/>
          </w:tcPr>
          <w:p w14:paraId="3A686A0F">
            <w:pPr>
              <w:rPr>
                <w:rFonts w:ascii="Arial"/>
                <w:sz w:val="21"/>
                <w:highlight w:val="none"/>
              </w:rPr>
            </w:pPr>
          </w:p>
        </w:tc>
      </w:tr>
      <w:tr w14:paraId="532EB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0586EA35">
            <w:pPr>
              <w:pStyle w:val="6"/>
              <w:spacing w:before="209" w:line="218" w:lineRule="auto"/>
              <w:ind w:left="774"/>
              <w:rPr>
                <w:highlight w:val="none"/>
              </w:rPr>
            </w:pPr>
            <w:r>
              <w:rPr>
                <w:spacing w:val="-2"/>
                <w:highlight w:val="none"/>
              </w:rPr>
              <w:t>合同价格</w:t>
            </w:r>
          </w:p>
        </w:tc>
        <w:tc>
          <w:tcPr>
            <w:tcW w:w="6087" w:type="dxa"/>
            <w:vAlign w:val="top"/>
          </w:tcPr>
          <w:p w14:paraId="2ED66BC6">
            <w:pPr>
              <w:rPr>
                <w:rFonts w:ascii="Arial"/>
                <w:sz w:val="21"/>
                <w:highlight w:val="none"/>
              </w:rPr>
            </w:pPr>
          </w:p>
        </w:tc>
      </w:tr>
      <w:tr w14:paraId="17A6D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412" w:type="dxa"/>
            <w:vAlign w:val="top"/>
          </w:tcPr>
          <w:p w14:paraId="1442F60B">
            <w:pPr>
              <w:pStyle w:val="6"/>
              <w:spacing w:before="225" w:line="221" w:lineRule="auto"/>
              <w:ind w:left="565"/>
              <w:rPr>
                <w:highlight w:val="none"/>
              </w:rPr>
            </w:pPr>
            <w:r>
              <w:rPr>
                <w:spacing w:val="3"/>
                <w:highlight w:val="none"/>
              </w:rPr>
              <w:t>合同签订时间</w:t>
            </w:r>
          </w:p>
        </w:tc>
        <w:tc>
          <w:tcPr>
            <w:tcW w:w="6087" w:type="dxa"/>
            <w:vAlign w:val="top"/>
          </w:tcPr>
          <w:p w14:paraId="3CC75963">
            <w:pPr>
              <w:rPr>
                <w:rFonts w:ascii="Arial"/>
                <w:sz w:val="21"/>
                <w:highlight w:val="none"/>
              </w:rPr>
            </w:pPr>
          </w:p>
        </w:tc>
      </w:tr>
      <w:tr w14:paraId="5D1D6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7E077483">
            <w:pPr>
              <w:pStyle w:val="6"/>
              <w:spacing w:before="214" w:line="221" w:lineRule="auto"/>
              <w:ind w:left="565"/>
              <w:rPr>
                <w:highlight w:val="none"/>
              </w:rPr>
            </w:pPr>
            <w:r>
              <w:rPr>
                <w:spacing w:val="3"/>
                <w:highlight w:val="none"/>
              </w:rPr>
              <w:t>开始设计时间</w:t>
            </w:r>
          </w:p>
        </w:tc>
        <w:tc>
          <w:tcPr>
            <w:tcW w:w="6087" w:type="dxa"/>
            <w:vAlign w:val="top"/>
          </w:tcPr>
          <w:p w14:paraId="25AD1B59">
            <w:pPr>
              <w:rPr>
                <w:rFonts w:ascii="Arial"/>
                <w:sz w:val="21"/>
                <w:highlight w:val="none"/>
              </w:rPr>
            </w:pPr>
          </w:p>
        </w:tc>
      </w:tr>
      <w:tr w14:paraId="4DBBF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412" w:type="dxa"/>
            <w:vAlign w:val="top"/>
          </w:tcPr>
          <w:p w14:paraId="4F3B03E5">
            <w:pPr>
              <w:pStyle w:val="6"/>
              <w:spacing w:before="204" w:line="219" w:lineRule="auto"/>
              <w:ind w:left="565"/>
              <w:rPr>
                <w:highlight w:val="none"/>
              </w:rPr>
            </w:pPr>
            <w:r>
              <w:rPr>
                <w:spacing w:val="3"/>
                <w:highlight w:val="none"/>
              </w:rPr>
              <w:t>完成设计时间</w:t>
            </w:r>
          </w:p>
        </w:tc>
        <w:tc>
          <w:tcPr>
            <w:tcW w:w="6087" w:type="dxa"/>
            <w:vAlign w:val="top"/>
          </w:tcPr>
          <w:p w14:paraId="2267C7C2">
            <w:pPr>
              <w:rPr>
                <w:rFonts w:ascii="Arial"/>
                <w:sz w:val="21"/>
                <w:highlight w:val="none"/>
              </w:rPr>
            </w:pPr>
          </w:p>
        </w:tc>
      </w:tr>
      <w:tr w14:paraId="19DD1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0B93178C">
            <w:pPr>
              <w:pStyle w:val="6"/>
              <w:spacing w:before="214" w:line="219" w:lineRule="auto"/>
              <w:ind w:left="674"/>
              <w:rPr>
                <w:highlight w:val="none"/>
              </w:rPr>
            </w:pPr>
            <w:r>
              <w:rPr>
                <w:spacing w:val="2"/>
                <w:highlight w:val="none"/>
              </w:rPr>
              <w:t>承担的工作</w:t>
            </w:r>
          </w:p>
        </w:tc>
        <w:tc>
          <w:tcPr>
            <w:tcW w:w="6087" w:type="dxa"/>
            <w:vAlign w:val="top"/>
          </w:tcPr>
          <w:p w14:paraId="16D7BEF9">
            <w:pPr>
              <w:rPr>
                <w:rFonts w:ascii="Arial"/>
                <w:sz w:val="21"/>
                <w:highlight w:val="none"/>
              </w:rPr>
            </w:pPr>
          </w:p>
        </w:tc>
      </w:tr>
      <w:tr w14:paraId="26303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2412" w:type="dxa"/>
            <w:vAlign w:val="top"/>
          </w:tcPr>
          <w:p w14:paraId="5F3BCB8E">
            <w:pPr>
              <w:pStyle w:val="6"/>
              <w:spacing w:before="225" w:line="219" w:lineRule="auto"/>
              <w:ind w:left="674"/>
              <w:rPr>
                <w:highlight w:val="none"/>
              </w:rPr>
            </w:pPr>
            <w:r>
              <w:rPr>
                <w:spacing w:val="1"/>
                <w:highlight w:val="none"/>
              </w:rPr>
              <w:t>项目负责人</w:t>
            </w:r>
          </w:p>
        </w:tc>
        <w:tc>
          <w:tcPr>
            <w:tcW w:w="6087" w:type="dxa"/>
            <w:vAlign w:val="top"/>
          </w:tcPr>
          <w:p w14:paraId="4BA9D9BE">
            <w:pPr>
              <w:rPr>
                <w:rFonts w:ascii="Arial"/>
                <w:sz w:val="21"/>
                <w:highlight w:val="none"/>
              </w:rPr>
            </w:pPr>
          </w:p>
        </w:tc>
      </w:tr>
      <w:tr w14:paraId="57F33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12" w:type="dxa"/>
            <w:vAlign w:val="top"/>
          </w:tcPr>
          <w:p w14:paraId="00C55589">
            <w:pPr>
              <w:pStyle w:val="6"/>
              <w:spacing w:before="216" w:line="219" w:lineRule="auto"/>
              <w:ind w:left="774"/>
              <w:rPr>
                <w:highlight w:val="none"/>
              </w:rPr>
            </w:pPr>
            <w:r>
              <w:rPr>
                <w:spacing w:val="2"/>
                <w:highlight w:val="none"/>
              </w:rPr>
              <w:t>获奖情况</w:t>
            </w:r>
          </w:p>
        </w:tc>
        <w:tc>
          <w:tcPr>
            <w:tcW w:w="6087" w:type="dxa"/>
            <w:vAlign w:val="top"/>
          </w:tcPr>
          <w:p w14:paraId="173539A8">
            <w:pPr>
              <w:rPr>
                <w:rFonts w:ascii="Arial"/>
                <w:sz w:val="21"/>
                <w:highlight w:val="none"/>
              </w:rPr>
            </w:pPr>
          </w:p>
        </w:tc>
      </w:tr>
      <w:tr w14:paraId="07A38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2412" w:type="dxa"/>
            <w:vAlign w:val="top"/>
          </w:tcPr>
          <w:p w14:paraId="5EC7784C">
            <w:pPr>
              <w:spacing w:line="477" w:lineRule="auto"/>
              <w:rPr>
                <w:rFonts w:ascii="Arial"/>
                <w:sz w:val="21"/>
                <w:highlight w:val="none"/>
              </w:rPr>
            </w:pPr>
          </w:p>
          <w:p w14:paraId="4199A4E6">
            <w:pPr>
              <w:pStyle w:val="6"/>
              <w:spacing w:before="68" w:line="220" w:lineRule="auto"/>
              <w:ind w:left="774"/>
              <w:rPr>
                <w:highlight w:val="none"/>
              </w:rPr>
            </w:pPr>
            <w:r>
              <w:rPr>
                <w:spacing w:val="-3"/>
                <w:highlight w:val="none"/>
              </w:rPr>
              <w:t>项目描述</w:t>
            </w:r>
          </w:p>
        </w:tc>
        <w:tc>
          <w:tcPr>
            <w:tcW w:w="6087" w:type="dxa"/>
            <w:vAlign w:val="top"/>
          </w:tcPr>
          <w:p w14:paraId="0F390E51">
            <w:pPr>
              <w:rPr>
                <w:rFonts w:ascii="Arial"/>
                <w:sz w:val="21"/>
                <w:highlight w:val="none"/>
              </w:rPr>
            </w:pPr>
          </w:p>
        </w:tc>
      </w:tr>
      <w:tr w14:paraId="3D663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412" w:type="dxa"/>
            <w:vAlign w:val="top"/>
          </w:tcPr>
          <w:p w14:paraId="44F9120F">
            <w:pPr>
              <w:pStyle w:val="6"/>
              <w:spacing w:before="209" w:line="221" w:lineRule="auto"/>
              <w:ind w:left="984"/>
              <w:rPr>
                <w:highlight w:val="none"/>
              </w:rPr>
            </w:pPr>
            <w:r>
              <w:rPr>
                <w:spacing w:val="5"/>
                <w:highlight w:val="none"/>
              </w:rPr>
              <w:t>备注</w:t>
            </w:r>
          </w:p>
        </w:tc>
        <w:tc>
          <w:tcPr>
            <w:tcW w:w="6087" w:type="dxa"/>
            <w:vAlign w:val="top"/>
          </w:tcPr>
          <w:p w14:paraId="7E83545A">
            <w:pPr>
              <w:rPr>
                <w:rFonts w:ascii="Arial"/>
                <w:sz w:val="21"/>
                <w:highlight w:val="none"/>
              </w:rPr>
            </w:pPr>
          </w:p>
        </w:tc>
      </w:tr>
    </w:tbl>
    <w:p w14:paraId="2BF3E1DA">
      <w:pPr>
        <w:pStyle w:val="2"/>
        <w:spacing w:line="274" w:lineRule="auto"/>
        <w:rPr>
          <w:highlight w:val="none"/>
        </w:rPr>
      </w:pPr>
    </w:p>
    <w:p w14:paraId="24DB3E0E">
      <w:pPr>
        <w:pStyle w:val="2"/>
        <w:spacing w:line="274" w:lineRule="auto"/>
        <w:rPr>
          <w:highlight w:val="none"/>
        </w:rPr>
      </w:pPr>
    </w:p>
    <w:p w14:paraId="33649993">
      <w:pPr>
        <w:spacing w:before="71" w:line="365" w:lineRule="auto"/>
        <w:ind w:left="724" w:right="65" w:hanging="590"/>
        <w:rPr>
          <w:rFonts w:ascii="宋体" w:hAnsi="宋体" w:eastAsia="宋体" w:cs="宋体"/>
          <w:sz w:val="22"/>
          <w:szCs w:val="22"/>
          <w:highlight w:val="none"/>
        </w:rPr>
      </w:pPr>
      <w:r>
        <w:rPr>
          <w:rFonts w:ascii="黑体" w:hAnsi="黑体" w:eastAsia="黑体" w:cs="黑体"/>
          <w:spacing w:val="-7"/>
          <w:sz w:val="22"/>
          <w:szCs w:val="22"/>
          <w:highlight w:val="none"/>
        </w:rPr>
        <w:t>备注：</w:t>
      </w:r>
      <w:r>
        <w:rPr>
          <w:rFonts w:ascii="宋体" w:hAnsi="宋体" w:eastAsia="宋体" w:cs="宋体"/>
          <w:spacing w:val="-7"/>
          <w:sz w:val="22"/>
          <w:szCs w:val="22"/>
          <w:highlight w:val="none"/>
        </w:rPr>
        <w:t>1.“类似设计项目”见投标人须知前附表；具体年份要求见申请(投标)人须知前附</w:t>
      </w:r>
      <w:r>
        <w:rPr>
          <w:rFonts w:ascii="宋体" w:hAnsi="宋体" w:eastAsia="宋体" w:cs="宋体"/>
          <w:spacing w:val="15"/>
          <w:sz w:val="22"/>
          <w:szCs w:val="22"/>
          <w:highlight w:val="none"/>
        </w:rPr>
        <w:t xml:space="preserve"> </w:t>
      </w:r>
      <w:r>
        <w:rPr>
          <w:rFonts w:ascii="宋体" w:hAnsi="宋体" w:eastAsia="宋体" w:cs="宋体"/>
          <w:spacing w:val="-10"/>
          <w:sz w:val="22"/>
          <w:szCs w:val="22"/>
          <w:highlight w:val="none"/>
        </w:rPr>
        <w:t>表。</w:t>
      </w:r>
    </w:p>
    <w:p w14:paraId="2FC5BD1B">
      <w:pPr>
        <w:spacing w:before="3" w:line="370" w:lineRule="auto"/>
        <w:ind w:left="664" w:right="95"/>
        <w:jc w:val="both"/>
        <w:rPr>
          <w:rFonts w:ascii="宋体" w:hAnsi="宋体" w:eastAsia="宋体" w:cs="宋体"/>
          <w:sz w:val="22"/>
          <w:szCs w:val="22"/>
          <w:highlight w:val="none"/>
        </w:rPr>
      </w:pPr>
      <w:r>
        <w:rPr>
          <w:rFonts w:ascii="Times New Roman" w:hAnsi="Times New Roman" w:eastAsia="Times New Roman" w:cs="Times New Roman"/>
          <w:spacing w:val="-1"/>
          <w:sz w:val="22"/>
          <w:szCs w:val="22"/>
          <w:highlight w:val="none"/>
        </w:rPr>
        <w:t>2.</w:t>
      </w:r>
      <w:r>
        <w:rPr>
          <w:rFonts w:ascii="Times New Roman" w:hAnsi="Times New Roman" w:eastAsia="Times New Roman" w:cs="Times New Roman"/>
          <w:spacing w:val="15"/>
          <w:w w:val="101"/>
          <w:sz w:val="22"/>
          <w:szCs w:val="22"/>
          <w:highlight w:val="none"/>
        </w:rPr>
        <w:t xml:space="preserve">  </w:t>
      </w:r>
      <w:r>
        <w:rPr>
          <w:rFonts w:ascii="宋体" w:hAnsi="宋体" w:eastAsia="宋体" w:cs="宋体"/>
          <w:spacing w:val="-1"/>
          <w:sz w:val="22"/>
          <w:szCs w:val="22"/>
          <w:highlight w:val="none"/>
        </w:rPr>
        <w:t>本表后附中标通知书(如有)、合同协议书及其他证明材料(如业主证明)、获奖</w:t>
      </w:r>
      <w:r>
        <w:rPr>
          <w:rFonts w:ascii="宋体" w:hAnsi="宋体" w:eastAsia="宋体" w:cs="宋体"/>
          <w:sz w:val="22"/>
          <w:szCs w:val="22"/>
          <w:highlight w:val="none"/>
        </w:rPr>
        <w:t xml:space="preserve"> </w:t>
      </w:r>
      <w:r>
        <w:rPr>
          <w:rFonts w:ascii="宋体" w:hAnsi="宋体" w:eastAsia="宋体" w:cs="宋体"/>
          <w:spacing w:val="-5"/>
          <w:sz w:val="22"/>
          <w:szCs w:val="22"/>
          <w:highlight w:val="none"/>
        </w:rPr>
        <w:t>文件(如有)的扫描件。其中招标发包的工程应附中标通知书。每张</w:t>
      </w:r>
      <w:r>
        <w:rPr>
          <w:rFonts w:ascii="宋体" w:hAnsi="宋体" w:eastAsia="宋体" w:cs="宋体"/>
          <w:spacing w:val="-6"/>
          <w:sz w:val="22"/>
          <w:szCs w:val="22"/>
          <w:highlight w:val="none"/>
        </w:rPr>
        <w:t>表格只填写一个</w:t>
      </w:r>
      <w:r>
        <w:rPr>
          <w:rFonts w:ascii="宋体" w:hAnsi="宋体" w:eastAsia="宋体" w:cs="宋体"/>
          <w:sz w:val="22"/>
          <w:szCs w:val="22"/>
          <w:highlight w:val="none"/>
        </w:rPr>
        <w:t xml:space="preserve"> </w:t>
      </w:r>
      <w:r>
        <w:rPr>
          <w:rFonts w:ascii="宋体" w:hAnsi="宋体" w:eastAsia="宋体" w:cs="宋体"/>
          <w:spacing w:val="-11"/>
          <w:sz w:val="22"/>
          <w:szCs w:val="22"/>
          <w:highlight w:val="none"/>
        </w:rPr>
        <w:t>项目，并标明序号。</w:t>
      </w:r>
    </w:p>
    <w:p w14:paraId="266DC65D">
      <w:pPr>
        <w:spacing w:line="370" w:lineRule="auto"/>
        <w:rPr>
          <w:rFonts w:ascii="宋体" w:hAnsi="宋体" w:eastAsia="宋体" w:cs="宋体"/>
          <w:sz w:val="22"/>
          <w:szCs w:val="22"/>
          <w:highlight w:val="none"/>
        </w:rPr>
        <w:sectPr>
          <w:headerReference r:id="rId270" w:type="default"/>
          <w:footerReference r:id="rId271" w:type="default"/>
          <w:pgSz w:w="11910" w:h="16840"/>
          <w:pgMar w:top="2254" w:right="1725" w:bottom="1217" w:left="1675" w:header="1885" w:footer="1013" w:gutter="0"/>
          <w:cols w:space="720" w:num="1"/>
        </w:sectPr>
      </w:pPr>
    </w:p>
    <w:p w14:paraId="52658EC0">
      <w:pPr>
        <w:pStyle w:val="2"/>
        <w:spacing w:line="277" w:lineRule="auto"/>
        <w:rPr>
          <w:highlight w:val="none"/>
        </w:rPr>
      </w:pPr>
    </w:p>
    <w:p w14:paraId="2F3E9F1B">
      <w:pPr>
        <w:pStyle w:val="2"/>
        <w:spacing w:line="278" w:lineRule="auto"/>
        <w:rPr>
          <w:highlight w:val="none"/>
        </w:rPr>
      </w:pPr>
    </w:p>
    <w:p w14:paraId="3F5AC9F4">
      <w:pPr>
        <w:pStyle w:val="2"/>
        <w:spacing w:line="278" w:lineRule="auto"/>
        <w:rPr>
          <w:highlight w:val="none"/>
        </w:rPr>
      </w:pPr>
    </w:p>
    <w:p w14:paraId="7CCD9777">
      <w:pPr>
        <w:pStyle w:val="2"/>
        <w:spacing w:line="278" w:lineRule="auto"/>
        <w:rPr>
          <w:highlight w:val="none"/>
        </w:rPr>
      </w:pPr>
    </w:p>
    <w:p w14:paraId="3AC06C67">
      <w:pPr>
        <w:spacing w:before="91" w:line="221" w:lineRule="auto"/>
        <w:ind w:left="63"/>
        <w:rPr>
          <w:rFonts w:ascii="黑体" w:hAnsi="黑体" w:eastAsia="黑体" w:cs="黑体"/>
          <w:sz w:val="28"/>
          <w:szCs w:val="28"/>
          <w:highlight w:val="none"/>
        </w:rPr>
      </w:pPr>
      <w:r>
        <w:rPr>
          <w:rFonts w:ascii="黑体" w:hAnsi="黑体" w:eastAsia="黑体" w:cs="黑体"/>
          <w:spacing w:val="-1"/>
          <w:sz w:val="28"/>
          <w:szCs w:val="28"/>
          <w:highlight w:val="none"/>
        </w:rPr>
        <w:t>(六)近年完成的类似施工项目情况</w:t>
      </w:r>
    </w:p>
    <w:p w14:paraId="3183BB59">
      <w:pPr>
        <w:pStyle w:val="2"/>
        <w:spacing w:line="244" w:lineRule="auto"/>
        <w:rPr>
          <w:highlight w:val="none"/>
        </w:rPr>
      </w:pPr>
    </w:p>
    <w:p w14:paraId="3FB05BA6">
      <w:pPr>
        <w:pStyle w:val="2"/>
        <w:spacing w:line="245" w:lineRule="auto"/>
        <w:rPr>
          <w:highlight w:val="none"/>
        </w:rPr>
      </w:pPr>
    </w:p>
    <w:p w14:paraId="3AC6C39A">
      <w:pPr>
        <w:pStyle w:val="2"/>
        <w:spacing w:before="78" w:line="327" w:lineRule="exact"/>
        <w:ind w:left="2223"/>
        <w:rPr>
          <w:rFonts w:ascii="黑体" w:hAnsi="黑体" w:eastAsia="黑体" w:cs="黑体"/>
          <w:sz w:val="24"/>
          <w:szCs w:val="24"/>
          <w:highlight w:val="none"/>
        </w:rPr>
      </w:pPr>
      <w:r>
        <w:rPr>
          <w:position w:val="1"/>
          <w:sz w:val="24"/>
          <w:szCs w:val="24"/>
          <w:highlight w:val="none"/>
        </w:rPr>
        <w:t>5-1</w:t>
      </w:r>
      <w:r>
        <w:rPr>
          <w:spacing w:val="64"/>
          <w:w w:val="101"/>
          <w:position w:val="1"/>
          <w:sz w:val="24"/>
          <w:szCs w:val="24"/>
          <w:highlight w:val="none"/>
        </w:rPr>
        <w:t xml:space="preserve"> </w:t>
      </w:r>
      <w:r>
        <w:rPr>
          <w:rFonts w:ascii="黑体" w:hAnsi="黑体" w:eastAsia="黑体" w:cs="黑体"/>
          <w:position w:val="1"/>
          <w:sz w:val="24"/>
          <w:szCs w:val="24"/>
          <w:highlight w:val="none"/>
        </w:rPr>
        <w:t>近年完成的类似施工项目汇总表</w:t>
      </w:r>
    </w:p>
    <w:p w14:paraId="060A7FFB">
      <w:pPr>
        <w:spacing w:before="231"/>
        <w:rPr>
          <w:highlight w:val="none"/>
        </w:rPr>
      </w:pPr>
    </w:p>
    <w:tbl>
      <w:tblPr>
        <w:tblStyle w:val="5"/>
        <w:tblW w:w="8839" w:type="dxa"/>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4"/>
        <w:gridCol w:w="1838"/>
        <w:gridCol w:w="1398"/>
        <w:gridCol w:w="1079"/>
        <w:gridCol w:w="1108"/>
        <w:gridCol w:w="1788"/>
        <w:gridCol w:w="1084"/>
      </w:tblGrid>
      <w:tr w14:paraId="35AB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544" w:type="dxa"/>
            <w:textDirection w:val="tbRlV"/>
            <w:vAlign w:val="top"/>
          </w:tcPr>
          <w:p w14:paraId="1E417786">
            <w:pPr>
              <w:pStyle w:val="6"/>
              <w:spacing w:before="181" w:line="199" w:lineRule="auto"/>
              <w:ind w:left="64"/>
              <w:rPr>
                <w:highlight w:val="none"/>
              </w:rPr>
            </w:pPr>
            <w:r>
              <w:rPr>
                <w:highlight w:val="none"/>
              </w:rPr>
              <w:t>序</w:t>
            </w:r>
            <w:r>
              <w:rPr>
                <w:spacing w:val="13"/>
                <w:highlight w:val="none"/>
              </w:rPr>
              <w:t xml:space="preserve">  </w:t>
            </w:r>
            <w:r>
              <w:rPr>
                <w:highlight w:val="none"/>
              </w:rPr>
              <w:t>号</w:t>
            </w:r>
          </w:p>
        </w:tc>
        <w:tc>
          <w:tcPr>
            <w:tcW w:w="1838" w:type="dxa"/>
            <w:vAlign w:val="top"/>
          </w:tcPr>
          <w:p w14:paraId="37B42D80">
            <w:pPr>
              <w:pStyle w:val="6"/>
              <w:spacing w:before="154" w:line="220" w:lineRule="auto"/>
              <w:ind w:left="510"/>
              <w:rPr>
                <w:highlight w:val="none"/>
              </w:rPr>
            </w:pPr>
            <w:r>
              <w:rPr>
                <w:spacing w:val="2"/>
                <w:highlight w:val="none"/>
              </w:rPr>
              <w:t>项目名称</w:t>
            </w:r>
          </w:p>
        </w:tc>
        <w:tc>
          <w:tcPr>
            <w:tcW w:w="1398" w:type="dxa"/>
            <w:vAlign w:val="top"/>
          </w:tcPr>
          <w:p w14:paraId="44B8F9E3">
            <w:pPr>
              <w:pStyle w:val="6"/>
              <w:spacing w:before="154" w:line="220" w:lineRule="auto"/>
              <w:ind w:left="182"/>
              <w:rPr>
                <w:highlight w:val="none"/>
              </w:rPr>
            </w:pPr>
            <w:r>
              <w:rPr>
                <w:spacing w:val="2"/>
                <w:highlight w:val="none"/>
              </w:rPr>
              <w:t>发包人名称</w:t>
            </w:r>
          </w:p>
        </w:tc>
        <w:tc>
          <w:tcPr>
            <w:tcW w:w="1079" w:type="dxa"/>
            <w:vAlign w:val="top"/>
          </w:tcPr>
          <w:p w14:paraId="3088A19E">
            <w:pPr>
              <w:pStyle w:val="6"/>
              <w:spacing w:before="153" w:line="219" w:lineRule="auto"/>
              <w:ind w:left="134"/>
              <w:rPr>
                <w:highlight w:val="none"/>
              </w:rPr>
            </w:pPr>
            <w:r>
              <w:rPr>
                <w:spacing w:val="-3"/>
                <w:highlight w:val="none"/>
              </w:rPr>
              <w:t>工程规模</w:t>
            </w:r>
          </w:p>
        </w:tc>
        <w:tc>
          <w:tcPr>
            <w:tcW w:w="1108" w:type="dxa"/>
            <w:vAlign w:val="top"/>
          </w:tcPr>
          <w:p w14:paraId="3881B3E1">
            <w:pPr>
              <w:pStyle w:val="6"/>
              <w:spacing w:before="151" w:line="218" w:lineRule="auto"/>
              <w:ind w:left="125"/>
              <w:rPr>
                <w:highlight w:val="none"/>
              </w:rPr>
            </w:pPr>
            <w:r>
              <w:rPr>
                <w:spacing w:val="-2"/>
                <w:highlight w:val="none"/>
              </w:rPr>
              <w:t>合同价格</w:t>
            </w:r>
          </w:p>
          <w:p w14:paraId="5253779E">
            <w:pPr>
              <w:pStyle w:val="6"/>
              <w:spacing w:before="154" w:line="202" w:lineRule="auto"/>
              <w:ind w:left="235"/>
              <w:rPr>
                <w:highlight w:val="none"/>
              </w:rPr>
            </w:pPr>
            <w:r>
              <w:rPr>
                <w:spacing w:val="11"/>
                <w:highlight w:val="none"/>
              </w:rPr>
              <w:t>(万元)</w:t>
            </w:r>
          </w:p>
        </w:tc>
        <w:tc>
          <w:tcPr>
            <w:tcW w:w="1788" w:type="dxa"/>
            <w:vAlign w:val="top"/>
          </w:tcPr>
          <w:p w14:paraId="6D42E8AE">
            <w:pPr>
              <w:pStyle w:val="6"/>
              <w:spacing w:before="153" w:line="219" w:lineRule="auto"/>
              <w:ind w:left="288"/>
              <w:rPr>
                <w:highlight w:val="none"/>
              </w:rPr>
            </w:pPr>
            <w:r>
              <w:rPr>
                <w:spacing w:val="2"/>
                <w:highlight w:val="none"/>
              </w:rPr>
              <w:t>开、竣工日期</w:t>
            </w:r>
          </w:p>
        </w:tc>
        <w:tc>
          <w:tcPr>
            <w:tcW w:w="1084" w:type="dxa"/>
            <w:vAlign w:val="top"/>
          </w:tcPr>
          <w:p w14:paraId="0E63BABE">
            <w:pPr>
              <w:pStyle w:val="6"/>
              <w:spacing w:before="154" w:line="220" w:lineRule="auto"/>
              <w:ind w:left="130"/>
              <w:rPr>
                <w:highlight w:val="none"/>
              </w:rPr>
            </w:pPr>
            <w:r>
              <w:rPr>
                <w:spacing w:val="-3"/>
                <w:highlight w:val="none"/>
              </w:rPr>
              <w:t>项目经理</w:t>
            </w:r>
          </w:p>
        </w:tc>
      </w:tr>
      <w:tr w14:paraId="6527C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0D735F08">
            <w:pPr>
              <w:rPr>
                <w:rFonts w:ascii="Arial"/>
                <w:sz w:val="21"/>
                <w:highlight w:val="none"/>
              </w:rPr>
            </w:pPr>
          </w:p>
        </w:tc>
        <w:tc>
          <w:tcPr>
            <w:tcW w:w="1838" w:type="dxa"/>
            <w:vAlign w:val="top"/>
          </w:tcPr>
          <w:p w14:paraId="3EDF67F6">
            <w:pPr>
              <w:rPr>
                <w:rFonts w:ascii="Arial"/>
                <w:sz w:val="21"/>
                <w:highlight w:val="none"/>
              </w:rPr>
            </w:pPr>
          </w:p>
        </w:tc>
        <w:tc>
          <w:tcPr>
            <w:tcW w:w="1398" w:type="dxa"/>
            <w:vAlign w:val="top"/>
          </w:tcPr>
          <w:p w14:paraId="4AF0D274">
            <w:pPr>
              <w:rPr>
                <w:rFonts w:ascii="Arial"/>
                <w:sz w:val="21"/>
                <w:highlight w:val="none"/>
              </w:rPr>
            </w:pPr>
          </w:p>
        </w:tc>
        <w:tc>
          <w:tcPr>
            <w:tcW w:w="1079" w:type="dxa"/>
            <w:vAlign w:val="top"/>
          </w:tcPr>
          <w:p w14:paraId="523AE1C0">
            <w:pPr>
              <w:rPr>
                <w:rFonts w:ascii="Arial"/>
                <w:sz w:val="21"/>
                <w:highlight w:val="none"/>
              </w:rPr>
            </w:pPr>
          </w:p>
        </w:tc>
        <w:tc>
          <w:tcPr>
            <w:tcW w:w="1108" w:type="dxa"/>
            <w:vAlign w:val="top"/>
          </w:tcPr>
          <w:p w14:paraId="04A59A74">
            <w:pPr>
              <w:rPr>
                <w:rFonts w:ascii="Arial"/>
                <w:sz w:val="21"/>
                <w:highlight w:val="none"/>
              </w:rPr>
            </w:pPr>
          </w:p>
        </w:tc>
        <w:tc>
          <w:tcPr>
            <w:tcW w:w="1788" w:type="dxa"/>
            <w:vAlign w:val="top"/>
          </w:tcPr>
          <w:p w14:paraId="37CA42F0">
            <w:pPr>
              <w:rPr>
                <w:rFonts w:ascii="Arial"/>
                <w:sz w:val="21"/>
                <w:highlight w:val="none"/>
              </w:rPr>
            </w:pPr>
          </w:p>
        </w:tc>
        <w:tc>
          <w:tcPr>
            <w:tcW w:w="1084" w:type="dxa"/>
            <w:vAlign w:val="top"/>
          </w:tcPr>
          <w:p w14:paraId="15D1D894">
            <w:pPr>
              <w:rPr>
                <w:rFonts w:ascii="Arial"/>
                <w:sz w:val="21"/>
                <w:highlight w:val="none"/>
              </w:rPr>
            </w:pPr>
          </w:p>
        </w:tc>
      </w:tr>
      <w:tr w14:paraId="6B07E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544" w:type="dxa"/>
            <w:vAlign w:val="top"/>
          </w:tcPr>
          <w:p w14:paraId="210E55DF">
            <w:pPr>
              <w:rPr>
                <w:rFonts w:ascii="Arial"/>
                <w:sz w:val="21"/>
                <w:highlight w:val="none"/>
              </w:rPr>
            </w:pPr>
          </w:p>
        </w:tc>
        <w:tc>
          <w:tcPr>
            <w:tcW w:w="1838" w:type="dxa"/>
            <w:vAlign w:val="top"/>
          </w:tcPr>
          <w:p w14:paraId="406164F2">
            <w:pPr>
              <w:rPr>
                <w:rFonts w:ascii="Arial"/>
                <w:sz w:val="21"/>
                <w:highlight w:val="none"/>
              </w:rPr>
            </w:pPr>
          </w:p>
        </w:tc>
        <w:tc>
          <w:tcPr>
            <w:tcW w:w="1398" w:type="dxa"/>
            <w:vAlign w:val="top"/>
          </w:tcPr>
          <w:p w14:paraId="0985CB4E">
            <w:pPr>
              <w:rPr>
                <w:rFonts w:ascii="Arial"/>
                <w:sz w:val="21"/>
                <w:highlight w:val="none"/>
              </w:rPr>
            </w:pPr>
          </w:p>
        </w:tc>
        <w:tc>
          <w:tcPr>
            <w:tcW w:w="1079" w:type="dxa"/>
            <w:vAlign w:val="top"/>
          </w:tcPr>
          <w:p w14:paraId="7EBCAF74">
            <w:pPr>
              <w:rPr>
                <w:rFonts w:ascii="Arial"/>
                <w:sz w:val="21"/>
                <w:highlight w:val="none"/>
              </w:rPr>
            </w:pPr>
          </w:p>
        </w:tc>
        <w:tc>
          <w:tcPr>
            <w:tcW w:w="1108" w:type="dxa"/>
            <w:vAlign w:val="top"/>
          </w:tcPr>
          <w:p w14:paraId="614208EE">
            <w:pPr>
              <w:rPr>
                <w:rFonts w:ascii="Arial"/>
                <w:sz w:val="21"/>
                <w:highlight w:val="none"/>
              </w:rPr>
            </w:pPr>
          </w:p>
        </w:tc>
        <w:tc>
          <w:tcPr>
            <w:tcW w:w="1788" w:type="dxa"/>
            <w:vAlign w:val="top"/>
          </w:tcPr>
          <w:p w14:paraId="36ACF2AA">
            <w:pPr>
              <w:rPr>
                <w:rFonts w:ascii="Arial"/>
                <w:sz w:val="21"/>
                <w:highlight w:val="none"/>
              </w:rPr>
            </w:pPr>
          </w:p>
        </w:tc>
        <w:tc>
          <w:tcPr>
            <w:tcW w:w="1084" w:type="dxa"/>
            <w:vAlign w:val="top"/>
          </w:tcPr>
          <w:p w14:paraId="0BD4AA0A">
            <w:pPr>
              <w:rPr>
                <w:rFonts w:ascii="Arial"/>
                <w:sz w:val="21"/>
                <w:highlight w:val="none"/>
              </w:rPr>
            </w:pPr>
          </w:p>
        </w:tc>
      </w:tr>
      <w:tr w14:paraId="2A9C3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5AA4F79C">
            <w:pPr>
              <w:rPr>
                <w:rFonts w:ascii="Arial"/>
                <w:sz w:val="21"/>
                <w:highlight w:val="none"/>
              </w:rPr>
            </w:pPr>
          </w:p>
        </w:tc>
        <w:tc>
          <w:tcPr>
            <w:tcW w:w="1838" w:type="dxa"/>
            <w:vAlign w:val="top"/>
          </w:tcPr>
          <w:p w14:paraId="7C449353">
            <w:pPr>
              <w:rPr>
                <w:rFonts w:ascii="Arial"/>
                <w:sz w:val="21"/>
                <w:highlight w:val="none"/>
              </w:rPr>
            </w:pPr>
          </w:p>
        </w:tc>
        <w:tc>
          <w:tcPr>
            <w:tcW w:w="1398" w:type="dxa"/>
            <w:vAlign w:val="top"/>
          </w:tcPr>
          <w:p w14:paraId="1FE55BF3">
            <w:pPr>
              <w:rPr>
                <w:rFonts w:ascii="Arial"/>
                <w:sz w:val="21"/>
                <w:highlight w:val="none"/>
              </w:rPr>
            </w:pPr>
          </w:p>
        </w:tc>
        <w:tc>
          <w:tcPr>
            <w:tcW w:w="1079" w:type="dxa"/>
            <w:vAlign w:val="top"/>
          </w:tcPr>
          <w:p w14:paraId="6237DCE2">
            <w:pPr>
              <w:rPr>
                <w:rFonts w:ascii="Arial"/>
                <w:sz w:val="21"/>
                <w:highlight w:val="none"/>
              </w:rPr>
            </w:pPr>
          </w:p>
        </w:tc>
        <w:tc>
          <w:tcPr>
            <w:tcW w:w="1108" w:type="dxa"/>
            <w:vAlign w:val="top"/>
          </w:tcPr>
          <w:p w14:paraId="61DB0981">
            <w:pPr>
              <w:rPr>
                <w:rFonts w:ascii="Arial"/>
                <w:sz w:val="21"/>
                <w:highlight w:val="none"/>
              </w:rPr>
            </w:pPr>
          </w:p>
        </w:tc>
        <w:tc>
          <w:tcPr>
            <w:tcW w:w="1788" w:type="dxa"/>
            <w:vAlign w:val="top"/>
          </w:tcPr>
          <w:p w14:paraId="5E01C358">
            <w:pPr>
              <w:rPr>
                <w:rFonts w:ascii="Arial"/>
                <w:sz w:val="21"/>
                <w:highlight w:val="none"/>
              </w:rPr>
            </w:pPr>
          </w:p>
        </w:tc>
        <w:tc>
          <w:tcPr>
            <w:tcW w:w="1084" w:type="dxa"/>
            <w:vAlign w:val="top"/>
          </w:tcPr>
          <w:p w14:paraId="23E5E815">
            <w:pPr>
              <w:rPr>
                <w:rFonts w:ascii="Arial"/>
                <w:sz w:val="21"/>
                <w:highlight w:val="none"/>
              </w:rPr>
            </w:pPr>
          </w:p>
        </w:tc>
      </w:tr>
      <w:tr w14:paraId="3C21D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4818159C">
            <w:pPr>
              <w:rPr>
                <w:rFonts w:ascii="Arial"/>
                <w:sz w:val="21"/>
                <w:highlight w:val="none"/>
              </w:rPr>
            </w:pPr>
          </w:p>
        </w:tc>
        <w:tc>
          <w:tcPr>
            <w:tcW w:w="1838" w:type="dxa"/>
            <w:vAlign w:val="top"/>
          </w:tcPr>
          <w:p w14:paraId="04C487E0">
            <w:pPr>
              <w:rPr>
                <w:rFonts w:ascii="Arial"/>
                <w:sz w:val="21"/>
                <w:highlight w:val="none"/>
              </w:rPr>
            </w:pPr>
          </w:p>
        </w:tc>
        <w:tc>
          <w:tcPr>
            <w:tcW w:w="1398" w:type="dxa"/>
            <w:vAlign w:val="top"/>
          </w:tcPr>
          <w:p w14:paraId="17B07971">
            <w:pPr>
              <w:rPr>
                <w:rFonts w:ascii="Arial"/>
                <w:sz w:val="21"/>
                <w:highlight w:val="none"/>
              </w:rPr>
            </w:pPr>
          </w:p>
        </w:tc>
        <w:tc>
          <w:tcPr>
            <w:tcW w:w="1079" w:type="dxa"/>
            <w:vAlign w:val="top"/>
          </w:tcPr>
          <w:p w14:paraId="5D6659B7">
            <w:pPr>
              <w:rPr>
                <w:rFonts w:ascii="Arial"/>
                <w:sz w:val="21"/>
                <w:highlight w:val="none"/>
              </w:rPr>
            </w:pPr>
          </w:p>
        </w:tc>
        <w:tc>
          <w:tcPr>
            <w:tcW w:w="1108" w:type="dxa"/>
            <w:vAlign w:val="top"/>
          </w:tcPr>
          <w:p w14:paraId="6285F0D5">
            <w:pPr>
              <w:rPr>
                <w:rFonts w:ascii="Arial"/>
                <w:sz w:val="21"/>
                <w:highlight w:val="none"/>
              </w:rPr>
            </w:pPr>
          </w:p>
        </w:tc>
        <w:tc>
          <w:tcPr>
            <w:tcW w:w="1788" w:type="dxa"/>
            <w:vAlign w:val="top"/>
          </w:tcPr>
          <w:p w14:paraId="06D548CF">
            <w:pPr>
              <w:rPr>
                <w:rFonts w:ascii="Arial"/>
                <w:sz w:val="21"/>
                <w:highlight w:val="none"/>
              </w:rPr>
            </w:pPr>
          </w:p>
        </w:tc>
        <w:tc>
          <w:tcPr>
            <w:tcW w:w="1084" w:type="dxa"/>
            <w:vAlign w:val="top"/>
          </w:tcPr>
          <w:p w14:paraId="7D7A146E">
            <w:pPr>
              <w:rPr>
                <w:rFonts w:ascii="Arial"/>
                <w:sz w:val="21"/>
                <w:highlight w:val="none"/>
              </w:rPr>
            </w:pPr>
          </w:p>
        </w:tc>
      </w:tr>
      <w:tr w14:paraId="5F961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544" w:type="dxa"/>
            <w:vAlign w:val="top"/>
          </w:tcPr>
          <w:p w14:paraId="48FA0512">
            <w:pPr>
              <w:rPr>
                <w:rFonts w:ascii="Arial"/>
                <w:sz w:val="21"/>
                <w:highlight w:val="none"/>
              </w:rPr>
            </w:pPr>
          </w:p>
        </w:tc>
        <w:tc>
          <w:tcPr>
            <w:tcW w:w="1838" w:type="dxa"/>
            <w:vAlign w:val="top"/>
          </w:tcPr>
          <w:p w14:paraId="6BF01C86">
            <w:pPr>
              <w:rPr>
                <w:rFonts w:ascii="Arial"/>
                <w:sz w:val="21"/>
                <w:highlight w:val="none"/>
              </w:rPr>
            </w:pPr>
          </w:p>
        </w:tc>
        <w:tc>
          <w:tcPr>
            <w:tcW w:w="1398" w:type="dxa"/>
            <w:vAlign w:val="top"/>
          </w:tcPr>
          <w:p w14:paraId="0ACEE3CC">
            <w:pPr>
              <w:rPr>
                <w:rFonts w:ascii="Arial"/>
                <w:sz w:val="21"/>
                <w:highlight w:val="none"/>
              </w:rPr>
            </w:pPr>
          </w:p>
        </w:tc>
        <w:tc>
          <w:tcPr>
            <w:tcW w:w="1079" w:type="dxa"/>
            <w:vAlign w:val="top"/>
          </w:tcPr>
          <w:p w14:paraId="5D80EA53">
            <w:pPr>
              <w:rPr>
                <w:rFonts w:ascii="Arial"/>
                <w:sz w:val="21"/>
                <w:highlight w:val="none"/>
              </w:rPr>
            </w:pPr>
          </w:p>
        </w:tc>
        <w:tc>
          <w:tcPr>
            <w:tcW w:w="1108" w:type="dxa"/>
            <w:vAlign w:val="top"/>
          </w:tcPr>
          <w:p w14:paraId="502F498E">
            <w:pPr>
              <w:rPr>
                <w:rFonts w:ascii="Arial"/>
                <w:sz w:val="21"/>
                <w:highlight w:val="none"/>
              </w:rPr>
            </w:pPr>
          </w:p>
        </w:tc>
        <w:tc>
          <w:tcPr>
            <w:tcW w:w="1788" w:type="dxa"/>
            <w:vAlign w:val="top"/>
          </w:tcPr>
          <w:p w14:paraId="74CCDF63">
            <w:pPr>
              <w:rPr>
                <w:rFonts w:ascii="Arial"/>
                <w:sz w:val="21"/>
                <w:highlight w:val="none"/>
              </w:rPr>
            </w:pPr>
          </w:p>
        </w:tc>
        <w:tc>
          <w:tcPr>
            <w:tcW w:w="1084" w:type="dxa"/>
            <w:vAlign w:val="top"/>
          </w:tcPr>
          <w:p w14:paraId="548FB96B">
            <w:pPr>
              <w:rPr>
                <w:rFonts w:ascii="Arial"/>
                <w:sz w:val="21"/>
                <w:highlight w:val="none"/>
              </w:rPr>
            </w:pPr>
          </w:p>
        </w:tc>
      </w:tr>
      <w:tr w14:paraId="38B7F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4A25BC16">
            <w:pPr>
              <w:rPr>
                <w:rFonts w:ascii="Arial"/>
                <w:sz w:val="21"/>
                <w:highlight w:val="none"/>
              </w:rPr>
            </w:pPr>
          </w:p>
        </w:tc>
        <w:tc>
          <w:tcPr>
            <w:tcW w:w="1838" w:type="dxa"/>
            <w:vAlign w:val="top"/>
          </w:tcPr>
          <w:p w14:paraId="1A7A41E1">
            <w:pPr>
              <w:rPr>
                <w:rFonts w:ascii="Arial"/>
                <w:sz w:val="21"/>
                <w:highlight w:val="none"/>
              </w:rPr>
            </w:pPr>
          </w:p>
        </w:tc>
        <w:tc>
          <w:tcPr>
            <w:tcW w:w="1398" w:type="dxa"/>
            <w:vAlign w:val="top"/>
          </w:tcPr>
          <w:p w14:paraId="03EA1167">
            <w:pPr>
              <w:rPr>
                <w:rFonts w:ascii="Arial"/>
                <w:sz w:val="21"/>
                <w:highlight w:val="none"/>
              </w:rPr>
            </w:pPr>
          </w:p>
        </w:tc>
        <w:tc>
          <w:tcPr>
            <w:tcW w:w="1079" w:type="dxa"/>
            <w:vAlign w:val="top"/>
          </w:tcPr>
          <w:p w14:paraId="063D261F">
            <w:pPr>
              <w:rPr>
                <w:rFonts w:ascii="Arial"/>
                <w:sz w:val="21"/>
                <w:highlight w:val="none"/>
              </w:rPr>
            </w:pPr>
          </w:p>
        </w:tc>
        <w:tc>
          <w:tcPr>
            <w:tcW w:w="1108" w:type="dxa"/>
            <w:vAlign w:val="top"/>
          </w:tcPr>
          <w:p w14:paraId="255DEA68">
            <w:pPr>
              <w:rPr>
                <w:rFonts w:ascii="Arial"/>
                <w:sz w:val="21"/>
                <w:highlight w:val="none"/>
              </w:rPr>
            </w:pPr>
          </w:p>
        </w:tc>
        <w:tc>
          <w:tcPr>
            <w:tcW w:w="1788" w:type="dxa"/>
            <w:vAlign w:val="top"/>
          </w:tcPr>
          <w:p w14:paraId="60BB4FB6">
            <w:pPr>
              <w:rPr>
                <w:rFonts w:ascii="Arial"/>
                <w:sz w:val="21"/>
                <w:highlight w:val="none"/>
              </w:rPr>
            </w:pPr>
          </w:p>
        </w:tc>
        <w:tc>
          <w:tcPr>
            <w:tcW w:w="1084" w:type="dxa"/>
            <w:vAlign w:val="top"/>
          </w:tcPr>
          <w:p w14:paraId="5D4114FF">
            <w:pPr>
              <w:rPr>
                <w:rFonts w:ascii="Arial"/>
                <w:sz w:val="21"/>
                <w:highlight w:val="none"/>
              </w:rPr>
            </w:pPr>
          </w:p>
        </w:tc>
      </w:tr>
      <w:tr w14:paraId="394E9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44" w:type="dxa"/>
            <w:vAlign w:val="top"/>
          </w:tcPr>
          <w:p w14:paraId="5F1E3281">
            <w:pPr>
              <w:rPr>
                <w:rFonts w:ascii="Arial"/>
                <w:sz w:val="21"/>
                <w:highlight w:val="none"/>
              </w:rPr>
            </w:pPr>
          </w:p>
        </w:tc>
        <w:tc>
          <w:tcPr>
            <w:tcW w:w="1838" w:type="dxa"/>
            <w:vAlign w:val="top"/>
          </w:tcPr>
          <w:p w14:paraId="424560A6">
            <w:pPr>
              <w:rPr>
                <w:rFonts w:ascii="Arial"/>
                <w:sz w:val="21"/>
                <w:highlight w:val="none"/>
              </w:rPr>
            </w:pPr>
          </w:p>
        </w:tc>
        <w:tc>
          <w:tcPr>
            <w:tcW w:w="1398" w:type="dxa"/>
            <w:vAlign w:val="top"/>
          </w:tcPr>
          <w:p w14:paraId="55BB92BD">
            <w:pPr>
              <w:rPr>
                <w:rFonts w:ascii="Arial"/>
                <w:sz w:val="21"/>
                <w:highlight w:val="none"/>
              </w:rPr>
            </w:pPr>
          </w:p>
        </w:tc>
        <w:tc>
          <w:tcPr>
            <w:tcW w:w="1079" w:type="dxa"/>
            <w:vAlign w:val="top"/>
          </w:tcPr>
          <w:p w14:paraId="27D81D78">
            <w:pPr>
              <w:rPr>
                <w:rFonts w:ascii="Arial"/>
                <w:sz w:val="21"/>
                <w:highlight w:val="none"/>
              </w:rPr>
            </w:pPr>
          </w:p>
        </w:tc>
        <w:tc>
          <w:tcPr>
            <w:tcW w:w="1108" w:type="dxa"/>
            <w:vAlign w:val="top"/>
          </w:tcPr>
          <w:p w14:paraId="7C5299CA">
            <w:pPr>
              <w:rPr>
                <w:rFonts w:ascii="Arial"/>
                <w:sz w:val="21"/>
                <w:highlight w:val="none"/>
              </w:rPr>
            </w:pPr>
          </w:p>
        </w:tc>
        <w:tc>
          <w:tcPr>
            <w:tcW w:w="1788" w:type="dxa"/>
            <w:vAlign w:val="top"/>
          </w:tcPr>
          <w:p w14:paraId="27B39E4B">
            <w:pPr>
              <w:rPr>
                <w:rFonts w:ascii="Arial"/>
                <w:sz w:val="21"/>
                <w:highlight w:val="none"/>
              </w:rPr>
            </w:pPr>
          </w:p>
        </w:tc>
        <w:tc>
          <w:tcPr>
            <w:tcW w:w="1084" w:type="dxa"/>
            <w:vAlign w:val="top"/>
          </w:tcPr>
          <w:p w14:paraId="186FB34A">
            <w:pPr>
              <w:rPr>
                <w:rFonts w:ascii="Arial"/>
                <w:sz w:val="21"/>
                <w:highlight w:val="none"/>
              </w:rPr>
            </w:pPr>
          </w:p>
        </w:tc>
      </w:tr>
      <w:tr w14:paraId="2FF78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29F94AE4">
            <w:pPr>
              <w:rPr>
                <w:rFonts w:ascii="Arial"/>
                <w:sz w:val="21"/>
                <w:highlight w:val="none"/>
              </w:rPr>
            </w:pPr>
          </w:p>
        </w:tc>
        <w:tc>
          <w:tcPr>
            <w:tcW w:w="1838" w:type="dxa"/>
            <w:vAlign w:val="top"/>
          </w:tcPr>
          <w:p w14:paraId="7447905C">
            <w:pPr>
              <w:rPr>
                <w:rFonts w:ascii="Arial"/>
                <w:sz w:val="21"/>
                <w:highlight w:val="none"/>
              </w:rPr>
            </w:pPr>
          </w:p>
        </w:tc>
        <w:tc>
          <w:tcPr>
            <w:tcW w:w="1398" w:type="dxa"/>
            <w:vAlign w:val="top"/>
          </w:tcPr>
          <w:p w14:paraId="72A10106">
            <w:pPr>
              <w:rPr>
                <w:rFonts w:ascii="Arial"/>
                <w:sz w:val="21"/>
                <w:highlight w:val="none"/>
              </w:rPr>
            </w:pPr>
          </w:p>
        </w:tc>
        <w:tc>
          <w:tcPr>
            <w:tcW w:w="1079" w:type="dxa"/>
            <w:vAlign w:val="top"/>
          </w:tcPr>
          <w:p w14:paraId="63D49353">
            <w:pPr>
              <w:rPr>
                <w:rFonts w:ascii="Arial"/>
                <w:sz w:val="21"/>
                <w:highlight w:val="none"/>
              </w:rPr>
            </w:pPr>
          </w:p>
        </w:tc>
        <w:tc>
          <w:tcPr>
            <w:tcW w:w="1108" w:type="dxa"/>
            <w:vAlign w:val="top"/>
          </w:tcPr>
          <w:p w14:paraId="189E92D9">
            <w:pPr>
              <w:rPr>
                <w:rFonts w:ascii="Arial"/>
                <w:sz w:val="21"/>
                <w:highlight w:val="none"/>
              </w:rPr>
            </w:pPr>
          </w:p>
        </w:tc>
        <w:tc>
          <w:tcPr>
            <w:tcW w:w="1788" w:type="dxa"/>
            <w:vAlign w:val="top"/>
          </w:tcPr>
          <w:p w14:paraId="5EFB12A5">
            <w:pPr>
              <w:rPr>
                <w:rFonts w:ascii="Arial"/>
                <w:sz w:val="21"/>
                <w:highlight w:val="none"/>
              </w:rPr>
            </w:pPr>
          </w:p>
        </w:tc>
        <w:tc>
          <w:tcPr>
            <w:tcW w:w="1084" w:type="dxa"/>
            <w:vAlign w:val="top"/>
          </w:tcPr>
          <w:p w14:paraId="56BDA1EF">
            <w:pPr>
              <w:rPr>
                <w:rFonts w:ascii="Arial"/>
                <w:sz w:val="21"/>
                <w:highlight w:val="none"/>
              </w:rPr>
            </w:pPr>
          </w:p>
        </w:tc>
      </w:tr>
      <w:tr w14:paraId="6A37C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544" w:type="dxa"/>
            <w:vAlign w:val="top"/>
          </w:tcPr>
          <w:p w14:paraId="3A64C03F">
            <w:pPr>
              <w:rPr>
                <w:rFonts w:ascii="Arial"/>
                <w:sz w:val="21"/>
                <w:highlight w:val="none"/>
              </w:rPr>
            </w:pPr>
          </w:p>
        </w:tc>
        <w:tc>
          <w:tcPr>
            <w:tcW w:w="1838" w:type="dxa"/>
            <w:vAlign w:val="top"/>
          </w:tcPr>
          <w:p w14:paraId="4D10C4EB">
            <w:pPr>
              <w:rPr>
                <w:rFonts w:ascii="Arial"/>
                <w:sz w:val="21"/>
                <w:highlight w:val="none"/>
              </w:rPr>
            </w:pPr>
          </w:p>
        </w:tc>
        <w:tc>
          <w:tcPr>
            <w:tcW w:w="1398" w:type="dxa"/>
            <w:vAlign w:val="top"/>
          </w:tcPr>
          <w:p w14:paraId="01E98607">
            <w:pPr>
              <w:rPr>
                <w:rFonts w:ascii="Arial"/>
                <w:sz w:val="21"/>
                <w:highlight w:val="none"/>
              </w:rPr>
            </w:pPr>
          </w:p>
        </w:tc>
        <w:tc>
          <w:tcPr>
            <w:tcW w:w="1079" w:type="dxa"/>
            <w:vAlign w:val="top"/>
          </w:tcPr>
          <w:p w14:paraId="73031F63">
            <w:pPr>
              <w:rPr>
                <w:rFonts w:ascii="Arial"/>
                <w:sz w:val="21"/>
                <w:highlight w:val="none"/>
              </w:rPr>
            </w:pPr>
          </w:p>
        </w:tc>
        <w:tc>
          <w:tcPr>
            <w:tcW w:w="1108" w:type="dxa"/>
            <w:vAlign w:val="top"/>
          </w:tcPr>
          <w:p w14:paraId="14A343E9">
            <w:pPr>
              <w:rPr>
                <w:rFonts w:ascii="Arial"/>
                <w:sz w:val="21"/>
                <w:highlight w:val="none"/>
              </w:rPr>
            </w:pPr>
          </w:p>
        </w:tc>
        <w:tc>
          <w:tcPr>
            <w:tcW w:w="1788" w:type="dxa"/>
            <w:vAlign w:val="top"/>
          </w:tcPr>
          <w:p w14:paraId="2BAFCD67">
            <w:pPr>
              <w:rPr>
                <w:rFonts w:ascii="Arial"/>
                <w:sz w:val="21"/>
                <w:highlight w:val="none"/>
              </w:rPr>
            </w:pPr>
          </w:p>
        </w:tc>
        <w:tc>
          <w:tcPr>
            <w:tcW w:w="1084" w:type="dxa"/>
            <w:vAlign w:val="top"/>
          </w:tcPr>
          <w:p w14:paraId="52766EE5">
            <w:pPr>
              <w:rPr>
                <w:rFonts w:ascii="Arial"/>
                <w:sz w:val="21"/>
                <w:highlight w:val="none"/>
              </w:rPr>
            </w:pPr>
          </w:p>
        </w:tc>
      </w:tr>
      <w:tr w14:paraId="08D17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44" w:type="dxa"/>
            <w:vAlign w:val="top"/>
          </w:tcPr>
          <w:p w14:paraId="12220484">
            <w:pPr>
              <w:rPr>
                <w:rFonts w:ascii="Arial"/>
                <w:sz w:val="21"/>
                <w:highlight w:val="none"/>
              </w:rPr>
            </w:pPr>
          </w:p>
        </w:tc>
        <w:tc>
          <w:tcPr>
            <w:tcW w:w="1838" w:type="dxa"/>
            <w:vAlign w:val="top"/>
          </w:tcPr>
          <w:p w14:paraId="52216BCA">
            <w:pPr>
              <w:rPr>
                <w:rFonts w:ascii="Arial"/>
                <w:sz w:val="21"/>
                <w:highlight w:val="none"/>
              </w:rPr>
            </w:pPr>
          </w:p>
        </w:tc>
        <w:tc>
          <w:tcPr>
            <w:tcW w:w="1398" w:type="dxa"/>
            <w:vAlign w:val="top"/>
          </w:tcPr>
          <w:p w14:paraId="5CF35CD2">
            <w:pPr>
              <w:rPr>
                <w:rFonts w:ascii="Arial"/>
                <w:sz w:val="21"/>
                <w:highlight w:val="none"/>
              </w:rPr>
            </w:pPr>
          </w:p>
        </w:tc>
        <w:tc>
          <w:tcPr>
            <w:tcW w:w="1079" w:type="dxa"/>
            <w:vAlign w:val="top"/>
          </w:tcPr>
          <w:p w14:paraId="68D7EDD5">
            <w:pPr>
              <w:rPr>
                <w:rFonts w:ascii="Arial"/>
                <w:sz w:val="21"/>
                <w:highlight w:val="none"/>
              </w:rPr>
            </w:pPr>
          </w:p>
        </w:tc>
        <w:tc>
          <w:tcPr>
            <w:tcW w:w="1108" w:type="dxa"/>
            <w:vAlign w:val="top"/>
          </w:tcPr>
          <w:p w14:paraId="5C568390">
            <w:pPr>
              <w:rPr>
                <w:rFonts w:ascii="Arial"/>
                <w:sz w:val="21"/>
                <w:highlight w:val="none"/>
              </w:rPr>
            </w:pPr>
          </w:p>
        </w:tc>
        <w:tc>
          <w:tcPr>
            <w:tcW w:w="1788" w:type="dxa"/>
            <w:vAlign w:val="top"/>
          </w:tcPr>
          <w:p w14:paraId="732E26C7">
            <w:pPr>
              <w:rPr>
                <w:rFonts w:ascii="Arial"/>
                <w:sz w:val="21"/>
                <w:highlight w:val="none"/>
              </w:rPr>
            </w:pPr>
          </w:p>
        </w:tc>
        <w:tc>
          <w:tcPr>
            <w:tcW w:w="1084" w:type="dxa"/>
            <w:vAlign w:val="top"/>
          </w:tcPr>
          <w:p w14:paraId="68CA8481">
            <w:pPr>
              <w:rPr>
                <w:rFonts w:ascii="Arial"/>
                <w:sz w:val="21"/>
                <w:highlight w:val="none"/>
              </w:rPr>
            </w:pPr>
          </w:p>
        </w:tc>
      </w:tr>
      <w:tr w14:paraId="0359E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44" w:type="dxa"/>
            <w:vAlign w:val="top"/>
          </w:tcPr>
          <w:p w14:paraId="6FE4447C">
            <w:pPr>
              <w:rPr>
                <w:rFonts w:ascii="Arial"/>
                <w:sz w:val="21"/>
                <w:highlight w:val="none"/>
              </w:rPr>
            </w:pPr>
          </w:p>
        </w:tc>
        <w:tc>
          <w:tcPr>
            <w:tcW w:w="1838" w:type="dxa"/>
            <w:vAlign w:val="top"/>
          </w:tcPr>
          <w:p w14:paraId="6EFD8106">
            <w:pPr>
              <w:rPr>
                <w:rFonts w:ascii="Arial"/>
                <w:sz w:val="21"/>
                <w:highlight w:val="none"/>
              </w:rPr>
            </w:pPr>
          </w:p>
        </w:tc>
        <w:tc>
          <w:tcPr>
            <w:tcW w:w="1398" w:type="dxa"/>
            <w:vAlign w:val="top"/>
          </w:tcPr>
          <w:p w14:paraId="0445590C">
            <w:pPr>
              <w:rPr>
                <w:rFonts w:ascii="Arial"/>
                <w:sz w:val="21"/>
                <w:highlight w:val="none"/>
              </w:rPr>
            </w:pPr>
          </w:p>
        </w:tc>
        <w:tc>
          <w:tcPr>
            <w:tcW w:w="1079" w:type="dxa"/>
            <w:vAlign w:val="top"/>
          </w:tcPr>
          <w:p w14:paraId="30C09E3F">
            <w:pPr>
              <w:rPr>
                <w:rFonts w:ascii="Arial"/>
                <w:sz w:val="21"/>
                <w:highlight w:val="none"/>
              </w:rPr>
            </w:pPr>
          </w:p>
        </w:tc>
        <w:tc>
          <w:tcPr>
            <w:tcW w:w="1108" w:type="dxa"/>
            <w:vAlign w:val="top"/>
          </w:tcPr>
          <w:p w14:paraId="765B93B1">
            <w:pPr>
              <w:rPr>
                <w:rFonts w:ascii="Arial"/>
                <w:sz w:val="21"/>
                <w:highlight w:val="none"/>
              </w:rPr>
            </w:pPr>
          </w:p>
        </w:tc>
        <w:tc>
          <w:tcPr>
            <w:tcW w:w="1788" w:type="dxa"/>
            <w:vAlign w:val="top"/>
          </w:tcPr>
          <w:p w14:paraId="3E9DDC5E">
            <w:pPr>
              <w:rPr>
                <w:rFonts w:ascii="Arial"/>
                <w:sz w:val="21"/>
                <w:highlight w:val="none"/>
              </w:rPr>
            </w:pPr>
          </w:p>
        </w:tc>
        <w:tc>
          <w:tcPr>
            <w:tcW w:w="1084" w:type="dxa"/>
            <w:vAlign w:val="top"/>
          </w:tcPr>
          <w:p w14:paraId="4CAAB237">
            <w:pPr>
              <w:rPr>
                <w:rFonts w:ascii="Arial"/>
                <w:sz w:val="21"/>
                <w:highlight w:val="none"/>
              </w:rPr>
            </w:pPr>
          </w:p>
        </w:tc>
      </w:tr>
      <w:tr w14:paraId="35124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544" w:type="dxa"/>
            <w:vAlign w:val="top"/>
          </w:tcPr>
          <w:p w14:paraId="31641F49">
            <w:pPr>
              <w:rPr>
                <w:rFonts w:ascii="Arial"/>
                <w:sz w:val="21"/>
                <w:highlight w:val="none"/>
              </w:rPr>
            </w:pPr>
          </w:p>
        </w:tc>
        <w:tc>
          <w:tcPr>
            <w:tcW w:w="1838" w:type="dxa"/>
            <w:vAlign w:val="top"/>
          </w:tcPr>
          <w:p w14:paraId="329C04C5">
            <w:pPr>
              <w:rPr>
                <w:rFonts w:ascii="Arial"/>
                <w:sz w:val="21"/>
                <w:highlight w:val="none"/>
              </w:rPr>
            </w:pPr>
          </w:p>
        </w:tc>
        <w:tc>
          <w:tcPr>
            <w:tcW w:w="1398" w:type="dxa"/>
            <w:vAlign w:val="top"/>
          </w:tcPr>
          <w:p w14:paraId="6039048B">
            <w:pPr>
              <w:rPr>
                <w:rFonts w:ascii="Arial"/>
                <w:sz w:val="21"/>
                <w:highlight w:val="none"/>
              </w:rPr>
            </w:pPr>
          </w:p>
        </w:tc>
        <w:tc>
          <w:tcPr>
            <w:tcW w:w="1079" w:type="dxa"/>
            <w:vAlign w:val="top"/>
          </w:tcPr>
          <w:p w14:paraId="5C9A69F8">
            <w:pPr>
              <w:rPr>
                <w:rFonts w:ascii="Arial"/>
                <w:sz w:val="21"/>
                <w:highlight w:val="none"/>
              </w:rPr>
            </w:pPr>
          </w:p>
        </w:tc>
        <w:tc>
          <w:tcPr>
            <w:tcW w:w="1108" w:type="dxa"/>
            <w:vAlign w:val="top"/>
          </w:tcPr>
          <w:p w14:paraId="6B3C25DB">
            <w:pPr>
              <w:rPr>
                <w:rFonts w:ascii="Arial"/>
                <w:sz w:val="21"/>
                <w:highlight w:val="none"/>
              </w:rPr>
            </w:pPr>
          </w:p>
        </w:tc>
        <w:tc>
          <w:tcPr>
            <w:tcW w:w="1788" w:type="dxa"/>
            <w:vAlign w:val="top"/>
          </w:tcPr>
          <w:p w14:paraId="7C264C4C">
            <w:pPr>
              <w:rPr>
                <w:rFonts w:ascii="Arial"/>
                <w:sz w:val="21"/>
                <w:highlight w:val="none"/>
              </w:rPr>
            </w:pPr>
          </w:p>
        </w:tc>
        <w:tc>
          <w:tcPr>
            <w:tcW w:w="1084" w:type="dxa"/>
            <w:vAlign w:val="top"/>
          </w:tcPr>
          <w:p w14:paraId="7C46596C">
            <w:pPr>
              <w:rPr>
                <w:rFonts w:ascii="Arial"/>
                <w:sz w:val="21"/>
                <w:highlight w:val="none"/>
              </w:rPr>
            </w:pPr>
          </w:p>
        </w:tc>
      </w:tr>
      <w:tr w14:paraId="53811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1784518D">
            <w:pPr>
              <w:rPr>
                <w:rFonts w:ascii="Arial"/>
                <w:sz w:val="21"/>
                <w:highlight w:val="none"/>
              </w:rPr>
            </w:pPr>
          </w:p>
        </w:tc>
        <w:tc>
          <w:tcPr>
            <w:tcW w:w="1838" w:type="dxa"/>
            <w:vAlign w:val="top"/>
          </w:tcPr>
          <w:p w14:paraId="128DAD2A">
            <w:pPr>
              <w:rPr>
                <w:rFonts w:ascii="Arial"/>
                <w:sz w:val="21"/>
                <w:highlight w:val="none"/>
              </w:rPr>
            </w:pPr>
          </w:p>
        </w:tc>
        <w:tc>
          <w:tcPr>
            <w:tcW w:w="1398" w:type="dxa"/>
            <w:vAlign w:val="top"/>
          </w:tcPr>
          <w:p w14:paraId="3EF5AF1C">
            <w:pPr>
              <w:rPr>
                <w:rFonts w:ascii="Arial"/>
                <w:sz w:val="21"/>
                <w:highlight w:val="none"/>
              </w:rPr>
            </w:pPr>
          </w:p>
        </w:tc>
        <w:tc>
          <w:tcPr>
            <w:tcW w:w="1079" w:type="dxa"/>
            <w:vAlign w:val="top"/>
          </w:tcPr>
          <w:p w14:paraId="5BEA2D9F">
            <w:pPr>
              <w:rPr>
                <w:rFonts w:ascii="Arial"/>
                <w:sz w:val="21"/>
                <w:highlight w:val="none"/>
              </w:rPr>
            </w:pPr>
          </w:p>
        </w:tc>
        <w:tc>
          <w:tcPr>
            <w:tcW w:w="1108" w:type="dxa"/>
            <w:vAlign w:val="top"/>
          </w:tcPr>
          <w:p w14:paraId="1AF41138">
            <w:pPr>
              <w:rPr>
                <w:rFonts w:ascii="Arial"/>
                <w:sz w:val="21"/>
                <w:highlight w:val="none"/>
              </w:rPr>
            </w:pPr>
          </w:p>
        </w:tc>
        <w:tc>
          <w:tcPr>
            <w:tcW w:w="1788" w:type="dxa"/>
            <w:vAlign w:val="top"/>
          </w:tcPr>
          <w:p w14:paraId="3DBB7264">
            <w:pPr>
              <w:rPr>
                <w:rFonts w:ascii="Arial"/>
                <w:sz w:val="21"/>
                <w:highlight w:val="none"/>
              </w:rPr>
            </w:pPr>
          </w:p>
        </w:tc>
        <w:tc>
          <w:tcPr>
            <w:tcW w:w="1084" w:type="dxa"/>
            <w:vAlign w:val="top"/>
          </w:tcPr>
          <w:p w14:paraId="021E6C4B">
            <w:pPr>
              <w:rPr>
                <w:rFonts w:ascii="Arial"/>
                <w:sz w:val="21"/>
                <w:highlight w:val="none"/>
              </w:rPr>
            </w:pPr>
          </w:p>
        </w:tc>
      </w:tr>
      <w:tr w14:paraId="620A0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44" w:type="dxa"/>
            <w:vAlign w:val="top"/>
          </w:tcPr>
          <w:p w14:paraId="09F19970">
            <w:pPr>
              <w:rPr>
                <w:rFonts w:ascii="Arial"/>
                <w:sz w:val="21"/>
                <w:highlight w:val="none"/>
              </w:rPr>
            </w:pPr>
          </w:p>
        </w:tc>
        <w:tc>
          <w:tcPr>
            <w:tcW w:w="1838" w:type="dxa"/>
            <w:vAlign w:val="top"/>
          </w:tcPr>
          <w:p w14:paraId="22811E30">
            <w:pPr>
              <w:rPr>
                <w:rFonts w:ascii="Arial"/>
                <w:sz w:val="21"/>
                <w:highlight w:val="none"/>
              </w:rPr>
            </w:pPr>
          </w:p>
        </w:tc>
        <w:tc>
          <w:tcPr>
            <w:tcW w:w="1398" w:type="dxa"/>
            <w:vAlign w:val="top"/>
          </w:tcPr>
          <w:p w14:paraId="7119F7CD">
            <w:pPr>
              <w:rPr>
                <w:rFonts w:ascii="Arial"/>
                <w:sz w:val="21"/>
                <w:highlight w:val="none"/>
              </w:rPr>
            </w:pPr>
          </w:p>
        </w:tc>
        <w:tc>
          <w:tcPr>
            <w:tcW w:w="1079" w:type="dxa"/>
            <w:vAlign w:val="top"/>
          </w:tcPr>
          <w:p w14:paraId="4EED94A6">
            <w:pPr>
              <w:rPr>
                <w:rFonts w:ascii="Arial"/>
                <w:sz w:val="21"/>
                <w:highlight w:val="none"/>
              </w:rPr>
            </w:pPr>
          </w:p>
        </w:tc>
        <w:tc>
          <w:tcPr>
            <w:tcW w:w="1108" w:type="dxa"/>
            <w:vAlign w:val="top"/>
          </w:tcPr>
          <w:p w14:paraId="62ADEFC0">
            <w:pPr>
              <w:rPr>
                <w:rFonts w:ascii="Arial"/>
                <w:sz w:val="21"/>
                <w:highlight w:val="none"/>
              </w:rPr>
            </w:pPr>
          </w:p>
        </w:tc>
        <w:tc>
          <w:tcPr>
            <w:tcW w:w="1788" w:type="dxa"/>
            <w:vAlign w:val="top"/>
          </w:tcPr>
          <w:p w14:paraId="026C2DD2">
            <w:pPr>
              <w:rPr>
                <w:rFonts w:ascii="Arial"/>
                <w:sz w:val="21"/>
                <w:highlight w:val="none"/>
              </w:rPr>
            </w:pPr>
          </w:p>
        </w:tc>
        <w:tc>
          <w:tcPr>
            <w:tcW w:w="1084" w:type="dxa"/>
            <w:vAlign w:val="top"/>
          </w:tcPr>
          <w:p w14:paraId="12B87402">
            <w:pPr>
              <w:rPr>
                <w:rFonts w:ascii="Arial"/>
                <w:sz w:val="21"/>
                <w:highlight w:val="none"/>
              </w:rPr>
            </w:pPr>
          </w:p>
        </w:tc>
      </w:tr>
      <w:tr w14:paraId="05BEF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51B550E2">
            <w:pPr>
              <w:rPr>
                <w:rFonts w:ascii="Arial"/>
                <w:sz w:val="21"/>
                <w:highlight w:val="none"/>
              </w:rPr>
            </w:pPr>
          </w:p>
        </w:tc>
        <w:tc>
          <w:tcPr>
            <w:tcW w:w="1838" w:type="dxa"/>
            <w:vAlign w:val="top"/>
          </w:tcPr>
          <w:p w14:paraId="67CFFD62">
            <w:pPr>
              <w:rPr>
                <w:rFonts w:ascii="Arial"/>
                <w:sz w:val="21"/>
                <w:highlight w:val="none"/>
              </w:rPr>
            </w:pPr>
          </w:p>
        </w:tc>
        <w:tc>
          <w:tcPr>
            <w:tcW w:w="1398" w:type="dxa"/>
            <w:vAlign w:val="top"/>
          </w:tcPr>
          <w:p w14:paraId="4AFDBC2D">
            <w:pPr>
              <w:rPr>
                <w:rFonts w:ascii="Arial"/>
                <w:sz w:val="21"/>
                <w:highlight w:val="none"/>
              </w:rPr>
            </w:pPr>
          </w:p>
        </w:tc>
        <w:tc>
          <w:tcPr>
            <w:tcW w:w="1079" w:type="dxa"/>
            <w:vAlign w:val="top"/>
          </w:tcPr>
          <w:p w14:paraId="4539F514">
            <w:pPr>
              <w:rPr>
                <w:rFonts w:ascii="Arial"/>
                <w:sz w:val="21"/>
                <w:highlight w:val="none"/>
              </w:rPr>
            </w:pPr>
          </w:p>
        </w:tc>
        <w:tc>
          <w:tcPr>
            <w:tcW w:w="1108" w:type="dxa"/>
            <w:vAlign w:val="top"/>
          </w:tcPr>
          <w:p w14:paraId="01C0987F">
            <w:pPr>
              <w:rPr>
                <w:rFonts w:ascii="Arial"/>
                <w:sz w:val="21"/>
                <w:highlight w:val="none"/>
              </w:rPr>
            </w:pPr>
          </w:p>
        </w:tc>
        <w:tc>
          <w:tcPr>
            <w:tcW w:w="1788" w:type="dxa"/>
            <w:vAlign w:val="top"/>
          </w:tcPr>
          <w:p w14:paraId="60B98A43">
            <w:pPr>
              <w:rPr>
                <w:rFonts w:ascii="Arial"/>
                <w:sz w:val="21"/>
                <w:highlight w:val="none"/>
              </w:rPr>
            </w:pPr>
          </w:p>
        </w:tc>
        <w:tc>
          <w:tcPr>
            <w:tcW w:w="1084" w:type="dxa"/>
            <w:vAlign w:val="top"/>
          </w:tcPr>
          <w:p w14:paraId="41648C61">
            <w:pPr>
              <w:rPr>
                <w:rFonts w:ascii="Arial"/>
                <w:sz w:val="21"/>
                <w:highlight w:val="none"/>
              </w:rPr>
            </w:pPr>
          </w:p>
        </w:tc>
      </w:tr>
      <w:tr w14:paraId="73737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44" w:type="dxa"/>
            <w:vAlign w:val="top"/>
          </w:tcPr>
          <w:p w14:paraId="42FF207E">
            <w:pPr>
              <w:rPr>
                <w:rFonts w:ascii="Arial"/>
                <w:sz w:val="21"/>
                <w:highlight w:val="none"/>
              </w:rPr>
            </w:pPr>
          </w:p>
        </w:tc>
        <w:tc>
          <w:tcPr>
            <w:tcW w:w="1838" w:type="dxa"/>
            <w:vAlign w:val="top"/>
          </w:tcPr>
          <w:p w14:paraId="2C9EB5E8">
            <w:pPr>
              <w:rPr>
                <w:rFonts w:ascii="Arial"/>
                <w:sz w:val="21"/>
                <w:highlight w:val="none"/>
              </w:rPr>
            </w:pPr>
          </w:p>
        </w:tc>
        <w:tc>
          <w:tcPr>
            <w:tcW w:w="1398" w:type="dxa"/>
            <w:vAlign w:val="top"/>
          </w:tcPr>
          <w:p w14:paraId="39E9E996">
            <w:pPr>
              <w:rPr>
                <w:rFonts w:ascii="Arial"/>
                <w:sz w:val="21"/>
                <w:highlight w:val="none"/>
              </w:rPr>
            </w:pPr>
          </w:p>
        </w:tc>
        <w:tc>
          <w:tcPr>
            <w:tcW w:w="1079" w:type="dxa"/>
            <w:vAlign w:val="top"/>
          </w:tcPr>
          <w:p w14:paraId="0A622623">
            <w:pPr>
              <w:rPr>
                <w:rFonts w:ascii="Arial"/>
                <w:sz w:val="21"/>
                <w:highlight w:val="none"/>
              </w:rPr>
            </w:pPr>
          </w:p>
        </w:tc>
        <w:tc>
          <w:tcPr>
            <w:tcW w:w="1108" w:type="dxa"/>
            <w:vAlign w:val="top"/>
          </w:tcPr>
          <w:p w14:paraId="5BBF9CAA">
            <w:pPr>
              <w:rPr>
                <w:rFonts w:ascii="Arial"/>
                <w:sz w:val="21"/>
                <w:highlight w:val="none"/>
              </w:rPr>
            </w:pPr>
          </w:p>
        </w:tc>
        <w:tc>
          <w:tcPr>
            <w:tcW w:w="1788" w:type="dxa"/>
            <w:vAlign w:val="top"/>
          </w:tcPr>
          <w:p w14:paraId="302F2E69">
            <w:pPr>
              <w:rPr>
                <w:rFonts w:ascii="Arial"/>
                <w:sz w:val="21"/>
                <w:highlight w:val="none"/>
              </w:rPr>
            </w:pPr>
          </w:p>
        </w:tc>
        <w:tc>
          <w:tcPr>
            <w:tcW w:w="1084" w:type="dxa"/>
            <w:vAlign w:val="top"/>
          </w:tcPr>
          <w:p w14:paraId="36F15192">
            <w:pPr>
              <w:rPr>
                <w:rFonts w:ascii="Arial"/>
                <w:sz w:val="21"/>
                <w:highlight w:val="none"/>
              </w:rPr>
            </w:pPr>
          </w:p>
        </w:tc>
      </w:tr>
    </w:tbl>
    <w:p w14:paraId="2DE0EAB7">
      <w:pPr>
        <w:pStyle w:val="2"/>
        <w:rPr>
          <w:highlight w:val="none"/>
        </w:rPr>
      </w:pPr>
    </w:p>
    <w:p w14:paraId="026FCD9B">
      <w:pPr>
        <w:rPr>
          <w:highlight w:val="none"/>
        </w:rPr>
        <w:sectPr>
          <w:headerReference r:id="rId272" w:type="default"/>
          <w:footerReference r:id="rId273" w:type="default"/>
          <w:pgSz w:w="11910" w:h="16840"/>
          <w:pgMar w:top="400" w:right="1105" w:bottom="1217" w:left="1786" w:header="0" w:footer="1013" w:gutter="0"/>
          <w:cols w:space="720" w:num="1"/>
        </w:sectPr>
      </w:pPr>
    </w:p>
    <w:p w14:paraId="2DBE4B6F">
      <w:pPr>
        <w:spacing w:before="140"/>
        <w:rPr>
          <w:highlight w:val="none"/>
        </w:rPr>
      </w:pPr>
    </w:p>
    <w:tbl>
      <w:tblPr>
        <w:tblStyle w:val="5"/>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22"/>
        <w:gridCol w:w="6087"/>
      </w:tblGrid>
      <w:tr w14:paraId="1EB33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2422" w:type="dxa"/>
            <w:vAlign w:val="top"/>
          </w:tcPr>
          <w:p w14:paraId="1150C2F8">
            <w:pPr>
              <w:pStyle w:val="6"/>
              <w:spacing w:before="214" w:line="220" w:lineRule="auto"/>
              <w:ind w:left="784"/>
              <w:rPr>
                <w:highlight w:val="none"/>
              </w:rPr>
            </w:pPr>
            <w:bookmarkStart w:id="254" w:name="bookmark302"/>
            <w:bookmarkEnd w:id="254"/>
            <w:r>
              <w:rPr>
                <w:spacing w:val="2"/>
                <w:highlight w:val="none"/>
              </w:rPr>
              <w:t>项目名称</w:t>
            </w:r>
          </w:p>
        </w:tc>
        <w:tc>
          <w:tcPr>
            <w:tcW w:w="6087" w:type="dxa"/>
            <w:vAlign w:val="top"/>
          </w:tcPr>
          <w:p w14:paraId="3E388EF4">
            <w:pPr>
              <w:rPr>
                <w:rFonts w:ascii="Arial"/>
                <w:sz w:val="21"/>
                <w:highlight w:val="none"/>
              </w:rPr>
            </w:pPr>
          </w:p>
        </w:tc>
      </w:tr>
      <w:tr w14:paraId="6D210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2CF2CCE6">
            <w:pPr>
              <w:pStyle w:val="6"/>
              <w:spacing w:before="210" w:line="220" w:lineRule="auto"/>
              <w:ind w:left="674"/>
              <w:rPr>
                <w:highlight w:val="none"/>
              </w:rPr>
            </w:pPr>
            <w:r>
              <w:rPr>
                <w:spacing w:val="-2"/>
                <w:highlight w:val="none"/>
              </w:rPr>
              <w:t>项目所在地</w:t>
            </w:r>
          </w:p>
        </w:tc>
        <w:tc>
          <w:tcPr>
            <w:tcW w:w="6087" w:type="dxa"/>
            <w:vAlign w:val="top"/>
          </w:tcPr>
          <w:p w14:paraId="426BCE47">
            <w:pPr>
              <w:rPr>
                <w:rFonts w:ascii="Arial"/>
                <w:sz w:val="21"/>
                <w:highlight w:val="none"/>
              </w:rPr>
            </w:pPr>
          </w:p>
        </w:tc>
      </w:tr>
      <w:tr w14:paraId="10258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1C2D14E7">
            <w:pPr>
              <w:pStyle w:val="6"/>
              <w:spacing w:before="211" w:line="220" w:lineRule="auto"/>
              <w:ind w:left="674"/>
              <w:rPr>
                <w:highlight w:val="none"/>
              </w:rPr>
            </w:pPr>
            <w:r>
              <w:rPr>
                <w:spacing w:val="2"/>
                <w:highlight w:val="none"/>
              </w:rPr>
              <w:t>发包人名称</w:t>
            </w:r>
          </w:p>
        </w:tc>
        <w:tc>
          <w:tcPr>
            <w:tcW w:w="6087" w:type="dxa"/>
            <w:vAlign w:val="top"/>
          </w:tcPr>
          <w:p w14:paraId="6D7AA10C">
            <w:pPr>
              <w:rPr>
                <w:rFonts w:ascii="Arial"/>
                <w:sz w:val="21"/>
                <w:highlight w:val="none"/>
              </w:rPr>
            </w:pPr>
          </w:p>
        </w:tc>
      </w:tr>
      <w:tr w14:paraId="11D2D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631E0540">
            <w:pPr>
              <w:pStyle w:val="6"/>
              <w:spacing w:before="212" w:line="220" w:lineRule="auto"/>
              <w:ind w:left="674"/>
              <w:rPr>
                <w:highlight w:val="none"/>
              </w:rPr>
            </w:pPr>
            <w:r>
              <w:rPr>
                <w:spacing w:val="1"/>
                <w:highlight w:val="none"/>
              </w:rPr>
              <w:t>发包人地址</w:t>
            </w:r>
          </w:p>
        </w:tc>
        <w:tc>
          <w:tcPr>
            <w:tcW w:w="6087" w:type="dxa"/>
            <w:vAlign w:val="top"/>
          </w:tcPr>
          <w:p w14:paraId="655B87E5">
            <w:pPr>
              <w:rPr>
                <w:rFonts w:ascii="Arial"/>
                <w:sz w:val="21"/>
                <w:highlight w:val="none"/>
              </w:rPr>
            </w:pPr>
          </w:p>
        </w:tc>
      </w:tr>
      <w:tr w14:paraId="1D218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422" w:type="dxa"/>
            <w:vAlign w:val="top"/>
          </w:tcPr>
          <w:p w14:paraId="21B471E7">
            <w:pPr>
              <w:pStyle w:val="6"/>
              <w:spacing w:before="213" w:line="220" w:lineRule="auto"/>
              <w:ind w:left="254"/>
              <w:rPr>
                <w:highlight w:val="none"/>
              </w:rPr>
            </w:pPr>
            <w:r>
              <w:rPr>
                <w:spacing w:val="-2"/>
                <w:highlight w:val="none"/>
              </w:rPr>
              <w:t>发包人联系人及电话</w:t>
            </w:r>
          </w:p>
        </w:tc>
        <w:tc>
          <w:tcPr>
            <w:tcW w:w="6087" w:type="dxa"/>
            <w:vAlign w:val="top"/>
          </w:tcPr>
          <w:p w14:paraId="5A5B50DF">
            <w:pPr>
              <w:rPr>
                <w:rFonts w:ascii="Arial"/>
                <w:sz w:val="21"/>
                <w:highlight w:val="none"/>
              </w:rPr>
            </w:pPr>
          </w:p>
        </w:tc>
      </w:tr>
      <w:tr w14:paraId="1EB25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4BBED32B">
            <w:pPr>
              <w:pStyle w:val="6"/>
              <w:spacing w:before="210" w:line="218" w:lineRule="auto"/>
              <w:ind w:left="784"/>
              <w:rPr>
                <w:highlight w:val="none"/>
              </w:rPr>
            </w:pPr>
            <w:r>
              <w:rPr>
                <w:spacing w:val="-2"/>
                <w:highlight w:val="none"/>
              </w:rPr>
              <w:t>合同价格</w:t>
            </w:r>
          </w:p>
        </w:tc>
        <w:tc>
          <w:tcPr>
            <w:tcW w:w="6087" w:type="dxa"/>
            <w:vAlign w:val="top"/>
          </w:tcPr>
          <w:p w14:paraId="513DC578">
            <w:pPr>
              <w:rPr>
                <w:rFonts w:ascii="Arial"/>
                <w:sz w:val="21"/>
                <w:highlight w:val="none"/>
              </w:rPr>
            </w:pPr>
          </w:p>
        </w:tc>
      </w:tr>
      <w:tr w14:paraId="32916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422" w:type="dxa"/>
            <w:vAlign w:val="top"/>
          </w:tcPr>
          <w:p w14:paraId="519A3AD4">
            <w:pPr>
              <w:pStyle w:val="6"/>
              <w:spacing w:before="224" w:line="220" w:lineRule="auto"/>
              <w:ind w:left="784"/>
              <w:rPr>
                <w:highlight w:val="none"/>
              </w:rPr>
            </w:pPr>
            <w:r>
              <w:rPr>
                <w:spacing w:val="3"/>
                <w:highlight w:val="none"/>
              </w:rPr>
              <w:t>开工日期</w:t>
            </w:r>
          </w:p>
        </w:tc>
        <w:tc>
          <w:tcPr>
            <w:tcW w:w="6087" w:type="dxa"/>
            <w:vAlign w:val="top"/>
          </w:tcPr>
          <w:p w14:paraId="371D9BAC">
            <w:pPr>
              <w:rPr>
                <w:rFonts w:ascii="Arial"/>
                <w:sz w:val="21"/>
                <w:highlight w:val="none"/>
              </w:rPr>
            </w:pPr>
          </w:p>
        </w:tc>
      </w:tr>
      <w:tr w14:paraId="33861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1B168068">
            <w:pPr>
              <w:pStyle w:val="6"/>
              <w:spacing w:before="214" w:line="219" w:lineRule="auto"/>
              <w:ind w:left="784"/>
              <w:rPr>
                <w:highlight w:val="none"/>
              </w:rPr>
            </w:pPr>
            <w:r>
              <w:rPr>
                <w:spacing w:val="3"/>
                <w:highlight w:val="none"/>
              </w:rPr>
              <w:t>竣工日期</w:t>
            </w:r>
          </w:p>
        </w:tc>
        <w:tc>
          <w:tcPr>
            <w:tcW w:w="6087" w:type="dxa"/>
            <w:vAlign w:val="top"/>
          </w:tcPr>
          <w:p w14:paraId="4CF23132">
            <w:pPr>
              <w:rPr>
                <w:rFonts w:ascii="Arial"/>
                <w:sz w:val="21"/>
                <w:highlight w:val="none"/>
              </w:rPr>
            </w:pPr>
          </w:p>
        </w:tc>
      </w:tr>
      <w:tr w14:paraId="747BD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22" w:type="dxa"/>
            <w:vAlign w:val="top"/>
          </w:tcPr>
          <w:p w14:paraId="3C022A50">
            <w:pPr>
              <w:pStyle w:val="6"/>
              <w:spacing w:before="215" w:line="219" w:lineRule="auto"/>
              <w:ind w:left="674"/>
              <w:rPr>
                <w:highlight w:val="none"/>
              </w:rPr>
            </w:pPr>
            <w:r>
              <w:rPr>
                <w:spacing w:val="2"/>
                <w:highlight w:val="none"/>
              </w:rPr>
              <w:t>承担的工作</w:t>
            </w:r>
          </w:p>
        </w:tc>
        <w:tc>
          <w:tcPr>
            <w:tcW w:w="6087" w:type="dxa"/>
            <w:vAlign w:val="top"/>
          </w:tcPr>
          <w:p w14:paraId="5EC7419D">
            <w:pPr>
              <w:rPr>
                <w:rFonts w:ascii="Arial"/>
                <w:sz w:val="21"/>
                <w:highlight w:val="none"/>
              </w:rPr>
            </w:pPr>
          </w:p>
        </w:tc>
      </w:tr>
      <w:tr w14:paraId="644BF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422" w:type="dxa"/>
            <w:vAlign w:val="top"/>
          </w:tcPr>
          <w:p w14:paraId="65DA58F7">
            <w:pPr>
              <w:pStyle w:val="6"/>
              <w:spacing w:before="207" w:line="220" w:lineRule="auto"/>
              <w:ind w:left="784"/>
              <w:rPr>
                <w:highlight w:val="none"/>
              </w:rPr>
            </w:pPr>
            <w:r>
              <w:rPr>
                <w:spacing w:val="-3"/>
                <w:highlight w:val="none"/>
              </w:rPr>
              <w:t>工程质量</w:t>
            </w:r>
          </w:p>
        </w:tc>
        <w:tc>
          <w:tcPr>
            <w:tcW w:w="6087" w:type="dxa"/>
            <w:vAlign w:val="top"/>
          </w:tcPr>
          <w:p w14:paraId="25685A52">
            <w:pPr>
              <w:rPr>
                <w:rFonts w:ascii="Arial"/>
                <w:sz w:val="21"/>
                <w:highlight w:val="none"/>
              </w:rPr>
            </w:pPr>
          </w:p>
        </w:tc>
      </w:tr>
      <w:tr w14:paraId="5C538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422" w:type="dxa"/>
            <w:vAlign w:val="top"/>
          </w:tcPr>
          <w:p w14:paraId="6B948DB7">
            <w:pPr>
              <w:pStyle w:val="6"/>
              <w:spacing w:before="227" w:line="220" w:lineRule="auto"/>
              <w:ind w:left="784"/>
              <w:rPr>
                <w:highlight w:val="none"/>
              </w:rPr>
            </w:pPr>
            <w:r>
              <w:rPr>
                <w:spacing w:val="-3"/>
                <w:highlight w:val="none"/>
              </w:rPr>
              <w:t>项目经理</w:t>
            </w:r>
          </w:p>
        </w:tc>
        <w:tc>
          <w:tcPr>
            <w:tcW w:w="6087" w:type="dxa"/>
            <w:vAlign w:val="top"/>
          </w:tcPr>
          <w:p w14:paraId="64203B83">
            <w:pPr>
              <w:rPr>
                <w:rFonts w:ascii="Arial"/>
                <w:sz w:val="21"/>
                <w:highlight w:val="none"/>
              </w:rPr>
            </w:pPr>
          </w:p>
        </w:tc>
      </w:tr>
      <w:tr w14:paraId="52812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422" w:type="dxa"/>
            <w:vAlign w:val="top"/>
          </w:tcPr>
          <w:p w14:paraId="52FC379E">
            <w:pPr>
              <w:pStyle w:val="6"/>
              <w:spacing w:before="217" w:line="219" w:lineRule="auto"/>
              <w:ind w:left="254"/>
              <w:rPr>
                <w:highlight w:val="none"/>
              </w:rPr>
            </w:pPr>
            <w:r>
              <w:rPr>
                <w:highlight w:val="none"/>
              </w:rPr>
              <w:t>总监理工程师及电话</w:t>
            </w:r>
          </w:p>
        </w:tc>
        <w:tc>
          <w:tcPr>
            <w:tcW w:w="6087" w:type="dxa"/>
            <w:vAlign w:val="top"/>
          </w:tcPr>
          <w:p w14:paraId="02A33AB0">
            <w:pPr>
              <w:rPr>
                <w:rFonts w:ascii="Arial"/>
                <w:sz w:val="21"/>
                <w:highlight w:val="none"/>
              </w:rPr>
            </w:pPr>
          </w:p>
        </w:tc>
      </w:tr>
      <w:tr w14:paraId="00022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422" w:type="dxa"/>
            <w:vAlign w:val="top"/>
          </w:tcPr>
          <w:p w14:paraId="7D556695">
            <w:pPr>
              <w:pStyle w:val="6"/>
              <w:spacing w:before="239" w:line="220" w:lineRule="auto"/>
              <w:ind w:left="784"/>
              <w:rPr>
                <w:highlight w:val="none"/>
              </w:rPr>
            </w:pPr>
            <w:r>
              <w:rPr>
                <w:spacing w:val="-3"/>
                <w:highlight w:val="none"/>
              </w:rPr>
              <w:t>项目描述</w:t>
            </w:r>
          </w:p>
        </w:tc>
        <w:tc>
          <w:tcPr>
            <w:tcW w:w="6087" w:type="dxa"/>
            <w:vAlign w:val="top"/>
          </w:tcPr>
          <w:p w14:paraId="5E4D5B46">
            <w:pPr>
              <w:rPr>
                <w:rFonts w:ascii="Arial"/>
                <w:sz w:val="21"/>
                <w:highlight w:val="none"/>
              </w:rPr>
            </w:pPr>
          </w:p>
        </w:tc>
      </w:tr>
      <w:tr w14:paraId="652A7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422" w:type="dxa"/>
            <w:vAlign w:val="top"/>
          </w:tcPr>
          <w:p w14:paraId="6DA5B6D1">
            <w:pPr>
              <w:pStyle w:val="6"/>
              <w:spacing w:before="209" w:line="221" w:lineRule="auto"/>
              <w:ind w:left="994"/>
              <w:rPr>
                <w:highlight w:val="none"/>
              </w:rPr>
            </w:pPr>
            <w:r>
              <w:rPr>
                <w:spacing w:val="5"/>
                <w:highlight w:val="none"/>
              </w:rPr>
              <w:t>备注</w:t>
            </w:r>
          </w:p>
        </w:tc>
        <w:tc>
          <w:tcPr>
            <w:tcW w:w="6087" w:type="dxa"/>
            <w:vAlign w:val="top"/>
          </w:tcPr>
          <w:p w14:paraId="6659DABD">
            <w:pPr>
              <w:rPr>
                <w:rFonts w:ascii="Arial"/>
                <w:sz w:val="21"/>
                <w:highlight w:val="none"/>
              </w:rPr>
            </w:pPr>
          </w:p>
        </w:tc>
      </w:tr>
    </w:tbl>
    <w:p w14:paraId="59F76FB6">
      <w:pPr>
        <w:pStyle w:val="2"/>
        <w:spacing w:line="269" w:lineRule="auto"/>
        <w:rPr>
          <w:highlight w:val="none"/>
        </w:rPr>
      </w:pPr>
    </w:p>
    <w:p w14:paraId="28736F42">
      <w:pPr>
        <w:pStyle w:val="2"/>
        <w:spacing w:line="269" w:lineRule="auto"/>
        <w:rPr>
          <w:highlight w:val="none"/>
        </w:rPr>
      </w:pPr>
    </w:p>
    <w:p w14:paraId="5E301138">
      <w:pPr>
        <w:spacing w:before="72" w:line="369" w:lineRule="auto"/>
        <w:ind w:left="734" w:right="75" w:hanging="610"/>
        <w:rPr>
          <w:rFonts w:ascii="宋体" w:hAnsi="宋体" w:eastAsia="宋体" w:cs="宋体"/>
          <w:sz w:val="22"/>
          <w:szCs w:val="22"/>
          <w:highlight w:val="none"/>
        </w:rPr>
      </w:pPr>
      <w:r>
        <w:rPr>
          <w:rFonts w:ascii="黑体" w:hAnsi="黑体" w:eastAsia="黑体" w:cs="黑体"/>
          <w:spacing w:val="-6"/>
          <w:sz w:val="22"/>
          <w:szCs w:val="22"/>
          <w:highlight w:val="none"/>
        </w:rPr>
        <w:t>备注：1.“</w:t>
      </w:r>
      <w:r>
        <w:rPr>
          <w:rFonts w:ascii="宋体" w:hAnsi="宋体" w:eastAsia="宋体" w:cs="宋体"/>
          <w:spacing w:val="-6"/>
          <w:sz w:val="22"/>
          <w:szCs w:val="22"/>
          <w:highlight w:val="none"/>
        </w:rPr>
        <w:t>类似施工项目”见投标人须知前附表；具体</w:t>
      </w:r>
      <w:r>
        <w:rPr>
          <w:rFonts w:ascii="宋体" w:hAnsi="宋体" w:eastAsia="宋体" w:cs="宋体"/>
          <w:spacing w:val="-7"/>
          <w:sz w:val="22"/>
          <w:szCs w:val="22"/>
          <w:highlight w:val="none"/>
        </w:rPr>
        <w:t>年份要求见申请(投标)人须知前附</w:t>
      </w:r>
      <w:r>
        <w:rPr>
          <w:rFonts w:ascii="宋体" w:hAnsi="宋体" w:eastAsia="宋体" w:cs="宋体"/>
          <w:sz w:val="22"/>
          <w:szCs w:val="22"/>
          <w:highlight w:val="none"/>
        </w:rPr>
        <w:t xml:space="preserve"> </w:t>
      </w:r>
      <w:r>
        <w:rPr>
          <w:rFonts w:ascii="宋体" w:hAnsi="宋体" w:eastAsia="宋体" w:cs="宋体"/>
          <w:spacing w:val="-4"/>
          <w:sz w:val="22"/>
          <w:szCs w:val="22"/>
          <w:highlight w:val="none"/>
        </w:rPr>
        <w:t>表。</w:t>
      </w:r>
    </w:p>
    <w:p w14:paraId="63D3A4D3">
      <w:pPr>
        <w:tabs>
          <w:tab w:val="left" w:pos="1175"/>
        </w:tabs>
        <w:spacing w:before="1" w:line="370" w:lineRule="auto"/>
        <w:ind w:left="1064" w:right="67" w:hanging="229"/>
        <w:rPr>
          <w:rFonts w:ascii="宋体" w:hAnsi="宋体" w:eastAsia="宋体" w:cs="宋体"/>
          <w:sz w:val="22"/>
          <w:szCs w:val="22"/>
          <w:highlight w:val="none"/>
        </w:rPr>
      </w:pPr>
      <w:r>
        <w:rPr>
          <w:rFonts w:ascii="Times New Roman" w:hAnsi="Times New Roman" w:eastAsia="Times New Roman" w:cs="Times New Roman"/>
          <w:spacing w:val="-5"/>
          <w:sz w:val="22"/>
          <w:szCs w:val="22"/>
          <w:highlight w:val="none"/>
        </w:rPr>
        <w:t>2.</w:t>
      </w:r>
      <w:r>
        <w:rPr>
          <w:rFonts w:ascii="Times New Roman" w:hAnsi="Times New Roman" w:eastAsia="Times New Roman" w:cs="Times New Roman"/>
          <w:spacing w:val="20"/>
          <w:sz w:val="22"/>
          <w:szCs w:val="22"/>
          <w:highlight w:val="none"/>
        </w:rPr>
        <w:t xml:space="preserve">  </w:t>
      </w:r>
      <w:r>
        <w:rPr>
          <w:rFonts w:ascii="宋体" w:hAnsi="宋体" w:eastAsia="宋体" w:cs="宋体"/>
          <w:spacing w:val="-5"/>
          <w:sz w:val="22"/>
          <w:szCs w:val="22"/>
          <w:highlight w:val="none"/>
        </w:rPr>
        <w:t>本表后附中标通知书(如有)、合同协议</w:t>
      </w:r>
      <w:r>
        <w:rPr>
          <w:rFonts w:ascii="宋体" w:hAnsi="宋体" w:eastAsia="宋体" w:cs="宋体"/>
          <w:spacing w:val="-6"/>
          <w:sz w:val="22"/>
          <w:szCs w:val="22"/>
          <w:highlight w:val="none"/>
        </w:rPr>
        <w:t>书、工程接收证书或工程竣工验收证书</w:t>
      </w:r>
      <w:r>
        <w:rPr>
          <w:rFonts w:ascii="宋体" w:hAnsi="宋体" w:eastAsia="宋体" w:cs="宋体"/>
          <w:sz w:val="22"/>
          <w:szCs w:val="22"/>
          <w:highlight w:val="none"/>
        </w:rPr>
        <w:t xml:space="preserve"> </w:t>
      </w:r>
      <w:r>
        <w:rPr>
          <w:rFonts w:ascii="宋体" w:hAnsi="宋体" w:eastAsia="宋体" w:cs="宋体"/>
          <w:sz w:val="22"/>
          <w:szCs w:val="22"/>
          <w:highlight w:val="none"/>
        </w:rPr>
        <w:tab/>
      </w:r>
      <w:r>
        <w:rPr>
          <w:rFonts w:ascii="宋体" w:hAnsi="宋体" w:eastAsia="宋体" w:cs="宋体"/>
          <w:sz w:val="22"/>
          <w:szCs w:val="22"/>
          <w:highlight w:val="none"/>
        </w:rPr>
        <w:t>(或工程竣工验收备案证)(如有)及其他证明材料(如需要)的扫描件。其中招</w:t>
      </w:r>
      <w:r>
        <w:rPr>
          <w:rFonts w:ascii="宋体" w:hAnsi="宋体" w:eastAsia="宋体" w:cs="宋体"/>
          <w:spacing w:val="16"/>
          <w:sz w:val="22"/>
          <w:szCs w:val="22"/>
          <w:highlight w:val="none"/>
        </w:rPr>
        <w:t xml:space="preserve"> </w:t>
      </w:r>
      <w:r>
        <w:rPr>
          <w:rFonts w:ascii="宋体" w:hAnsi="宋体" w:eastAsia="宋体" w:cs="宋体"/>
          <w:spacing w:val="-10"/>
          <w:sz w:val="22"/>
          <w:szCs w:val="22"/>
          <w:highlight w:val="none"/>
        </w:rPr>
        <w:t>标发包的工程应附中标通知书。每张表格只填写一个项目，并标明序号。</w:t>
      </w:r>
    </w:p>
    <w:p w14:paraId="2A1A5813">
      <w:pPr>
        <w:spacing w:line="370" w:lineRule="auto"/>
        <w:rPr>
          <w:rFonts w:ascii="宋体" w:hAnsi="宋体" w:eastAsia="宋体" w:cs="宋体"/>
          <w:sz w:val="22"/>
          <w:szCs w:val="22"/>
          <w:highlight w:val="none"/>
        </w:rPr>
        <w:sectPr>
          <w:headerReference r:id="rId274" w:type="default"/>
          <w:footerReference r:id="rId275" w:type="default"/>
          <w:pgSz w:w="11910" w:h="16840"/>
          <w:pgMar w:top="2242" w:right="1725" w:bottom="1238" w:left="1665" w:header="1873" w:footer="1006" w:gutter="0"/>
          <w:cols w:space="720" w:num="1"/>
        </w:sectPr>
      </w:pPr>
    </w:p>
    <w:p w14:paraId="7ADF478A">
      <w:pPr>
        <w:pStyle w:val="2"/>
        <w:spacing w:line="277" w:lineRule="auto"/>
        <w:rPr>
          <w:highlight w:val="none"/>
        </w:rPr>
      </w:pPr>
    </w:p>
    <w:p w14:paraId="252A848E">
      <w:pPr>
        <w:pStyle w:val="2"/>
        <w:spacing w:line="278" w:lineRule="auto"/>
        <w:rPr>
          <w:highlight w:val="none"/>
        </w:rPr>
      </w:pPr>
    </w:p>
    <w:p w14:paraId="64E63ACB">
      <w:pPr>
        <w:pStyle w:val="2"/>
        <w:spacing w:line="278" w:lineRule="auto"/>
        <w:rPr>
          <w:highlight w:val="none"/>
        </w:rPr>
      </w:pPr>
    </w:p>
    <w:p w14:paraId="3D4B4D88">
      <w:pPr>
        <w:pStyle w:val="2"/>
        <w:spacing w:line="278" w:lineRule="auto"/>
        <w:rPr>
          <w:highlight w:val="none"/>
        </w:rPr>
      </w:pPr>
    </w:p>
    <w:p w14:paraId="2108FC4A">
      <w:pPr>
        <w:spacing w:before="91" w:line="221" w:lineRule="auto"/>
        <w:ind w:left="63"/>
        <w:rPr>
          <w:rFonts w:ascii="黑体" w:hAnsi="黑体" w:eastAsia="黑体" w:cs="黑体"/>
          <w:sz w:val="28"/>
          <w:szCs w:val="28"/>
          <w:highlight w:val="none"/>
        </w:rPr>
      </w:pPr>
      <w:bookmarkStart w:id="255" w:name="bookmark303"/>
      <w:bookmarkEnd w:id="255"/>
      <w:r>
        <w:rPr>
          <w:rFonts w:ascii="黑体" w:hAnsi="黑体" w:eastAsia="黑体" w:cs="黑体"/>
          <w:spacing w:val="-2"/>
          <w:sz w:val="28"/>
          <w:szCs w:val="28"/>
          <w:highlight w:val="none"/>
        </w:rPr>
        <w:t>(七)正在实施的和新承接的项目情况</w:t>
      </w:r>
    </w:p>
    <w:p w14:paraId="60F0BB1D">
      <w:pPr>
        <w:pStyle w:val="2"/>
        <w:spacing w:line="254" w:lineRule="auto"/>
        <w:rPr>
          <w:highlight w:val="none"/>
        </w:rPr>
      </w:pPr>
    </w:p>
    <w:p w14:paraId="67B7C0DA">
      <w:pPr>
        <w:pStyle w:val="2"/>
        <w:spacing w:line="255" w:lineRule="auto"/>
        <w:rPr>
          <w:highlight w:val="none"/>
        </w:rPr>
      </w:pPr>
    </w:p>
    <w:p w14:paraId="554D049A">
      <w:pPr>
        <w:pStyle w:val="2"/>
        <w:spacing w:before="78" w:line="327" w:lineRule="exact"/>
        <w:ind w:left="2133"/>
        <w:rPr>
          <w:rFonts w:ascii="黑体" w:hAnsi="黑体" w:eastAsia="黑体" w:cs="黑体"/>
          <w:sz w:val="24"/>
          <w:szCs w:val="24"/>
          <w:highlight w:val="none"/>
        </w:rPr>
      </w:pPr>
      <w:r>
        <w:rPr>
          <w:position w:val="1"/>
          <w:sz w:val="24"/>
          <w:szCs w:val="24"/>
          <w:highlight w:val="none"/>
        </w:rPr>
        <w:t xml:space="preserve">6-1 </w:t>
      </w:r>
      <w:r>
        <w:rPr>
          <w:rFonts w:ascii="黑体" w:hAnsi="黑体" w:eastAsia="黑体" w:cs="黑体"/>
          <w:position w:val="1"/>
          <w:sz w:val="24"/>
          <w:szCs w:val="24"/>
          <w:highlight w:val="none"/>
        </w:rPr>
        <w:t>正在实施的和新承接的项目汇总表</w:t>
      </w:r>
    </w:p>
    <w:p w14:paraId="4D8B5258">
      <w:pPr>
        <w:spacing w:before="161"/>
        <w:rPr>
          <w:highlight w:val="none"/>
        </w:rPr>
      </w:pPr>
    </w:p>
    <w:tbl>
      <w:tblPr>
        <w:tblStyle w:val="5"/>
        <w:tblW w:w="8829" w:type="dxa"/>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4"/>
        <w:gridCol w:w="1838"/>
        <w:gridCol w:w="1398"/>
        <w:gridCol w:w="1089"/>
        <w:gridCol w:w="1098"/>
        <w:gridCol w:w="1788"/>
        <w:gridCol w:w="1074"/>
      </w:tblGrid>
      <w:tr w14:paraId="6183E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544" w:type="dxa"/>
            <w:textDirection w:val="tbRlV"/>
            <w:vAlign w:val="top"/>
          </w:tcPr>
          <w:p w14:paraId="4CDE2682">
            <w:pPr>
              <w:pStyle w:val="6"/>
              <w:spacing w:before="181" w:line="199" w:lineRule="auto"/>
              <w:ind w:left="64"/>
              <w:rPr>
                <w:highlight w:val="none"/>
              </w:rPr>
            </w:pPr>
            <w:r>
              <w:rPr>
                <w:highlight w:val="none"/>
              </w:rPr>
              <w:t>序</w:t>
            </w:r>
            <w:r>
              <w:rPr>
                <w:spacing w:val="13"/>
                <w:highlight w:val="none"/>
              </w:rPr>
              <w:t xml:space="preserve">  </w:t>
            </w:r>
            <w:r>
              <w:rPr>
                <w:highlight w:val="none"/>
              </w:rPr>
              <w:t>号</w:t>
            </w:r>
          </w:p>
        </w:tc>
        <w:tc>
          <w:tcPr>
            <w:tcW w:w="1838" w:type="dxa"/>
            <w:vAlign w:val="top"/>
          </w:tcPr>
          <w:p w14:paraId="6EEDEA9A">
            <w:pPr>
              <w:pStyle w:val="6"/>
              <w:spacing w:before="154" w:line="220" w:lineRule="auto"/>
              <w:ind w:left="500"/>
              <w:rPr>
                <w:highlight w:val="none"/>
              </w:rPr>
            </w:pPr>
            <w:r>
              <w:rPr>
                <w:spacing w:val="2"/>
                <w:highlight w:val="none"/>
              </w:rPr>
              <w:t>项目名称</w:t>
            </w:r>
          </w:p>
        </w:tc>
        <w:tc>
          <w:tcPr>
            <w:tcW w:w="1398" w:type="dxa"/>
            <w:vAlign w:val="top"/>
          </w:tcPr>
          <w:p w14:paraId="2B5CA2E8">
            <w:pPr>
              <w:pStyle w:val="6"/>
              <w:spacing w:before="164" w:line="220" w:lineRule="auto"/>
              <w:ind w:left="192"/>
              <w:rPr>
                <w:highlight w:val="none"/>
              </w:rPr>
            </w:pPr>
            <w:r>
              <w:rPr>
                <w:spacing w:val="2"/>
                <w:highlight w:val="none"/>
              </w:rPr>
              <w:t>发包人名称</w:t>
            </w:r>
          </w:p>
        </w:tc>
        <w:tc>
          <w:tcPr>
            <w:tcW w:w="1089" w:type="dxa"/>
            <w:vAlign w:val="top"/>
          </w:tcPr>
          <w:p w14:paraId="6B25F049">
            <w:pPr>
              <w:pStyle w:val="6"/>
              <w:spacing w:before="153" w:line="219" w:lineRule="auto"/>
              <w:ind w:left="134"/>
              <w:rPr>
                <w:highlight w:val="none"/>
              </w:rPr>
            </w:pPr>
            <w:r>
              <w:rPr>
                <w:spacing w:val="-3"/>
                <w:highlight w:val="none"/>
              </w:rPr>
              <w:t>工程规模</w:t>
            </w:r>
          </w:p>
        </w:tc>
        <w:tc>
          <w:tcPr>
            <w:tcW w:w="1098" w:type="dxa"/>
            <w:vAlign w:val="top"/>
          </w:tcPr>
          <w:p w14:paraId="6C82A578">
            <w:pPr>
              <w:pStyle w:val="6"/>
              <w:spacing w:before="151" w:line="218" w:lineRule="auto"/>
              <w:ind w:left="125"/>
              <w:rPr>
                <w:highlight w:val="none"/>
              </w:rPr>
            </w:pPr>
            <w:r>
              <w:rPr>
                <w:spacing w:val="-2"/>
                <w:highlight w:val="none"/>
              </w:rPr>
              <w:t>合同价格</w:t>
            </w:r>
          </w:p>
          <w:p w14:paraId="6193D644">
            <w:pPr>
              <w:pStyle w:val="6"/>
              <w:spacing w:before="154" w:line="202" w:lineRule="auto"/>
              <w:ind w:left="225"/>
              <w:rPr>
                <w:highlight w:val="none"/>
              </w:rPr>
            </w:pPr>
            <w:r>
              <w:rPr>
                <w:spacing w:val="11"/>
                <w:highlight w:val="none"/>
              </w:rPr>
              <w:t>(万元)</w:t>
            </w:r>
          </w:p>
        </w:tc>
        <w:tc>
          <w:tcPr>
            <w:tcW w:w="1788" w:type="dxa"/>
            <w:vAlign w:val="top"/>
          </w:tcPr>
          <w:p w14:paraId="358C2F19">
            <w:pPr>
              <w:pStyle w:val="6"/>
              <w:spacing w:before="153" w:line="277" w:lineRule="auto"/>
              <w:ind w:left="577" w:right="368" w:hanging="210"/>
              <w:rPr>
                <w:highlight w:val="none"/>
              </w:rPr>
            </w:pPr>
            <w:r>
              <w:rPr>
                <w:spacing w:val="-2"/>
                <w:highlight w:val="none"/>
              </w:rPr>
              <w:t>计划开、竣</w:t>
            </w:r>
            <w:r>
              <w:rPr>
                <w:highlight w:val="none"/>
              </w:rPr>
              <w:t xml:space="preserve"> </w:t>
            </w:r>
            <w:r>
              <w:rPr>
                <w:spacing w:val="4"/>
                <w:highlight w:val="none"/>
              </w:rPr>
              <w:t>工日期</w:t>
            </w:r>
          </w:p>
        </w:tc>
        <w:tc>
          <w:tcPr>
            <w:tcW w:w="1074" w:type="dxa"/>
            <w:vAlign w:val="top"/>
          </w:tcPr>
          <w:p w14:paraId="64CAD83A">
            <w:pPr>
              <w:pStyle w:val="6"/>
              <w:spacing w:before="154" w:line="220" w:lineRule="auto"/>
              <w:ind w:left="120"/>
              <w:rPr>
                <w:highlight w:val="none"/>
              </w:rPr>
            </w:pPr>
            <w:r>
              <w:rPr>
                <w:spacing w:val="-3"/>
                <w:highlight w:val="none"/>
              </w:rPr>
              <w:t>项目经理</w:t>
            </w:r>
          </w:p>
        </w:tc>
      </w:tr>
      <w:tr w14:paraId="47F68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76CC71AE">
            <w:pPr>
              <w:rPr>
                <w:rFonts w:ascii="Arial"/>
                <w:sz w:val="21"/>
                <w:highlight w:val="none"/>
              </w:rPr>
            </w:pPr>
          </w:p>
        </w:tc>
        <w:tc>
          <w:tcPr>
            <w:tcW w:w="1838" w:type="dxa"/>
            <w:vAlign w:val="top"/>
          </w:tcPr>
          <w:p w14:paraId="64487E63">
            <w:pPr>
              <w:rPr>
                <w:rFonts w:ascii="Arial"/>
                <w:sz w:val="21"/>
                <w:highlight w:val="none"/>
              </w:rPr>
            </w:pPr>
          </w:p>
        </w:tc>
        <w:tc>
          <w:tcPr>
            <w:tcW w:w="1398" w:type="dxa"/>
            <w:vAlign w:val="top"/>
          </w:tcPr>
          <w:p w14:paraId="6976C3F7">
            <w:pPr>
              <w:rPr>
                <w:rFonts w:ascii="Arial"/>
                <w:sz w:val="21"/>
                <w:highlight w:val="none"/>
              </w:rPr>
            </w:pPr>
          </w:p>
        </w:tc>
        <w:tc>
          <w:tcPr>
            <w:tcW w:w="1089" w:type="dxa"/>
            <w:vAlign w:val="top"/>
          </w:tcPr>
          <w:p w14:paraId="4C0974E5">
            <w:pPr>
              <w:rPr>
                <w:rFonts w:ascii="Arial"/>
                <w:sz w:val="21"/>
                <w:highlight w:val="none"/>
              </w:rPr>
            </w:pPr>
          </w:p>
        </w:tc>
        <w:tc>
          <w:tcPr>
            <w:tcW w:w="1098" w:type="dxa"/>
            <w:vAlign w:val="top"/>
          </w:tcPr>
          <w:p w14:paraId="13EF6480">
            <w:pPr>
              <w:rPr>
                <w:rFonts w:ascii="Arial"/>
                <w:sz w:val="21"/>
                <w:highlight w:val="none"/>
              </w:rPr>
            </w:pPr>
          </w:p>
        </w:tc>
        <w:tc>
          <w:tcPr>
            <w:tcW w:w="1788" w:type="dxa"/>
            <w:vAlign w:val="top"/>
          </w:tcPr>
          <w:p w14:paraId="71045B5D">
            <w:pPr>
              <w:rPr>
                <w:rFonts w:ascii="Arial"/>
                <w:sz w:val="21"/>
                <w:highlight w:val="none"/>
              </w:rPr>
            </w:pPr>
          </w:p>
        </w:tc>
        <w:tc>
          <w:tcPr>
            <w:tcW w:w="1074" w:type="dxa"/>
            <w:vAlign w:val="top"/>
          </w:tcPr>
          <w:p w14:paraId="6417D9D1">
            <w:pPr>
              <w:rPr>
                <w:rFonts w:ascii="Arial"/>
                <w:sz w:val="21"/>
                <w:highlight w:val="none"/>
              </w:rPr>
            </w:pPr>
          </w:p>
        </w:tc>
      </w:tr>
      <w:tr w14:paraId="37C6D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44" w:type="dxa"/>
            <w:vAlign w:val="top"/>
          </w:tcPr>
          <w:p w14:paraId="60013F40">
            <w:pPr>
              <w:rPr>
                <w:rFonts w:ascii="Arial"/>
                <w:sz w:val="21"/>
                <w:highlight w:val="none"/>
              </w:rPr>
            </w:pPr>
          </w:p>
        </w:tc>
        <w:tc>
          <w:tcPr>
            <w:tcW w:w="1838" w:type="dxa"/>
            <w:vAlign w:val="top"/>
          </w:tcPr>
          <w:p w14:paraId="6A8F95A0">
            <w:pPr>
              <w:rPr>
                <w:rFonts w:ascii="Arial"/>
                <w:sz w:val="21"/>
                <w:highlight w:val="none"/>
              </w:rPr>
            </w:pPr>
          </w:p>
        </w:tc>
        <w:tc>
          <w:tcPr>
            <w:tcW w:w="1398" w:type="dxa"/>
            <w:vAlign w:val="top"/>
          </w:tcPr>
          <w:p w14:paraId="409A1BA8">
            <w:pPr>
              <w:rPr>
                <w:rFonts w:ascii="Arial"/>
                <w:sz w:val="21"/>
                <w:highlight w:val="none"/>
              </w:rPr>
            </w:pPr>
          </w:p>
        </w:tc>
        <w:tc>
          <w:tcPr>
            <w:tcW w:w="1089" w:type="dxa"/>
            <w:vAlign w:val="top"/>
          </w:tcPr>
          <w:p w14:paraId="18BA2CCF">
            <w:pPr>
              <w:rPr>
                <w:rFonts w:ascii="Arial"/>
                <w:sz w:val="21"/>
                <w:highlight w:val="none"/>
              </w:rPr>
            </w:pPr>
          </w:p>
        </w:tc>
        <w:tc>
          <w:tcPr>
            <w:tcW w:w="1098" w:type="dxa"/>
            <w:vAlign w:val="top"/>
          </w:tcPr>
          <w:p w14:paraId="56802A16">
            <w:pPr>
              <w:rPr>
                <w:rFonts w:ascii="Arial"/>
                <w:sz w:val="21"/>
                <w:highlight w:val="none"/>
              </w:rPr>
            </w:pPr>
          </w:p>
        </w:tc>
        <w:tc>
          <w:tcPr>
            <w:tcW w:w="1788" w:type="dxa"/>
            <w:vAlign w:val="top"/>
          </w:tcPr>
          <w:p w14:paraId="14E8EB12">
            <w:pPr>
              <w:rPr>
                <w:rFonts w:ascii="Arial"/>
                <w:sz w:val="21"/>
                <w:highlight w:val="none"/>
              </w:rPr>
            </w:pPr>
          </w:p>
        </w:tc>
        <w:tc>
          <w:tcPr>
            <w:tcW w:w="1074" w:type="dxa"/>
            <w:vAlign w:val="top"/>
          </w:tcPr>
          <w:p w14:paraId="25F7C6A4">
            <w:pPr>
              <w:rPr>
                <w:rFonts w:ascii="Arial"/>
                <w:sz w:val="21"/>
                <w:highlight w:val="none"/>
              </w:rPr>
            </w:pPr>
          </w:p>
        </w:tc>
      </w:tr>
      <w:tr w14:paraId="53EA3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44" w:type="dxa"/>
            <w:vAlign w:val="top"/>
          </w:tcPr>
          <w:p w14:paraId="371143BD">
            <w:pPr>
              <w:rPr>
                <w:rFonts w:ascii="Arial"/>
                <w:sz w:val="21"/>
                <w:highlight w:val="none"/>
              </w:rPr>
            </w:pPr>
          </w:p>
        </w:tc>
        <w:tc>
          <w:tcPr>
            <w:tcW w:w="1838" w:type="dxa"/>
            <w:vAlign w:val="top"/>
          </w:tcPr>
          <w:p w14:paraId="39E0C69A">
            <w:pPr>
              <w:rPr>
                <w:rFonts w:ascii="Arial"/>
                <w:sz w:val="21"/>
                <w:highlight w:val="none"/>
              </w:rPr>
            </w:pPr>
          </w:p>
        </w:tc>
        <w:tc>
          <w:tcPr>
            <w:tcW w:w="1398" w:type="dxa"/>
            <w:vAlign w:val="top"/>
          </w:tcPr>
          <w:p w14:paraId="167954F7">
            <w:pPr>
              <w:rPr>
                <w:rFonts w:ascii="Arial"/>
                <w:sz w:val="21"/>
                <w:highlight w:val="none"/>
              </w:rPr>
            </w:pPr>
          </w:p>
        </w:tc>
        <w:tc>
          <w:tcPr>
            <w:tcW w:w="1089" w:type="dxa"/>
            <w:vAlign w:val="top"/>
          </w:tcPr>
          <w:p w14:paraId="30782BD3">
            <w:pPr>
              <w:rPr>
                <w:rFonts w:ascii="Arial"/>
                <w:sz w:val="21"/>
                <w:highlight w:val="none"/>
              </w:rPr>
            </w:pPr>
          </w:p>
        </w:tc>
        <w:tc>
          <w:tcPr>
            <w:tcW w:w="1098" w:type="dxa"/>
            <w:vAlign w:val="top"/>
          </w:tcPr>
          <w:p w14:paraId="7C125267">
            <w:pPr>
              <w:rPr>
                <w:rFonts w:ascii="Arial"/>
                <w:sz w:val="21"/>
                <w:highlight w:val="none"/>
              </w:rPr>
            </w:pPr>
          </w:p>
        </w:tc>
        <w:tc>
          <w:tcPr>
            <w:tcW w:w="1788" w:type="dxa"/>
            <w:vAlign w:val="top"/>
          </w:tcPr>
          <w:p w14:paraId="4F53FE04">
            <w:pPr>
              <w:rPr>
                <w:rFonts w:ascii="Arial"/>
                <w:sz w:val="21"/>
                <w:highlight w:val="none"/>
              </w:rPr>
            </w:pPr>
          </w:p>
        </w:tc>
        <w:tc>
          <w:tcPr>
            <w:tcW w:w="1074" w:type="dxa"/>
            <w:vAlign w:val="top"/>
          </w:tcPr>
          <w:p w14:paraId="009041F0">
            <w:pPr>
              <w:rPr>
                <w:rFonts w:ascii="Arial"/>
                <w:sz w:val="21"/>
                <w:highlight w:val="none"/>
              </w:rPr>
            </w:pPr>
          </w:p>
        </w:tc>
      </w:tr>
      <w:tr w14:paraId="6AFF2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6C3B1ECE">
            <w:pPr>
              <w:rPr>
                <w:rFonts w:ascii="Arial"/>
                <w:sz w:val="21"/>
                <w:highlight w:val="none"/>
              </w:rPr>
            </w:pPr>
          </w:p>
        </w:tc>
        <w:tc>
          <w:tcPr>
            <w:tcW w:w="1838" w:type="dxa"/>
            <w:vAlign w:val="top"/>
          </w:tcPr>
          <w:p w14:paraId="01D4657A">
            <w:pPr>
              <w:rPr>
                <w:rFonts w:ascii="Arial"/>
                <w:sz w:val="21"/>
                <w:highlight w:val="none"/>
              </w:rPr>
            </w:pPr>
          </w:p>
        </w:tc>
        <w:tc>
          <w:tcPr>
            <w:tcW w:w="1398" w:type="dxa"/>
            <w:vAlign w:val="top"/>
          </w:tcPr>
          <w:p w14:paraId="5B7F362C">
            <w:pPr>
              <w:rPr>
                <w:rFonts w:ascii="Arial"/>
                <w:sz w:val="21"/>
                <w:highlight w:val="none"/>
              </w:rPr>
            </w:pPr>
          </w:p>
        </w:tc>
        <w:tc>
          <w:tcPr>
            <w:tcW w:w="1089" w:type="dxa"/>
            <w:vAlign w:val="top"/>
          </w:tcPr>
          <w:p w14:paraId="5D1267B2">
            <w:pPr>
              <w:rPr>
                <w:rFonts w:ascii="Arial"/>
                <w:sz w:val="21"/>
                <w:highlight w:val="none"/>
              </w:rPr>
            </w:pPr>
          </w:p>
        </w:tc>
        <w:tc>
          <w:tcPr>
            <w:tcW w:w="1098" w:type="dxa"/>
            <w:vAlign w:val="top"/>
          </w:tcPr>
          <w:p w14:paraId="5994AAA3">
            <w:pPr>
              <w:rPr>
                <w:rFonts w:ascii="Arial"/>
                <w:sz w:val="21"/>
                <w:highlight w:val="none"/>
              </w:rPr>
            </w:pPr>
          </w:p>
        </w:tc>
        <w:tc>
          <w:tcPr>
            <w:tcW w:w="1788" w:type="dxa"/>
            <w:vAlign w:val="top"/>
          </w:tcPr>
          <w:p w14:paraId="34076E57">
            <w:pPr>
              <w:rPr>
                <w:rFonts w:ascii="Arial"/>
                <w:sz w:val="21"/>
                <w:highlight w:val="none"/>
              </w:rPr>
            </w:pPr>
          </w:p>
        </w:tc>
        <w:tc>
          <w:tcPr>
            <w:tcW w:w="1074" w:type="dxa"/>
            <w:vAlign w:val="top"/>
          </w:tcPr>
          <w:p w14:paraId="2EBFA6F7">
            <w:pPr>
              <w:rPr>
                <w:rFonts w:ascii="Arial"/>
                <w:sz w:val="21"/>
                <w:highlight w:val="none"/>
              </w:rPr>
            </w:pPr>
          </w:p>
        </w:tc>
      </w:tr>
      <w:tr w14:paraId="164F6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544" w:type="dxa"/>
            <w:vAlign w:val="top"/>
          </w:tcPr>
          <w:p w14:paraId="0DAC9A97">
            <w:pPr>
              <w:rPr>
                <w:rFonts w:ascii="Arial"/>
                <w:sz w:val="21"/>
                <w:highlight w:val="none"/>
              </w:rPr>
            </w:pPr>
          </w:p>
        </w:tc>
        <w:tc>
          <w:tcPr>
            <w:tcW w:w="1838" w:type="dxa"/>
            <w:vAlign w:val="top"/>
          </w:tcPr>
          <w:p w14:paraId="4F14ED96">
            <w:pPr>
              <w:rPr>
                <w:rFonts w:ascii="Arial"/>
                <w:sz w:val="21"/>
                <w:highlight w:val="none"/>
              </w:rPr>
            </w:pPr>
          </w:p>
        </w:tc>
        <w:tc>
          <w:tcPr>
            <w:tcW w:w="1398" w:type="dxa"/>
            <w:vAlign w:val="top"/>
          </w:tcPr>
          <w:p w14:paraId="72C1F617">
            <w:pPr>
              <w:rPr>
                <w:rFonts w:ascii="Arial"/>
                <w:sz w:val="21"/>
                <w:highlight w:val="none"/>
              </w:rPr>
            </w:pPr>
          </w:p>
        </w:tc>
        <w:tc>
          <w:tcPr>
            <w:tcW w:w="1089" w:type="dxa"/>
            <w:vAlign w:val="top"/>
          </w:tcPr>
          <w:p w14:paraId="79FED2A0">
            <w:pPr>
              <w:rPr>
                <w:rFonts w:ascii="Arial"/>
                <w:sz w:val="21"/>
                <w:highlight w:val="none"/>
              </w:rPr>
            </w:pPr>
          </w:p>
        </w:tc>
        <w:tc>
          <w:tcPr>
            <w:tcW w:w="1098" w:type="dxa"/>
            <w:vAlign w:val="top"/>
          </w:tcPr>
          <w:p w14:paraId="79C71058">
            <w:pPr>
              <w:rPr>
                <w:rFonts w:ascii="Arial"/>
                <w:sz w:val="21"/>
                <w:highlight w:val="none"/>
              </w:rPr>
            </w:pPr>
          </w:p>
        </w:tc>
        <w:tc>
          <w:tcPr>
            <w:tcW w:w="1788" w:type="dxa"/>
            <w:vAlign w:val="top"/>
          </w:tcPr>
          <w:p w14:paraId="4E226BD7">
            <w:pPr>
              <w:rPr>
                <w:rFonts w:ascii="Arial"/>
                <w:sz w:val="21"/>
                <w:highlight w:val="none"/>
              </w:rPr>
            </w:pPr>
          </w:p>
        </w:tc>
        <w:tc>
          <w:tcPr>
            <w:tcW w:w="1074" w:type="dxa"/>
            <w:vAlign w:val="top"/>
          </w:tcPr>
          <w:p w14:paraId="78183738">
            <w:pPr>
              <w:rPr>
                <w:rFonts w:ascii="Arial"/>
                <w:sz w:val="21"/>
                <w:highlight w:val="none"/>
              </w:rPr>
            </w:pPr>
          </w:p>
        </w:tc>
      </w:tr>
      <w:tr w14:paraId="1FC78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52FD9492">
            <w:pPr>
              <w:rPr>
                <w:rFonts w:ascii="Arial"/>
                <w:sz w:val="21"/>
                <w:highlight w:val="none"/>
              </w:rPr>
            </w:pPr>
          </w:p>
        </w:tc>
        <w:tc>
          <w:tcPr>
            <w:tcW w:w="1838" w:type="dxa"/>
            <w:vAlign w:val="top"/>
          </w:tcPr>
          <w:p w14:paraId="2969AEDC">
            <w:pPr>
              <w:rPr>
                <w:rFonts w:ascii="Arial"/>
                <w:sz w:val="21"/>
                <w:highlight w:val="none"/>
              </w:rPr>
            </w:pPr>
          </w:p>
        </w:tc>
        <w:tc>
          <w:tcPr>
            <w:tcW w:w="1398" w:type="dxa"/>
            <w:vAlign w:val="top"/>
          </w:tcPr>
          <w:p w14:paraId="24C4B2C1">
            <w:pPr>
              <w:rPr>
                <w:rFonts w:ascii="Arial"/>
                <w:sz w:val="21"/>
                <w:highlight w:val="none"/>
              </w:rPr>
            </w:pPr>
          </w:p>
        </w:tc>
        <w:tc>
          <w:tcPr>
            <w:tcW w:w="1089" w:type="dxa"/>
            <w:vAlign w:val="top"/>
          </w:tcPr>
          <w:p w14:paraId="44286F7D">
            <w:pPr>
              <w:rPr>
                <w:rFonts w:ascii="Arial"/>
                <w:sz w:val="21"/>
                <w:highlight w:val="none"/>
              </w:rPr>
            </w:pPr>
          </w:p>
        </w:tc>
        <w:tc>
          <w:tcPr>
            <w:tcW w:w="1098" w:type="dxa"/>
            <w:vAlign w:val="top"/>
          </w:tcPr>
          <w:p w14:paraId="320964B2">
            <w:pPr>
              <w:rPr>
                <w:rFonts w:ascii="Arial"/>
                <w:sz w:val="21"/>
                <w:highlight w:val="none"/>
              </w:rPr>
            </w:pPr>
          </w:p>
        </w:tc>
        <w:tc>
          <w:tcPr>
            <w:tcW w:w="1788" w:type="dxa"/>
            <w:vAlign w:val="top"/>
          </w:tcPr>
          <w:p w14:paraId="3F195BCD">
            <w:pPr>
              <w:rPr>
                <w:rFonts w:ascii="Arial"/>
                <w:sz w:val="21"/>
                <w:highlight w:val="none"/>
              </w:rPr>
            </w:pPr>
          </w:p>
        </w:tc>
        <w:tc>
          <w:tcPr>
            <w:tcW w:w="1074" w:type="dxa"/>
            <w:vAlign w:val="top"/>
          </w:tcPr>
          <w:p w14:paraId="6A704FC1">
            <w:pPr>
              <w:rPr>
                <w:rFonts w:ascii="Arial"/>
                <w:sz w:val="21"/>
                <w:highlight w:val="none"/>
              </w:rPr>
            </w:pPr>
          </w:p>
        </w:tc>
      </w:tr>
      <w:tr w14:paraId="16558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44" w:type="dxa"/>
            <w:vAlign w:val="top"/>
          </w:tcPr>
          <w:p w14:paraId="0BA3F004">
            <w:pPr>
              <w:rPr>
                <w:rFonts w:ascii="Arial"/>
                <w:sz w:val="21"/>
                <w:highlight w:val="none"/>
              </w:rPr>
            </w:pPr>
          </w:p>
        </w:tc>
        <w:tc>
          <w:tcPr>
            <w:tcW w:w="1838" w:type="dxa"/>
            <w:vAlign w:val="top"/>
          </w:tcPr>
          <w:p w14:paraId="481B8F9C">
            <w:pPr>
              <w:rPr>
                <w:rFonts w:ascii="Arial"/>
                <w:sz w:val="21"/>
                <w:highlight w:val="none"/>
              </w:rPr>
            </w:pPr>
          </w:p>
        </w:tc>
        <w:tc>
          <w:tcPr>
            <w:tcW w:w="1398" w:type="dxa"/>
            <w:vAlign w:val="top"/>
          </w:tcPr>
          <w:p w14:paraId="25F69BFE">
            <w:pPr>
              <w:rPr>
                <w:rFonts w:ascii="Arial"/>
                <w:sz w:val="21"/>
                <w:highlight w:val="none"/>
              </w:rPr>
            </w:pPr>
          </w:p>
        </w:tc>
        <w:tc>
          <w:tcPr>
            <w:tcW w:w="1089" w:type="dxa"/>
            <w:vAlign w:val="top"/>
          </w:tcPr>
          <w:p w14:paraId="3742817F">
            <w:pPr>
              <w:rPr>
                <w:rFonts w:ascii="Arial"/>
                <w:sz w:val="21"/>
                <w:highlight w:val="none"/>
              </w:rPr>
            </w:pPr>
          </w:p>
        </w:tc>
        <w:tc>
          <w:tcPr>
            <w:tcW w:w="1098" w:type="dxa"/>
            <w:vAlign w:val="top"/>
          </w:tcPr>
          <w:p w14:paraId="037747AA">
            <w:pPr>
              <w:rPr>
                <w:rFonts w:ascii="Arial"/>
                <w:sz w:val="21"/>
                <w:highlight w:val="none"/>
              </w:rPr>
            </w:pPr>
          </w:p>
        </w:tc>
        <w:tc>
          <w:tcPr>
            <w:tcW w:w="1788" w:type="dxa"/>
            <w:vAlign w:val="top"/>
          </w:tcPr>
          <w:p w14:paraId="1EDC83EF">
            <w:pPr>
              <w:rPr>
                <w:rFonts w:ascii="Arial"/>
                <w:sz w:val="21"/>
                <w:highlight w:val="none"/>
              </w:rPr>
            </w:pPr>
          </w:p>
        </w:tc>
        <w:tc>
          <w:tcPr>
            <w:tcW w:w="1074" w:type="dxa"/>
            <w:vAlign w:val="top"/>
          </w:tcPr>
          <w:p w14:paraId="7DA02F2B">
            <w:pPr>
              <w:rPr>
                <w:rFonts w:ascii="Arial"/>
                <w:sz w:val="21"/>
                <w:highlight w:val="none"/>
              </w:rPr>
            </w:pPr>
          </w:p>
        </w:tc>
      </w:tr>
      <w:tr w14:paraId="15E2D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7971DDF6">
            <w:pPr>
              <w:rPr>
                <w:rFonts w:ascii="Arial"/>
                <w:sz w:val="21"/>
                <w:highlight w:val="none"/>
              </w:rPr>
            </w:pPr>
          </w:p>
        </w:tc>
        <w:tc>
          <w:tcPr>
            <w:tcW w:w="1838" w:type="dxa"/>
            <w:vAlign w:val="top"/>
          </w:tcPr>
          <w:p w14:paraId="258145BE">
            <w:pPr>
              <w:rPr>
                <w:rFonts w:ascii="Arial"/>
                <w:sz w:val="21"/>
                <w:highlight w:val="none"/>
              </w:rPr>
            </w:pPr>
          </w:p>
        </w:tc>
        <w:tc>
          <w:tcPr>
            <w:tcW w:w="1398" w:type="dxa"/>
            <w:vAlign w:val="top"/>
          </w:tcPr>
          <w:p w14:paraId="59A4CF22">
            <w:pPr>
              <w:rPr>
                <w:rFonts w:ascii="Arial"/>
                <w:sz w:val="21"/>
                <w:highlight w:val="none"/>
              </w:rPr>
            </w:pPr>
          </w:p>
        </w:tc>
        <w:tc>
          <w:tcPr>
            <w:tcW w:w="1089" w:type="dxa"/>
            <w:vAlign w:val="top"/>
          </w:tcPr>
          <w:p w14:paraId="5D0A84AC">
            <w:pPr>
              <w:rPr>
                <w:rFonts w:ascii="Arial"/>
                <w:sz w:val="21"/>
                <w:highlight w:val="none"/>
              </w:rPr>
            </w:pPr>
          </w:p>
        </w:tc>
        <w:tc>
          <w:tcPr>
            <w:tcW w:w="1098" w:type="dxa"/>
            <w:vAlign w:val="top"/>
          </w:tcPr>
          <w:p w14:paraId="52FAD0FB">
            <w:pPr>
              <w:rPr>
                <w:rFonts w:ascii="Arial"/>
                <w:sz w:val="21"/>
                <w:highlight w:val="none"/>
              </w:rPr>
            </w:pPr>
          </w:p>
        </w:tc>
        <w:tc>
          <w:tcPr>
            <w:tcW w:w="1788" w:type="dxa"/>
            <w:vAlign w:val="top"/>
          </w:tcPr>
          <w:p w14:paraId="4389281A">
            <w:pPr>
              <w:rPr>
                <w:rFonts w:ascii="Arial"/>
                <w:sz w:val="21"/>
                <w:highlight w:val="none"/>
              </w:rPr>
            </w:pPr>
          </w:p>
        </w:tc>
        <w:tc>
          <w:tcPr>
            <w:tcW w:w="1074" w:type="dxa"/>
            <w:vAlign w:val="top"/>
          </w:tcPr>
          <w:p w14:paraId="57C01E53">
            <w:pPr>
              <w:rPr>
                <w:rFonts w:ascii="Arial"/>
                <w:sz w:val="21"/>
                <w:highlight w:val="none"/>
              </w:rPr>
            </w:pPr>
          </w:p>
        </w:tc>
      </w:tr>
      <w:tr w14:paraId="331E6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544" w:type="dxa"/>
            <w:vAlign w:val="top"/>
          </w:tcPr>
          <w:p w14:paraId="26D35196">
            <w:pPr>
              <w:rPr>
                <w:rFonts w:ascii="Arial"/>
                <w:sz w:val="21"/>
                <w:highlight w:val="none"/>
              </w:rPr>
            </w:pPr>
          </w:p>
        </w:tc>
        <w:tc>
          <w:tcPr>
            <w:tcW w:w="1838" w:type="dxa"/>
            <w:vAlign w:val="top"/>
          </w:tcPr>
          <w:p w14:paraId="7AB9482F">
            <w:pPr>
              <w:rPr>
                <w:rFonts w:ascii="Arial"/>
                <w:sz w:val="21"/>
                <w:highlight w:val="none"/>
              </w:rPr>
            </w:pPr>
          </w:p>
        </w:tc>
        <w:tc>
          <w:tcPr>
            <w:tcW w:w="1398" w:type="dxa"/>
            <w:vAlign w:val="top"/>
          </w:tcPr>
          <w:p w14:paraId="1176EB7C">
            <w:pPr>
              <w:rPr>
                <w:rFonts w:ascii="Arial"/>
                <w:sz w:val="21"/>
                <w:highlight w:val="none"/>
              </w:rPr>
            </w:pPr>
          </w:p>
        </w:tc>
        <w:tc>
          <w:tcPr>
            <w:tcW w:w="1089" w:type="dxa"/>
            <w:vAlign w:val="top"/>
          </w:tcPr>
          <w:p w14:paraId="720F04A4">
            <w:pPr>
              <w:rPr>
                <w:rFonts w:ascii="Arial"/>
                <w:sz w:val="21"/>
                <w:highlight w:val="none"/>
              </w:rPr>
            </w:pPr>
          </w:p>
        </w:tc>
        <w:tc>
          <w:tcPr>
            <w:tcW w:w="1098" w:type="dxa"/>
            <w:vAlign w:val="top"/>
          </w:tcPr>
          <w:p w14:paraId="7CF5DBE3">
            <w:pPr>
              <w:rPr>
                <w:rFonts w:ascii="Arial"/>
                <w:sz w:val="21"/>
                <w:highlight w:val="none"/>
              </w:rPr>
            </w:pPr>
          </w:p>
        </w:tc>
        <w:tc>
          <w:tcPr>
            <w:tcW w:w="1788" w:type="dxa"/>
            <w:vAlign w:val="top"/>
          </w:tcPr>
          <w:p w14:paraId="5E94852F">
            <w:pPr>
              <w:rPr>
                <w:rFonts w:ascii="Arial"/>
                <w:sz w:val="21"/>
                <w:highlight w:val="none"/>
              </w:rPr>
            </w:pPr>
          </w:p>
        </w:tc>
        <w:tc>
          <w:tcPr>
            <w:tcW w:w="1074" w:type="dxa"/>
            <w:vAlign w:val="top"/>
          </w:tcPr>
          <w:p w14:paraId="448CA1EC">
            <w:pPr>
              <w:rPr>
                <w:rFonts w:ascii="Arial"/>
                <w:sz w:val="21"/>
                <w:highlight w:val="none"/>
              </w:rPr>
            </w:pPr>
          </w:p>
        </w:tc>
      </w:tr>
      <w:tr w14:paraId="751F3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544" w:type="dxa"/>
            <w:vAlign w:val="top"/>
          </w:tcPr>
          <w:p w14:paraId="506423E5">
            <w:pPr>
              <w:rPr>
                <w:rFonts w:ascii="Arial"/>
                <w:sz w:val="21"/>
                <w:highlight w:val="none"/>
              </w:rPr>
            </w:pPr>
          </w:p>
        </w:tc>
        <w:tc>
          <w:tcPr>
            <w:tcW w:w="1838" w:type="dxa"/>
            <w:vAlign w:val="top"/>
          </w:tcPr>
          <w:p w14:paraId="357E4F41">
            <w:pPr>
              <w:rPr>
                <w:rFonts w:ascii="Arial"/>
                <w:sz w:val="21"/>
                <w:highlight w:val="none"/>
              </w:rPr>
            </w:pPr>
          </w:p>
        </w:tc>
        <w:tc>
          <w:tcPr>
            <w:tcW w:w="1398" w:type="dxa"/>
            <w:vAlign w:val="top"/>
          </w:tcPr>
          <w:p w14:paraId="0C9C105D">
            <w:pPr>
              <w:rPr>
                <w:rFonts w:ascii="Arial"/>
                <w:sz w:val="21"/>
                <w:highlight w:val="none"/>
              </w:rPr>
            </w:pPr>
          </w:p>
        </w:tc>
        <w:tc>
          <w:tcPr>
            <w:tcW w:w="1089" w:type="dxa"/>
            <w:vAlign w:val="top"/>
          </w:tcPr>
          <w:p w14:paraId="66536C63">
            <w:pPr>
              <w:rPr>
                <w:rFonts w:ascii="Arial"/>
                <w:sz w:val="21"/>
                <w:highlight w:val="none"/>
              </w:rPr>
            </w:pPr>
          </w:p>
        </w:tc>
        <w:tc>
          <w:tcPr>
            <w:tcW w:w="1098" w:type="dxa"/>
            <w:vAlign w:val="top"/>
          </w:tcPr>
          <w:p w14:paraId="544AFE33">
            <w:pPr>
              <w:rPr>
                <w:rFonts w:ascii="Arial"/>
                <w:sz w:val="21"/>
                <w:highlight w:val="none"/>
              </w:rPr>
            </w:pPr>
          </w:p>
        </w:tc>
        <w:tc>
          <w:tcPr>
            <w:tcW w:w="1788" w:type="dxa"/>
            <w:vAlign w:val="top"/>
          </w:tcPr>
          <w:p w14:paraId="373EBBC8">
            <w:pPr>
              <w:rPr>
                <w:rFonts w:ascii="Arial"/>
                <w:sz w:val="21"/>
                <w:highlight w:val="none"/>
              </w:rPr>
            </w:pPr>
          </w:p>
        </w:tc>
        <w:tc>
          <w:tcPr>
            <w:tcW w:w="1074" w:type="dxa"/>
            <w:vAlign w:val="top"/>
          </w:tcPr>
          <w:p w14:paraId="13741877">
            <w:pPr>
              <w:rPr>
                <w:rFonts w:ascii="Arial"/>
                <w:sz w:val="21"/>
                <w:highlight w:val="none"/>
              </w:rPr>
            </w:pPr>
          </w:p>
        </w:tc>
      </w:tr>
      <w:tr w14:paraId="50C18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44" w:type="dxa"/>
            <w:vAlign w:val="top"/>
          </w:tcPr>
          <w:p w14:paraId="24C5BA7E">
            <w:pPr>
              <w:rPr>
                <w:rFonts w:ascii="Arial"/>
                <w:sz w:val="21"/>
                <w:highlight w:val="none"/>
              </w:rPr>
            </w:pPr>
          </w:p>
        </w:tc>
        <w:tc>
          <w:tcPr>
            <w:tcW w:w="1838" w:type="dxa"/>
            <w:vAlign w:val="top"/>
          </w:tcPr>
          <w:p w14:paraId="6B1CB317">
            <w:pPr>
              <w:rPr>
                <w:rFonts w:ascii="Arial"/>
                <w:sz w:val="21"/>
                <w:highlight w:val="none"/>
              </w:rPr>
            </w:pPr>
          </w:p>
        </w:tc>
        <w:tc>
          <w:tcPr>
            <w:tcW w:w="1398" w:type="dxa"/>
            <w:vAlign w:val="top"/>
          </w:tcPr>
          <w:p w14:paraId="034F4AD7">
            <w:pPr>
              <w:rPr>
                <w:rFonts w:ascii="Arial"/>
                <w:sz w:val="21"/>
                <w:highlight w:val="none"/>
              </w:rPr>
            </w:pPr>
          </w:p>
        </w:tc>
        <w:tc>
          <w:tcPr>
            <w:tcW w:w="1089" w:type="dxa"/>
            <w:vAlign w:val="top"/>
          </w:tcPr>
          <w:p w14:paraId="25850B67">
            <w:pPr>
              <w:rPr>
                <w:rFonts w:ascii="Arial"/>
                <w:sz w:val="21"/>
                <w:highlight w:val="none"/>
              </w:rPr>
            </w:pPr>
          </w:p>
        </w:tc>
        <w:tc>
          <w:tcPr>
            <w:tcW w:w="1098" w:type="dxa"/>
            <w:vAlign w:val="top"/>
          </w:tcPr>
          <w:p w14:paraId="2FD9CF38">
            <w:pPr>
              <w:rPr>
                <w:rFonts w:ascii="Arial"/>
                <w:sz w:val="21"/>
                <w:highlight w:val="none"/>
              </w:rPr>
            </w:pPr>
          </w:p>
        </w:tc>
        <w:tc>
          <w:tcPr>
            <w:tcW w:w="1788" w:type="dxa"/>
            <w:vAlign w:val="top"/>
          </w:tcPr>
          <w:p w14:paraId="73EB6EF5">
            <w:pPr>
              <w:rPr>
                <w:rFonts w:ascii="Arial"/>
                <w:sz w:val="21"/>
                <w:highlight w:val="none"/>
              </w:rPr>
            </w:pPr>
          </w:p>
        </w:tc>
        <w:tc>
          <w:tcPr>
            <w:tcW w:w="1074" w:type="dxa"/>
            <w:vAlign w:val="top"/>
          </w:tcPr>
          <w:p w14:paraId="1A24145C">
            <w:pPr>
              <w:rPr>
                <w:rFonts w:ascii="Arial"/>
                <w:sz w:val="21"/>
                <w:highlight w:val="none"/>
              </w:rPr>
            </w:pPr>
          </w:p>
        </w:tc>
      </w:tr>
      <w:tr w14:paraId="2A36F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0B37D6A0">
            <w:pPr>
              <w:rPr>
                <w:rFonts w:ascii="Arial"/>
                <w:sz w:val="21"/>
                <w:highlight w:val="none"/>
              </w:rPr>
            </w:pPr>
          </w:p>
        </w:tc>
        <w:tc>
          <w:tcPr>
            <w:tcW w:w="1838" w:type="dxa"/>
            <w:vAlign w:val="top"/>
          </w:tcPr>
          <w:p w14:paraId="30B75BB4">
            <w:pPr>
              <w:rPr>
                <w:rFonts w:ascii="Arial"/>
                <w:sz w:val="21"/>
                <w:highlight w:val="none"/>
              </w:rPr>
            </w:pPr>
          </w:p>
        </w:tc>
        <w:tc>
          <w:tcPr>
            <w:tcW w:w="1398" w:type="dxa"/>
            <w:vAlign w:val="top"/>
          </w:tcPr>
          <w:p w14:paraId="630891E0">
            <w:pPr>
              <w:rPr>
                <w:rFonts w:ascii="Arial"/>
                <w:sz w:val="21"/>
                <w:highlight w:val="none"/>
              </w:rPr>
            </w:pPr>
          </w:p>
        </w:tc>
        <w:tc>
          <w:tcPr>
            <w:tcW w:w="1089" w:type="dxa"/>
            <w:vAlign w:val="top"/>
          </w:tcPr>
          <w:p w14:paraId="32F92209">
            <w:pPr>
              <w:rPr>
                <w:rFonts w:ascii="Arial"/>
                <w:sz w:val="21"/>
                <w:highlight w:val="none"/>
              </w:rPr>
            </w:pPr>
          </w:p>
        </w:tc>
        <w:tc>
          <w:tcPr>
            <w:tcW w:w="1098" w:type="dxa"/>
            <w:vAlign w:val="top"/>
          </w:tcPr>
          <w:p w14:paraId="1CE2B9B7">
            <w:pPr>
              <w:rPr>
                <w:rFonts w:ascii="Arial"/>
                <w:sz w:val="21"/>
                <w:highlight w:val="none"/>
              </w:rPr>
            </w:pPr>
          </w:p>
        </w:tc>
        <w:tc>
          <w:tcPr>
            <w:tcW w:w="1788" w:type="dxa"/>
            <w:vAlign w:val="top"/>
          </w:tcPr>
          <w:p w14:paraId="503E0F31">
            <w:pPr>
              <w:rPr>
                <w:rFonts w:ascii="Arial"/>
                <w:sz w:val="21"/>
                <w:highlight w:val="none"/>
              </w:rPr>
            </w:pPr>
          </w:p>
        </w:tc>
        <w:tc>
          <w:tcPr>
            <w:tcW w:w="1074" w:type="dxa"/>
            <w:vAlign w:val="top"/>
          </w:tcPr>
          <w:p w14:paraId="5ECB9D66">
            <w:pPr>
              <w:rPr>
                <w:rFonts w:ascii="Arial"/>
                <w:sz w:val="21"/>
                <w:highlight w:val="none"/>
              </w:rPr>
            </w:pPr>
          </w:p>
        </w:tc>
      </w:tr>
      <w:tr w14:paraId="49F10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544" w:type="dxa"/>
            <w:vAlign w:val="top"/>
          </w:tcPr>
          <w:p w14:paraId="5DDD4D78">
            <w:pPr>
              <w:rPr>
                <w:rFonts w:ascii="Arial"/>
                <w:sz w:val="21"/>
                <w:highlight w:val="none"/>
              </w:rPr>
            </w:pPr>
          </w:p>
        </w:tc>
        <w:tc>
          <w:tcPr>
            <w:tcW w:w="1838" w:type="dxa"/>
            <w:vAlign w:val="top"/>
          </w:tcPr>
          <w:p w14:paraId="51A27E6C">
            <w:pPr>
              <w:rPr>
                <w:rFonts w:ascii="Arial"/>
                <w:sz w:val="21"/>
                <w:highlight w:val="none"/>
              </w:rPr>
            </w:pPr>
          </w:p>
        </w:tc>
        <w:tc>
          <w:tcPr>
            <w:tcW w:w="1398" w:type="dxa"/>
            <w:vAlign w:val="top"/>
          </w:tcPr>
          <w:p w14:paraId="54397F39">
            <w:pPr>
              <w:rPr>
                <w:rFonts w:ascii="Arial"/>
                <w:sz w:val="21"/>
                <w:highlight w:val="none"/>
              </w:rPr>
            </w:pPr>
          </w:p>
        </w:tc>
        <w:tc>
          <w:tcPr>
            <w:tcW w:w="1089" w:type="dxa"/>
            <w:vAlign w:val="top"/>
          </w:tcPr>
          <w:p w14:paraId="383A39E0">
            <w:pPr>
              <w:rPr>
                <w:rFonts w:ascii="Arial"/>
                <w:sz w:val="21"/>
                <w:highlight w:val="none"/>
              </w:rPr>
            </w:pPr>
          </w:p>
        </w:tc>
        <w:tc>
          <w:tcPr>
            <w:tcW w:w="1098" w:type="dxa"/>
            <w:vAlign w:val="top"/>
          </w:tcPr>
          <w:p w14:paraId="5CBFDEC9">
            <w:pPr>
              <w:rPr>
                <w:rFonts w:ascii="Arial"/>
                <w:sz w:val="21"/>
                <w:highlight w:val="none"/>
              </w:rPr>
            </w:pPr>
          </w:p>
        </w:tc>
        <w:tc>
          <w:tcPr>
            <w:tcW w:w="1788" w:type="dxa"/>
            <w:vAlign w:val="top"/>
          </w:tcPr>
          <w:p w14:paraId="75493DCC">
            <w:pPr>
              <w:rPr>
                <w:rFonts w:ascii="Arial"/>
                <w:sz w:val="21"/>
                <w:highlight w:val="none"/>
              </w:rPr>
            </w:pPr>
          </w:p>
        </w:tc>
        <w:tc>
          <w:tcPr>
            <w:tcW w:w="1074" w:type="dxa"/>
            <w:vAlign w:val="top"/>
          </w:tcPr>
          <w:p w14:paraId="3602185F">
            <w:pPr>
              <w:rPr>
                <w:rFonts w:ascii="Arial"/>
                <w:sz w:val="21"/>
                <w:highlight w:val="none"/>
              </w:rPr>
            </w:pPr>
          </w:p>
        </w:tc>
      </w:tr>
      <w:tr w14:paraId="36A07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544" w:type="dxa"/>
            <w:vAlign w:val="top"/>
          </w:tcPr>
          <w:p w14:paraId="5A50FBE9">
            <w:pPr>
              <w:rPr>
                <w:rFonts w:ascii="Arial"/>
                <w:sz w:val="21"/>
                <w:highlight w:val="none"/>
              </w:rPr>
            </w:pPr>
          </w:p>
        </w:tc>
        <w:tc>
          <w:tcPr>
            <w:tcW w:w="1838" w:type="dxa"/>
            <w:vAlign w:val="top"/>
          </w:tcPr>
          <w:p w14:paraId="523273F3">
            <w:pPr>
              <w:rPr>
                <w:rFonts w:ascii="Arial"/>
                <w:sz w:val="21"/>
                <w:highlight w:val="none"/>
              </w:rPr>
            </w:pPr>
          </w:p>
        </w:tc>
        <w:tc>
          <w:tcPr>
            <w:tcW w:w="1398" w:type="dxa"/>
            <w:vAlign w:val="top"/>
          </w:tcPr>
          <w:p w14:paraId="5DEC081E">
            <w:pPr>
              <w:rPr>
                <w:rFonts w:ascii="Arial"/>
                <w:sz w:val="21"/>
                <w:highlight w:val="none"/>
              </w:rPr>
            </w:pPr>
          </w:p>
        </w:tc>
        <w:tc>
          <w:tcPr>
            <w:tcW w:w="1089" w:type="dxa"/>
            <w:vAlign w:val="top"/>
          </w:tcPr>
          <w:p w14:paraId="1F62C1B3">
            <w:pPr>
              <w:rPr>
                <w:rFonts w:ascii="Arial"/>
                <w:sz w:val="21"/>
                <w:highlight w:val="none"/>
              </w:rPr>
            </w:pPr>
          </w:p>
        </w:tc>
        <w:tc>
          <w:tcPr>
            <w:tcW w:w="1098" w:type="dxa"/>
            <w:vAlign w:val="top"/>
          </w:tcPr>
          <w:p w14:paraId="6038126D">
            <w:pPr>
              <w:rPr>
                <w:rFonts w:ascii="Arial"/>
                <w:sz w:val="21"/>
                <w:highlight w:val="none"/>
              </w:rPr>
            </w:pPr>
          </w:p>
        </w:tc>
        <w:tc>
          <w:tcPr>
            <w:tcW w:w="1788" w:type="dxa"/>
            <w:vAlign w:val="top"/>
          </w:tcPr>
          <w:p w14:paraId="66A1819D">
            <w:pPr>
              <w:rPr>
                <w:rFonts w:ascii="Arial"/>
                <w:sz w:val="21"/>
                <w:highlight w:val="none"/>
              </w:rPr>
            </w:pPr>
          </w:p>
        </w:tc>
        <w:tc>
          <w:tcPr>
            <w:tcW w:w="1074" w:type="dxa"/>
            <w:vAlign w:val="top"/>
          </w:tcPr>
          <w:p w14:paraId="3CAB05A4">
            <w:pPr>
              <w:rPr>
                <w:rFonts w:ascii="Arial"/>
                <w:sz w:val="21"/>
                <w:highlight w:val="none"/>
              </w:rPr>
            </w:pPr>
          </w:p>
        </w:tc>
      </w:tr>
      <w:tr w14:paraId="3A125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44" w:type="dxa"/>
            <w:vAlign w:val="top"/>
          </w:tcPr>
          <w:p w14:paraId="78548BD1">
            <w:pPr>
              <w:rPr>
                <w:rFonts w:ascii="Arial"/>
                <w:sz w:val="21"/>
                <w:highlight w:val="none"/>
              </w:rPr>
            </w:pPr>
          </w:p>
        </w:tc>
        <w:tc>
          <w:tcPr>
            <w:tcW w:w="1838" w:type="dxa"/>
            <w:vAlign w:val="top"/>
          </w:tcPr>
          <w:p w14:paraId="0DBE9A16">
            <w:pPr>
              <w:rPr>
                <w:rFonts w:ascii="Arial"/>
                <w:sz w:val="21"/>
                <w:highlight w:val="none"/>
              </w:rPr>
            </w:pPr>
          </w:p>
        </w:tc>
        <w:tc>
          <w:tcPr>
            <w:tcW w:w="1398" w:type="dxa"/>
            <w:vAlign w:val="top"/>
          </w:tcPr>
          <w:p w14:paraId="48880158">
            <w:pPr>
              <w:rPr>
                <w:rFonts w:ascii="Arial"/>
                <w:sz w:val="21"/>
                <w:highlight w:val="none"/>
              </w:rPr>
            </w:pPr>
          </w:p>
        </w:tc>
        <w:tc>
          <w:tcPr>
            <w:tcW w:w="1089" w:type="dxa"/>
            <w:vAlign w:val="top"/>
          </w:tcPr>
          <w:p w14:paraId="3CD647DC">
            <w:pPr>
              <w:rPr>
                <w:rFonts w:ascii="Arial"/>
                <w:sz w:val="21"/>
                <w:highlight w:val="none"/>
              </w:rPr>
            </w:pPr>
          </w:p>
        </w:tc>
        <w:tc>
          <w:tcPr>
            <w:tcW w:w="1098" w:type="dxa"/>
            <w:vAlign w:val="top"/>
          </w:tcPr>
          <w:p w14:paraId="5A6EF564">
            <w:pPr>
              <w:rPr>
                <w:rFonts w:ascii="Arial"/>
                <w:sz w:val="21"/>
                <w:highlight w:val="none"/>
              </w:rPr>
            </w:pPr>
          </w:p>
        </w:tc>
        <w:tc>
          <w:tcPr>
            <w:tcW w:w="1788" w:type="dxa"/>
            <w:vAlign w:val="top"/>
          </w:tcPr>
          <w:p w14:paraId="59586DD2">
            <w:pPr>
              <w:rPr>
                <w:rFonts w:ascii="Arial"/>
                <w:sz w:val="21"/>
                <w:highlight w:val="none"/>
              </w:rPr>
            </w:pPr>
          </w:p>
        </w:tc>
        <w:tc>
          <w:tcPr>
            <w:tcW w:w="1074" w:type="dxa"/>
            <w:vAlign w:val="top"/>
          </w:tcPr>
          <w:p w14:paraId="05C6B5C5">
            <w:pPr>
              <w:rPr>
                <w:rFonts w:ascii="Arial"/>
                <w:sz w:val="21"/>
                <w:highlight w:val="none"/>
              </w:rPr>
            </w:pPr>
          </w:p>
        </w:tc>
      </w:tr>
      <w:tr w14:paraId="521A8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atLeast"/>
        </w:trPr>
        <w:tc>
          <w:tcPr>
            <w:tcW w:w="544" w:type="dxa"/>
            <w:vAlign w:val="top"/>
          </w:tcPr>
          <w:p w14:paraId="06925CD6">
            <w:pPr>
              <w:rPr>
                <w:rFonts w:ascii="Arial"/>
                <w:sz w:val="21"/>
                <w:highlight w:val="none"/>
              </w:rPr>
            </w:pPr>
          </w:p>
        </w:tc>
        <w:tc>
          <w:tcPr>
            <w:tcW w:w="1838" w:type="dxa"/>
            <w:vAlign w:val="top"/>
          </w:tcPr>
          <w:p w14:paraId="33FE7E93">
            <w:pPr>
              <w:rPr>
                <w:rFonts w:ascii="Arial"/>
                <w:sz w:val="21"/>
                <w:highlight w:val="none"/>
              </w:rPr>
            </w:pPr>
          </w:p>
        </w:tc>
        <w:tc>
          <w:tcPr>
            <w:tcW w:w="1398" w:type="dxa"/>
            <w:vAlign w:val="top"/>
          </w:tcPr>
          <w:p w14:paraId="1A91B3E6">
            <w:pPr>
              <w:rPr>
                <w:rFonts w:ascii="Arial"/>
                <w:sz w:val="21"/>
                <w:highlight w:val="none"/>
              </w:rPr>
            </w:pPr>
          </w:p>
        </w:tc>
        <w:tc>
          <w:tcPr>
            <w:tcW w:w="1089" w:type="dxa"/>
            <w:vAlign w:val="top"/>
          </w:tcPr>
          <w:p w14:paraId="39F68D1A">
            <w:pPr>
              <w:rPr>
                <w:rFonts w:ascii="Arial"/>
                <w:sz w:val="21"/>
                <w:highlight w:val="none"/>
              </w:rPr>
            </w:pPr>
          </w:p>
        </w:tc>
        <w:tc>
          <w:tcPr>
            <w:tcW w:w="1098" w:type="dxa"/>
            <w:vAlign w:val="top"/>
          </w:tcPr>
          <w:p w14:paraId="36DC91C4">
            <w:pPr>
              <w:rPr>
                <w:rFonts w:ascii="Arial"/>
                <w:sz w:val="21"/>
                <w:highlight w:val="none"/>
              </w:rPr>
            </w:pPr>
          </w:p>
        </w:tc>
        <w:tc>
          <w:tcPr>
            <w:tcW w:w="1788" w:type="dxa"/>
            <w:vAlign w:val="top"/>
          </w:tcPr>
          <w:p w14:paraId="1C63A5F4">
            <w:pPr>
              <w:rPr>
                <w:rFonts w:ascii="Arial"/>
                <w:sz w:val="21"/>
                <w:highlight w:val="none"/>
              </w:rPr>
            </w:pPr>
          </w:p>
        </w:tc>
        <w:tc>
          <w:tcPr>
            <w:tcW w:w="1074" w:type="dxa"/>
            <w:vAlign w:val="top"/>
          </w:tcPr>
          <w:p w14:paraId="55C173F8">
            <w:pPr>
              <w:rPr>
                <w:rFonts w:ascii="Arial"/>
                <w:sz w:val="21"/>
                <w:highlight w:val="none"/>
              </w:rPr>
            </w:pPr>
          </w:p>
        </w:tc>
      </w:tr>
    </w:tbl>
    <w:p w14:paraId="3820ECA7">
      <w:pPr>
        <w:pStyle w:val="2"/>
        <w:rPr>
          <w:highlight w:val="none"/>
        </w:rPr>
      </w:pPr>
    </w:p>
    <w:p w14:paraId="0E09D040">
      <w:pPr>
        <w:rPr>
          <w:highlight w:val="none"/>
        </w:rPr>
        <w:sectPr>
          <w:headerReference r:id="rId276" w:type="default"/>
          <w:footerReference r:id="rId277" w:type="default"/>
          <w:pgSz w:w="11910" w:h="16840"/>
          <w:pgMar w:top="400" w:right="1115" w:bottom="1238" w:left="1786" w:header="0" w:footer="1006" w:gutter="0"/>
          <w:cols w:space="720" w:num="1"/>
        </w:sectPr>
      </w:pPr>
    </w:p>
    <w:p w14:paraId="12463D05">
      <w:pPr>
        <w:pStyle w:val="2"/>
        <w:spacing w:line="266" w:lineRule="auto"/>
        <w:rPr>
          <w:highlight w:val="none"/>
        </w:rPr>
      </w:pPr>
    </w:p>
    <w:p w14:paraId="239F6441">
      <w:pPr>
        <w:pStyle w:val="2"/>
        <w:spacing w:line="266" w:lineRule="auto"/>
        <w:rPr>
          <w:highlight w:val="none"/>
        </w:rPr>
      </w:pPr>
    </w:p>
    <w:p w14:paraId="7F107D7A">
      <w:pPr>
        <w:pStyle w:val="2"/>
        <w:spacing w:line="266" w:lineRule="auto"/>
        <w:rPr>
          <w:highlight w:val="none"/>
        </w:rPr>
      </w:pPr>
    </w:p>
    <w:p w14:paraId="22F6A059">
      <w:pPr>
        <w:pStyle w:val="2"/>
        <w:spacing w:line="266" w:lineRule="auto"/>
        <w:rPr>
          <w:highlight w:val="none"/>
        </w:rPr>
      </w:pPr>
    </w:p>
    <w:p w14:paraId="2E120228">
      <w:pPr>
        <w:pStyle w:val="2"/>
        <w:spacing w:line="266" w:lineRule="auto"/>
        <w:rPr>
          <w:highlight w:val="none"/>
        </w:rPr>
      </w:pPr>
    </w:p>
    <w:p w14:paraId="69A3E63D">
      <w:pPr>
        <w:pStyle w:val="2"/>
        <w:spacing w:line="266" w:lineRule="auto"/>
        <w:rPr>
          <w:highlight w:val="none"/>
        </w:rPr>
      </w:pPr>
    </w:p>
    <w:p w14:paraId="41C5CD4B">
      <w:pPr>
        <w:pStyle w:val="2"/>
        <w:spacing w:before="78" w:line="327" w:lineRule="exact"/>
        <w:ind w:left="2185"/>
        <w:rPr>
          <w:rFonts w:ascii="黑体" w:hAnsi="黑体" w:eastAsia="黑体" w:cs="黑体"/>
          <w:sz w:val="24"/>
          <w:szCs w:val="24"/>
          <w:highlight w:val="none"/>
        </w:rPr>
      </w:pPr>
      <w:r>
        <w:rPr>
          <w:position w:val="1"/>
          <w:sz w:val="24"/>
          <w:szCs w:val="24"/>
          <w:highlight w:val="none"/>
        </w:rPr>
        <w:t xml:space="preserve">6-2  </w:t>
      </w:r>
      <w:r>
        <w:rPr>
          <w:rFonts w:ascii="黑体" w:hAnsi="黑体" w:eastAsia="黑体" w:cs="黑体"/>
          <w:position w:val="1"/>
          <w:sz w:val="24"/>
          <w:szCs w:val="24"/>
          <w:highlight w:val="none"/>
        </w:rPr>
        <w:t>正在实施的和新承接的项目情况表</w:t>
      </w:r>
    </w:p>
    <w:p w14:paraId="7A0FD8A4">
      <w:pPr>
        <w:spacing w:before="161"/>
        <w:rPr>
          <w:highlight w:val="none"/>
        </w:rPr>
      </w:pPr>
    </w:p>
    <w:tbl>
      <w:tblPr>
        <w:tblStyle w:val="5"/>
        <w:tblW w:w="84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2"/>
        <w:gridCol w:w="6077"/>
      </w:tblGrid>
      <w:tr w14:paraId="18EFE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402" w:type="dxa"/>
            <w:vAlign w:val="top"/>
          </w:tcPr>
          <w:p w14:paraId="225B8825">
            <w:pPr>
              <w:pStyle w:val="6"/>
              <w:spacing w:before="214" w:line="220" w:lineRule="auto"/>
              <w:ind w:left="774"/>
              <w:rPr>
                <w:highlight w:val="none"/>
              </w:rPr>
            </w:pPr>
            <w:r>
              <w:rPr>
                <w:spacing w:val="2"/>
                <w:highlight w:val="none"/>
              </w:rPr>
              <w:t>项目名称</w:t>
            </w:r>
          </w:p>
        </w:tc>
        <w:tc>
          <w:tcPr>
            <w:tcW w:w="6077" w:type="dxa"/>
            <w:vAlign w:val="top"/>
          </w:tcPr>
          <w:p w14:paraId="3520A277">
            <w:pPr>
              <w:rPr>
                <w:rFonts w:ascii="Arial"/>
                <w:sz w:val="21"/>
                <w:highlight w:val="none"/>
              </w:rPr>
            </w:pPr>
          </w:p>
        </w:tc>
      </w:tr>
      <w:tr w14:paraId="7DB06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402" w:type="dxa"/>
            <w:vAlign w:val="top"/>
          </w:tcPr>
          <w:p w14:paraId="0C1158F5">
            <w:pPr>
              <w:pStyle w:val="6"/>
              <w:spacing w:before="220" w:line="220" w:lineRule="auto"/>
              <w:ind w:left="664"/>
              <w:rPr>
                <w:highlight w:val="none"/>
              </w:rPr>
            </w:pPr>
            <w:r>
              <w:rPr>
                <w:spacing w:val="-2"/>
                <w:highlight w:val="none"/>
              </w:rPr>
              <w:t>项目所在地</w:t>
            </w:r>
          </w:p>
        </w:tc>
        <w:tc>
          <w:tcPr>
            <w:tcW w:w="6077" w:type="dxa"/>
            <w:vAlign w:val="top"/>
          </w:tcPr>
          <w:p w14:paraId="755D5DA8">
            <w:pPr>
              <w:rPr>
                <w:rFonts w:ascii="Arial"/>
                <w:sz w:val="21"/>
                <w:highlight w:val="none"/>
              </w:rPr>
            </w:pPr>
          </w:p>
        </w:tc>
      </w:tr>
      <w:tr w14:paraId="39C97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02" w:type="dxa"/>
            <w:vAlign w:val="top"/>
          </w:tcPr>
          <w:p w14:paraId="6AB9C36A">
            <w:pPr>
              <w:pStyle w:val="6"/>
              <w:spacing w:before="210" w:line="220" w:lineRule="auto"/>
              <w:ind w:left="664"/>
              <w:rPr>
                <w:highlight w:val="none"/>
              </w:rPr>
            </w:pPr>
            <w:r>
              <w:rPr>
                <w:spacing w:val="2"/>
                <w:highlight w:val="none"/>
              </w:rPr>
              <w:t>发包人名称</w:t>
            </w:r>
          </w:p>
        </w:tc>
        <w:tc>
          <w:tcPr>
            <w:tcW w:w="6077" w:type="dxa"/>
            <w:vAlign w:val="top"/>
          </w:tcPr>
          <w:p w14:paraId="6EE89BF7">
            <w:pPr>
              <w:rPr>
                <w:rFonts w:ascii="Arial"/>
                <w:sz w:val="21"/>
                <w:highlight w:val="none"/>
              </w:rPr>
            </w:pPr>
          </w:p>
        </w:tc>
      </w:tr>
      <w:tr w14:paraId="26F24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02" w:type="dxa"/>
            <w:vAlign w:val="top"/>
          </w:tcPr>
          <w:p w14:paraId="54573276">
            <w:pPr>
              <w:pStyle w:val="6"/>
              <w:spacing w:before="211" w:line="220" w:lineRule="auto"/>
              <w:ind w:left="664"/>
              <w:rPr>
                <w:highlight w:val="none"/>
              </w:rPr>
            </w:pPr>
            <w:r>
              <w:rPr>
                <w:spacing w:val="1"/>
                <w:highlight w:val="none"/>
              </w:rPr>
              <w:t>发包人地址</w:t>
            </w:r>
          </w:p>
        </w:tc>
        <w:tc>
          <w:tcPr>
            <w:tcW w:w="6077" w:type="dxa"/>
            <w:vAlign w:val="top"/>
          </w:tcPr>
          <w:p w14:paraId="23557637">
            <w:pPr>
              <w:rPr>
                <w:rFonts w:ascii="Arial"/>
                <w:sz w:val="21"/>
                <w:highlight w:val="none"/>
              </w:rPr>
            </w:pPr>
          </w:p>
        </w:tc>
      </w:tr>
      <w:tr w14:paraId="30335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402" w:type="dxa"/>
            <w:vAlign w:val="top"/>
          </w:tcPr>
          <w:p w14:paraId="428585B0">
            <w:pPr>
              <w:pStyle w:val="6"/>
              <w:spacing w:before="222" w:line="220" w:lineRule="auto"/>
              <w:ind w:left="664"/>
              <w:rPr>
                <w:highlight w:val="none"/>
              </w:rPr>
            </w:pPr>
            <w:r>
              <w:rPr>
                <w:spacing w:val="-2"/>
                <w:highlight w:val="none"/>
              </w:rPr>
              <w:t>发包人电话</w:t>
            </w:r>
          </w:p>
        </w:tc>
        <w:tc>
          <w:tcPr>
            <w:tcW w:w="6077" w:type="dxa"/>
            <w:vAlign w:val="top"/>
          </w:tcPr>
          <w:p w14:paraId="255AB807">
            <w:pPr>
              <w:rPr>
                <w:rFonts w:ascii="Arial"/>
                <w:sz w:val="21"/>
                <w:highlight w:val="none"/>
              </w:rPr>
            </w:pPr>
          </w:p>
        </w:tc>
      </w:tr>
      <w:tr w14:paraId="37045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02" w:type="dxa"/>
            <w:vAlign w:val="top"/>
          </w:tcPr>
          <w:p w14:paraId="3027CA50">
            <w:pPr>
              <w:pStyle w:val="6"/>
              <w:spacing w:before="209" w:line="218" w:lineRule="auto"/>
              <w:ind w:left="664"/>
              <w:rPr>
                <w:highlight w:val="none"/>
              </w:rPr>
            </w:pPr>
            <w:r>
              <w:rPr>
                <w:spacing w:val="-2"/>
                <w:highlight w:val="none"/>
              </w:rPr>
              <w:t>签约合同价</w:t>
            </w:r>
          </w:p>
        </w:tc>
        <w:tc>
          <w:tcPr>
            <w:tcW w:w="6077" w:type="dxa"/>
            <w:vAlign w:val="top"/>
          </w:tcPr>
          <w:p w14:paraId="6201AC78">
            <w:pPr>
              <w:rPr>
                <w:rFonts w:ascii="Arial"/>
                <w:sz w:val="21"/>
                <w:highlight w:val="none"/>
              </w:rPr>
            </w:pPr>
          </w:p>
        </w:tc>
      </w:tr>
      <w:tr w14:paraId="2C7EE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02" w:type="dxa"/>
            <w:vAlign w:val="top"/>
          </w:tcPr>
          <w:p w14:paraId="52E3A6D6">
            <w:pPr>
              <w:pStyle w:val="6"/>
              <w:spacing w:before="213" w:line="220" w:lineRule="auto"/>
              <w:ind w:left="774"/>
              <w:rPr>
                <w:highlight w:val="none"/>
              </w:rPr>
            </w:pPr>
            <w:r>
              <w:rPr>
                <w:spacing w:val="3"/>
                <w:highlight w:val="none"/>
              </w:rPr>
              <w:t>开工日期</w:t>
            </w:r>
          </w:p>
        </w:tc>
        <w:tc>
          <w:tcPr>
            <w:tcW w:w="6077" w:type="dxa"/>
            <w:vAlign w:val="top"/>
          </w:tcPr>
          <w:p w14:paraId="0ED66B52">
            <w:pPr>
              <w:rPr>
                <w:rFonts w:ascii="Arial"/>
                <w:sz w:val="21"/>
                <w:highlight w:val="none"/>
              </w:rPr>
            </w:pPr>
          </w:p>
        </w:tc>
      </w:tr>
      <w:tr w14:paraId="30DF1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402" w:type="dxa"/>
            <w:vAlign w:val="top"/>
          </w:tcPr>
          <w:p w14:paraId="75228B30">
            <w:pPr>
              <w:pStyle w:val="6"/>
              <w:spacing w:before="213" w:line="219" w:lineRule="auto"/>
              <w:ind w:left="565"/>
              <w:rPr>
                <w:highlight w:val="none"/>
              </w:rPr>
            </w:pPr>
            <w:r>
              <w:rPr>
                <w:spacing w:val="2"/>
                <w:highlight w:val="none"/>
              </w:rPr>
              <w:t>计划竣工日期</w:t>
            </w:r>
          </w:p>
        </w:tc>
        <w:tc>
          <w:tcPr>
            <w:tcW w:w="6077" w:type="dxa"/>
            <w:vAlign w:val="top"/>
          </w:tcPr>
          <w:p w14:paraId="25E36086">
            <w:pPr>
              <w:rPr>
                <w:rFonts w:ascii="Arial"/>
                <w:sz w:val="21"/>
                <w:highlight w:val="none"/>
              </w:rPr>
            </w:pPr>
          </w:p>
        </w:tc>
      </w:tr>
      <w:tr w14:paraId="5FAA1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402" w:type="dxa"/>
            <w:vAlign w:val="top"/>
          </w:tcPr>
          <w:p w14:paraId="2F9AEC22">
            <w:pPr>
              <w:pStyle w:val="6"/>
              <w:spacing w:before="223" w:line="219" w:lineRule="auto"/>
              <w:ind w:left="664"/>
              <w:rPr>
                <w:highlight w:val="none"/>
              </w:rPr>
            </w:pPr>
            <w:r>
              <w:rPr>
                <w:spacing w:val="2"/>
                <w:highlight w:val="none"/>
              </w:rPr>
              <w:t>承担的工作</w:t>
            </w:r>
          </w:p>
        </w:tc>
        <w:tc>
          <w:tcPr>
            <w:tcW w:w="6077" w:type="dxa"/>
            <w:vAlign w:val="top"/>
          </w:tcPr>
          <w:p w14:paraId="53E9C97F">
            <w:pPr>
              <w:rPr>
                <w:rFonts w:ascii="Arial"/>
                <w:sz w:val="21"/>
                <w:highlight w:val="none"/>
              </w:rPr>
            </w:pPr>
          </w:p>
        </w:tc>
      </w:tr>
      <w:tr w14:paraId="75749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402" w:type="dxa"/>
            <w:vAlign w:val="top"/>
          </w:tcPr>
          <w:p w14:paraId="6DA29F94">
            <w:pPr>
              <w:pStyle w:val="6"/>
              <w:spacing w:before="204" w:line="220" w:lineRule="auto"/>
              <w:ind w:left="774"/>
              <w:rPr>
                <w:highlight w:val="none"/>
              </w:rPr>
            </w:pPr>
            <w:r>
              <w:rPr>
                <w:spacing w:val="-3"/>
                <w:highlight w:val="none"/>
              </w:rPr>
              <w:t>工程质量</w:t>
            </w:r>
          </w:p>
        </w:tc>
        <w:tc>
          <w:tcPr>
            <w:tcW w:w="6077" w:type="dxa"/>
            <w:vAlign w:val="top"/>
          </w:tcPr>
          <w:p w14:paraId="612E4A97">
            <w:pPr>
              <w:rPr>
                <w:rFonts w:ascii="Arial"/>
                <w:sz w:val="21"/>
                <w:highlight w:val="none"/>
              </w:rPr>
            </w:pPr>
          </w:p>
        </w:tc>
      </w:tr>
      <w:tr w14:paraId="5BC95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02" w:type="dxa"/>
            <w:vAlign w:val="top"/>
          </w:tcPr>
          <w:p w14:paraId="3E153FE8">
            <w:pPr>
              <w:pStyle w:val="6"/>
              <w:spacing w:before="214" w:line="220" w:lineRule="auto"/>
              <w:ind w:left="774"/>
              <w:rPr>
                <w:highlight w:val="none"/>
              </w:rPr>
            </w:pPr>
            <w:r>
              <w:rPr>
                <w:spacing w:val="-3"/>
                <w:highlight w:val="none"/>
              </w:rPr>
              <w:t>项目经理</w:t>
            </w:r>
          </w:p>
        </w:tc>
        <w:tc>
          <w:tcPr>
            <w:tcW w:w="6077" w:type="dxa"/>
            <w:vAlign w:val="top"/>
          </w:tcPr>
          <w:p w14:paraId="6D49E493">
            <w:pPr>
              <w:rPr>
                <w:rFonts w:ascii="Arial"/>
                <w:sz w:val="21"/>
                <w:highlight w:val="none"/>
              </w:rPr>
            </w:pPr>
          </w:p>
        </w:tc>
      </w:tr>
      <w:tr w14:paraId="22595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02" w:type="dxa"/>
            <w:vAlign w:val="top"/>
          </w:tcPr>
          <w:p w14:paraId="391C8F4C">
            <w:pPr>
              <w:pStyle w:val="6"/>
              <w:spacing w:before="214" w:line="219" w:lineRule="auto"/>
              <w:ind w:left="244"/>
              <w:rPr>
                <w:highlight w:val="none"/>
              </w:rPr>
            </w:pPr>
            <w:r>
              <w:rPr>
                <w:highlight w:val="none"/>
              </w:rPr>
              <w:t>总监理工程师及电话</w:t>
            </w:r>
          </w:p>
        </w:tc>
        <w:tc>
          <w:tcPr>
            <w:tcW w:w="6077" w:type="dxa"/>
            <w:vAlign w:val="top"/>
          </w:tcPr>
          <w:p w14:paraId="398FB5AC">
            <w:pPr>
              <w:rPr>
                <w:rFonts w:ascii="Arial"/>
                <w:sz w:val="21"/>
                <w:highlight w:val="none"/>
              </w:rPr>
            </w:pPr>
          </w:p>
        </w:tc>
      </w:tr>
      <w:tr w14:paraId="4FC4C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8" w:hRule="atLeast"/>
        </w:trPr>
        <w:tc>
          <w:tcPr>
            <w:tcW w:w="2402" w:type="dxa"/>
            <w:vAlign w:val="top"/>
          </w:tcPr>
          <w:p w14:paraId="3343D229">
            <w:pPr>
              <w:spacing w:line="277" w:lineRule="auto"/>
              <w:rPr>
                <w:rFonts w:ascii="Arial"/>
                <w:sz w:val="21"/>
                <w:highlight w:val="none"/>
              </w:rPr>
            </w:pPr>
          </w:p>
          <w:p w14:paraId="2DAAF5C2">
            <w:pPr>
              <w:spacing w:line="278" w:lineRule="auto"/>
              <w:rPr>
                <w:rFonts w:ascii="Arial"/>
                <w:sz w:val="21"/>
                <w:highlight w:val="none"/>
              </w:rPr>
            </w:pPr>
          </w:p>
          <w:p w14:paraId="0017BA21">
            <w:pPr>
              <w:spacing w:line="278" w:lineRule="auto"/>
              <w:rPr>
                <w:rFonts w:ascii="Arial"/>
                <w:sz w:val="21"/>
                <w:highlight w:val="none"/>
              </w:rPr>
            </w:pPr>
          </w:p>
          <w:p w14:paraId="452CEC10">
            <w:pPr>
              <w:spacing w:line="278" w:lineRule="auto"/>
              <w:rPr>
                <w:rFonts w:ascii="Arial"/>
                <w:sz w:val="21"/>
                <w:highlight w:val="none"/>
              </w:rPr>
            </w:pPr>
          </w:p>
          <w:p w14:paraId="77FBBB02">
            <w:pPr>
              <w:pStyle w:val="6"/>
              <w:spacing w:before="68" w:line="220" w:lineRule="auto"/>
              <w:ind w:left="774"/>
              <w:rPr>
                <w:highlight w:val="none"/>
              </w:rPr>
            </w:pPr>
            <w:r>
              <w:rPr>
                <w:spacing w:val="-3"/>
                <w:highlight w:val="none"/>
              </w:rPr>
              <w:t>项目描述</w:t>
            </w:r>
          </w:p>
        </w:tc>
        <w:tc>
          <w:tcPr>
            <w:tcW w:w="6077" w:type="dxa"/>
            <w:vAlign w:val="top"/>
          </w:tcPr>
          <w:p w14:paraId="401FF59D">
            <w:pPr>
              <w:rPr>
                <w:rFonts w:ascii="Arial"/>
                <w:sz w:val="21"/>
                <w:highlight w:val="none"/>
              </w:rPr>
            </w:pPr>
          </w:p>
        </w:tc>
      </w:tr>
      <w:tr w14:paraId="7B8C4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402" w:type="dxa"/>
            <w:vAlign w:val="top"/>
          </w:tcPr>
          <w:p w14:paraId="32598548">
            <w:pPr>
              <w:pStyle w:val="6"/>
              <w:spacing w:before="218" w:line="221" w:lineRule="auto"/>
              <w:ind w:left="984"/>
              <w:rPr>
                <w:highlight w:val="none"/>
              </w:rPr>
            </w:pPr>
            <w:r>
              <w:rPr>
                <w:spacing w:val="5"/>
                <w:highlight w:val="none"/>
              </w:rPr>
              <w:t>备注</w:t>
            </w:r>
          </w:p>
        </w:tc>
        <w:tc>
          <w:tcPr>
            <w:tcW w:w="6077" w:type="dxa"/>
            <w:vAlign w:val="top"/>
          </w:tcPr>
          <w:p w14:paraId="6EE74668">
            <w:pPr>
              <w:rPr>
                <w:rFonts w:ascii="Arial"/>
                <w:sz w:val="21"/>
                <w:highlight w:val="none"/>
              </w:rPr>
            </w:pPr>
          </w:p>
        </w:tc>
      </w:tr>
    </w:tbl>
    <w:p w14:paraId="2E1C6847">
      <w:pPr>
        <w:pStyle w:val="2"/>
        <w:spacing w:line="260" w:lineRule="auto"/>
        <w:rPr>
          <w:highlight w:val="none"/>
        </w:rPr>
      </w:pPr>
    </w:p>
    <w:p w14:paraId="7CA83474">
      <w:pPr>
        <w:pStyle w:val="2"/>
        <w:spacing w:line="260" w:lineRule="auto"/>
        <w:rPr>
          <w:highlight w:val="none"/>
        </w:rPr>
      </w:pPr>
    </w:p>
    <w:p w14:paraId="2AD38A53">
      <w:pPr>
        <w:spacing w:before="69" w:line="416" w:lineRule="auto"/>
        <w:ind w:left="734" w:right="56" w:hanging="630"/>
        <w:rPr>
          <w:rFonts w:ascii="宋体" w:hAnsi="宋体" w:eastAsia="宋体" w:cs="宋体"/>
          <w:sz w:val="21"/>
          <w:szCs w:val="21"/>
          <w:highlight w:val="none"/>
        </w:rPr>
      </w:pPr>
      <w:r>
        <w:rPr>
          <w:rFonts w:ascii="宋体" w:hAnsi="宋体" w:eastAsia="宋体" w:cs="宋体"/>
          <w:spacing w:val="3"/>
          <w:sz w:val="21"/>
          <w:szCs w:val="21"/>
          <w:highlight w:val="none"/>
        </w:rPr>
        <w:t>备注：本表后应附中标通知书和(或)合同协议书扫描件。每张表格只填写一个项目，并标</w:t>
      </w:r>
      <w:r>
        <w:rPr>
          <w:rFonts w:ascii="宋体" w:hAnsi="宋体" w:eastAsia="宋体" w:cs="宋体"/>
          <w:spacing w:val="17"/>
          <w:sz w:val="21"/>
          <w:szCs w:val="21"/>
          <w:highlight w:val="none"/>
        </w:rPr>
        <w:t xml:space="preserve"> </w:t>
      </w:r>
      <w:r>
        <w:rPr>
          <w:rFonts w:ascii="宋体" w:hAnsi="宋体" w:eastAsia="宋体" w:cs="宋体"/>
          <w:spacing w:val="-11"/>
          <w:sz w:val="21"/>
          <w:szCs w:val="21"/>
          <w:highlight w:val="none"/>
        </w:rPr>
        <w:t>明序号。</w:t>
      </w:r>
    </w:p>
    <w:p w14:paraId="3F6C456E">
      <w:pPr>
        <w:spacing w:line="416" w:lineRule="auto"/>
        <w:rPr>
          <w:rFonts w:ascii="宋体" w:hAnsi="宋体" w:eastAsia="宋体" w:cs="宋体"/>
          <w:sz w:val="21"/>
          <w:szCs w:val="21"/>
          <w:highlight w:val="none"/>
        </w:rPr>
        <w:sectPr>
          <w:footerReference r:id="rId278" w:type="default"/>
          <w:pgSz w:w="11910" w:h="16840"/>
          <w:pgMar w:top="400" w:right="1735" w:bottom="1238" w:left="1685" w:header="0" w:footer="1006" w:gutter="0"/>
          <w:cols w:space="720" w:num="1"/>
        </w:sectPr>
      </w:pPr>
    </w:p>
    <w:p w14:paraId="4269AD60">
      <w:pPr>
        <w:pStyle w:val="2"/>
        <w:spacing w:line="272" w:lineRule="auto"/>
        <w:rPr>
          <w:highlight w:val="none"/>
        </w:rPr>
      </w:pPr>
    </w:p>
    <w:p w14:paraId="752202D0">
      <w:pPr>
        <w:pStyle w:val="2"/>
        <w:spacing w:line="272" w:lineRule="auto"/>
        <w:rPr>
          <w:highlight w:val="none"/>
        </w:rPr>
      </w:pPr>
    </w:p>
    <w:p w14:paraId="21419ADD">
      <w:pPr>
        <w:pStyle w:val="2"/>
        <w:spacing w:line="272" w:lineRule="auto"/>
        <w:rPr>
          <w:highlight w:val="none"/>
        </w:rPr>
      </w:pPr>
    </w:p>
    <w:p w14:paraId="5247834B">
      <w:pPr>
        <w:pStyle w:val="2"/>
        <w:spacing w:line="272" w:lineRule="auto"/>
        <w:rPr>
          <w:highlight w:val="none"/>
        </w:rPr>
      </w:pPr>
    </w:p>
    <w:p w14:paraId="2CD47155">
      <w:pPr>
        <w:spacing w:before="97" w:line="222" w:lineRule="auto"/>
        <w:ind w:left="70"/>
        <w:rPr>
          <w:rFonts w:ascii="黑体" w:hAnsi="黑体" w:eastAsia="黑体" w:cs="黑体"/>
          <w:sz w:val="30"/>
          <w:szCs w:val="30"/>
          <w:highlight w:val="none"/>
        </w:rPr>
      </w:pPr>
      <w:r>
        <w:rPr>
          <w:rFonts w:ascii="黑体" w:hAnsi="黑体" w:eastAsia="黑体" w:cs="黑体"/>
          <w:spacing w:val="-18"/>
          <w:sz w:val="30"/>
          <w:szCs w:val="30"/>
          <w:highlight w:val="none"/>
        </w:rPr>
        <w:t>(八)企业信誉情况</w:t>
      </w:r>
    </w:p>
    <w:p w14:paraId="0B6CFAC2">
      <w:pPr>
        <w:pStyle w:val="2"/>
        <w:spacing w:line="261" w:lineRule="auto"/>
        <w:rPr>
          <w:highlight w:val="none"/>
        </w:rPr>
      </w:pPr>
    </w:p>
    <w:p w14:paraId="10CE11F9">
      <w:pPr>
        <w:pStyle w:val="2"/>
        <w:spacing w:line="262" w:lineRule="auto"/>
        <w:rPr>
          <w:highlight w:val="none"/>
        </w:rPr>
      </w:pPr>
    </w:p>
    <w:p w14:paraId="7E836118">
      <w:pPr>
        <w:pStyle w:val="2"/>
        <w:spacing w:before="78" w:line="221" w:lineRule="auto"/>
        <w:ind w:left="3170"/>
        <w:rPr>
          <w:rFonts w:ascii="黑体" w:hAnsi="黑体" w:eastAsia="黑体" w:cs="黑体"/>
          <w:sz w:val="24"/>
          <w:szCs w:val="24"/>
          <w:highlight w:val="none"/>
        </w:rPr>
      </w:pPr>
      <w:r>
        <w:rPr>
          <w:spacing w:val="1"/>
          <w:sz w:val="24"/>
          <w:szCs w:val="24"/>
          <w:highlight w:val="none"/>
        </w:rPr>
        <w:t xml:space="preserve">7-1  </w:t>
      </w:r>
      <w:r>
        <w:rPr>
          <w:rFonts w:ascii="黑体" w:hAnsi="黑体" w:eastAsia="黑体" w:cs="黑体"/>
          <w:spacing w:val="1"/>
          <w:sz w:val="24"/>
          <w:szCs w:val="24"/>
          <w:highlight w:val="none"/>
        </w:rPr>
        <w:t>企业信誉声明</w:t>
      </w:r>
    </w:p>
    <w:p w14:paraId="4DC3E7E9">
      <w:pPr>
        <w:pStyle w:val="2"/>
        <w:spacing w:line="446" w:lineRule="auto"/>
        <w:rPr>
          <w:highlight w:val="none"/>
        </w:rPr>
      </w:pPr>
    </w:p>
    <w:p w14:paraId="75F10D84">
      <w:pPr>
        <w:tabs>
          <w:tab w:val="left" w:pos="2210"/>
        </w:tabs>
        <w:spacing w:before="65" w:line="220" w:lineRule="auto"/>
        <w:rPr>
          <w:rFonts w:ascii="宋体" w:hAnsi="宋体" w:eastAsia="宋体" w:cs="宋体"/>
          <w:sz w:val="20"/>
          <w:szCs w:val="20"/>
          <w:highlight w:val="none"/>
        </w:rPr>
      </w:pPr>
      <w:r>
        <w:rPr>
          <w:rFonts w:ascii="宋体" w:hAnsi="宋体" w:eastAsia="宋体" w:cs="宋体"/>
          <w:sz w:val="20"/>
          <w:szCs w:val="20"/>
          <w:highlight w:val="none"/>
          <w:u w:val="single" w:color="auto"/>
        </w:rPr>
        <w:tab/>
      </w:r>
      <w:r>
        <w:rPr>
          <w:rFonts w:ascii="宋体" w:hAnsi="宋体" w:eastAsia="宋体" w:cs="宋体"/>
          <w:spacing w:val="5"/>
          <w:sz w:val="20"/>
          <w:szCs w:val="20"/>
          <w:highlight w:val="none"/>
        </w:rPr>
        <w:t xml:space="preserve"> </w:t>
      </w:r>
      <w:r>
        <w:rPr>
          <w:rFonts w:ascii="宋体" w:hAnsi="宋体" w:eastAsia="宋体" w:cs="宋体"/>
          <w:spacing w:val="8"/>
          <w:sz w:val="20"/>
          <w:szCs w:val="20"/>
          <w:highlight w:val="none"/>
        </w:rPr>
        <w:t>(招标人名称):</w:t>
      </w:r>
    </w:p>
    <w:p w14:paraId="486A2D7A">
      <w:pPr>
        <w:spacing w:before="230" w:line="374" w:lineRule="auto"/>
        <w:ind w:right="247" w:firstLine="420"/>
        <w:rPr>
          <w:rFonts w:ascii="宋体" w:hAnsi="宋体" w:eastAsia="宋体" w:cs="宋体"/>
          <w:sz w:val="21"/>
          <w:szCs w:val="21"/>
          <w:highlight w:val="none"/>
        </w:rPr>
      </w:pPr>
      <w:r>
        <w:rPr>
          <w:rFonts w:ascii="宋体" w:hAnsi="宋体" w:eastAsia="宋体" w:cs="宋体"/>
          <w:spacing w:val="-2"/>
          <w:sz w:val="21"/>
          <w:szCs w:val="21"/>
          <w:highlight w:val="none"/>
        </w:rPr>
        <w:t>我方在此声明，截止本招标项目投标截止时间，我方处于正常的经营</w:t>
      </w:r>
      <w:r>
        <w:rPr>
          <w:rFonts w:ascii="宋体" w:hAnsi="宋体" w:eastAsia="宋体" w:cs="宋体"/>
          <w:spacing w:val="-3"/>
          <w:sz w:val="21"/>
          <w:szCs w:val="21"/>
          <w:highlight w:val="none"/>
        </w:rPr>
        <w:t>状态，不存在下列</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任何一种情形。</w:t>
      </w:r>
    </w:p>
    <w:p w14:paraId="1C4A25E0">
      <w:pPr>
        <w:spacing w:line="218" w:lineRule="auto"/>
        <w:ind w:left="42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1.</w:t>
      </w:r>
      <w:r>
        <w:rPr>
          <w:rFonts w:ascii="宋体" w:hAnsi="宋体" w:eastAsia="宋体" w:cs="宋体"/>
          <w:spacing w:val="-11"/>
          <w:sz w:val="22"/>
          <w:szCs w:val="22"/>
          <w:highlight w:val="none"/>
        </w:rPr>
        <w:t>被依法暂停或取消投标资格；</w:t>
      </w:r>
    </w:p>
    <w:p w14:paraId="5C2FE495">
      <w:pPr>
        <w:spacing w:before="129" w:line="219" w:lineRule="auto"/>
        <w:ind w:left="42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2.</w:t>
      </w:r>
      <w:r>
        <w:rPr>
          <w:rFonts w:ascii="宋体" w:hAnsi="宋体" w:eastAsia="宋体" w:cs="宋体"/>
          <w:spacing w:val="-10"/>
          <w:sz w:val="22"/>
          <w:szCs w:val="22"/>
          <w:highlight w:val="none"/>
        </w:rPr>
        <w:t>被责令停产停业、暂扣或者吊销许可证、暂扣或者</w:t>
      </w:r>
      <w:r>
        <w:rPr>
          <w:rFonts w:ascii="宋体" w:hAnsi="宋体" w:eastAsia="宋体" w:cs="宋体"/>
          <w:spacing w:val="-11"/>
          <w:sz w:val="22"/>
          <w:szCs w:val="22"/>
          <w:highlight w:val="none"/>
        </w:rPr>
        <w:t>吊销执照；</w:t>
      </w:r>
    </w:p>
    <w:p w14:paraId="486F2431">
      <w:pPr>
        <w:spacing w:before="157" w:line="218" w:lineRule="auto"/>
        <w:ind w:left="420"/>
        <w:rPr>
          <w:rFonts w:ascii="宋体" w:hAnsi="宋体" w:eastAsia="宋体" w:cs="宋体"/>
          <w:sz w:val="20"/>
          <w:szCs w:val="20"/>
          <w:highlight w:val="none"/>
        </w:rPr>
      </w:pPr>
      <w:r>
        <w:rPr>
          <w:rFonts w:ascii="宋体" w:hAnsi="宋体" w:eastAsia="宋体" w:cs="宋体"/>
          <w:spacing w:val="6"/>
          <w:sz w:val="20"/>
          <w:szCs w:val="20"/>
          <w:highlight w:val="none"/>
        </w:rPr>
        <w:t>3.进入清算程序，或被宣告破产，或其他丧失履约能力的情形；</w:t>
      </w:r>
    </w:p>
    <w:p w14:paraId="4EAF7E27">
      <w:pPr>
        <w:spacing w:before="157" w:line="219" w:lineRule="auto"/>
        <w:ind w:left="420"/>
        <w:rPr>
          <w:rFonts w:ascii="宋体" w:hAnsi="宋体" w:eastAsia="宋体" w:cs="宋体"/>
          <w:sz w:val="22"/>
          <w:szCs w:val="22"/>
          <w:highlight w:val="none"/>
        </w:rPr>
      </w:pPr>
      <w:r>
        <w:rPr>
          <w:rFonts w:ascii="宋体" w:hAnsi="宋体" w:eastAsia="宋体" w:cs="宋体"/>
          <w:spacing w:val="-13"/>
          <w:sz w:val="22"/>
          <w:szCs w:val="22"/>
          <w:highlight w:val="none"/>
        </w:rPr>
        <w:t>4.在最近三年内发生重大工程质量问题；</w:t>
      </w:r>
    </w:p>
    <w:p w14:paraId="38D8FCA4">
      <w:pPr>
        <w:spacing w:before="84" w:line="297" w:lineRule="auto"/>
        <w:ind w:right="237" w:firstLine="420"/>
        <w:rPr>
          <w:rFonts w:ascii="宋体" w:hAnsi="宋体" w:eastAsia="宋体" w:cs="宋体"/>
          <w:sz w:val="22"/>
          <w:szCs w:val="22"/>
          <w:highlight w:val="none"/>
        </w:rPr>
      </w:pPr>
      <w:r>
        <w:rPr>
          <w:rFonts w:ascii="宋体" w:hAnsi="宋体" w:eastAsia="宋体" w:cs="宋体"/>
          <w:spacing w:val="-9"/>
          <w:sz w:val="22"/>
          <w:szCs w:val="22"/>
          <w:highlight w:val="none"/>
        </w:rPr>
        <w:t>5.在“国家企业信用信息公示系统”(</w:t>
      </w:r>
      <w:r>
        <w:rPr>
          <w:rFonts w:ascii="宋体" w:hAnsi="宋体" w:eastAsia="宋体" w:cs="宋体"/>
          <w:spacing w:val="59"/>
          <w:sz w:val="22"/>
          <w:szCs w:val="22"/>
          <w:highlight w:val="none"/>
        </w:rPr>
        <w:t xml:space="preserve"> </w:t>
      </w:r>
      <w:r>
        <w:rPr>
          <w:highlight w:val="none"/>
        </w:rPr>
        <w:fldChar w:fldCharType="begin"/>
      </w:r>
      <w:r>
        <w:rPr>
          <w:highlight w:val="none"/>
        </w:rPr>
        <w:instrText xml:space="preserve"> HYPERLINK "https://www.gsxt.gov.cn" </w:instrText>
      </w:r>
      <w:r>
        <w:rPr>
          <w:highlight w:val="none"/>
        </w:rPr>
        <w:fldChar w:fldCharType="separate"/>
      </w:r>
      <w:r>
        <w:rPr>
          <w:rFonts w:ascii="Times New Roman" w:hAnsi="Times New Roman" w:eastAsia="Times New Roman" w:cs="Times New Roman"/>
          <w:spacing w:val="-9"/>
          <w:sz w:val="22"/>
          <w:szCs w:val="22"/>
          <w:highlight w:val="none"/>
        </w:rPr>
        <w:t>www.gsxt.</w:t>
      </w:r>
      <w:r>
        <w:rPr>
          <w:rFonts w:ascii="Times New Roman" w:hAnsi="Times New Roman" w:eastAsia="Times New Roman" w:cs="Times New Roman"/>
          <w:spacing w:val="-10"/>
          <w:sz w:val="22"/>
          <w:szCs w:val="22"/>
          <w:highlight w:val="none"/>
        </w:rPr>
        <w:t>gov.cn</w:t>
      </w:r>
      <w:r>
        <w:rPr>
          <w:rFonts w:ascii="Times New Roman" w:hAnsi="Times New Roman" w:eastAsia="Times New Roman" w:cs="Times New Roman"/>
          <w:spacing w:val="-10"/>
          <w:sz w:val="22"/>
          <w:szCs w:val="22"/>
          <w:highlight w:val="none"/>
        </w:rPr>
        <w:fldChar w:fldCharType="end"/>
      </w:r>
      <w:r>
        <w:rPr>
          <w:rFonts w:ascii="Times New Roman" w:hAnsi="Times New Roman" w:eastAsia="Times New Roman" w:cs="Times New Roman"/>
          <w:spacing w:val="-10"/>
          <w:sz w:val="22"/>
          <w:szCs w:val="22"/>
          <w:highlight w:val="none"/>
        </w:rPr>
        <w:t>)</w:t>
      </w:r>
      <w:r>
        <w:rPr>
          <w:rFonts w:ascii="Times New Roman" w:hAnsi="Times New Roman" w:eastAsia="Times New Roman" w:cs="Times New Roman"/>
          <w:spacing w:val="16"/>
          <w:sz w:val="22"/>
          <w:szCs w:val="22"/>
          <w:highlight w:val="none"/>
        </w:rPr>
        <w:t xml:space="preserve"> </w:t>
      </w:r>
      <w:r>
        <w:rPr>
          <w:rFonts w:ascii="宋体" w:hAnsi="宋体" w:eastAsia="宋体" w:cs="宋体"/>
          <w:spacing w:val="-10"/>
          <w:sz w:val="22"/>
          <w:szCs w:val="22"/>
          <w:highlight w:val="none"/>
        </w:rPr>
        <w:t>中被列入严重违法失信企业名</w:t>
      </w:r>
      <w:r>
        <w:rPr>
          <w:rFonts w:ascii="宋体" w:hAnsi="宋体" w:eastAsia="宋体" w:cs="宋体"/>
          <w:sz w:val="22"/>
          <w:szCs w:val="22"/>
          <w:highlight w:val="none"/>
        </w:rPr>
        <w:t xml:space="preserve"> </w:t>
      </w:r>
      <w:r>
        <w:rPr>
          <w:rFonts w:ascii="宋体" w:hAnsi="宋体" w:eastAsia="宋体" w:cs="宋体"/>
          <w:spacing w:val="-16"/>
          <w:sz w:val="22"/>
          <w:szCs w:val="22"/>
          <w:highlight w:val="none"/>
        </w:rPr>
        <w:t>单；</w:t>
      </w:r>
    </w:p>
    <w:p w14:paraId="117ACD4C">
      <w:pPr>
        <w:spacing w:before="164" w:line="281" w:lineRule="auto"/>
        <w:ind w:right="301" w:firstLine="420"/>
        <w:rPr>
          <w:rFonts w:ascii="宋体" w:hAnsi="宋体" w:eastAsia="宋体" w:cs="宋体"/>
          <w:sz w:val="20"/>
          <w:szCs w:val="20"/>
          <w:highlight w:val="none"/>
        </w:rPr>
      </w:pPr>
      <w:r>
        <w:rPr>
          <w:rFonts w:ascii="宋体" w:hAnsi="宋体" w:eastAsia="宋体" w:cs="宋体"/>
          <w:spacing w:val="4"/>
          <w:sz w:val="20"/>
          <w:szCs w:val="20"/>
          <w:highlight w:val="none"/>
        </w:rPr>
        <w:t>6.在“信用中国”网站</w:t>
      </w:r>
      <w:r>
        <w:rPr>
          <w:rFonts w:ascii="宋体" w:hAnsi="宋体" w:eastAsia="宋体" w:cs="宋体"/>
          <w:spacing w:val="-21"/>
          <w:sz w:val="20"/>
          <w:szCs w:val="20"/>
          <w:highlight w:val="none"/>
        </w:rPr>
        <w:t xml:space="preserve"> </w:t>
      </w:r>
      <w:r>
        <w:rPr>
          <w:rFonts w:ascii="宋体" w:hAnsi="宋体" w:eastAsia="宋体" w:cs="宋体"/>
          <w:spacing w:val="4"/>
          <w:sz w:val="20"/>
          <w:szCs w:val="20"/>
          <w:highlight w:val="none"/>
        </w:rPr>
        <w:t>(</w:t>
      </w:r>
      <w:r>
        <w:rPr>
          <w:rFonts w:ascii="宋体" w:hAnsi="宋体" w:eastAsia="宋体" w:cs="宋体"/>
          <w:spacing w:val="-37"/>
          <w:sz w:val="20"/>
          <w:szCs w:val="20"/>
          <w:highlight w:val="none"/>
        </w:rPr>
        <w:t xml:space="preserve"> </w:t>
      </w:r>
      <w:r>
        <w:rPr>
          <w:highlight w:val="none"/>
        </w:rPr>
        <w:fldChar w:fldCharType="begin"/>
      </w:r>
      <w:r>
        <w:rPr>
          <w:highlight w:val="none"/>
        </w:rPr>
        <w:instrText xml:space="preserve"> HYPERLINK "https://www.creditchina.gov.cn" </w:instrText>
      </w:r>
      <w:r>
        <w:rPr>
          <w:highlight w:val="none"/>
        </w:rPr>
        <w:fldChar w:fldCharType="separate"/>
      </w:r>
      <w:r>
        <w:rPr>
          <w:rFonts w:ascii="Times New Roman" w:hAnsi="Times New Roman" w:eastAsia="Times New Roman" w:cs="Times New Roman"/>
          <w:sz w:val="20"/>
          <w:szCs w:val="20"/>
          <w:highlight w:val="none"/>
        </w:rPr>
        <w:t>www</w:t>
      </w:r>
      <w:r>
        <w:rPr>
          <w:rFonts w:ascii="Times New Roman" w:hAnsi="Times New Roman" w:eastAsia="Times New Roman" w:cs="Times New Roman"/>
          <w:spacing w:val="4"/>
          <w:sz w:val="20"/>
          <w:szCs w:val="20"/>
          <w:highlight w:val="none"/>
        </w:rPr>
        <w:t>.</w:t>
      </w:r>
      <w:r>
        <w:rPr>
          <w:rFonts w:ascii="Times New Roman" w:hAnsi="Times New Roman" w:eastAsia="Times New Roman" w:cs="Times New Roman"/>
          <w:sz w:val="20"/>
          <w:szCs w:val="20"/>
          <w:highlight w:val="none"/>
        </w:rPr>
        <w:t>creditchina</w:t>
      </w:r>
      <w:r>
        <w:rPr>
          <w:rFonts w:ascii="Times New Roman" w:hAnsi="Times New Roman" w:eastAsia="Times New Roman" w:cs="Times New Roman"/>
          <w:spacing w:val="4"/>
          <w:sz w:val="20"/>
          <w:szCs w:val="20"/>
          <w:highlight w:val="none"/>
        </w:rPr>
        <w:t>.</w:t>
      </w:r>
      <w:r>
        <w:rPr>
          <w:rFonts w:ascii="Times New Roman" w:hAnsi="Times New Roman" w:eastAsia="Times New Roman" w:cs="Times New Roman"/>
          <w:sz w:val="20"/>
          <w:szCs w:val="20"/>
          <w:highlight w:val="none"/>
        </w:rPr>
        <w:t>gov</w:t>
      </w:r>
      <w:r>
        <w:rPr>
          <w:rFonts w:ascii="Times New Roman" w:hAnsi="Times New Roman" w:eastAsia="Times New Roman" w:cs="Times New Roman"/>
          <w:spacing w:val="4"/>
          <w:sz w:val="20"/>
          <w:szCs w:val="20"/>
          <w:highlight w:val="none"/>
        </w:rPr>
        <w:t>.</w:t>
      </w:r>
      <w:r>
        <w:rPr>
          <w:rFonts w:ascii="Times New Roman" w:hAnsi="Times New Roman" w:eastAsia="Times New Roman" w:cs="Times New Roman"/>
          <w:sz w:val="20"/>
          <w:szCs w:val="20"/>
          <w:highlight w:val="none"/>
        </w:rPr>
        <w:t>cn</w:t>
      </w:r>
      <w:r>
        <w:rPr>
          <w:rFonts w:ascii="Times New Roman" w:hAnsi="Times New Roman" w:eastAsia="Times New Roman" w:cs="Times New Roman"/>
          <w:sz w:val="20"/>
          <w:szCs w:val="20"/>
          <w:highlight w:val="none"/>
        </w:rPr>
        <w:fldChar w:fldCharType="end"/>
      </w:r>
      <w:r>
        <w:rPr>
          <w:rFonts w:ascii="Times New Roman" w:hAnsi="Times New Roman" w:eastAsia="Times New Roman" w:cs="Times New Roman"/>
          <w:spacing w:val="4"/>
          <w:sz w:val="20"/>
          <w:szCs w:val="20"/>
          <w:highlight w:val="none"/>
        </w:rPr>
        <w:t xml:space="preserve">)    </w:t>
      </w:r>
      <w:r>
        <w:rPr>
          <w:rFonts w:ascii="宋体" w:hAnsi="宋体" w:eastAsia="宋体" w:cs="宋体"/>
          <w:spacing w:val="4"/>
          <w:sz w:val="20"/>
          <w:szCs w:val="20"/>
          <w:highlight w:val="none"/>
        </w:rPr>
        <w:t>或中国执行信</w:t>
      </w:r>
      <w:r>
        <w:rPr>
          <w:rFonts w:ascii="宋体" w:hAnsi="宋体" w:eastAsia="宋体" w:cs="宋体"/>
          <w:spacing w:val="3"/>
          <w:sz w:val="20"/>
          <w:szCs w:val="20"/>
          <w:highlight w:val="none"/>
        </w:rPr>
        <w:t>息公开网</w:t>
      </w:r>
      <w:r>
        <w:rPr>
          <w:rFonts w:ascii="宋体" w:hAnsi="宋体" w:eastAsia="宋体" w:cs="宋体"/>
          <w:spacing w:val="-20"/>
          <w:sz w:val="20"/>
          <w:szCs w:val="20"/>
          <w:highlight w:val="none"/>
        </w:rPr>
        <w:t xml:space="preserve"> </w:t>
      </w:r>
      <w:r>
        <w:rPr>
          <w:rFonts w:ascii="宋体" w:hAnsi="宋体" w:eastAsia="宋体" w:cs="宋体"/>
          <w:spacing w:val="3"/>
          <w:sz w:val="20"/>
          <w:szCs w:val="20"/>
          <w:highlight w:val="none"/>
        </w:rPr>
        <w:t>(</w:t>
      </w:r>
      <w:r>
        <w:rPr>
          <w:rFonts w:ascii="宋体" w:hAnsi="宋体" w:eastAsia="宋体" w:cs="宋体"/>
          <w:spacing w:val="-47"/>
          <w:sz w:val="20"/>
          <w:szCs w:val="20"/>
          <w:highlight w:val="none"/>
        </w:rPr>
        <w:t xml:space="preserve"> </w:t>
      </w:r>
      <w:r>
        <w:rPr>
          <w:highlight w:val="none"/>
        </w:rPr>
        <w:fldChar w:fldCharType="begin"/>
      </w:r>
      <w:r>
        <w:rPr>
          <w:highlight w:val="none"/>
        </w:rPr>
        <w:instrText xml:space="preserve"> HYPERLINK "http://zxgk.court.gov.cn/" </w:instrText>
      </w:r>
      <w:r>
        <w:rPr>
          <w:highlight w:val="none"/>
        </w:rPr>
        <w:fldChar w:fldCharType="separate"/>
      </w:r>
      <w:r>
        <w:rPr>
          <w:rFonts w:ascii="Times New Roman" w:hAnsi="Times New Roman" w:eastAsia="Times New Roman" w:cs="Times New Roman"/>
          <w:sz w:val="20"/>
          <w:szCs w:val="20"/>
          <w:highlight w:val="none"/>
        </w:rPr>
        <w:t>http</w:t>
      </w:r>
      <w:r>
        <w:rPr>
          <w:rFonts w:ascii="Times New Roman" w:hAnsi="Times New Roman" w:eastAsia="Times New Roman" w:cs="Times New Roman"/>
          <w:spacing w:val="3"/>
          <w:sz w:val="20"/>
          <w:szCs w:val="20"/>
          <w:highlight w:val="none"/>
        </w:rPr>
        <w:t>://</w:t>
      </w:r>
      <w:r>
        <w:rPr>
          <w:rFonts w:ascii="Times New Roman" w:hAnsi="Times New Roman" w:eastAsia="Times New Roman" w:cs="Times New Roman"/>
          <w:sz w:val="20"/>
          <w:szCs w:val="20"/>
          <w:highlight w:val="none"/>
        </w:rPr>
        <w:t>zxgk</w:t>
      </w:r>
      <w:r>
        <w:rPr>
          <w:rFonts w:ascii="Times New Roman" w:hAnsi="Times New Roman" w:eastAsia="Times New Roman" w:cs="Times New Roman"/>
          <w:spacing w:val="3"/>
          <w:sz w:val="20"/>
          <w:szCs w:val="20"/>
          <w:highlight w:val="none"/>
        </w:rPr>
        <w:t>.c</w:t>
      </w:r>
      <w:r>
        <w:rPr>
          <w:rFonts w:ascii="Times New Roman" w:hAnsi="Times New Roman" w:eastAsia="Times New Roman" w:cs="Times New Roman"/>
          <w:spacing w:val="3"/>
          <w:sz w:val="20"/>
          <w:szCs w:val="20"/>
          <w:highlight w:val="none"/>
        </w:rPr>
        <w:fldChar w:fldCharType="end"/>
      </w:r>
      <w:r>
        <w:rPr>
          <w:rFonts w:ascii="Times New Roman" w:hAnsi="Times New Roman" w:eastAsia="Times New Roman" w:cs="Times New Roman"/>
          <w:sz w:val="20"/>
          <w:szCs w:val="20"/>
          <w:highlight w:val="none"/>
        </w:rPr>
        <w:t xml:space="preserve"> </w:t>
      </w:r>
      <w:r>
        <w:rPr>
          <w:highlight w:val="none"/>
        </w:rPr>
        <w:fldChar w:fldCharType="begin"/>
      </w:r>
      <w:r>
        <w:rPr>
          <w:highlight w:val="none"/>
        </w:rPr>
        <w:instrText xml:space="preserve"> HYPERLINK "http://zxgk.court.gov.cn/" </w:instrText>
      </w:r>
      <w:r>
        <w:rPr>
          <w:highlight w:val="none"/>
        </w:rPr>
        <w:fldChar w:fldCharType="separate"/>
      </w:r>
      <w:r>
        <w:rPr>
          <w:rFonts w:ascii="Times New Roman" w:hAnsi="Times New Roman" w:eastAsia="Times New Roman" w:cs="Times New Roman"/>
          <w:sz w:val="20"/>
          <w:szCs w:val="20"/>
          <w:highlight w:val="none"/>
        </w:rPr>
        <w:t>ourt</w:t>
      </w:r>
      <w:r>
        <w:rPr>
          <w:rFonts w:ascii="Times New Roman" w:hAnsi="Times New Roman" w:eastAsia="Times New Roman" w:cs="Times New Roman"/>
          <w:spacing w:val="7"/>
          <w:sz w:val="20"/>
          <w:szCs w:val="20"/>
          <w:highlight w:val="none"/>
        </w:rPr>
        <w:t>.</w:t>
      </w:r>
      <w:r>
        <w:rPr>
          <w:rFonts w:ascii="Times New Roman" w:hAnsi="Times New Roman" w:eastAsia="Times New Roman" w:cs="Times New Roman"/>
          <w:sz w:val="20"/>
          <w:szCs w:val="20"/>
          <w:highlight w:val="none"/>
        </w:rPr>
        <w:t>gov</w:t>
      </w:r>
      <w:r>
        <w:rPr>
          <w:rFonts w:ascii="Times New Roman" w:hAnsi="Times New Roman" w:eastAsia="Times New Roman" w:cs="Times New Roman"/>
          <w:spacing w:val="7"/>
          <w:sz w:val="20"/>
          <w:szCs w:val="20"/>
          <w:highlight w:val="none"/>
        </w:rPr>
        <w:t>.</w:t>
      </w:r>
      <w:r>
        <w:rPr>
          <w:rFonts w:ascii="Times New Roman" w:hAnsi="Times New Roman" w:eastAsia="Times New Roman" w:cs="Times New Roman"/>
          <w:sz w:val="20"/>
          <w:szCs w:val="20"/>
          <w:highlight w:val="none"/>
        </w:rPr>
        <w:t>cn</w:t>
      </w:r>
      <w:r>
        <w:rPr>
          <w:rFonts w:ascii="Times New Roman" w:hAnsi="Times New Roman" w:eastAsia="Times New Roman" w:cs="Times New Roman"/>
          <w:spacing w:val="7"/>
          <w:sz w:val="20"/>
          <w:szCs w:val="20"/>
          <w:highlight w:val="none"/>
        </w:rPr>
        <w:t>/</w:t>
      </w:r>
      <w:r>
        <w:rPr>
          <w:rFonts w:ascii="Times New Roman" w:hAnsi="Times New Roman" w:eastAsia="Times New Roman" w:cs="Times New Roman"/>
          <w:spacing w:val="7"/>
          <w:sz w:val="20"/>
          <w:szCs w:val="20"/>
          <w:highlight w:val="none"/>
        </w:rPr>
        <w:fldChar w:fldCharType="end"/>
      </w:r>
      <w:r>
        <w:rPr>
          <w:rFonts w:ascii="Times New Roman" w:hAnsi="Times New Roman" w:eastAsia="Times New Roman" w:cs="Times New Roman"/>
          <w:spacing w:val="7"/>
          <w:sz w:val="20"/>
          <w:szCs w:val="20"/>
          <w:highlight w:val="none"/>
        </w:rPr>
        <w:t xml:space="preserve">)    </w:t>
      </w:r>
      <w:r>
        <w:rPr>
          <w:rFonts w:ascii="宋体" w:hAnsi="宋体" w:eastAsia="宋体" w:cs="宋体"/>
          <w:spacing w:val="7"/>
          <w:sz w:val="20"/>
          <w:szCs w:val="20"/>
          <w:highlight w:val="none"/>
        </w:rPr>
        <w:t>或各级信用信息共享平台中被列入</w:t>
      </w:r>
      <w:r>
        <w:rPr>
          <w:rFonts w:ascii="宋体" w:hAnsi="宋体" w:eastAsia="宋体" w:cs="宋体"/>
          <w:spacing w:val="6"/>
          <w:sz w:val="20"/>
          <w:szCs w:val="20"/>
          <w:highlight w:val="none"/>
        </w:rPr>
        <w:t>失信被执行人名单；</w:t>
      </w:r>
    </w:p>
    <w:p w14:paraId="24B7B14E">
      <w:pPr>
        <w:spacing w:before="163" w:line="219" w:lineRule="auto"/>
        <w:ind w:left="42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7.</w:t>
      </w:r>
      <w:r>
        <w:rPr>
          <w:rFonts w:ascii="宋体" w:hAnsi="宋体" w:eastAsia="宋体" w:cs="宋体"/>
          <w:spacing w:val="-10"/>
          <w:sz w:val="22"/>
          <w:szCs w:val="22"/>
          <w:highlight w:val="none"/>
        </w:rPr>
        <w:t>在近三年内投标人或其法定代表人、拟委任的项目经理被人民法院判决</w:t>
      </w:r>
      <w:r>
        <w:rPr>
          <w:rFonts w:ascii="宋体" w:hAnsi="宋体" w:eastAsia="宋体" w:cs="宋体"/>
          <w:spacing w:val="-11"/>
          <w:sz w:val="22"/>
          <w:szCs w:val="22"/>
          <w:highlight w:val="none"/>
        </w:rPr>
        <w:t>为行贿罪的；</w:t>
      </w:r>
    </w:p>
    <w:p w14:paraId="4508B627">
      <w:pPr>
        <w:spacing w:before="209" w:line="283" w:lineRule="auto"/>
        <w:ind w:right="217" w:firstLine="420"/>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8.</w:t>
      </w:r>
      <w:r>
        <w:rPr>
          <w:rFonts w:ascii="宋体" w:hAnsi="宋体" w:eastAsia="宋体" w:cs="宋体"/>
          <w:spacing w:val="11"/>
          <w:sz w:val="22"/>
          <w:szCs w:val="22"/>
          <w:highlight w:val="none"/>
        </w:rPr>
        <w:t>法律法规或申请(投标)人须知前附表第1.4.3(17)目(第1.4.3(19)</w:t>
      </w:r>
      <w:r>
        <w:rPr>
          <w:rFonts w:ascii="宋体" w:hAnsi="宋体" w:eastAsia="宋体" w:cs="宋体"/>
          <w:spacing w:val="10"/>
          <w:sz w:val="22"/>
          <w:szCs w:val="22"/>
          <w:highlight w:val="none"/>
        </w:rPr>
        <w:t>目)规定的</w:t>
      </w:r>
      <w:r>
        <w:rPr>
          <w:rFonts w:ascii="宋体" w:hAnsi="宋体" w:eastAsia="宋体" w:cs="宋体"/>
          <w:sz w:val="22"/>
          <w:szCs w:val="22"/>
          <w:highlight w:val="none"/>
        </w:rPr>
        <w:t xml:space="preserve"> </w:t>
      </w:r>
      <w:r>
        <w:rPr>
          <w:rFonts w:ascii="宋体" w:hAnsi="宋体" w:eastAsia="宋体" w:cs="宋体"/>
          <w:spacing w:val="-13"/>
          <w:sz w:val="22"/>
          <w:szCs w:val="22"/>
          <w:highlight w:val="none"/>
        </w:rPr>
        <w:t>其他情形。</w:t>
      </w:r>
    </w:p>
    <w:p w14:paraId="7EABFE5B">
      <w:pPr>
        <w:spacing w:before="165" w:line="219" w:lineRule="auto"/>
        <w:ind w:left="420"/>
        <w:rPr>
          <w:rFonts w:ascii="宋体" w:hAnsi="宋体" w:eastAsia="宋体" w:cs="宋体"/>
          <w:sz w:val="22"/>
          <w:szCs w:val="22"/>
          <w:highlight w:val="none"/>
        </w:rPr>
      </w:pPr>
      <w:r>
        <w:rPr>
          <w:rFonts w:ascii="宋体" w:hAnsi="宋体" w:eastAsia="宋体" w:cs="宋体"/>
          <w:spacing w:val="2"/>
          <w:sz w:val="22"/>
          <w:szCs w:val="22"/>
          <w:highlight w:val="none"/>
        </w:rPr>
        <w:t>同时我方声明：我方信誉满足申请(投标)人须知第1.4</w:t>
      </w:r>
      <w:r>
        <w:rPr>
          <w:rFonts w:ascii="宋体" w:hAnsi="宋体" w:eastAsia="宋体" w:cs="宋体"/>
          <w:spacing w:val="1"/>
          <w:sz w:val="22"/>
          <w:szCs w:val="22"/>
          <w:highlight w:val="none"/>
        </w:rPr>
        <w:t>.1(4)目的要求。</w:t>
      </w:r>
    </w:p>
    <w:p w14:paraId="05ADDD9D">
      <w:pPr>
        <w:spacing w:before="199" w:line="365" w:lineRule="auto"/>
        <w:ind w:right="249" w:firstLine="420"/>
        <w:rPr>
          <w:rFonts w:ascii="宋体" w:hAnsi="宋体" w:eastAsia="宋体" w:cs="宋体"/>
          <w:sz w:val="22"/>
          <w:szCs w:val="22"/>
          <w:highlight w:val="none"/>
        </w:rPr>
      </w:pPr>
      <w:r>
        <w:rPr>
          <w:rFonts w:ascii="宋体" w:hAnsi="宋体" w:eastAsia="宋体" w:cs="宋体"/>
          <w:spacing w:val="-12"/>
          <w:sz w:val="22"/>
          <w:szCs w:val="22"/>
          <w:highlight w:val="none"/>
        </w:rPr>
        <w:t>我方保证上述信息的真实和准确，并愿意承担因我方就此弄虚作</w:t>
      </w:r>
      <w:r>
        <w:rPr>
          <w:rFonts w:ascii="宋体" w:hAnsi="宋体" w:eastAsia="宋体" w:cs="宋体"/>
          <w:spacing w:val="-13"/>
          <w:sz w:val="22"/>
          <w:szCs w:val="22"/>
          <w:highlight w:val="none"/>
        </w:rPr>
        <w:t>假所引起的一切法律后</w:t>
      </w:r>
      <w:r>
        <w:rPr>
          <w:rFonts w:ascii="宋体" w:hAnsi="宋体" w:eastAsia="宋体" w:cs="宋体"/>
          <w:sz w:val="22"/>
          <w:szCs w:val="22"/>
          <w:highlight w:val="none"/>
        </w:rPr>
        <w:t xml:space="preserve"> </w:t>
      </w:r>
      <w:r>
        <w:rPr>
          <w:rFonts w:ascii="宋体" w:hAnsi="宋体" w:eastAsia="宋体" w:cs="宋体"/>
          <w:spacing w:val="-12"/>
          <w:sz w:val="22"/>
          <w:szCs w:val="22"/>
          <w:highlight w:val="none"/>
        </w:rPr>
        <w:t>果。</w:t>
      </w:r>
    </w:p>
    <w:p w14:paraId="48EB089A">
      <w:pPr>
        <w:pStyle w:val="2"/>
        <w:spacing w:line="409" w:lineRule="auto"/>
        <w:rPr>
          <w:highlight w:val="none"/>
        </w:rPr>
      </w:pPr>
    </w:p>
    <w:sdt>
      <w:sdtPr>
        <w:rPr>
          <w:rFonts w:ascii="宋体" w:hAnsi="宋体" w:eastAsia="宋体" w:cs="宋体"/>
          <w:sz w:val="21"/>
          <w:szCs w:val="21"/>
          <w:highlight w:val="none"/>
        </w:rPr>
        <w:id w:val="147470577"/>
        <w:docPartObj>
          <w:docPartGallery w:val="Table of Contents"/>
          <w:docPartUnique/>
        </w:docPartObj>
      </w:sdtPr>
      <w:sdtEndPr>
        <w:rPr>
          <w:rFonts w:ascii="宋体" w:hAnsi="宋体" w:eastAsia="宋体" w:cs="宋体"/>
          <w:sz w:val="20"/>
          <w:szCs w:val="20"/>
          <w:highlight w:val="none"/>
        </w:rPr>
      </w:sdtEndPr>
      <w:sdtContent>
        <w:p w14:paraId="19606DCA">
          <w:pPr>
            <w:spacing w:before="69" w:line="221" w:lineRule="auto"/>
            <w:ind w:left="4000"/>
            <w:rPr>
              <w:rFonts w:ascii="宋体" w:hAnsi="宋体" w:eastAsia="宋体" w:cs="宋体"/>
              <w:sz w:val="20"/>
              <w:szCs w:val="20"/>
              <w:highlight w:val="none"/>
            </w:rPr>
          </w:pPr>
          <w:r>
            <w:rPr>
              <w:rFonts w:ascii="宋体" w:hAnsi="宋体" w:eastAsia="宋体" w:cs="宋体"/>
              <w:spacing w:val="6"/>
              <w:sz w:val="21"/>
              <w:szCs w:val="21"/>
              <w:highlight w:val="none"/>
            </w:rPr>
            <w:t>投标人：</w:t>
          </w:r>
          <w:r>
            <w:rPr>
              <w:rFonts w:ascii="宋体" w:hAnsi="宋体" w:eastAsia="宋体" w:cs="宋体"/>
              <w:spacing w:val="6"/>
              <w:sz w:val="21"/>
              <w:szCs w:val="21"/>
              <w:highlight w:val="none"/>
              <w:u w:val="single" w:color="auto"/>
            </w:rPr>
            <w:t xml:space="preserve">                     </w:t>
          </w:r>
          <w:r>
            <w:rPr>
              <w:rFonts w:ascii="宋体" w:hAnsi="宋体" w:eastAsia="宋体" w:cs="宋体"/>
              <w:spacing w:val="6"/>
              <w:sz w:val="21"/>
              <w:szCs w:val="21"/>
              <w:highlight w:val="none"/>
            </w:rPr>
            <w:t xml:space="preserve"> </w:t>
          </w:r>
          <w:r>
            <w:rPr>
              <w:rFonts w:ascii="宋体" w:hAnsi="宋体" w:eastAsia="宋体" w:cs="宋体"/>
              <w:spacing w:val="6"/>
              <w:sz w:val="20"/>
              <w:szCs w:val="20"/>
              <w:highlight w:val="none"/>
            </w:rPr>
            <w:t>(盖单位章)</w:t>
          </w:r>
        </w:p>
        <w:p w14:paraId="07124793">
          <w:pPr>
            <w:spacing w:before="179" w:line="220" w:lineRule="auto"/>
            <w:ind w:left="4000"/>
            <w:rPr>
              <w:rFonts w:ascii="宋体" w:hAnsi="宋体" w:eastAsia="宋体" w:cs="宋体"/>
              <w:sz w:val="20"/>
              <w:szCs w:val="20"/>
              <w:highlight w:val="none"/>
            </w:rPr>
          </w:pPr>
          <w:r>
            <w:rPr>
              <w:rFonts w:ascii="宋体" w:hAnsi="宋体" w:eastAsia="宋体" w:cs="宋体"/>
              <w:sz w:val="22"/>
              <w:szCs w:val="22"/>
              <w:highlight w:val="none"/>
            </w:rPr>
            <w:t>法定代表人：</w:t>
          </w:r>
          <w:r>
            <w:rPr>
              <w:rFonts w:ascii="宋体" w:hAnsi="宋体" w:eastAsia="宋体" w:cs="宋体"/>
              <w:sz w:val="22"/>
              <w:szCs w:val="22"/>
              <w:highlight w:val="none"/>
              <w:u w:val="single" w:color="auto"/>
            </w:rPr>
            <w:t xml:space="preserve">                     </w:t>
          </w:r>
          <w:r>
            <w:rPr>
              <w:rFonts w:ascii="宋体" w:hAnsi="宋体" w:eastAsia="宋体" w:cs="宋体"/>
              <w:sz w:val="22"/>
              <w:szCs w:val="22"/>
              <w:highlight w:val="none"/>
            </w:rPr>
            <w:t xml:space="preserve"> </w:t>
          </w:r>
          <w:r>
            <w:rPr>
              <w:rFonts w:ascii="宋体" w:hAnsi="宋体" w:eastAsia="宋体" w:cs="宋体"/>
              <w:position w:val="1"/>
              <w:sz w:val="20"/>
              <w:szCs w:val="20"/>
              <w:highlight w:val="none"/>
            </w:rPr>
            <w:t>(签字)</w:t>
          </w:r>
        </w:p>
      </w:sdtContent>
    </w:sdt>
    <w:p w14:paraId="05E0F940">
      <w:pPr>
        <w:pStyle w:val="2"/>
        <w:spacing w:line="268" w:lineRule="auto"/>
        <w:rPr>
          <w:highlight w:val="none"/>
        </w:rPr>
      </w:pPr>
    </w:p>
    <w:p w14:paraId="4B88CE26">
      <w:pPr>
        <w:pStyle w:val="2"/>
        <w:spacing w:line="269" w:lineRule="auto"/>
        <w:rPr>
          <w:highlight w:val="none"/>
        </w:rPr>
      </w:pPr>
    </w:p>
    <w:p w14:paraId="1CC1181C">
      <w:pPr>
        <w:tabs>
          <w:tab w:val="left" w:pos="6130"/>
        </w:tabs>
        <w:spacing w:before="68" w:line="219" w:lineRule="auto"/>
        <w:ind w:left="5220"/>
        <w:rPr>
          <w:rFonts w:ascii="宋体" w:hAnsi="宋体" w:eastAsia="宋体" w:cs="宋体"/>
          <w:sz w:val="20"/>
          <w:szCs w:val="20"/>
          <w:highlight w:val="none"/>
        </w:rPr>
      </w:pPr>
      <w:r>
        <w:rPr>
          <w:rFonts w:ascii="宋体" w:hAnsi="宋体" w:eastAsia="宋体" w:cs="宋体"/>
          <w:sz w:val="21"/>
          <w:szCs w:val="21"/>
          <w:highlight w:val="none"/>
          <w:u w:val="single" w:color="auto"/>
        </w:rPr>
        <w:tab/>
      </w:r>
      <w:r>
        <w:rPr>
          <w:rFonts w:ascii="宋体" w:hAnsi="宋体" w:eastAsia="宋体" w:cs="宋体"/>
          <w:spacing w:val="-22"/>
          <w:sz w:val="21"/>
          <w:szCs w:val="21"/>
          <w:highlight w:val="none"/>
        </w:rPr>
        <w:t xml:space="preserve"> </w:t>
      </w:r>
      <w:r>
        <w:rPr>
          <w:rFonts w:ascii="宋体" w:hAnsi="宋体" w:eastAsia="宋体" w:cs="宋体"/>
          <w:spacing w:val="-4"/>
          <w:sz w:val="21"/>
          <w:szCs w:val="21"/>
          <w:highlight w:val="none"/>
        </w:rPr>
        <w:t>年</w:t>
      </w:r>
      <w:r>
        <w:rPr>
          <w:rFonts w:ascii="宋体" w:hAnsi="宋体" w:eastAsia="宋体" w:cs="宋体"/>
          <w:spacing w:val="-26"/>
          <w:sz w:val="21"/>
          <w:szCs w:val="21"/>
          <w:highlight w:val="none"/>
        </w:rPr>
        <w:t xml:space="preserve"> </w:t>
      </w:r>
      <w:r>
        <w:rPr>
          <w:rFonts w:ascii="宋体" w:hAnsi="宋体" w:eastAsia="宋体" w:cs="宋体"/>
          <w:spacing w:val="13"/>
          <w:sz w:val="21"/>
          <w:szCs w:val="21"/>
          <w:highlight w:val="none"/>
          <w:u w:val="single" w:color="auto"/>
        </w:rPr>
        <w:t xml:space="preserve">     </w:t>
      </w:r>
      <w:r>
        <w:rPr>
          <w:rFonts w:ascii="宋体" w:hAnsi="宋体" w:eastAsia="宋体" w:cs="宋体"/>
          <w:spacing w:val="-24"/>
          <w:sz w:val="21"/>
          <w:szCs w:val="21"/>
          <w:highlight w:val="none"/>
        </w:rPr>
        <w:t xml:space="preserve"> </w:t>
      </w:r>
      <w:r>
        <w:rPr>
          <w:rFonts w:ascii="宋体" w:hAnsi="宋体" w:eastAsia="宋体" w:cs="宋体"/>
          <w:spacing w:val="-4"/>
          <w:sz w:val="20"/>
          <w:szCs w:val="20"/>
          <w:highlight w:val="none"/>
        </w:rPr>
        <w:t xml:space="preserve">月 </w:t>
      </w:r>
      <w:r>
        <w:rPr>
          <w:rFonts w:ascii="宋体" w:hAnsi="宋体" w:eastAsia="宋体" w:cs="宋体"/>
          <w:spacing w:val="-4"/>
          <w:sz w:val="20"/>
          <w:szCs w:val="20"/>
          <w:highlight w:val="none"/>
          <w:u w:val="single" w:color="auto"/>
        </w:rPr>
        <w:t xml:space="preserve">      </w:t>
      </w:r>
      <w:r>
        <w:rPr>
          <w:rFonts w:ascii="宋体" w:hAnsi="宋体" w:eastAsia="宋体" w:cs="宋体"/>
          <w:spacing w:val="-4"/>
          <w:sz w:val="20"/>
          <w:szCs w:val="20"/>
          <w:highlight w:val="none"/>
        </w:rPr>
        <w:t xml:space="preserve"> 日</w:t>
      </w:r>
    </w:p>
    <w:p w14:paraId="3B8968B4">
      <w:pPr>
        <w:pStyle w:val="2"/>
        <w:spacing w:line="254" w:lineRule="auto"/>
        <w:rPr>
          <w:highlight w:val="none"/>
        </w:rPr>
      </w:pPr>
    </w:p>
    <w:p w14:paraId="30F0284B">
      <w:pPr>
        <w:pStyle w:val="2"/>
        <w:spacing w:line="254" w:lineRule="auto"/>
        <w:rPr>
          <w:highlight w:val="none"/>
        </w:rPr>
      </w:pPr>
    </w:p>
    <w:p w14:paraId="6650AE00">
      <w:pPr>
        <w:spacing w:before="69" w:line="308" w:lineRule="auto"/>
        <w:ind w:left="850" w:right="189" w:hanging="850"/>
        <w:rPr>
          <w:rFonts w:ascii="宋体" w:hAnsi="宋体" w:eastAsia="宋体" w:cs="宋体"/>
          <w:sz w:val="21"/>
          <w:szCs w:val="21"/>
          <w:highlight w:val="none"/>
        </w:rPr>
      </w:pPr>
      <w:r>
        <w:rPr>
          <w:rFonts w:ascii="宋体" w:hAnsi="宋体" w:eastAsia="宋体" w:cs="宋体"/>
          <w:spacing w:val="6"/>
          <w:sz w:val="21"/>
          <w:szCs w:val="21"/>
          <w:highlight w:val="none"/>
        </w:rPr>
        <w:t>备注：1.投标人应针对第二章“投标(申请)人须知”第1.4.3项和第1.4.1(4)目的要求，</w:t>
      </w:r>
      <w:r>
        <w:rPr>
          <w:rFonts w:ascii="宋体" w:hAnsi="宋体" w:eastAsia="宋体" w:cs="宋体"/>
          <w:spacing w:val="7"/>
          <w:sz w:val="21"/>
          <w:szCs w:val="21"/>
          <w:highlight w:val="none"/>
        </w:rPr>
        <w:t xml:space="preserve"> </w:t>
      </w:r>
      <w:r>
        <w:rPr>
          <w:rFonts w:ascii="宋体" w:hAnsi="宋体" w:eastAsia="宋体" w:cs="宋体"/>
          <w:spacing w:val="8"/>
          <w:sz w:val="21"/>
          <w:szCs w:val="21"/>
          <w:highlight w:val="none"/>
        </w:rPr>
        <w:t>在此对其信誉情况逐一做出说明，并应根据“投标(申请)人须知”第1.4.1(4)</w:t>
      </w:r>
      <w:r>
        <w:rPr>
          <w:rFonts w:ascii="宋体" w:hAnsi="宋体" w:eastAsia="宋体" w:cs="宋体"/>
          <w:spacing w:val="13"/>
          <w:sz w:val="21"/>
          <w:szCs w:val="21"/>
          <w:highlight w:val="none"/>
        </w:rPr>
        <w:t xml:space="preserve"> </w:t>
      </w:r>
      <w:r>
        <w:rPr>
          <w:rFonts w:ascii="宋体" w:hAnsi="宋体" w:eastAsia="宋体" w:cs="宋体"/>
          <w:spacing w:val="-3"/>
          <w:sz w:val="21"/>
          <w:szCs w:val="21"/>
          <w:highlight w:val="none"/>
        </w:rPr>
        <w:t>目的要求附相关证明材料。以上格式为示例。</w:t>
      </w:r>
    </w:p>
    <w:p w14:paraId="459A2C11">
      <w:pPr>
        <w:spacing w:line="219" w:lineRule="auto"/>
        <w:ind w:left="62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2.</w:t>
      </w:r>
      <w:r>
        <w:rPr>
          <w:rFonts w:ascii="Times New Roman" w:hAnsi="Times New Roman" w:eastAsia="Times New Roman" w:cs="Times New Roman"/>
          <w:spacing w:val="44"/>
          <w:w w:val="101"/>
          <w:sz w:val="22"/>
          <w:szCs w:val="22"/>
          <w:highlight w:val="none"/>
        </w:rPr>
        <w:t xml:space="preserve"> </w:t>
      </w:r>
      <w:r>
        <w:rPr>
          <w:rFonts w:ascii="宋体" w:hAnsi="宋体" w:eastAsia="宋体" w:cs="宋体"/>
          <w:spacing w:val="-9"/>
          <w:sz w:val="22"/>
          <w:szCs w:val="22"/>
          <w:highlight w:val="none"/>
        </w:rPr>
        <w:t>联合体投标的，联合体各成员单位均应按要求做出</w:t>
      </w:r>
      <w:r>
        <w:rPr>
          <w:rFonts w:ascii="宋体" w:hAnsi="宋体" w:eastAsia="宋体" w:cs="宋体"/>
          <w:spacing w:val="-10"/>
          <w:sz w:val="22"/>
          <w:szCs w:val="22"/>
          <w:highlight w:val="none"/>
        </w:rPr>
        <w:t>声明。</w:t>
      </w:r>
    </w:p>
    <w:p w14:paraId="59332193">
      <w:pPr>
        <w:spacing w:before="108" w:line="268" w:lineRule="auto"/>
        <w:ind w:left="849" w:hanging="229"/>
        <w:rPr>
          <w:rFonts w:ascii="宋体" w:hAnsi="宋体" w:eastAsia="宋体" w:cs="宋体"/>
          <w:sz w:val="21"/>
          <w:szCs w:val="21"/>
          <w:highlight w:val="none"/>
        </w:rPr>
      </w:pPr>
      <w:r>
        <w:rPr>
          <w:rFonts w:ascii="Times New Roman" w:hAnsi="Times New Roman" w:eastAsia="Times New Roman" w:cs="Times New Roman"/>
          <w:spacing w:val="8"/>
          <w:sz w:val="21"/>
          <w:szCs w:val="21"/>
          <w:highlight w:val="none"/>
        </w:rPr>
        <w:t xml:space="preserve">3.  </w:t>
      </w:r>
      <w:r>
        <w:rPr>
          <w:rFonts w:ascii="宋体" w:hAnsi="宋体" w:eastAsia="宋体" w:cs="宋体"/>
          <w:spacing w:val="8"/>
          <w:sz w:val="21"/>
          <w:szCs w:val="21"/>
          <w:highlight w:val="none"/>
        </w:rPr>
        <w:t>招标人和评标委员会在评标过程中，</w:t>
      </w:r>
      <w:r>
        <w:rPr>
          <w:rFonts w:ascii="宋体" w:hAnsi="宋体" w:eastAsia="宋体" w:cs="宋体"/>
          <w:spacing w:val="7"/>
          <w:sz w:val="21"/>
          <w:szCs w:val="21"/>
          <w:highlight w:val="none"/>
        </w:rPr>
        <w:t>应对各投标人(包括联合体各成员单位)的</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严重违法失信企业、失信被执行人、行贿罪等情况进行查询，并将查询结果“截图”</w:t>
      </w:r>
    </w:p>
    <w:p w14:paraId="1B169A6E">
      <w:pPr>
        <w:spacing w:line="268" w:lineRule="auto"/>
        <w:rPr>
          <w:rFonts w:ascii="宋体" w:hAnsi="宋体" w:eastAsia="宋体" w:cs="宋体"/>
          <w:sz w:val="21"/>
          <w:szCs w:val="21"/>
          <w:highlight w:val="none"/>
        </w:rPr>
        <w:sectPr>
          <w:footerReference r:id="rId279" w:type="default"/>
          <w:pgSz w:w="11910" w:h="16840"/>
          <w:pgMar w:top="400" w:right="1565" w:bottom="1238" w:left="1779" w:header="0" w:footer="1006" w:gutter="0"/>
          <w:cols w:space="720" w:num="1"/>
        </w:sectPr>
      </w:pPr>
    </w:p>
    <w:p w14:paraId="12484934">
      <w:pPr>
        <w:pStyle w:val="2"/>
        <w:spacing w:line="262" w:lineRule="auto"/>
        <w:rPr>
          <w:highlight w:val="none"/>
        </w:rPr>
      </w:pPr>
    </w:p>
    <w:p w14:paraId="5FED5C79">
      <w:pPr>
        <w:pStyle w:val="2"/>
        <w:spacing w:line="262" w:lineRule="auto"/>
        <w:rPr>
          <w:highlight w:val="none"/>
        </w:rPr>
      </w:pPr>
    </w:p>
    <w:p w14:paraId="0575EBE6">
      <w:pPr>
        <w:pStyle w:val="2"/>
        <w:spacing w:line="262" w:lineRule="auto"/>
        <w:rPr>
          <w:highlight w:val="none"/>
        </w:rPr>
      </w:pPr>
    </w:p>
    <w:p w14:paraId="4B831131">
      <w:pPr>
        <w:pStyle w:val="2"/>
        <w:spacing w:line="263" w:lineRule="auto"/>
        <w:rPr>
          <w:highlight w:val="none"/>
        </w:rPr>
      </w:pPr>
    </w:p>
    <w:p w14:paraId="295F90DC">
      <w:pPr>
        <w:spacing w:before="71" w:line="218" w:lineRule="auto"/>
        <w:ind w:left="853"/>
        <w:rPr>
          <w:rFonts w:ascii="宋体" w:hAnsi="宋体" w:eastAsia="宋体" w:cs="宋体"/>
          <w:sz w:val="22"/>
          <w:szCs w:val="22"/>
          <w:highlight w:val="none"/>
        </w:rPr>
      </w:pPr>
      <w:r>
        <w:rPr>
          <w:rFonts w:ascii="宋体" w:hAnsi="宋体" w:eastAsia="宋体" w:cs="宋体"/>
          <w:spacing w:val="-13"/>
          <w:sz w:val="22"/>
          <w:szCs w:val="22"/>
          <w:highlight w:val="none"/>
        </w:rPr>
        <w:t>附在评标报告中。</w:t>
      </w:r>
    </w:p>
    <w:p w14:paraId="705E0CE3">
      <w:pPr>
        <w:spacing w:line="218" w:lineRule="auto"/>
        <w:rPr>
          <w:rFonts w:ascii="宋体" w:hAnsi="宋体" w:eastAsia="宋体" w:cs="宋体"/>
          <w:sz w:val="22"/>
          <w:szCs w:val="22"/>
          <w:highlight w:val="none"/>
        </w:rPr>
        <w:sectPr>
          <w:footerReference r:id="rId280" w:type="default"/>
          <w:pgSz w:w="11910" w:h="16840"/>
          <w:pgMar w:top="400" w:right="1786" w:bottom="1184" w:left="1786" w:header="0" w:footer="1024" w:gutter="0"/>
          <w:cols w:space="720" w:num="1"/>
        </w:sectPr>
      </w:pPr>
    </w:p>
    <w:p w14:paraId="268576B6">
      <w:pPr>
        <w:pStyle w:val="2"/>
        <w:spacing w:line="263" w:lineRule="auto"/>
        <w:rPr>
          <w:highlight w:val="none"/>
        </w:rPr>
      </w:pPr>
    </w:p>
    <w:p w14:paraId="72C27B9C">
      <w:pPr>
        <w:pStyle w:val="2"/>
        <w:spacing w:line="263" w:lineRule="auto"/>
        <w:rPr>
          <w:highlight w:val="none"/>
        </w:rPr>
      </w:pPr>
    </w:p>
    <w:p w14:paraId="41AC6DFA">
      <w:pPr>
        <w:pStyle w:val="2"/>
        <w:spacing w:line="263" w:lineRule="auto"/>
        <w:rPr>
          <w:highlight w:val="none"/>
        </w:rPr>
      </w:pPr>
    </w:p>
    <w:p w14:paraId="223872D5">
      <w:pPr>
        <w:pStyle w:val="2"/>
        <w:spacing w:line="263" w:lineRule="auto"/>
        <w:rPr>
          <w:highlight w:val="none"/>
        </w:rPr>
      </w:pPr>
    </w:p>
    <w:p w14:paraId="32B1C866">
      <w:pPr>
        <w:spacing w:before="78" w:line="220" w:lineRule="auto"/>
        <w:ind w:left="2564"/>
        <w:rPr>
          <w:rFonts w:ascii="黑体" w:hAnsi="黑体" w:eastAsia="黑体" w:cs="黑体"/>
          <w:sz w:val="24"/>
          <w:szCs w:val="24"/>
          <w:highlight w:val="none"/>
        </w:rPr>
      </w:pPr>
      <w:r>
        <w:rPr>
          <w:rFonts w:ascii="黑体" w:hAnsi="黑体" w:eastAsia="黑体" w:cs="黑体"/>
          <w:spacing w:val="8"/>
          <w:sz w:val="24"/>
          <w:szCs w:val="24"/>
          <w:highlight w:val="none"/>
        </w:rPr>
        <w:t>7-2近年发生的诉讼和仲裁情况</w:t>
      </w:r>
    </w:p>
    <w:p w14:paraId="21470885">
      <w:pPr>
        <w:spacing w:before="66"/>
        <w:rPr>
          <w:highlight w:val="none"/>
        </w:rPr>
      </w:pPr>
    </w:p>
    <w:p w14:paraId="36224BCB">
      <w:pPr>
        <w:spacing w:before="66"/>
        <w:rPr>
          <w:highlight w:val="none"/>
        </w:rPr>
      </w:pPr>
    </w:p>
    <w:p w14:paraId="2FAD2217">
      <w:pPr>
        <w:spacing w:before="65"/>
        <w:rPr>
          <w:highlight w:val="none"/>
        </w:rPr>
      </w:pPr>
    </w:p>
    <w:tbl>
      <w:tblPr>
        <w:tblStyle w:val="5"/>
        <w:tblW w:w="87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4"/>
        <w:gridCol w:w="969"/>
        <w:gridCol w:w="1258"/>
        <w:gridCol w:w="3596"/>
        <w:gridCol w:w="1943"/>
      </w:tblGrid>
      <w:tr w14:paraId="7859F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944" w:type="dxa"/>
            <w:vAlign w:val="top"/>
          </w:tcPr>
          <w:p w14:paraId="78F6F593">
            <w:pPr>
              <w:pStyle w:val="6"/>
              <w:spacing w:before="243" w:line="219" w:lineRule="auto"/>
              <w:ind w:left="254"/>
              <w:rPr>
                <w:highlight w:val="none"/>
              </w:rPr>
            </w:pPr>
            <w:r>
              <w:rPr>
                <w:spacing w:val="8"/>
                <w:highlight w:val="none"/>
              </w:rPr>
              <w:t>类别</w:t>
            </w:r>
          </w:p>
        </w:tc>
        <w:tc>
          <w:tcPr>
            <w:tcW w:w="969" w:type="dxa"/>
            <w:vAlign w:val="top"/>
          </w:tcPr>
          <w:p w14:paraId="71DC2AF6">
            <w:pPr>
              <w:pStyle w:val="6"/>
              <w:spacing w:before="244" w:line="221" w:lineRule="auto"/>
              <w:ind w:left="270"/>
              <w:rPr>
                <w:highlight w:val="none"/>
              </w:rPr>
            </w:pPr>
            <w:r>
              <w:rPr>
                <w:spacing w:val="6"/>
                <w:highlight w:val="none"/>
              </w:rPr>
              <w:t>序号</w:t>
            </w:r>
          </w:p>
        </w:tc>
        <w:tc>
          <w:tcPr>
            <w:tcW w:w="1258" w:type="dxa"/>
            <w:vAlign w:val="top"/>
          </w:tcPr>
          <w:p w14:paraId="4A33E7BC">
            <w:pPr>
              <w:pStyle w:val="6"/>
              <w:spacing w:before="244" w:line="220" w:lineRule="auto"/>
              <w:ind w:left="221"/>
              <w:rPr>
                <w:highlight w:val="none"/>
              </w:rPr>
            </w:pPr>
            <w:r>
              <w:rPr>
                <w:spacing w:val="5"/>
                <w:highlight w:val="none"/>
              </w:rPr>
              <w:t>发生时间</w:t>
            </w:r>
          </w:p>
        </w:tc>
        <w:tc>
          <w:tcPr>
            <w:tcW w:w="3596" w:type="dxa"/>
            <w:vAlign w:val="top"/>
          </w:tcPr>
          <w:p w14:paraId="03E3FBE8">
            <w:pPr>
              <w:pStyle w:val="6"/>
              <w:spacing w:before="242" w:line="219" w:lineRule="auto"/>
              <w:ind w:left="1373"/>
              <w:rPr>
                <w:highlight w:val="none"/>
              </w:rPr>
            </w:pPr>
            <w:r>
              <w:rPr>
                <w:spacing w:val="3"/>
                <w:highlight w:val="none"/>
              </w:rPr>
              <w:t>情况简介</w:t>
            </w:r>
          </w:p>
        </w:tc>
        <w:tc>
          <w:tcPr>
            <w:tcW w:w="1943" w:type="dxa"/>
            <w:vAlign w:val="top"/>
          </w:tcPr>
          <w:p w14:paraId="3A6AA784">
            <w:pPr>
              <w:pStyle w:val="6"/>
              <w:spacing w:before="242" w:line="219" w:lineRule="auto"/>
              <w:ind w:left="367"/>
              <w:rPr>
                <w:highlight w:val="none"/>
              </w:rPr>
            </w:pPr>
            <w:r>
              <w:rPr>
                <w:spacing w:val="6"/>
                <w:highlight w:val="none"/>
              </w:rPr>
              <w:t>证明材料索引</w:t>
            </w:r>
          </w:p>
        </w:tc>
      </w:tr>
      <w:tr w14:paraId="6C362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8" w:hRule="atLeast"/>
        </w:trPr>
        <w:tc>
          <w:tcPr>
            <w:tcW w:w="944" w:type="dxa"/>
            <w:vMerge w:val="restart"/>
            <w:tcBorders>
              <w:bottom w:val="nil"/>
            </w:tcBorders>
            <w:textDirection w:val="tbRlV"/>
            <w:vAlign w:val="top"/>
          </w:tcPr>
          <w:p w14:paraId="3DF64F81">
            <w:pPr>
              <w:spacing w:line="288" w:lineRule="auto"/>
              <w:rPr>
                <w:rFonts w:ascii="Arial"/>
                <w:sz w:val="21"/>
                <w:highlight w:val="none"/>
              </w:rPr>
            </w:pPr>
          </w:p>
          <w:p w14:paraId="1844E903">
            <w:pPr>
              <w:pStyle w:val="6"/>
              <w:spacing w:before="70" w:line="202" w:lineRule="auto"/>
              <w:ind w:left="1620"/>
              <w:rPr>
                <w:highlight w:val="none"/>
              </w:rPr>
            </w:pPr>
            <w:r>
              <w:rPr>
                <w:highlight w:val="none"/>
              </w:rPr>
              <w:t>诉讼情况</w:t>
            </w:r>
          </w:p>
        </w:tc>
        <w:tc>
          <w:tcPr>
            <w:tcW w:w="969" w:type="dxa"/>
            <w:vAlign w:val="top"/>
          </w:tcPr>
          <w:p w14:paraId="593EE3CE">
            <w:pPr>
              <w:rPr>
                <w:rFonts w:ascii="Arial"/>
                <w:sz w:val="21"/>
                <w:highlight w:val="none"/>
              </w:rPr>
            </w:pPr>
          </w:p>
        </w:tc>
        <w:tc>
          <w:tcPr>
            <w:tcW w:w="1258" w:type="dxa"/>
            <w:vAlign w:val="top"/>
          </w:tcPr>
          <w:p w14:paraId="3B54D7EE">
            <w:pPr>
              <w:rPr>
                <w:rFonts w:ascii="Arial"/>
                <w:sz w:val="21"/>
                <w:highlight w:val="none"/>
              </w:rPr>
            </w:pPr>
          </w:p>
        </w:tc>
        <w:tc>
          <w:tcPr>
            <w:tcW w:w="3596" w:type="dxa"/>
            <w:vAlign w:val="top"/>
          </w:tcPr>
          <w:p w14:paraId="70A93FEF">
            <w:pPr>
              <w:rPr>
                <w:rFonts w:ascii="Arial"/>
                <w:sz w:val="21"/>
                <w:highlight w:val="none"/>
              </w:rPr>
            </w:pPr>
          </w:p>
        </w:tc>
        <w:tc>
          <w:tcPr>
            <w:tcW w:w="1943" w:type="dxa"/>
            <w:vAlign w:val="top"/>
          </w:tcPr>
          <w:p w14:paraId="7AFF1874">
            <w:pPr>
              <w:rPr>
                <w:rFonts w:ascii="Arial"/>
                <w:sz w:val="21"/>
                <w:highlight w:val="none"/>
              </w:rPr>
            </w:pPr>
          </w:p>
        </w:tc>
      </w:tr>
      <w:tr w14:paraId="1DE57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 w:hRule="atLeast"/>
        </w:trPr>
        <w:tc>
          <w:tcPr>
            <w:tcW w:w="944" w:type="dxa"/>
            <w:vMerge w:val="continue"/>
            <w:tcBorders>
              <w:top w:val="nil"/>
              <w:bottom w:val="nil"/>
            </w:tcBorders>
            <w:textDirection w:val="tbRlV"/>
            <w:vAlign w:val="top"/>
          </w:tcPr>
          <w:p w14:paraId="68C377A8">
            <w:pPr>
              <w:rPr>
                <w:rFonts w:ascii="Arial"/>
                <w:sz w:val="21"/>
                <w:highlight w:val="none"/>
              </w:rPr>
            </w:pPr>
          </w:p>
        </w:tc>
        <w:tc>
          <w:tcPr>
            <w:tcW w:w="969" w:type="dxa"/>
            <w:vAlign w:val="top"/>
          </w:tcPr>
          <w:p w14:paraId="24AB7720">
            <w:pPr>
              <w:rPr>
                <w:rFonts w:ascii="Arial"/>
                <w:sz w:val="21"/>
                <w:highlight w:val="none"/>
              </w:rPr>
            </w:pPr>
          </w:p>
        </w:tc>
        <w:tc>
          <w:tcPr>
            <w:tcW w:w="1258" w:type="dxa"/>
            <w:vAlign w:val="top"/>
          </w:tcPr>
          <w:p w14:paraId="194DDA61">
            <w:pPr>
              <w:rPr>
                <w:rFonts w:ascii="Arial"/>
                <w:sz w:val="21"/>
                <w:highlight w:val="none"/>
              </w:rPr>
            </w:pPr>
          </w:p>
        </w:tc>
        <w:tc>
          <w:tcPr>
            <w:tcW w:w="3596" w:type="dxa"/>
            <w:vAlign w:val="top"/>
          </w:tcPr>
          <w:p w14:paraId="273D28C6">
            <w:pPr>
              <w:rPr>
                <w:rFonts w:ascii="Arial"/>
                <w:sz w:val="21"/>
                <w:highlight w:val="none"/>
              </w:rPr>
            </w:pPr>
          </w:p>
        </w:tc>
        <w:tc>
          <w:tcPr>
            <w:tcW w:w="1943" w:type="dxa"/>
            <w:vAlign w:val="top"/>
          </w:tcPr>
          <w:p w14:paraId="7AA7E9AF">
            <w:pPr>
              <w:rPr>
                <w:rFonts w:ascii="Arial"/>
                <w:sz w:val="21"/>
                <w:highlight w:val="none"/>
              </w:rPr>
            </w:pPr>
          </w:p>
        </w:tc>
      </w:tr>
      <w:tr w14:paraId="17F92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8" w:hRule="atLeast"/>
        </w:trPr>
        <w:tc>
          <w:tcPr>
            <w:tcW w:w="944" w:type="dxa"/>
            <w:vMerge w:val="continue"/>
            <w:tcBorders>
              <w:top w:val="nil"/>
            </w:tcBorders>
            <w:textDirection w:val="tbRlV"/>
            <w:vAlign w:val="top"/>
          </w:tcPr>
          <w:p w14:paraId="378439CC">
            <w:pPr>
              <w:rPr>
                <w:rFonts w:ascii="Arial"/>
                <w:sz w:val="21"/>
                <w:highlight w:val="none"/>
              </w:rPr>
            </w:pPr>
          </w:p>
        </w:tc>
        <w:tc>
          <w:tcPr>
            <w:tcW w:w="969" w:type="dxa"/>
            <w:vAlign w:val="top"/>
          </w:tcPr>
          <w:p w14:paraId="59601B64">
            <w:pPr>
              <w:rPr>
                <w:rFonts w:ascii="Arial"/>
                <w:sz w:val="21"/>
                <w:highlight w:val="none"/>
              </w:rPr>
            </w:pPr>
          </w:p>
        </w:tc>
        <w:tc>
          <w:tcPr>
            <w:tcW w:w="1258" w:type="dxa"/>
            <w:vAlign w:val="top"/>
          </w:tcPr>
          <w:p w14:paraId="6AAEEE57">
            <w:pPr>
              <w:rPr>
                <w:rFonts w:ascii="Arial"/>
                <w:sz w:val="21"/>
                <w:highlight w:val="none"/>
              </w:rPr>
            </w:pPr>
          </w:p>
        </w:tc>
        <w:tc>
          <w:tcPr>
            <w:tcW w:w="3596" w:type="dxa"/>
            <w:vAlign w:val="top"/>
          </w:tcPr>
          <w:p w14:paraId="0510EF3A">
            <w:pPr>
              <w:rPr>
                <w:rFonts w:ascii="Arial"/>
                <w:sz w:val="21"/>
                <w:highlight w:val="none"/>
              </w:rPr>
            </w:pPr>
          </w:p>
        </w:tc>
        <w:tc>
          <w:tcPr>
            <w:tcW w:w="1943" w:type="dxa"/>
            <w:vAlign w:val="top"/>
          </w:tcPr>
          <w:p w14:paraId="7FB772D2">
            <w:pPr>
              <w:rPr>
                <w:rFonts w:ascii="Arial"/>
                <w:sz w:val="21"/>
                <w:highlight w:val="none"/>
              </w:rPr>
            </w:pPr>
          </w:p>
        </w:tc>
      </w:tr>
      <w:tr w14:paraId="51C1D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9" w:hRule="atLeast"/>
        </w:trPr>
        <w:tc>
          <w:tcPr>
            <w:tcW w:w="944" w:type="dxa"/>
            <w:vMerge w:val="restart"/>
            <w:tcBorders>
              <w:bottom w:val="nil"/>
            </w:tcBorders>
            <w:textDirection w:val="tbRlV"/>
            <w:vAlign w:val="top"/>
          </w:tcPr>
          <w:p w14:paraId="1EC28607">
            <w:pPr>
              <w:spacing w:line="288" w:lineRule="auto"/>
              <w:rPr>
                <w:rFonts w:ascii="Arial"/>
                <w:sz w:val="21"/>
                <w:highlight w:val="none"/>
              </w:rPr>
            </w:pPr>
          </w:p>
          <w:p w14:paraId="5D229043">
            <w:pPr>
              <w:pStyle w:val="6"/>
              <w:spacing w:before="70" w:line="201" w:lineRule="auto"/>
              <w:ind w:left="1615"/>
              <w:rPr>
                <w:highlight w:val="none"/>
              </w:rPr>
            </w:pPr>
            <w:r>
              <w:rPr>
                <w:highlight w:val="none"/>
              </w:rPr>
              <w:t>仲裁情况</w:t>
            </w:r>
          </w:p>
        </w:tc>
        <w:tc>
          <w:tcPr>
            <w:tcW w:w="969" w:type="dxa"/>
            <w:vAlign w:val="top"/>
          </w:tcPr>
          <w:p w14:paraId="6967923F">
            <w:pPr>
              <w:rPr>
                <w:rFonts w:ascii="Arial"/>
                <w:sz w:val="21"/>
                <w:highlight w:val="none"/>
              </w:rPr>
            </w:pPr>
          </w:p>
        </w:tc>
        <w:tc>
          <w:tcPr>
            <w:tcW w:w="1258" w:type="dxa"/>
            <w:vAlign w:val="top"/>
          </w:tcPr>
          <w:p w14:paraId="53B6A6B8">
            <w:pPr>
              <w:rPr>
                <w:rFonts w:ascii="Arial"/>
                <w:sz w:val="21"/>
                <w:highlight w:val="none"/>
              </w:rPr>
            </w:pPr>
          </w:p>
        </w:tc>
        <w:tc>
          <w:tcPr>
            <w:tcW w:w="3596" w:type="dxa"/>
            <w:vAlign w:val="top"/>
          </w:tcPr>
          <w:p w14:paraId="41DD1203">
            <w:pPr>
              <w:rPr>
                <w:rFonts w:ascii="Arial"/>
                <w:sz w:val="21"/>
                <w:highlight w:val="none"/>
              </w:rPr>
            </w:pPr>
          </w:p>
        </w:tc>
        <w:tc>
          <w:tcPr>
            <w:tcW w:w="1943" w:type="dxa"/>
            <w:vAlign w:val="top"/>
          </w:tcPr>
          <w:p w14:paraId="7F5D0376">
            <w:pPr>
              <w:rPr>
                <w:rFonts w:ascii="Arial"/>
                <w:sz w:val="21"/>
                <w:highlight w:val="none"/>
              </w:rPr>
            </w:pPr>
          </w:p>
        </w:tc>
      </w:tr>
      <w:tr w14:paraId="2510B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8" w:hRule="atLeast"/>
        </w:trPr>
        <w:tc>
          <w:tcPr>
            <w:tcW w:w="944" w:type="dxa"/>
            <w:vMerge w:val="continue"/>
            <w:tcBorders>
              <w:top w:val="nil"/>
              <w:bottom w:val="nil"/>
            </w:tcBorders>
            <w:textDirection w:val="tbRlV"/>
            <w:vAlign w:val="top"/>
          </w:tcPr>
          <w:p w14:paraId="229ABE5A">
            <w:pPr>
              <w:rPr>
                <w:rFonts w:ascii="Arial"/>
                <w:sz w:val="21"/>
                <w:highlight w:val="none"/>
              </w:rPr>
            </w:pPr>
          </w:p>
        </w:tc>
        <w:tc>
          <w:tcPr>
            <w:tcW w:w="969" w:type="dxa"/>
            <w:vAlign w:val="top"/>
          </w:tcPr>
          <w:p w14:paraId="496EEE16">
            <w:pPr>
              <w:rPr>
                <w:rFonts w:ascii="Arial"/>
                <w:sz w:val="21"/>
                <w:highlight w:val="none"/>
              </w:rPr>
            </w:pPr>
          </w:p>
        </w:tc>
        <w:tc>
          <w:tcPr>
            <w:tcW w:w="1258" w:type="dxa"/>
            <w:vAlign w:val="top"/>
          </w:tcPr>
          <w:p w14:paraId="464A9EE0">
            <w:pPr>
              <w:rPr>
                <w:rFonts w:ascii="Arial"/>
                <w:sz w:val="21"/>
                <w:highlight w:val="none"/>
              </w:rPr>
            </w:pPr>
          </w:p>
        </w:tc>
        <w:tc>
          <w:tcPr>
            <w:tcW w:w="3596" w:type="dxa"/>
            <w:vAlign w:val="top"/>
          </w:tcPr>
          <w:p w14:paraId="7DD2895F">
            <w:pPr>
              <w:rPr>
                <w:rFonts w:ascii="Arial"/>
                <w:sz w:val="21"/>
                <w:highlight w:val="none"/>
              </w:rPr>
            </w:pPr>
          </w:p>
        </w:tc>
        <w:tc>
          <w:tcPr>
            <w:tcW w:w="1943" w:type="dxa"/>
            <w:vAlign w:val="top"/>
          </w:tcPr>
          <w:p w14:paraId="4C22EF3C">
            <w:pPr>
              <w:rPr>
                <w:rFonts w:ascii="Arial"/>
                <w:sz w:val="21"/>
                <w:highlight w:val="none"/>
              </w:rPr>
            </w:pPr>
          </w:p>
        </w:tc>
      </w:tr>
      <w:tr w14:paraId="788B7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4" w:hRule="atLeast"/>
        </w:trPr>
        <w:tc>
          <w:tcPr>
            <w:tcW w:w="944" w:type="dxa"/>
            <w:vMerge w:val="continue"/>
            <w:tcBorders>
              <w:top w:val="nil"/>
            </w:tcBorders>
            <w:textDirection w:val="tbRlV"/>
            <w:vAlign w:val="top"/>
          </w:tcPr>
          <w:p w14:paraId="2B6CC028">
            <w:pPr>
              <w:rPr>
                <w:rFonts w:ascii="Arial"/>
                <w:sz w:val="21"/>
                <w:highlight w:val="none"/>
              </w:rPr>
            </w:pPr>
          </w:p>
        </w:tc>
        <w:tc>
          <w:tcPr>
            <w:tcW w:w="969" w:type="dxa"/>
            <w:vAlign w:val="top"/>
          </w:tcPr>
          <w:p w14:paraId="01582B53">
            <w:pPr>
              <w:rPr>
                <w:rFonts w:ascii="Arial"/>
                <w:sz w:val="21"/>
                <w:highlight w:val="none"/>
              </w:rPr>
            </w:pPr>
          </w:p>
        </w:tc>
        <w:tc>
          <w:tcPr>
            <w:tcW w:w="1258" w:type="dxa"/>
            <w:vAlign w:val="top"/>
          </w:tcPr>
          <w:p w14:paraId="1FF0DB50">
            <w:pPr>
              <w:rPr>
                <w:rFonts w:ascii="Arial"/>
                <w:sz w:val="21"/>
                <w:highlight w:val="none"/>
              </w:rPr>
            </w:pPr>
          </w:p>
        </w:tc>
        <w:tc>
          <w:tcPr>
            <w:tcW w:w="3596" w:type="dxa"/>
            <w:vAlign w:val="top"/>
          </w:tcPr>
          <w:p w14:paraId="67C8D324">
            <w:pPr>
              <w:rPr>
                <w:rFonts w:ascii="Arial"/>
                <w:sz w:val="21"/>
                <w:highlight w:val="none"/>
              </w:rPr>
            </w:pPr>
          </w:p>
        </w:tc>
        <w:tc>
          <w:tcPr>
            <w:tcW w:w="1943" w:type="dxa"/>
            <w:vAlign w:val="top"/>
          </w:tcPr>
          <w:p w14:paraId="3757E6A7">
            <w:pPr>
              <w:rPr>
                <w:rFonts w:ascii="Arial"/>
                <w:sz w:val="21"/>
                <w:highlight w:val="none"/>
              </w:rPr>
            </w:pPr>
          </w:p>
        </w:tc>
      </w:tr>
    </w:tbl>
    <w:p w14:paraId="0CAD8A8D">
      <w:pPr>
        <w:pStyle w:val="2"/>
        <w:spacing w:line="241" w:lineRule="auto"/>
        <w:rPr>
          <w:highlight w:val="none"/>
        </w:rPr>
      </w:pPr>
    </w:p>
    <w:p w14:paraId="11FCA8AE">
      <w:pPr>
        <w:pStyle w:val="2"/>
        <w:spacing w:line="242" w:lineRule="auto"/>
        <w:rPr>
          <w:highlight w:val="none"/>
        </w:rPr>
      </w:pPr>
    </w:p>
    <w:p w14:paraId="3017BC0B">
      <w:pPr>
        <w:spacing w:before="68" w:line="346" w:lineRule="auto"/>
        <w:ind w:left="1054" w:right="258" w:hanging="920"/>
        <w:rPr>
          <w:rFonts w:ascii="宋体" w:hAnsi="宋体" w:eastAsia="宋体" w:cs="宋体"/>
          <w:sz w:val="21"/>
          <w:szCs w:val="21"/>
          <w:highlight w:val="none"/>
        </w:rPr>
      </w:pPr>
      <w:r>
        <w:rPr>
          <w:rFonts w:ascii="黑体" w:hAnsi="黑体" w:eastAsia="黑体" w:cs="黑体"/>
          <w:spacing w:val="3"/>
          <w:sz w:val="21"/>
          <w:szCs w:val="21"/>
          <w:highlight w:val="none"/>
        </w:rPr>
        <w:t>备注：1.</w:t>
      </w:r>
      <w:r>
        <w:rPr>
          <w:rFonts w:ascii="宋体" w:hAnsi="宋体" w:eastAsia="宋体" w:cs="宋体"/>
          <w:spacing w:val="3"/>
          <w:sz w:val="21"/>
          <w:szCs w:val="21"/>
          <w:highlight w:val="none"/>
        </w:rPr>
        <w:t>近年发生的诉讼和仲裁情况仅限</w:t>
      </w:r>
      <w:r>
        <w:rPr>
          <w:rFonts w:ascii="宋体" w:hAnsi="宋体" w:eastAsia="宋体" w:cs="宋体"/>
          <w:spacing w:val="2"/>
          <w:sz w:val="21"/>
          <w:szCs w:val="21"/>
          <w:highlight w:val="none"/>
        </w:rPr>
        <w:t>于投标人败诉的，且与签订或履行工程合同有关</w:t>
      </w:r>
      <w:r>
        <w:rPr>
          <w:rFonts w:ascii="宋体" w:hAnsi="宋体" w:eastAsia="宋体" w:cs="宋体"/>
          <w:sz w:val="21"/>
          <w:szCs w:val="21"/>
          <w:highlight w:val="none"/>
        </w:rPr>
        <w:t xml:space="preserve"> </w:t>
      </w:r>
      <w:r>
        <w:rPr>
          <w:rFonts w:ascii="宋体" w:hAnsi="宋体" w:eastAsia="宋体" w:cs="宋体"/>
          <w:spacing w:val="1"/>
          <w:sz w:val="21"/>
          <w:szCs w:val="21"/>
          <w:highlight w:val="none"/>
        </w:rPr>
        <w:t>的案件，不包括调解结案以及未终审判决的</w:t>
      </w:r>
      <w:r>
        <w:rPr>
          <w:rFonts w:ascii="宋体" w:hAnsi="宋体" w:eastAsia="宋体" w:cs="宋体"/>
          <w:sz w:val="21"/>
          <w:szCs w:val="21"/>
          <w:highlight w:val="none"/>
        </w:rPr>
        <w:t xml:space="preserve">诉讼或未裁决的仲裁。附法院或仲裁 </w:t>
      </w:r>
      <w:r>
        <w:rPr>
          <w:rFonts w:ascii="宋体" w:hAnsi="宋体" w:eastAsia="宋体" w:cs="宋体"/>
          <w:spacing w:val="2"/>
          <w:sz w:val="21"/>
          <w:szCs w:val="21"/>
          <w:highlight w:val="none"/>
        </w:rPr>
        <w:t>机构作出的判决或裁决等有关法律文书的扫</w:t>
      </w:r>
      <w:r>
        <w:rPr>
          <w:rFonts w:ascii="宋体" w:hAnsi="宋体" w:eastAsia="宋体" w:cs="宋体"/>
          <w:spacing w:val="1"/>
          <w:sz w:val="21"/>
          <w:szCs w:val="21"/>
          <w:highlight w:val="none"/>
        </w:rPr>
        <w:t>描件。具体年份要求见投标(申请人)</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须知前附表。</w:t>
      </w:r>
    </w:p>
    <w:p w14:paraId="3809DC45">
      <w:pPr>
        <w:spacing w:before="5" w:line="219" w:lineRule="auto"/>
        <w:ind w:left="744"/>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 xml:space="preserve">2.    </w:t>
      </w:r>
      <w:r>
        <w:rPr>
          <w:rFonts w:ascii="宋体" w:hAnsi="宋体" w:eastAsia="宋体" w:cs="宋体"/>
          <w:spacing w:val="-11"/>
          <w:sz w:val="22"/>
          <w:szCs w:val="22"/>
          <w:highlight w:val="none"/>
        </w:rPr>
        <w:t>投标人应当如实填报相关情况，没有相关情况应明确填“无”。</w:t>
      </w:r>
    </w:p>
    <w:p w14:paraId="3B773817">
      <w:pPr>
        <w:spacing w:line="219" w:lineRule="auto"/>
        <w:rPr>
          <w:rFonts w:ascii="宋体" w:hAnsi="宋体" w:eastAsia="宋体" w:cs="宋体"/>
          <w:sz w:val="22"/>
          <w:szCs w:val="22"/>
          <w:highlight w:val="none"/>
        </w:rPr>
        <w:sectPr>
          <w:footerReference r:id="rId281" w:type="default"/>
          <w:pgSz w:w="11910" w:h="16840"/>
          <w:pgMar w:top="400" w:right="1514" w:bottom="1184" w:left="1675" w:header="0" w:footer="1024" w:gutter="0"/>
          <w:cols w:space="720" w:num="1"/>
        </w:sectPr>
      </w:pPr>
    </w:p>
    <w:p w14:paraId="1F469612">
      <w:pPr>
        <w:pStyle w:val="2"/>
        <w:spacing w:line="263" w:lineRule="auto"/>
        <w:rPr>
          <w:highlight w:val="none"/>
        </w:rPr>
      </w:pPr>
    </w:p>
    <w:p w14:paraId="7B030826">
      <w:pPr>
        <w:pStyle w:val="2"/>
        <w:spacing w:line="263" w:lineRule="auto"/>
        <w:rPr>
          <w:highlight w:val="none"/>
        </w:rPr>
      </w:pPr>
    </w:p>
    <w:p w14:paraId="4AF42EE9">
      <w:pPr>
        <w:pStyle w:val="2"/>
        <w:spacing w:line="263" w:lineRule="auto"/>
        <w:rPr>
          <w:highlight w:val="none"/>
        </w:rPr>
      </w:pPr>
    </w:p>
    <w:p w14:paraId="46B4FF19">
      <w:pPr>
        <w:pStyle w:val="2"/>
        <w:spacing w:line="264" w:lineRule="auto"/>
        <w:rPr>
          <w:highlight w:val="none"/>
        </w:rPr>
      </w:pPr>
    </w:p>
    <w:p w14:paraId="64120B6E">
      <w:pPr>
        <w:spacing w:before="78" w:line="222" w:lineRule="auto"/>
        <w:ind w:left="1234"/>
        <w:rPr>
          <w:rFonts w:ascii="黑体" w:hAnsi="黑体" w:eastAsia="黑体" w:cs="黑体"/>
          <w:sz w:val="24"/>
          <w:szCs w:val="24"/>
          <w:highlight w:val="none"/>
        </w:rPr>
      </w:pPr>
      <w:r>
        <w:rPr>
          <w:rFonts w:ascii="黑体" w:hAnsi="黑体" w:eastAsia="黑体" w:cs="黑体"/>
          <w:spacing w:val="14"/>
          <w:sz w:val="24"/>
          <w:szCs w:val="24"/>
          <w:highlight w:val="none"/>
        </w:rPr>
        <w:t>7-3近年投标人获工程(设计)质量奖项和获表彰情况表</w:t>
      </w:r>
    </w:p>
    <w:p w14:paraId="6DFEB131">
      <w:pPr>
        <w:spacing w:before="166"/>
        <w:rPr>
          <w:highlight w:val="none"/>
        </w:rPr>
      </w:pPr>
    </w:p>
    <w:tbl>
      <w:tblPr>
        <w:tblStyle w:val="5"/>
        <w:tblW w:w="8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1488"/>
        <w:gridCol w:w="2128"/>
        <w:gridCol w:w="1158"/>
        <w:gridCol w:w="869"/>
        <w:gridCol w:w="2162"/>
      </w:tblGrid>
      <w:tr w14:paraId="43969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754" w:type="dxa"/>
            <w:vAlign w:val="top"/>
          </w:tcPr>
          <w:p w14:paraId="042706CF">
            <w:pPr>
              <w:rPr>
                <w:rFonts w:ascii="Arial"/>
                <w:sz w:val="21"/>
                <w:highlight w:val="none"/>
              </w:rPr>
            </w:pPr>
          </w:p>
        </w:tc>
        <w:tc>
          <w:tcPr>
            <w:tcW w:w="7805" w:type="dxa"/>
            <w:gridSpan w:val="5"/>
            <w:vAlign w:val="top"/>
          </w:tcPr>
          <w:p w14:paraId="6D87958D">
            <w:pPr>
              <w:pStyle w:val="6"/>
              <w:spacing w:before="193" w:line="219" w:lineRule="auto"/>
              <w:ind w:left="2110"/>
              <w:rPr>
                <w:highlight w:val="none"/>
              </w:rPr>
            </w:pPr>
            <w:r>
              <w:rPr>
                <w:spacing w:val="-1"/>
                <w:highlight w:val="none"/>
              </w:rPr>
              <w:t>近年投标人获工程(设计)质量奖项情况</w:t>
            </w:r>
          </w:p>
        </w:tc>
      </w:tr>
      <w:tr w14:paraId="7BF44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754" w:type="dxa"/>
            <w:vAlign w:val="top"/>
          </w:tcPr>
          <w:p w14:paraId="6F6FA3BA">
            <w:pPr>
              <w:pStyle w:val="6"/>
              <w:spacing w:before="210" w:line="221" w:lineRule="auto"/>
              <w:ind w:left="144"/>
              <w:rPr>
                <w:highlight w:val="none"/>
              </w:rPr>
            </w:pPr>
            <w:r>
              <w:rPr>
                <w:spacing w:val="6"/>
                <w:highlight w:val="none"/>
              </w:rPr>
              <w:t>序号</w:t>
            </w:r>
          </w:p>
        </w:tc>
        <w:tc>
          <w:tcPr>
            <w:tcW w:w="1488" w:type="dxa"/>
            <w:vAlign w:val="top"/>
          </w:tcPr>
          <w:p w14:paraId="5A23AF84">
            <w:pPr>
              <w:pStyle w:val="6"/>
              <w:spacing w:before="209" w:line="219" w:lineRule="auto"/>
              <w:ind w:left="310"/>
              <w:rPr>
                <w:highlight w:val="none"/>
              </w:rPr>
            </w:pPr>
            <w:r>
              <w:rPr>
                <w:spacing w:val="3"/>
                <w:highlight w:val="none"/>
              </w:rPr>
              <w:t>获奖日期</w:t>
            </w:r>
          </w:p>
        </w:tc>
        <w:tc>
          <w:tcPr>
            <w:tcW w:w="2128" w:type="dxa"/>
            <w:vAlign w:val="top"/>
          </w:tcPr>
          <w:p w14:paraId="06844AFA">
            <w:pPr>
              <w:pStyle w:val="6"/>
              <w:spacing w:before="210" w:line="220" w:lineRule="auto"/>
              <w:ind w:left="632"/>
              <w:rPr>
                <w:highlight w:val="none"/>
              </w:rPr>
            </w:pPr>
            <w:r>
              <w:rPr>
                <w:spacing w:val="2"/>
                <w:highlight w:val="none"/>
              </w:rPr>
              <w:t>项目名称</w:t>
            </w:r>
          </w:p>
        </w:tc>
        <w:tc>
          <w:tcPr>
            <w:tcW w:w="2027" w:type="dxa"/>
            <w:gridSpan w:val="2"/>
            <w:vAlign w:val="top"/>
          </w:tcPr>
          <w:p w14:paraId="03487F2D">
            <w:pPr>
              <w:pStyle w:val="6"/>
              <w:spacing w:before="209" w:line="219" w:lineRule="auto"/>
              <w:ind w:left="604"/>
              <w:rPr>
                <w:highlight w:val="none"/>
              </w:rPr>
            </w:pPr>
            <w:r>
              <w:rPr>
                <w:spacing w:val="2"/>
                <w:highlight w:val="none"/>
              </w:rPr>
              <w:t>获奖名称</w:t>
            </w:r>
          </w:p>
        </w:tc>
        <w:tc>
          <w:tcPr>
            <w:tcW w:w="2162" w:type="dxa"/>
            <w:vAlign w:val="top"/>
          </w:tcPr>
          <w:p w14:paraId="7BFBE8B6">
            <w:pPr>
              <w:pStyle w:val="6"/>
              <w:spacing w:before="210" w:line="220" w:lineRule="auto"/>
              <w:ind w:left="658"/>
              <w:rPr>
                <w:highlight w:val="none"/>
              </w:rPr>
            </w:pPr>
            <w:r>
              <w:rPr>
                <w:spacing w:val="-2"/>
                <w:highlight w:val="none"/>
              </w:rPr>
              <w:t>颁奖单位</w:t>
            </w:r>
          </w:p>
        </w:tc>
      </w:tr>
      <w:tr w14:paraId="527E3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54" w:type="dxa"/>
            <w:vAlign w:val="top"/>
          </w:tcPr>
          <w:p w14:paraId="386091DB">
            <w:pPr>
              <w:rPr>
                <w:rFonts w:ascii="Arial"/>
                <w:sz w:val="21"/>
                <w:highlight w:val="none"/>
              </w:rPr>
            </w:pPr>
          </w:p>
        </w:tc>
        <w:tc>
          <w:tcPr>
            <w:tcW w:w="1488" w:type="dxa"/>
            <w:vAlign w:val="top"/>
          </w:tcPr>
          <w:p w14:paraId="71EB126A">
            <w:pPr>
              <w:rPr>
                <w:rFonts w:ascii="Arial"/>
                <w:sz w:val="21"/>
                <w:highlight w:val="none"/>
              </w:rPr>
            </w:pPr>
          </w:p>
        </w:tc>
        <w:tc>
          <w:tcPr>
            <w:tcW w:w="2128" w:type="dxa"/>
            <w:vAlign w:val="top"/>
          </w:tcPr>
          <w:p w14:paraId="769AC920">
            <w:pPr>
              <w:rPr>
                <w:rFonts w:ascii="Arial"/>
                <w:sz w:val="21"/>
                <w:highlight w:val="none"/>
              </w:rPr>
            </w:pPr>
          </w:p>
        </w:tc>
        <w:tc>
          <w:tcPr>
            <w:tcW w:w="2027" w:type="dxa"/>
            <w:gridSpan w:val="2"/>
            <w:vAlign w:val="top"/>
          </w:tcPr>
          <w:p w14:paraId="0E8EE565">
            <w:pPr>
              <w:rPr>
                <w:rFonts w:ascii="Arial"/>
                <w:sz w:val="21"/>
                <w:highlight w:val="none"/>
              </w:rPr>
            </w:pPr>
          </w:p>
        </w:tc>
        <w:tc>
          <w:tcPr>
            <w:tcW w:w="2162" w:type="dxa"/>
            <w:vAlign w:val="top"/>
          </w:tcPr>
          <w:p w14:paraId="39F8B4EA">
            <w:pPr>
              <w:rPr>
                <w:rFonts w:ascii="Arial"/>
                <w:sz w:val="21"/>
                <w:highlight w:val="none"/>
              </w:rPr>
            </w:pPr>
          </w:p>
        </w:tc>
      </w:tr>
      <w:tr w14:paraId="3B59E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754" w:type="dxa"/>
            <w:vAlign w:val="top"/>
          </w:tcPr>
          <w:p w14:paraId="2701C49E">
            <w:pPr>
              <w:rPr>
                <w:rFonts w:ascii="Arial"/>
                <w:sz w:val="21"/>
                <w:highlight w:val="none"/>
              </w:rPr>
            </w:pPr>
          </w:p>
        </w:tc>
        <w:tc>
          <w:tcPr>
            <w:tcW w:w="1488" w:type="dxa"/>
            <w:vAlign w:val="top"/>
          </w:tcPr>
          <w:p w14:paraId="15965D81">
            <w:pPr>
              <w:rPr>
                <w:rFonts w:ascii="Arial"/>
                <w:sz w:val="21"/>
                <w:highlight w:val="none"/>
              </w:rPr>
            </w:pPr>
          </w:p>
        </w:tc>
        <w:tc>
          <w:tcPr>
            <w:tcW w:w="2128" w:type="dxa"/>
            <w:vAlign w:val="top"/>
          </w:tcPr>
          <w:p w14:paraId="720176D2">
            <w:pPr>
              <w:rPr>
                <w:rFonts w:ascii="Arial"/>
                <w:sz w:val="21"/>
                <w:highlight w:val="none"/>
              </w:rPr>
            </w:pPr>
          </w:p>
        </w:tc>
        <w:tc>
          <w:tcPr>
            <w:tcW w:w="2027" w:type="dxa"/>
            <w:gridSpan w:val="2"/>
            <w:vAlign w:val="top"/>
          </w:tcPr>
          <w:p w14:paraId="161D676E">
            <w:pPr>
              <w:rPr>
                <w:rFonts w:ascii="Arial"/>
                <w:sz w:val="21"/>
                <w:highlight w:val="none"/>
              </w:rPr>
            </w:pPr>
          </w:p>
        </w:tc>
        <w:tc>
          <w:tcPr>
            <w:tcW w:w="2162" w:type="dxa"/>
            <w:vAlign w:val="top"/>
          </w:tcPr>
          <w:p w14:paraId="5C6B39FA">
            <w:pPr>
              <w:rPr>
                <w:rFonts w:ascii="Arial"/>
                <w:sz w:val="21"/>
                <w:highlight w:val="none"/>
              </w:rPr>
            </w:pPr>
          </w:p>
        </w:tc>
      </w:tr>
      <w:tr w14:paraId="0AD5D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54" w:type="dxa"/>
            <w:vAlign w:val="top"/>
          </w:tcPr>
          <w:p w14:paraId="4A25845A">
            <w:pPr>
              <w:rPr>
                <w:rFonts w:ascii="Arial"/>
                <w:sz w:val="21"/>
                <w:highlight w:val="none"/>
              </w:rPr>
            </w:pPr>
          </w:p>
        </w:tc>
        <w:tc>
          <w:tcPr>
            <w:tcW w:w="1488" w:type="dxa"/>
            <w:vAlign w:val="top"/>
          </w:tcPr>
          <w:p w14:paraId="298C47C9">
            <w:pPr>
              <w:rPr>
                <w:rFonts w:ascii="Arial"/>
                <w:sz w:val="21"/>
                <w:highlight w:val="none"/>
              </w:rPr>
            </w:pPr>
          </w:p>
        </w:tc>
        <w:tc>
          <w:tcPr>
            <w:tcW w:w="2128" w:type="dxa"/>
            <w:vAlign w:val="top"/>
          </w:tcPr>
          <w:p w14:paraId="20A5304E">
            <w:pPr>
              <w:rPr>
                <w:rFonts w:ascii="Arial"/>
                <w:sz w:val="21"/>
                <w:highlight w:val="none"/>
              </w:rPr>
            </w:pPr>
          </w:p>
        </w:tc>
        <w:tc>
          <w:tcPr>
            <w:tcW w:w="2027" w:type="dxa"/>
            <w:gridSpan w:val="2"/>
            <w:vAlign w:val="top"/>
          </w:tcPr>
          <w:p w14:paraId="57CCA131">
            <w:pPr>
              <w:rPr>
                <w:rFonts w:ascii="Arial"/>
                <w:sz w:val="21"/>
                <w:highlight w:val="none"/>
              </w:rPr>
            </w:pPr>
          </w:p>
        </w:tc>
        <w:tc>
          <w:tcPr>
            <w:tcW w:w="2162" w:type="dxa"/>
            <w:vAlign w:val="top"/>
          </w:tcPr>
          <w:p w14:paraId="2BB70E67">
            <w:pPr>
              <w:rPr>
                <w:rFonts w:ascii="Arial"/>
                <w:sz w:val="21"/>
                <w:highlight w:val="none"/>
              </w:rPr>
            </w:pPr>
          </w:p>
        </w:tc>
      </w:tr>
      <w:tr w14:paraId="2E881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754" w:type="dxa"/>
            <w:vAlign w:val="top"/>
          </w:tcPr>
          <w:p w14:paraId="6874E29B">
            <w:pPr>
              <w:rPr>
                <w:rFonts w:ascii="Arial"/>
                <w:sz w:val="21"/>
                <w:highlight w:val="none"/>
              </w:rPr>
            </w:pPr>
          </w:p>
        </w:tc>
        <w:tc>
          <w:tcPr>
            <w:tcW w:w="1488" w:type="dxa"/>
            <w:vAlign w:val="top"/>
          </w:tcPr>
          <w:p w14:paraId="5C274818">
            <w:pPr>
              <w:rPr>
                <w:rFonts w:ascii="Arial"/>
                <w:sz w:val="21"/>
                <w:highlight w:val="none"/>
              </w:rPr>
            </w:pPr>
          </w:p>
        </w:tc>
        <w:tc>
          <w:tcPr>
            <w:tcW w:w="2128" w:type="dxa"/>
            <w:vAlign w:val="top"/>
          </w:tcPr>
          <w:p w14:paraId="370B1F54">
            <w:pPr>
              <w:rPr>
                <w:rFonts w:ascii="Arial"/>
                <w:sz w:val="21"/>
                <w:highlight w:val="none"/>
              </w:rPr>
            </w:pPr>
          </w:p>
        </w:tc>
        <w:tc>
          <w:tcPr>
            <w:tcW w:w="2027" w:type="dxa"/>
            <w:gridSpan w:val="2"/>
            <w:vAlign w:val="top"/>
          </w:tcPr>
          <w:p w14:paraId="0C3906BD">
            <w:pPr>
              <w:rPr>
                <w:rFonts w:ascii="Arial"/>
                <w:sz w:val="21"/>
                <w:highlight w:val="none"/>
              </w:rPr>
            </w:pPr>
          </w:p>
        </w:tc>
        <w:tc>
          <w:tcPr>
            <w:tcW w:w="2162" w:type="dxa"/>
            <w:vAlign w:val="top"/>
          </w:tcPr>
          <w:p w14:paraId="221C3233">
            <w:pPr>
              <w:rPr>
                <w:rFonts w:ascii="Arial"/>
                <w:sz w:val="21"/>
                <w:highlight w:val="none"/>
              </w:rPr>
            </w:pPr>
          </w:p>
        </w:tc>
      </w:tr>
      <w:tr w14:paraId="20DE1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754" w:type="dxa"/>
            <w:vAlign w:val="top"/>
          </w:tcPr>
          <w:p w14:paraId="7E798FC1">
            <w:pPr>
              <w:rPr>
                <w:rFonts w:ascii="Arial"/>
                <w:sz w:val="21"/>
                <w:highlight w:val="none"/>
              </w:rPr>
            </w:pPr>
          </w:p>
        </w:tc>
        <w:tc>
          <w:tcPr>
            <w:tcW w:w="1488" w:type="dxa"/>
            <w:vAlign w:val="top"/>
          </w:tcPr>
          <w:p w14:paraId="1A1837E7">
            <w:pPr>
              <w:rPr>
                <w:rFonts w:ascii="Arial"/>
                <w:sz w:val="21"/>
                <w:highlight w:val="none"/>
              </w:rPr>
            </w:pPr>
          </w:p>
        </w:tc>
        <w:tc>
          <w:tcPr>
            <w:tcW w:w="2128" w:type="dxa"/>
            <w:vAlign w:val="top"/>
          </w:tcPr>
          <w:p w14:paraId="027A054E">
            <w:pPr>
              <w:rPr>
                <w:rFonts w:ascii="Arial"/>
                <w:sz w:val="21"/>
                <w:highlight w:val="none"/>
              </w:rPr>
            </w:pPr>
          </w:p>
        </w:tc>
        <w:tc>
          <w:tcPr>
            <w:tcW w:w="2027" w:type="dxa"/>
            <w:gridSpan w:val="2"/>
            <w:vAlign w:val="top"/>
          </w:tcPr>
          <w:p w14:paraId="73E72FBA">
            <w:pPr>
              <w:rPr>
                <w:rFonts w:ascii="Arial"/>
                <w:sz w:val="21"/>
                <w:highlight w:val="none"/>
              </w:rPr>
            </w:pPr>
          </w:p>
        </w:tc>
        <w:tc>
          <w:tcPr>
            <w:tcW w:w="2162" w:type="dxa"/>
            <w:vAlign w:val="top"/>
          </w:tcPr>
          <w:p w14:paraId="469B3331">
            <w:pPr>
              <w:rPr>
                <w:rFonts w:ascii="Arial"/>
                <w:sz w:val="21"/>
                <w:highlight w:val="none"/>
              </w:rPr>
            </w:pPr>
          </w:p>
        </w:tc>
      </w:tr>
      <w:tr w14:paraId="17DE5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754" w:type="dxa"/>
            <w:vAlign w:val="top"/>
          </w:tcPr>
          <w:p w14:paraId="66A8FD0F">
            <w:pPr>
              <w:rPr>
                <w:rFonts w:ascii="Arial"/>
                <w:sz w:val="21"/>
                <w:highlight w:val="none"/>
              </w:rPr>
            </w:pPr>
          </w:p>
        </w:tc>
        <w:tc>
          <w:tcPr>
            <w:tcW w:w="1488" w:type="dxa"/>
            <w:vAlign w:val="top"/>
          </w:tcPr>
          <w:p w14:paraId="474B6C5D">
            <w:pPr>
              <w:rPr>
                <w:rFonts w:ascii="Arial"/>
                <w:sz w:val="21"/>
                <w:highlight w:val="none"/>
              </w:rPr>
            </w:pPr>
          </w:p>
        </w:tc>
        <w:tc>
          <w:tcPr>
            <w:tcW w:w="2128" w:type="dxa"/>
            <w:vAlign w:val="top"/>
          </w:tcPr>
          <w:p w14:paraId="6BE0C7DC">
            <w:pPr>
              <w:rPr>
                <w:rFonts w:ascii="Arial"/>
                <w:sz w:val="21"/>
                <w:highlight w:val="none"/>
              </w:rPr>
            </w:pPr>
          </w:p>
        </w:tc>
        <w:tc>
          <w:tcPr>
            <w:tcW w:w="2027" w:type="dxa"/>
            <w:gridSpan w:val="2"/>
            <w:vAlign w:val="top"/>
          </w:tcPr>
          <w:p w14:paraId="347D270F">
            <w:pPr>
              <w:rPr>
                <w:rFonts w:ascii="Arial"/>
                <w:sz w:val="21"/>
                <w:highlight w:val="none"/>
              </w:rPr>
            </w:pPr>
          </w:p>
        </w:tc>
        <w:tc>
          <w:tcPr>
            <w:tcW w:w="2162" w:type="dxa"/>
            <w:vAlign w:val="top"/>
          </w:tcPr>
          <w:p w14:paraId="37410E41">
            <w:pPr>
              <w:rPr>
                <w:rFonts w:ascii="Arial"/>
                <w:sz w:val="21"/>
                <w:highlight w:val="none"/>
              </w:rPr>
            </w:pPr>
          </w:p>
        </w:tc>
      </w:tr>
      <w:tr w14:paraId="70929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754" w:type="dxa"/>
            <w:vAlign w:val="top"/>
          </w:tcPr>
          <w:p w14:paraId="27019827">
            <w:pPr>
              <w:rPr>
                <w:rFonts w:ascii="Arial"/>
                <w:sz w:val="21"/>
                <w:highlight w:val="none"/>
              </w:rPr>
            </w:pPr>
          </w:p>
        </w:tc>
        <w:tc>
          <w:tcPr>
            <w:tcW w:w="7805" w:type="dxa"/>
            <w:gridSpan w:val="5"/>
            <w:vAlign w:val="top"/>
          </w:tcPr>
          <w:p w14:paraId="67580B44">
            <w:pPr>
              <w:pStyle w:val="6"/>
              <w:spacing w:before="204" w:line="219" w:lineRule="auto"/>
              <w:ind w:left="2840"/>
              <w:rPr>
                <w:highlight w:val="none"/>
              </w:rPr>
            </w:pPr>
            <w:r>
              <w:rPr>
                <w:spacing w:val="-1"/>
                <w:highlight w:val="none"/>
              </w:rPr>
              <w:t>近年投标人获表彰情况</w:t>
            </w:r>
          </w:p>
        </w:tc>
      </w:tr>
      <w:tr w14:paraId="43DB5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754" w:type="dxa"/>
            <w:vAlign w:val="top"/>
          </w:tcPr>
          <w:p w14:paraId="609EBE3D">
            <w:pPr>
              <w:rPr>
                <w:rFonts w:ascii="Arial"/>
                <w:sz w:val="21"/>
                <w:highlight w:val="none"/>
              </w:rPr>
            </w:pPr>
          </w:p>
        </w:tc>
        <w:tc>
          <w:tcPr>
            <w:tcW w:w="1488" w:type="dxa"/>
            <w:vAlign w:val="top"/>
          </w:tcPr>
          <w:p w14:paraId="0BF34B26">
            <w:pPr>
              <w:pStyle w:val="6"/>
              <w:spacing w:before="205" w:line="219" w:lineRule="auto"/>
              <w:ind w:left="310"/>
              <w:rPr>
                <w:highlight w:val="none"/>
              </w:rPr>
            </w:pPr>
            <w:r>
              <w:rPr>
                <w:spacing w:val="3"/>
                <w:highlight w:val="none"/>
              </w:rPr>
              <w:t>获奖日期</w:t>
            </w:r>
          </w:p>
        </w:tc>
        <w:tc>
          <w:tcPr>
            <w:tcW w:w="3286" w:type="dxa"/>
            <w:gridSpan w:val="2"/>
            <w:vAlign w:val="top"/>
          </w:tcPr>
          <w:p w14:paraId="7A9E6FBC">
            <w:pPr>
              <w:pStyle w:val="6"/>
              <w:spacing w:before="205" w:line="219" w:lineRule="auto"/>
              <w:ind w:left="1222"/>
              <w:rPr>
                <w:highlight w:val="none"/>
              </w:rPr>
            </w:pPr>
            <w:r>
              <w:rPr>
                <w:spacing w:val="2"/>
                <w:highlight w:val="none"/>
              </w:rPr>
              <w:t>获奖名称</w:t>
            </w:r>
          </w:p>
        </w:tc>
        <w:tc>
          <w:tcPr>
            <w:tcW w:w="3031" w:type="dxa"/>
            <w:gridSpan w:val="2"/>
            <w:vAlign w:val="top"/>
          </w:tcPr>
          <w:p w14:paraId="325AA1BF">
            <w:pPr>
              <w:pStyle w:val="6"/>
              <w:spacing w:before="206" w:line="220" w:lineRule="auto"/>
              <w:ind w:left="1086"/>
              <w:rPr>
                <w:highlight w:val="none"/>
              </w:rPr>
            </w:pPr>
            <w:r>
              <w:rPr>
                <w:spacing w:val="-2"/>
                <w:highlight w:val="none"/>
              </w:rPr>
              <w:t>颁奖单位</w:t>
            </w:r>
          </w:p>
        </w:tc>
      </w:tr>
      <w:tr w14:paraId="60BB0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54" w:type="dxa"/>
            <w:vAlign w:val="top"/>
          </w:tcPr>
          <w:p w14:paraId="3374AC25">
            <w:pPr>
              <w:rPr>
                <w:rFonts w:ascii="Arial"/>
                <w:sz w:val="21"/>
                <w:highlight w:val="none"/>
              </w:rPr>
            </w:pPr>
          </w:p>
        </w:tc>
        <w:tc>
          <w:tcPr>
            <w:tcW w:w="1488" w:type="dxa"/>
            <w:vAlign w:val="top"/>
          </w:tcPr>
          <w:p w14:paraId="49EDF248">
            <w:pPr>
              <w:rPr>
                <w:rFonts w:ascii="Arial"/>
                <w:sz w:val="21"/>
                <w:highlight w:val="none"/>
              </w:rPr>
            </w:pPr>
          </w:p>
        </w:tc>
        <w:tc>
          <w:tcPr>
            <w:tcW w:w="3286" w:type="dxa"/>
            <w:gridSpan w:val="2"/>
            <w:vAlign w:val="top"/>
          </w:tcPr>
          <w:p w14:paraId="730A963E">
            <w:pPr>
              <w:rPr>
                <w:rFonts w:ascii="Arial"/>
                <w:sz w:val="21"/>
                <w:highlight w:val="none"/>
              </w:rPr>
            </w:pPr>
          </w:p>
        </w:tc>
        <w:tc>
          <w:tcPr>
            <w:tcW w:w="3031" w:type="dxa"/>
            <w:gridSpan w:val="2"/>
            <w:vAlign w:val="top"/>
          </w:tcPr>
          <w:p w14:paraId="194507AB">
            <w:pPr>
              <w:rPr>
                <w:rFonts w:ascii="Arial"/>
                <w:sz w:val="21"/>
                <w:highlight w:val="none"/>
              </w:rPr>
            </w:pPr>
          </w:p>
        </w:tc>
      </w:tr>
      <w:tr w14:paraId="28999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754" w:type="dxa"/>
            <w:vAlign w:val="top"/>
          </w:tcPr>
          <w:p w14:paraId="2B63DDD2">
            <w:pPr>
              <w:rPr>
                <w:rFonts w:ascii="Arial"/>
                <w:sz w:val="21"/>
                <w:highlight w:val="none"/>
              </w:rPr>
            </w:pPr>
          </w:p>
        </w:tc>
        <w:tc>
          <w:tcPr>
            <w:tcW w:w="1488" w:type="dxa"/>
            <w:vAlign w:val="top"/>
          </w:tcPr>
          <w:p w14:paraId="58DB35F6">
            <w:pPr>
              <w:rPr>
                <w:rFonts w:ascii="Arial"/>
                <w:sz w:val="21"/>
                <w:highlight w:val="none"/>
              </w:rPr>
            </w:pPr>
          </w:p>
        </w:tc>
        <w:tc>
          <w:tcPr>
            <w:tcW w:w="3286" w:type="dxa"/>
            <w:gridSpan w:val="2"/>
            <w:vAlign w:val="top"/>
          </w:tcPr>
          <w:p w14:paraId="45E4C169">
            <w:pPr>
              <w:rPr>
                <w:rFonts w:ascii="Arial"/>
                <w:sz w:val="21"/>
                <w:highlight w:val="none"/>
              </w:rPr>
            </w:pPr>
          </w:p>
        </w:tc>
        <w:tc>
          <w:tcPr>
            <w:tcW w:w="3031" w:type="dxa"/>
            <w:gridSpan w:val="2"/>
            <w:vAlign w:val="top"/>
          </w:tcPr>
          <w:p w14:paraId="47EA7537">
            <w:pPr>
              <w:rPr>
                <w:rFonts w:ascii="Arial"/>
                <w:sz w:val="21"/>
                <w:highlight w:val="none"/>
              </w:rPr>
            </w:pPr>
          </w:p>
        </w:tc>
      </w:tr>
      <w:tr w14:paraId="2E76A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54" w:type="dxa"/>
            <w:vAlign w:val="top"/>
          </w:tcPr>
          <w:p w14:paraId="3F6BB737">
            <w:pPr>
              <w:rPr>
                <w:rFonts w:ascii="Arial"/>
                <w:sz w:val="21"/>
                <w:highlight w:val="none"/>
              </w:rPr>
            </w:pPr>
          </w:p>
        </w:tc>
        <w:tc>
          <w:tcPr>
            <w:tcW w:w="1488" w:type="dxa"/>
            <w:vAlign w:val="top"/>
          </w:tcPr>
          <w:p w14:paraId="69FCCF57">
            <w:pPr>
              <w:rPr>
                <w:rFonts w:ascii="Arial"/>
                <w:sz w:val="21"/>
                <w:highlight w:val="none"/>
              </w:rPr>
            </w:pPr>
          </w:p>
        </w:tc>
        <w:tc>
          <w:tcPr>
            <w:tcW w:w="3286" w:type="dxa"/>
            <w:gridSpan w:val="2"/>
            <w:vAlign w:val="top"/>
          </w:tcPr>
          <w:p w14:paraId="0F53BEF0">
            <w:pPr>
              <w:rPr>
                <w:rFonts w:ascii="Arial"/>
                <w:sz w:val="21"/>
                <w:highlight w:val="none"/>
              </w:rPr>
            </w:pPr>
          </w:p>
        </w:tc>
        <w:tc>
          <w:tcPr>
            <w:tcW w:w="3031" w:type="dxa"/>
            <w:gridSpan w:val="2"/>
            <w:vAlign w:val="top"/>
          </w:tcPr>
          <w:p w14:paraId="317E6C4E">
            <w:pPr>
              <w:rPr>
                <w:rFonts w:ascii="Arial"/>
                <w:sz w:val="21"/>
                <w:highlight w:val="none"/>
              </w:rPr>
            </w:pPr>
          </w:p>
        </w:tc>
      </w:tr>
      <w:tr w14:paraId="75269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754" w:type="dxa"/>
            <w:vAlign w:val="top"/>
          </w:tcPr>
          <w:p w14:paraId="12A0C005">
            <w:pPr>
              <w:rPr>
                <w:rFonts w:ascii="Arial"/>
                <w:sz w:val="21"/>
                <w:highlight w:val="none"/>
              </w:rPr>
            </w:pPr>
          </w:p>
        </w:tc>
        <w:tc>
          <w:tcPr>
            <w:tcW w:w="1488" w:type="dxa"/>
            <w:vAlign w:val="top"/>
          </w:tcPr>
          <w:p w14:paraId="20B4C99A">
            <w:pPr>
              <w:rPr>
                <w:rFonts w:ascii="Arial"/>
                <w:sz w:val="21"/>
                <w:highlight w:val="none"/>
              </w:rPr>
            </w:pPr>
          </w:p>
        </w:tc>
        <w:tc>
          <w:tcPr>
            <w:tcW w:w="3286" w:type="dxa"/>
            <w:gridSpan w:val="2"/>
            <w:vAlign w:val="top"/>
          </w:tcPr>
          <w:p w14:paraId="649EE57D">
            <w:pPr>
              <w:rPr>
                <w:rFonts w:ascii="Arial"/>
                <w:sz w:val="21"/>
                <w:highlight w:val="none"/>
              </w:rPr>
            </w:pPr>
          </w:p>
        </w:tc>
        <w:tc>
          <w:tcPr>
            <w:tcW w:w="3031" w:type="dxa"/>
            <w:gridSpan w:val="2"/>
            <w:vAlign w:val="top"/>
          </w:tcPr>
          <w:p w14:paraId="42B151B1">
            <w:pPr>
              <w:rPr>
                <w:rFonts w:ascii="Arial"/>
                <w:sz w:val="21"/>
                <w:highlight w:val="none"/>
              </w:rPr>
            </w:pPr>
          </w:p>
        </w:tc>
      </w:tr>
    </w:tbl>
    <w:p w14:paraId="769F4EAD">
      <w:pPr>
        <w:pStyle w:val="2"/>
        <w:spacing w:line="450" w:lineRule="auto"/>
        <w:rPr>
          <w:highlight w:val="none"/>
        </w:rPr>
      </w:pPr>
    </w:p>
    <w:p w14:paraId="0E27EB0E">
      <w:pPr>
        <w:spacing w:before="69" w:line="355" w:lineRule="auto"/>
        <w:ind w:left="94" w:right="152"/>
        <w:jc w:val="both"/>
        <w:rPr>
          <w:rFonts w:ascii="宋体" w:hAnsi="宋体" w:eastAsia="宋体" w:cs="宋体"/>
          <w:sz w:val="21"/>
          <w:szCs w:val="21"/>
          <w:highlight w:val="none"/>
        </w:rPr>
      </w:pPr>
      <w:r>
        <w:rPr>
          <w:rFonts w:ascii="宋体" w:hAnsi="宋体" w:eastAsia="宋体" w:cs="宋体"/>
          <w:spacing w:val="-2"/>
          <w:sz w:val="21"/>
          <w:szCs w:val="21"/>
          <w:highlight w:val="none"/>
        </w:rPr>
        <w:t>备注： 1.“获工程质量奖项情况”的证明资料应附颁奖机构颁发的获奖证明材料(</w:t>
      </w:r>
      <w:r>
        <w:rPr>
          <w:rFonts w:ascii="宋体" w:hAnsi="宋体" w:eastAsia="宋体" w:cs="宋体"/>
          <w:spacing w:val="-3"/>
          <w:sz w:val="21"/>
          <w:szCs w:val="21"/>
          <w:highlight w:val="none"/>
        </w:rPr>
        <w:t>获奖证书</w:t>
      </w:r>
      <w:r>
        <w:rPr>
          <w:rFonts w:ascii="宋体" w:hAnsi="宋体" w:eastAsia="宋体" w:cs="宋体"/>
          <w:sz w:val="21"/>
          <w:szCs w:val="21"/>
          <w:highlight w:val="none"/>
        </w:rPr>
        <w:t xml:space="preserve"> </w:t>
      </w:r>
      <w:r>
        <w:rPr>
          <w:rFonts w:ascii="宋体" w:hAnsi="宋体" w:eastAsia="宋体" w:cs="宋体"/>
          <w:spacing w:val="-4"/>
          <w:sz w:val="21"/>
          <w:szCs w:val="21"/>
          <w:highlight w:val="none"/>
        </w:rPr>
        <w:t>或表彰文件)扫描件，时间以获奖证书或文件颁</w:t>
      </w:r>
      <w:r>
        <w:rPr>
          <w:rFonts w:ascii="宋体" w:hAnsi="宋体" w:eastAsia="宋体" w:cs="宋体"/>
          <w:spacing w:val="-5"/>
          <w:sz w:val="21"/>
          <w:szCs w:val="21"/>
          <w:highlight w:val="none"/>
        </w:rPr>
        <w:t>发时间为准。“获设计质量奖项情况”的证明</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资料应附颁奖机构颁发的获奖证明材料(获奖证书或表彰文件)扫描件，时间以获奖证书或</w:t>
      </w:r>
      <w:r>
        <w:rPr>
          <w:rFonts w:ascii="宋体" w:hAnsi="宋体" w:eastAsia="宋体" w:cs="宋体"/>
          <w:sz w:val="21"/>
          <w:szCs w:val="21"/>
          <w:highlight w:val="none"/>
        </w:rPr>
        <w:t xml:space="preserve"> 文件颁发时间为准。 2.</w:t>
      </w:r>
      <w:r>
        <w:rPr>
          <w:rFonts w:ascii="宋体" w:hAnsi="宋体" w:eastAsia="宋体" w:cs="宋体"/>
          <w:spacing w:val="-74"/>
          <w:sz w:val="21"/>
          <w:szCs w:val="21"/>
          <w:highlight w:val="none"/>
        </w:rPr>
        <w:t xml:space="preserve"> </w:t>
      </w:r>
      <w:r>
        <w:rPr>
          <w:rFonts w:ascii="宋体" w:hAnsi="宋体" w:eastAsia="宋体" w:cs="宋体"/>
          <w:sz w:val="21"/>
          <w:szCs w:val="21"/>
          <w:highlight w:val="none"/>
        </w:rPr>
        <w:t>“获表彰情况”的证明资料应</w:t>
      </w:r>
      <w:r>
        <w:rPr>
          <w:rFonts w:ascii="宋体" w:hAnsi="宋体" w:eastAsia="宋体" w:cs="宋体"/>
          <w:spacing w:val="-1"/>
          <w:sz w:val="21"/>
          <w:szCs w:val="21"/>
          <w:highlight w:val="none"/>
        </w:rPr>
        <w:t>附颁奖机构颁发的表彰证书或表彰文</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件的扫描件。</w:t>
      </w:r>
    </w:p>
    <w:p w14:paraId="33C3D84B">
      <w:pPr>
        <w:spacing w:line="355" w:lineRule="auto"/>
        <w:rPr>
          <w:rFonts w:ascii="宋体" w:hAnsi="宋体" w:eastAsia="宋体" w:cs="宋体"/>
          <w:sz w:val="21"/>
          <w:szCs w:val="21"/>
          <w:highlight w:val="none"/>
        </w:rPr>
        <w:sectPr>
          <w:footerReference r:id="rId282" w:type="default"/>
          <w:pgSz w:w="11910" w:h="16840"/>
          <w:pgMar w:top="400" w:right="1655" w:bottom="1218" w:left="1685" w:header="0" w:footer="986" w:gutter="0"/>
          <w:cols w:space="720" w:num="1"/>
        </w:sectPr>
      </w:pPr>
    </w:p>
    <w:p w14:paraId="302E196A">
      <w:pPr>
        <w:pStyle w:val="2"/>
        <w:spacing w:line="267" w:lineRule="auto"/>
        <w:rPr>
          <w:highlight w:val="none"/>
        </w:rPr>
      </w:pPr>
    </w:p>
    <w:p w14:paraId="71A88C12">
      <w:pPr>
        <w:pStyle w:val="2"/>
        <w:spacing w:line="267" w:lineRule="auto"/>
        <w:rPr>
          <w:highlight w:val="none"/>
        </w:rPr>
      </w:pPr>
    </w:p>
    <w:p w14:paraId="7B9F458F">
      <w:pPr>
        <w:pStyle w:val="2"/>
        <w:spacing w:line="268" w:lineRule="auto"/>
        <w:rPr>
          <w:highlight w:val="none"/>
        </w:rPr>
      </w:pPr>
    </w:p>
    <w:p w14:paraId="4CEF27B8">
      <w:pPr>
        <w:pStyle w:val="2"/>
        <w:spacing w:line="268" w:lineRule="auto"/>
        <w:rPr>
          <w:highlight w:val="none"/>
        </w:rPr>
      </w:pPr>
    </w:p>
    <w:p w14:paraId="7973623C">
      <w:pPr>
        <w:spacing w:before="104" w:line="222" w:lineRule="auto"/>
        <w:outlineLvl w:val="1"/>
        <w:rPr>
          <w:rFonts w:ascii="黑体" w:hAnsi="黑体" w:eastAsia="黑体" w:cs="黑体"/>
          <w:sz w:val="32"/>
          <w:szCs w:val="32"/>
          <w:highlight w:val="none"/>
        </w:rPr>
      </w:pPr>
      <w:bookmarkStart w:id="256" w:name="bookmark164"/>
      <w:bookmarkEnd w:id="256"/>
      <w:r>
        <w:rPr>
          <w:rFonts w:ascii="黑体" w:hAnsi="黑体" w:eastAsia="黑体" w:cs="黑体"/>
          <w:spacing w:val="4"/>
          <w:sz w:val="32"/>
          <w:szCs w:val="32"/>
          <w:highlight w:val="none"/>
        </w:rPr>
        <w:t>十、价格清单</w:t>
      </w:r>
    </w:p>
    <w:p w14:paraId="75B5B33C">
      <w:pPr>
        <w:pStyle w:val="2"/>
        <w:spacing w:line="299" w:lineRule="auto"/>
        <w:rPr>
          <w:highlight w:val="none"/>
        </w:rPr>
      </w:pPr>
    </w:p>
    <w:p w14:paraId="4D100ED5">
      <w:pPr>
        <w:pStyle w:val="2"/>
        <w:spacing w:line="300" w:lineRule="auto"/>
        <w:rPr>
          <w:highlight w:val="none"/>
        </w:rPr>
      </w:pPr>
    </w:p>
    <w:p w14:paraId="02AA34E9">
      <w:pPr>
        <w:spacing w:before="107" w:line="218" w:lineRule="auto"/>
        <w:ind w:left="2844"/>
        <w:outlineLvl w:val="1"/>
        <w:rPr>
          <w:rFonts w:ascii="宋体" w:hAnsi="宋体" w:eastAsia="宋体" w:cs="宋体"/>
          <w:sz w:val="33"/>
          <w:szCs w:val="33"/>
          <w:highlight w:val="none"/>
        </w:rPr>
      </w:pPr>
      <w:bookmarkStart w:id="257" w:name="bookmark165"/>
      <w:bookmarkEnd w:id="257"/>
      <w:r>
        <w:rPr>
          <w:rFonts w:ascii="宋体" w:hAnsi="宋体" w:eastAsia="宋体" w:cs="宋体"/>
          <w:b/>
          <w:bCs/>
          <w:spacing w:val="9"/>
          <w:sz w:val="33"/>
          <w:szCs w:val="33"/>
          <w:highlight w:val="none"/>
        </w:rPr>
        <w:t>(一)价格清单说明</w:t>
      </w:r>
    </w:p>
    <w:p w14:paraId="5C018C13">
      <w:pPr>
        <w:pStyle w:val="2"/>
        <w:spacing w:line="440" w:lineRule="auto"/>
        <w:rPr>
          <w:highlight w:val="none"/>
        </w:rPr>
      </w:pPr>
    </w:p>
    <w:p w14:paraId="1BF21C7A">
      <w:pPr>
        <w:spacing w:before="68" w:line="384" w:lineRule="auto"/>
        <w:ind w:firstLine="430"/>
        <w:jc w:val="both"/>
        <w:rPr>
          <w:rFonts w:ascii="宋体" w:hAnsi="宋体" w:eastAsia="宋体" w:cs="宋体"/>
          <w:sz w:val="21"/>
          <w:szCs w:val="21"/>
          <w:highlight w:val="none"/>
        </w:rPr>
      </w:pPr>
      <w:r>
        <w:rPr>
          <w:rFonts w:ascii="Times New Roman" w:hAnsi="Times New Roman" w:eastAsia="Times New Roman" w:cs="Times New Roman"/>
          <w:sz w:val="21"/>
          <w:szCs w:val="21"/>
          <w:highlight w:val="none"/>
        </w:rPr>
        <w:t xml:space="preserve">1.1  </w:t>
      </w:r>
      <w:r>
        <w:rPr>
          <w:rFonts w:ascii="宋体" w:hAnsi="宋体" w:eastAsia="宋体" w:cs="宋体"/>
          <w:sz w:val="21"/>
          <w:szCs w:val="21"/>
          <w:highlight w:val="none"/>
        </w:rPr>
        <w:t>价格清单列出的任何数量，不视为要求承包人实施的工程的实际或准确的工作量。</w:t>
      </w:r>
      <w:r>
        <w:rPr>
          <w:rFonts w:ascii="宋体" w:hAnsi="宋体" w:eastAsia="宋体" w:cs="宋体"/>
          <w:spacing w:val="16"/>
          <w:sz w:val="21"/>
          <w:szCs w:val="21"/>
          <w:highlight w:val="none"/>
        </w:rPr>
        <w:t xml:space="preserve"> </w:t>
      </w:r>
      <w:r>
        <w:rPr>
          <w:rFonts w:ascii="宋体" w:hAnsi="宋体" w:eastAsia="宋体" w:cs="宋体"/>
          <w:spacing w:val="-1"/>
          <w:sz w:val="21"/>
          <w:szCs w:val="21"/>
          <w:highlight w:val="none"/>
        </w:rPr>
        <w:t>在价格清单中列出的任何工作量和价格数据应仅限用于合同约定的变更和支付的参考资料，</w:t>
      </w:r>
      <w:r>
        <w:rPr>
          <w:rFonts w:ascii="宋体" w:hAnsi="宋体" w:eastAsia="宋体" w:cs="宋体"/>
          <w:spacing w:val="13"/>
          <w:sz w:val="21"/>
          <w:szCs w:val="21"/>
          <w:highlight w:val="none"/>
        </w:rPr>
        <w:t xml:space="preserve"> </w:t>
      </w:r>
      <w:r>
        <w:rPr>
          <w:rFonts w:ascii="宋体" w:hAnsi="宋体" w:eastAsia="宋体" w:cs="宋体"/>
          <w:spacing w:val="-2"/>
          <w:sz w:val="21"/>
          <w:szCs w:val="21"/>
          <w:highlight w:val="none"/>
        </w:rPr>
        <w:t>而不能用于其他目的。</w:t>
      </w:r>
    </w:p>
    <w:p w14:paraId="4E491E09">
      <w:pPr>
        <w:spacing w:before="1" w:line="359" w:lineRule="auto"/>
        <w:ind w:right="44" w:firstLine="430"/>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 xml:space="preserve">1.2  </w:t>
      </w:r>
      <w:r>
        <w:rPr>
          <w:rFonts w:ascii="宋体" w:hAnsi="宋体" w:eastAsia="宋体" w:cs="宋体"/>
          <w:spacing w:val="-10"/>
          <w:sz w:val="22"/>
          <w:szCs w:val="22"/>
          <w:highlight w:val="none"/>
        </w:rPr>
        <w:t>本价格清单应与招标文件中投标人须知、专用合同条款、通用合同条款、发包人要</w:t>
      </w:r>
      <w:r>
        <w:rPr>
          <w:rFonts w:ascii="宋体" w:hAnsi="宋体" w:eastAsia="宋体" w:cs="宋体"/>
          <w:spacing w:val="4"/>
          <w:sz w:val="22"/>
          <w:szCs w:val="22"/>
          <w:highlight w:val="none"/>
        </w:rPr>
        <w:t xml:space="preserve"> </w:t>
      </w:r>
      <w:r>
        <w:rPr>
          <w:rFonts w:ascii="宋体" w:hAnsi="宋体" w:eastAsia="宋体" w:cs="宋体"/>
          <w:spacing w:val="-13"/>
          <w:sz w:val="22"/>
          <w:szCs w:val="22"/>
          <w:highlight w:val="none"/>
        </w:rPr>
        <w:t>求等一起阅读和理解。</w:t>
      </w:r>
    </w:p>
    <w:p w14:paraId="679FA43E">
      <w:pPr>
        <w:spacing w:line="212" w:lineRule="auto"/>
        <w:ind w:left="430"/>
        <w:rPr>
          <w:rFonts w:ascii="Times New Roman" w:hAnsi="Times New Roman" w:eastAsia="Times New Roman" w:cs="Times New Roman"/>
          <w:sz w:val="22"/>
          <w:szCs w:val="22"/>
          <w:highlight w:val="none"/>
        </w:rPr>
      </w:pPr>
      <w:r>
        <w:rPr>
          <w:rFonts w:ascii="Times New Roman" w:hAnsi="Times New Roman" w:eastAsia="Times New Roman" w:cs="Times New Roman"/>
          <w:spacing w:val="-5"/>
          <w:sz w:val="22"/>
          <w:szCs w:val="22"/>
          <w:highlight w:val="none"/>
        </w:rPr>
        <w:t xml:space="preserve">1.3  </w:t>
      </w:r>
      <w:r>
        <w:rPr>
          <w:rFonts w:ascii="宋体" w:hAnsi="宋体" w:eastAsia="宋体" w:cs="宋体"/>
          <w:spacing w:val="-5"/>
          <w:sz w:val="22"/>
          <w:szCs w:val="22"/>
          <w:highlight w:val="none"/>
        </w:rPr>
        <w:t>设计费的说明：</w:t>
      </w:r>
      <w:r>
        <w:rPr>
          <w:rFonts w:ascii="宋体" w:hAnsi="宋体" w:eastAsia="宋体" w:cs="宋体"/>
          <w:spacing w:val="-5"/>
          <w:sz w:val="22"/>
          <w:szCs w:val="22"/>
          <w:highlight w:val="none"/>
          <w:u w:val="single" w:color="auto"/>
        </w:rPr>
        <w:t xml:space="preserve">                        </w:t>
      </w:r>
      <w:r>
        <w:rPr>
          <w:rFonts w:ascii="宋体" w:hAnsi="宋体" w:eastAsia="宋体" w:cs="宋体"/>
          <w:spacing w:val="-6"/>
          <w:sz w:val="22"/>
          <w:szCs w:val="22"/>
          <w:highlight w:val="none"/>
          <w:u w:val="single" w:color="auto"/>
        </w:rPr>
        <w:t xml:space="preserve">          </w:t>
      </w:r>
      <w:r>
        <w:rPr>
          <w:rFonts w:ascii="宋体" w:hAnsi="宋体" w:eastAsia="宋体" w:cs="宋体"/>
          <w:spacing w:val="-6"/>
          <w:sz w:val="22"/>
          <w:szCs w:val="22"/>
          <w:highlight w:val="none"/>
        </w:rPr>
        <w:t>。</w:t>
      </w:r>
      <w:r>
        <w:rPr>
          <w:rFonts w:ascii="Times New Roman" w:hAnsi="Times New Roman" w:eastAsia="Times New Roman" w:cs="Times New Roman"/>
          <w:spacing w:val="-6"/>
          <w:sz w:val="22"/>
          <w:szCs w:val="22"/>
          <w:highlight w:val="none"/>
        </w:rPr>
        <w:t>(A)</w:t>
      </w:r>
    </w:p>
    <w:p w14:paraId="7A9D7AB1">
      <w:pPr>
        <w:spacing w:before="208" w:line="212" w:lineRule="auto"/>
        <w:ind w:left="430"/>
        <w:rPr>
          <w:rFonts w:ascii="Times New Roman" w:hAnsi="Times New Roman" w:eastAsia="Times New Roman" w:cs="Times New Roman"/>
          <w:sz w:val="21"/>
          <w:szCs w:val="21"/>
          <w:highlight w:val="none"/>
        </w:rPr>
      </w:pPr>
      <w:r>
        <w:rPr>
          <w:rFonts w:ascii="Times New Roman" w:hAnsi="Times New Roman" w:eastAsia="Times New Roman" w:cs="Times New Roman"/>
          <w:spacing w:val="-3"/>
          <w:sz w:val="21"/>
          <w:szCs w:val="21"/>
          <w:highlight w:val="none"/>
        </w:rPr>
        <w:t xml:space="preserve">1.3  </w:t>
      </w:r>
      <w:r>
        <w:rPr>
          <w:rFonts w:ascii="宋体" w:hAnsi="宋体" w:eastAsia="宋体" w:cs="宋体"/>
          <w:spacing w:val="-3"/>
          <w:sz w:val="21"/>
          <w:szCs w:val="21"/>
          <w:highlight w:val="none"/>
        </w:rPr>
        <w:t>勘察设计费的说明：</w:t>
      </w:r>
      <w:r>
        <w:rPr>
          <w:rFonts w:ascii="宋体" w:hAnsi="宋体" w:eastAsia="宋体" w:cs="宋体"/>
          <w:spacing w:val="-3"/>
          <w:sz w:val="21"/>
          <w:szCs w:val="21"/>
          <w:highlight w:val="none"/>
          <w:u w:val="single" w:color="auto"/>
        </w:rPr>
        <w:t xml:space="preserve">                               </w:t>
      </w:r>
      <w:r>
        <w:rPr>
          <w:rFonts w:ascii="宋体" w:hAnsi="宋体" w:eastAsia="宋体" w:cs="宋体"/>
          <w:spacing w:val="-69"/>
          <w:sz w:val="21"/>
          <w:szCs w:val="21"/>
          <w:highlight w:val="none"/>
        </w:rPr>
        <w:t xml:space="preserve"> </w:t>
      </w:r>
      <w:r>
        <w:rPr>
          <w:rFonts w:ascii="宋体" w:hAnsi="宋体" w:eastAsia="宋体" w:cs="宋体"/>
          <w:spacing w:val="-3"/>
          <w:sz w:val="21"/>
          <w:szCs w:val="21"/>
          <w:highlight w:val="none"/>
        </w:rPr>
        <w:t>。</w:t>
      </w:r>
      <w:r>
        <w:rPr>
          <w:rFonts w:ascii="Times New Roman" w:hAnsi="Times New Roman" w:eastAsia="Times New Roman" w:cs="Times New Roman"/>
          <w:spacing w:val="-3"/>
          <w:sz w:val="21"/>
          <w:szCs w:val="21"/>
          <w:highlight w:val="none"/>
        </w:rPr>
        <w:t>(B)</w:t>
      </w:r>
    </w:p>
    <w:p w14:paraId="5EC99647">
      <w:pPr>
        <w:spacing w:before="212" w:line="205" w:lineRule="auto"/>
        <w:ind w:left="430"/>
        <w:rPr>
          <w:rFonts w:ascii="宋体" w:hAnsi="宋体" w:eastAsia="宋体" w:cs="宋体"/>
          <w:sz w:val="8"/>
          <w:szCs w:val="8"/>
          <w:highlight w:val="none"/>
        </w:rPr>
      </w:pPr>
      <w:r>
        <w:rPr>
          <w:rFonts w:ascii="宋体" w:hAnsi="宋体" w:eastAsia="宋体" w:cs="宋体"/>
          <w:spacing w:val="-13"/>
          <w:sz w:val="22"/>
          <w:szCs w:val="22"/>
          <w:highlight w:val="none"/>
        </w:rPr>
        <w:t>1.4</w:t>
      </w:r>
      <w:r>
        <w:rPr>
          <w:rFonts w:ascii="宋体" w:hAnsi="宋体" w:eastAsia="宋体" w:cs="宋体"/>
          <w:spacing w:val="-26"/>
          <w:sz w:val="22"/>
          <w:szCs w:val="22"/>
          <w:highlight w:val="none"/>
        </w:rPr>
        <w:t xml:space="preserve"> </w:t>
      </w:r>
      <w:r>
        <w:rPr>
          <w:rFonts w:ascii="宋体" w:hAnsi="宋体" w:eastAsia="宋体" w:cs="宋体"/>
          <w:spacing w:val="-13"/>
          <w:sz w:val="22"/>
          <w:szCs w:val="22"/>
          <w:highlight w:val="none"/>
        </w:rPr>
        <w:t>工程设备费的说明：</w:t>
      </w:r>
      <w:r>
        <w:rPr>
          <w:rFonts w:ascii="宋体" w:hAnsi="宋体" w:eastAsia="宋体" w:cs="宋体"/>
          <w:spacing w:val="3"/>
          <w:sz w:val="22"/>
          <w:szCs w:val="22"/>
          <w:highlight w:val="none"/>
          <w:u w:val="single" w:color="auto"/>
        </w:rPr>
        <w:t xml:space="preserve">                            </w:t>
      </w:r>
      <w:r>
        <w:rPr>
          <w:rFonts w:ascii="宋体" w:hAnsi="宋体" w:eastAsia="宋体" w:cs="宋体"/>
          <w:spacing w:val="-94"/>
          <w:sz w:val="22"/>
          <w:szCs w:val="22"/>
          <w:highlight w:val="none"/>
        </w:rPr>
        <w:t xml:space="preserve"> </w:t>
      </w:r>
      <w:r>
        <w:rPr>
          <w:rFonts w:ascii="宋体" w:hAnsi="宋体" w:eastAsia="宋体" w:cs="宋体"/>
          <w:spacing w:val="10"/>
          <w:w w:val="101"/>
          <w:position w:val="-5"/>
          <w:sz w:val="8"/>
          <w:szCs w:val="8"/>
          <w:highlight w:val="none"/>
        </w:rPr>
        <w:t>_</w:t>
      </w:r>
    </w:p>
    <w:p w14:paraId="0CE09799">
      <w:pPr>
        <w:spacing w:before="197" w:line="210" w:lineRule="auto"/>
        <w:ind w:left="430"/>
        <w:rPr>
          <w:rFonts w:ascii="宋体" w:hAnsi="宋体" w:eastAsia="宋体" w:cs="宋体"/>
          <w:sz w:val="21"/>
          <w:szCs w:val="21"/>
          <w:highlight w:val="none"/>
        </w:rPr>
      </w:pPr>
      <w:r>
        <w:rPr>
          <w:rFonts w:ascii="宋体" w:hAnsi="宋体" w:eastAsia="宋体" w:cs="宋体"/>
          <w:spacing w:val="-1"/>
          <w:sz w:val="21"/>
          <w:szCs w:val="21"/>
          <w:highlight w:val="none"/>
        </w:rPr>
        <w:t>1.5必备的备品备件费的说明：</w:t>
      </w:r>
      <w:r>
        <w:rPr>
          <w:rFonts w:ascii="宋体" w:hAnsi="宋体" w:eastAsia="宋体" w:cs="宋体"/>
          <w:spacing w:val="-57"/>
          <w:sz w:val="21"/>
          <w:szCs w:val="21"/>
          <w:highlight w:val="none"/>
        </w:rPr>
        <w:t xml:space="preserve"> </w:t>
      </w:r>
      <w:r>
        <w:rPr>
          <w:rFonts w:ascii="宋体" w:hAnsi="宋体" w:eastAsia="宋体" w:cs="宋体"/>
          <w:sz w:val="21"/>
          <w:szCs w:val="21"/>
          <w:highlight w:val="none"/>
          <w:u w:val="single" w:color="auto"/>
        </w:rPr>
        <w:t xml:space="preserve">                         </w:t>
      </w:r>
    </w:p>
    <w:p w14:paraId="0AB8236E">
      <w:pPr>
        <w:spacing w:line="16" w:lineRule="exact"/>
        <w:ind w:left="5860"/>
        <w:rPr>
          <w:rFonts w:ascii="宋体" w:hAnsi="宋体" w:eastAsia="宋体" w:cs="宋体"/>
          <w:sz w:val="9"/>
          <w:szCs w:val="9"/>
          <w:highlight w:val="none"/>
        </w:rPr>
      </w:pPr>
      <w:r>
        <w:rPr>
          <w:rFonts w:ascii="宋体" w:hAnsi="宋体" w:eastAsia="宋体" w:cs="宋体"/>
          <w:position w:val="1"/>
          <w:sz w:val="9"/>
          <w:szCs w:val="9"/>
          <w:highlight w:val="none"/>
        </w:rPr>
        <w:t>_</w:t>
      </w:r>
    </w:p>
    <w:p w14:paraId="44124C07">
      <w:pPr>
        <w:spacing w:before="194" w:line="213" w:lineRule="auto"/>
        <w:ind w:left="430"/>
        <w:rPr>
          <w:rFonts w:ascii="宋体" w:hAnsi="宋体" w:eastAsia="宋体" w:cs="宋体"/>
          <w:sz w:val="7"/>
          <w:szCs w:val="7"/>
          <w:highlight w:val="none"/>
        </w:rPr>
      </w:pPr>
      <w:r>
        <w:rPr>
          <w:rFonts w:ascii="宋体" w:hAnsi="宋体" w:eastAsia="宋体" w:cs="宋体"/>
          <w:spacing w:val="2"/>
          <w:sz w:val="20"/>
          <w:szCs w:val="20"/>
          <w:highlight w:val="none"/>
        </w:rPr>
        <w:t>1.6建筑安装工程费的说明：</w:t>
      </w:r>
      <w:r>
        <w:rPr>
          <w:rFonts w:ascii="宋体" w:hAnsi="宋体" w:eastAsia="宋体" w:cs="宋体"/>
          <w:spacing w:val="39"/>
          <w:sz w:val="20"/>
          <w:szCs w:val="20"/>
          <w:highlight w:val="none"/>
        </w:rPr>
        <w:t xml:space="preserve"> </w:t>
      </w:r>
      <w:r>
        <w:rPr>
          <w:rFonts w:ascii="宋体" w:hAnsi="宋体" w:eastAsia="宋体" w:cs="宋体"/>
          <w:spacing w:val="2"/>
          <w:sz w:val="20"/>
          <w:szCs w:val="20"/>
          <w:highlight w:val="none"/>
          <w:u w:val="single" w:color="auto"/>
        </w:rPr>
        <w:t xml:space="preserve">                      </w:t>
      </w:r>
      <w:r>
        <w:rPr>
          <w:rFonts w:ascii="宋体" w:hAnsi="宋体" w:eastAsia="宋体" w:cs="宋体"/>
          <w:spacing w:val="1"/>
          <w:sz w:val="20"/>
          <w:szCs w:val="20"/>
          <w:highlight w:val="none"/>
          <w:u w:val="single" w:color="auto"/>
        </w:rPr>
        <w:t xml:space="preserve">     </w:t>
      </w:r>
      <w:r>
        <w:rPr>
          <w:rFonts w:ascii="宋体" w:hAnsi="宋体" w:eastAsia="宋体" w:cs="宋体"/>
          <w:spacing w:val="-89"/>
          <w:sz w:val="20"/>
          <w:szCs w:val="20"/>
          <w:highlight w:val="none"/>
        </w:rPr>
        <w:t xml:space="preserve"> </w:t>
      </w:r>
      <w:r>
        <w:rPr>
          <w:rFonts w:ascii="宋体" w:hAnsi="宋体" w:eastAsia="宋体" w:cs="宋体"/>
          <w:spacing w:val="2"/>
          <w:position w:val="-3"/>
          <w:sz w:val="7"/>
          <w:szCs w:val="7"/>
          <w:highlight w:val="none"/>
        </w:rPr>
        <w:t>_</w:t>
      </w:r>
    </w:p>
    <w:p w14:paraId="03D8D63A">
      <w:pPr>
        <w:pStyle w:val="2"/>
        <w:spacing w:before="190" w:line="212" w:lineRule="auto"/>
        <w:ind w:left="430"/>
        <w:rPr>
          <w:sz w:val="6"/>
          <w:szCs w:val="6"/>
          <w:highlight w:val="none"/>
        </w:rPr>
      </w:pPr>
      <w:r>
        <w:rPr>
          <w:rFonts w:ascii="宋体" w:hAnsi="宋体" w:eastAsia="宋体" w:cs="宋体"/>
          <w:spacing w:val="-10"/>
          <w:sz w:val="22"/>
          <w:szCs w:val="22"/>
          <w:highlight w:val="none"/>
        </w:rPr>
        <w:t>1.7</w:t>
      </w:r>
      <w:r>
        <w:rPr>
          <w:rFonts w:ascii="宋体" w:hAnsi="宋体" w:eastAsia="宋体" w:cs="宋体"/>
          <w:spacing w:val="14"/>
          <w:sz w:val="22"/>
          <w:szCs w:val="22"/>
          <w:highlight w:val="none"/>
        </w:rPr>
        <w:t xml:space="preserve"> </w:t>
      </w:r>
      <w:r>
        <w:rPr>
          <w:rFonts w:ascii="宋体" w:hAnsi="宋体" w:eastAsia="宋体" w:cs="宋体"/>
          <w:spacing w:val="-10"/>
          <w:sz w:val="22"/>
          <w:szCs w:val="22"/>
          <w:highlight w:val="none"/>
        </w:rPr>
        <w:t>技术服务费的说明：</w:t>
      </w:r>
      <w:r>
        <w:rPr>
          <w:rFonts w:ascii="宋体" w:hAnsi="宋体" w:eastAsia="宋体" w:cs="宋体"/>
          <w:spacing w:val="-10"/>
          <w:sz w:val="22"/>
          <w:szCs w:val="22"/>
          <w:highlight w:val="none"/>
          <w:u w:val="single" w:color="auto"/>
        </w:rPr>
        <w:t xml:space="preserve">                               </w:t>
      </w:r>
      <w:r>
        <w:rPr>
          <w:rFonts w:ascii="宋体" w:hAnsi="宋体" w:eastAsia="宋体" w:cs="宋体"/>
          <w:spacing w:val="-100"/>
          <w:sz w:val="22"/>
          <w:szCs w:val="22"/>
          <w:highlight w:val="none"/>
        </w:rPr>
        <w:t xml:space="preserve"> </w:t>
      </w:r>
      <w:r>
        <w:rPr>
          <w:spacing w:val="3"/>
          <w:position w:val="-4"/>
          <w:sz w:val="6"/>
          <w:szCs w:val="6"/>
          <w:highlight w:val="none"/>
        </w:rPr>
        <w:t>_o</w:t>
      </w:r>
    </w:p>
    <w:p w14:paraId="081AA288">
      <w:pPr>
        <w:spacing w:before="207" w:line="219" w:lineRule="auto"/>
        <w:ind w:left="430"/>
        <w:rPr>
          <w:rFonts w:ascii="宋体" w:hAnsi="宋体" w:eastAsia="宋体" w:cs="宋体"/>
          <w:sz w:val="20"/>
          <w:szCs w:val="20"/>
          <w:highlight w:val="none"/>
        </w:rPr>
      </w:pPr>
      <w:r>
        <w:rPr>
          <w:highlight w:val="none"/>
        </w:rPr>
        <w:pict>
          <v:shape id="_x0000_s1060" o:spid="_x0000_s1060" o:spt="202" type="#_x0000_t202" style="position:absolute;left:0pt;margin-left:122pt;margin-top:18.45pt;height:5.2pt;width:173.65pt;z-index:251701248;mso-width-relative:page;mso-height-relative:page;" filled="f" stroked="f" coordsize="21600,21600">
            <v:path/>
            <v:fill on="f" focussize="0,0"/>
            <v:stroke on="f"/>
            <v:imagedata o:title=""/>
            <o:lock v:ext="edit" aspectratio="f"/>
            <v:textbox inset="0mm,0mm,0mm,0mm">
              <w:txbxContent>
                <w:p w14:paraId="35E087D0">
                  <w:pPr>
                    <w:tabs>
                      <w:tab w:val="left" w:pos="3410"/>
                    </w:tabs>
                    <w:spacing w:before="20" w:line="188" w:lineRule="auto"/>
                    <w:ind w:left="20"/>
                    <w:rPr>
                      <w:rFonts w:ascii="Times New Roman" w:hAnsi="Times New Roman" w:eastAsia="Times New Roman" w:cs="Times New Roman"/>
                      <w:sz w:val="7"/>
                      <w:szCs w:val="7"/>
                    </w:rPr>
                  </w:pPr>
                  <w:r>
                    <w:rPr>
                      <w:rFonts w:ascii="Times New Roman" w:hAnsi="Times New Roman" w:eastAsia="Times New Roman" w:cs="Times New Roman"/>
                      <w:strike/>
                      <w:sz w:val="7"/>
                      <w:szCs w:val="7"/>
                    </w:rPr>
                    <w:tab/>
                  </w:r>
                  <w:r>
                    <w:rPr>
                      <w:rFonts w:ascii="Times New Roman" w:hAnsi="Times New Roman" w:eastAsia="Times New Roman" w:cs="Times New Roman"/>
                      <w:spacing w:val="-8"/>
                      <w:sz w:val="7"/>
                      <w:szCs w:val="7"/>
                    </w:rPr>
                    <w:t xml:space="preserve"> </w:t>
                  </w:r>
                  <w:r>
                    <w:rPr>
                      <w:rFonts w:ascii="Times New Roman" w:hAnsi="Times New Roman" w:eastAsia="Times New Roman" w:cs="Times New Roman"/>
                      <w:sz w:val="7"/>
                      <w:szCs w:val="7"/>
                    </w:rPr>
                    <w:t>0</w:t>
                  </w:r>
                </w:p>
              </w:txbxContent>
            </v:textbox>
          </v:shape>
        </w:pict>
      </w:r>
      <w:r>
        <w:rPr>
          <w:rFonts w:ascii="Times New Roman" w:hAnsi="Times New Roman" w:eastAsia="Times New Roman" w:cs="Times New Roman"/>
          <w:sz w:val="20"/>
          <w:szCs w:val="20"/>
          <w:highlight w:val="none"/>
        </w:rPr>
        <w:t>1.8</w:t>
      </w:r>
      <w:r>
        <w:rPr>
          <w:rFonts w:ascii="Times New Roman" w:hAnsi="Times New Roman" w:eastAsia="Times New Roman" w:cs="Times New Roman"/>
          <w:spacing w:val="14"/>
          <w:w w:val="101"/>
          <w:sz w:val="20"/>
          <w:szCs w:val="20"/>
          <w:highlight w:val="none"/>
        </w:rPr>
        <w:t xml:space="preserve">  </w:t>
      </w:r>
      <w:r>
        <w:rPr>
          <w:rFonts w:ascii="宋体" w:hAnsi="宋体" w:eastAsia="宋体" w:cs="宋体"/>
          <w:sz w:val="20"/>
          <w:szCs w:val="20"/>
          <w:highlight w:val="none"/>
        </w:rPr>
        <w:t>暂列金额的说明：</w:t>
      </w:r>
    </w:p>
    <w:p w14:paraId="6BF1C9C9">
      <w:pPr>
        <w:spacing w:before="181" w:line="218" w:lineRule="auto"/>
        <w:ind w:left="430"/>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 xml:space="preserve">1.9  </w:t>
      </w:r>
      <w:r>
        <w:rPr>
          <w:rFonts w:ascii="宋体" w:hAnsi="宋体" w:eastAsia="宋体" w:cs="宋体"/>
          <w:spacing w:val="-9"/>
          <w:sz w:val="22"/>
          <w:szCs w:val="22"/>
          <w:highlight w:val="none"/>
        </w:rPr>
        <w:t>暂估价的说明：由招标人列明并应包含在投</w:t>
      </w:r>
      <w:r>
        <w:rPr>
          <w:rFonts w:ascii="宋体" w:hAnsi="宋体" w:eastAsia="宋体" w:cs="宋体"/>
          <w:spacing w:val="-10"/>
          <w:sz w:val="22"/>
          <w:szCs w:val="22"/>
          <w:highlight w:val="none"/>
        </w:rPr>
        <w:t>标报价汇总表中。</w:t>
      </w:r>
    </w:p>
    <w:p w14:paraId="3DF21975">
      <w:pPr>
        <w:spacing w:before="193" w:line="219" w:lineRule="auto"/>
        <w:ind w:left="430"/>
        <w:rPr>
          <w:rFonts w:ascii="宋体" w:hAnsi="宋体" w:eastAsia="宋体" w:cs="宋体"/>
          <w:sz w:val="22"/>
          <w:szCs w:val="22"/>
          <w:highlight w:val="none"/>
        </w:rPr>
      </w:pPr>
      <w:r>
        <w:rPr>
          <w:rFonts w:ascii="宋体" w:hAnsi="宋体" w:eastAsia="宋体" w:cs="宋体"/>
          <w:spacing w:val="-5"/>
          <w:sz w:val="22"/>
          <w:szCs w:val="22"/>
          <w:highlight w:val="none"/>
        </w:rPr>
        <w:t>1.10其它费用的说明：</w:t>
      </w:r>
      <w:r>
        <w:rPr>
          <w:rFonts w:ascii="宋体" w:hAnsi="宋体" w:eastAsia="宋体" w:cs="宋体"/>
          <w:spacing w:val="-5"/>
          <w:sz w:val="22"/>
          <w:szCs w:val="22"/>
          <w:highlight w:val="none"/>
          <w:u w:val="single" w:color="auto"/>
        </w:rPr>
        <w:t xml:space="preserve">                               </w:t>
      </w:r>
    </w:p>
    <w:p w14:paraId="36C08F96">
      <w:pPr>
        <w:spacing w:line="219" w:lineRule="auto"/>
        <w:rPr>
          <w:rFonts w:ascii="宋体" w:hAnsi="宋体" w:eastAsia="宋体" w:cs="宋体"/>
          <w:sz w:val="22"/>
          <w:szCs w:val="22"/>
          <w:highlight w:val="none"/>
        </w:rPr>
        <w:sectPr>
          <w:footerReference r:id="rId283" w:type="default"/>
          <w:pgSz w:w="11910" w:h="16840"/>
          <w:pgMar w:top="400" w:right="1755" w:bottom="1176" w:left="1779" w:header="0" w:footer="1026" w:gutter="0"/>
          <w:cols w:space="720" w:num="1"/>
        </w:sectPr>
      </w:pPr>
    </w:p>
    <w:p w14:paraId="2C8E9B1A">
      <w:pPr>
        <w:pStyle w:val="2"/>
        <w:spacing w:line="258" w:lineRule="auto"/>
        <w:rPr>
          <w:highlight w:val="none"/>
        </w:rPr>
      </w:pPr>
    </w:p>
    <w:p w14:paraId="43FE515E">
      <w:pPr>
        <w:pStyle w:val="2"/>
        <w:spacing w:line="259" w:lineRule="auto"/>
        <w:rPr>
          <w:highlight w:val="none"/>
        </w:rPr>
      </w:pPr>
    </w:p>
    <w:p w14:paraId="50A92910">
      <w:pPr>
        <w:pStyle w:val="2"/>
        <w:spacing w:line="259" w:lineRule="auto"/>
        <w:rPr>
          <w:highlight w:val="none"/>
        </w:rPr>
      </w:pPr>
    </w:p>
    <w:p w14:paraId="75AEBBDC">
      <w:pPr>
        <w:pStyle w:val="2"/>
        <w:spacing w:line="259" w:lineRule="auto"/>
        <w:rPr>
          <w:highlight w:val="none"/>
        </w:rPr>
      </w:pPr>
    </w:p>
    <w:p w14:paraId="7E6FA516">
      <w:pPr>
        <w:pStyle w:val="2"/>
        <w:spacing w:line="259" w:lineRule="auto"/>
        <w:rPr>
          <w:highlight w:val="none"/>
        </w:rPr>
      </w:pPr>
    </w:p>
    <w:p w14:paraId="6F54E2A6">
      <w:pPr>
        <w:pStyle w:val="2"/>
        <w:spacing w:line="259" w:lineRule="auto"/>
        <w:rPr>
          <w:highlight w:val="none"/>
        </w:rPr>
      </w:pPr>
    </w:p>
    <w:p w14:paraId="1411A7D1">
      <w:pPr>
        <w:spacing w:before="108" w:line="218" w:lineRule="auto"/>
        <w:ind w:left="3275"/>
        <w:outlineLvl w:val="1"/>
        <w:rPr>
          <w:rFonts w:ascii="宋体" w:hAnsi="宋体" w:eastAsia="宋体" w:cs="宋体"/>
          <w:sz w:val="33"/>
          <w:szCs w:val="33"/>
          <w:highlight w:val="none"/>
        </w:rPr>
      </w:pPr>
      <w:bookmarkStart w:id="258" w:name="bookmark166"/>
      <w:bookmarkEnd w:id="258"/>
      <w:r>
        <w:rPr>
          <w:rFonts w:ascii="宋体" w:hAnsi="宋体" w:eastAsia="宋体" w:cs="宋体"/>
          <w:spacing w:val="20"/>
          <w:sz w:val="33"/>
          <w:szCs w:val="33"/>
          <w:highlight w:val="none"/>
        </w:rPr>
        <w:t>(二)价格清单</w:t>
      </w:r>
    </w:p>
    <w:p w14:paraId="5FAD80B0">
      <w:pPr>
        <w:pStyle w:val="2"/>
        <w:spacing w:line="389" w:lineRule="auto"/>
        <w:rPr>
          <w:highlight w:val="none"/>
        </w:rPr>
      </w:pPr>
    </w:p>
    <w:p w14:paraId="3E42639C">
      <w:pPr>
        <w:spacing w:before="107" w:line="219" w:lineRule="auto"/>
        <w:ind w:left="94"/>
        <w:rPr>
          <w:rFonts w:ascii="宋体" w:hAnsi="宋体" w:eastAsia="宋体" w:cs="宋体"/>
          <w:sz w:val="33"/>
          <w:szCs w:val="33"/>
          <w:highlight w:val="none"/>
        </w:rPr>
      </w:pPr>
      <w:r>
        <w:rPr>
          <w:rFonts w:ascii="Times New Roman" w:hAnsi="Times New Roman" w:eastAsia="Times New Roman" w:cs="Times New Roman"/>
          <w:b/>
          <w:bCs/>
          <w:spacing w:val="-2"/>
          <w:sz w:val="33"/>
          <w:szCs w:val="33"/>
          <w:highlight w:val="none"/>
        </w:rPr>
        <w:t>2.1</w:t>
      </w:r>
      <w:r>
        <w:rPr>
          <w:rFonts w:ascii="Times New Roman" w:hAnsi="Times New Roman" w:eastAsia="Times New Roman" w:cs="Times New Roman"/>
          <w:b/>
          <w:bCs/>
          <w:spacing w:val="49"/>
          <w:sz w:val="33"/>
          <w:szCs w:val="33"/>
          <w:highlight w:val="none"/>
        </w:rPr>
        <w:t xml:space="preserve"> </w:t>
      </w:r>
      <w:r>
        <w:rPr>
          <w:rFonts w:ascii="宋体" w:hAnsi="宋体" w:eastAsia="宋体" w:cs="宋体"/>
          <w:b/>
          <w:bCs/>
          <w:spacing w:val="-2"/>
          <w:sz w:val="33"/>
          <w:szCs w:val="33"/>
          <w:highlight w:val="none"/>
        </w:rPr>
        <w:t>勘察设计费清单</w:t>
      </w:r>
    </w:p>
    <w:p w14:paraId="37CE8D71">
      <w:pPr>
        <w:pStyle w:val="2"/>
        <w:spacing w:line="379" w:lineRule="auto"/>
        <w:rPr>
          <w:highlight w:val="none"/>
        </w:rPr>
      </w:pPr>
    </w:p>
    <w:p w14:paraId="5E84C99D">
      <w:pPr>
        <w:spacing w:before="65" w:line="219" w:lineRule="auto"/>
        <w:ind w:left="6934"/>
        <w:rPr>
          <w:rFonts w:ascii="宋体" w:hAnsi="宋体" w:eastAsia="宋体" w:cs="宋体"/>
          <w:sz w:val="20"/>
          <w:szCs w:val="20"/>
          <w:highlight w:val="none"/>
        </w:rPr>
      </w:pPr>
      <w:r>
        <w:rPr>
          <w:rFonts w:ascii="宋体" w:hAnsi="宋体" w:eastAsia="宋体" w:cs="宋体"/>
          <w:spacing w:val="9"/>
          <w:sz w:val="20"/>
          <w:szCs w:val="20"/>
          <w:highlight w:val="none"/>
        </w:rPr>
        <w:t>单位：人民币元</w:t>
      </w:r>
    </w:p>
    <w:p w14:paraId="16CE87EB">
      <w:pPr>
        <w:spacing w:line="80" w:lineRule="exact"/>
        <w:rPr>
          <w:highlight w:val="none"/>
        </w:rPr>
      </w:pPr>
    </w:p>
    <w:tbl>
      <w:tblPr>
        <w:tblStyle w:val="5"/>
        <w:tblW w:w="84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4"/>
        <w:gridCol w:w="2427"/>
        <w:gridCol w:w="1138"/>
        <w:gridCol w:w="2117"/>
        <w:gridCol w:w="1913"/>
      </w:tblGrid>
      <w:tr w14:paraId="30D35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904" w:type="dxa"/>
            <w:vAlign w:val="top"/>
          </w:tcPr>
          <w:p w14:paraId="04603972">
            <w:pPr>
              <w:pStyle w:val="6"/>
              <w:spacing w:before="245" w:line="221" w:lineRule="auto"/>
              <w:ind w:left="214"/>
              <w:rPr>
                <w:sz w:val="22"/>
                <w:szCs w:val="22"/>
                <w:highlight w:val="none"/>
              </w:rPr>
            </w:pPr>
            <w:r>
              <w:rPr>
                <w:spacing w:val="6"/>
                <w:sz w:val="22"/>
                <w:szCs w:val="22"/>
                <w:highlight w:val="none"/>
              </w:rPr>
              <w:t>序号</w:t>
            </w:r>
          </w:p>
        </w:tc>
        <w:tc>
          <w:tcPr>
            <w:tcW w:w="2427" w:type="dxa"/>
            <w:vAlign w:val="top"/>
          </w:tcPr>
          <w:p w14:paraId="0B4FECAB">
            <w:pPr>
              <w:pStyle w:val="6"/>
              <w:spacing w:before="244" w:line="220" w:lineRule="auto"/>
              <w:ind w:left="800"/>
              <w:rPr>
                <w:sz w:val="22"/>
                <w:szCs w:val="22"/>
                <w:highlight w:val="none"/>
              </w:rPr>
            </w:pPr>
            <w:r>
              <w:rPr>
                <w:spacing w:val="2"/>
                <w:sz w:val="22"/>
                <w:szCs w:val="22"/>
                <w:highlight w:val="none"/>
              </w:rPr>
              <w:t>项目名称</w:t>
            </w:r>
          </w:p>
        </w:tc>
        <w:tc>
          <w:tcPr>
            <w:tcW w:w="1138" w:type="dxa"/>
            <w:vAlign w:val="top"/>
          </w:tcPr>
          <w:p w14:paraId="1137997F">
            <w:pPr>
              <w:pStyle w:val="6"/>
              <w:spacing w:before="244" w:line="219" w:lineRule="auto"/>
              <w:ind w:left="153"/>
              <w:rPr>
                <w:sz w:val="22"/>
                <w:szCs w:val="22"/>
                <w:highlight w:val="none"/>
              </w:rPr>
            </w:pPr>
            <w:r>
              <w:rPr>
                <w:spacing w:val="2"/>
                <w:sz w:val="22"/>
                <w:szCs w:val="22"/>
                <w:highlight w:val="none"/>
              </w:rPr>
              <w:t>工作内容</w:t>
            </w:r>
          </w:p>
        </w:tc>
        <w:tc>
          <w:tcPr>
            <w:tcW w:w="2117" w:type="dxa"/>
            <w:vAlign w:val="top"/>
          </w:tcPr>
          <w:p w14:paraId="2C26EB85">
            <w:pPr>
              <w:pStyle w:val="6"/>
              <w:spacing w:before="244" w:line="219" w:lineRule="auto"/>
              <w:ind w:left="475"/>
              <w:rPr>
                <w:sz w:val="22"/>
                <w:szCs w:val="22"/>
                <w:highlight w:val="none"/>
              </w:rPr>
            </w:pPr>
            <w:r>
              <w:rPr>
                <w:spacing w:val="-16"/>
                <w:sz w:val="22"/>
                <w:szCs w:val="22"/>
                <w:highlight w:val="none"/>
              </w:rPr>
              <w:t>金</w:t>
            </w:r>
            <w:r>
              <w:rPr>
                <w:spacing w:val="-35"/>
                <w:sz w:val="22"/>
                <w:szCs w:val="22"/>
                <w:highlight w:val="none"/>
              </w:rPr>
              <w:t xml:space="preserve"> </w:t>
            </w:r>
            <w:r>
              <w:rPr>
                <w:spacing w:val="-16"/>
                <w:sz w:val="22"/>
                <w:szCs w:val="22"/>
                <w:highlight w:val="none"/>
              </w:rPr>
              <w:t>额</w:t>
            </w:r>
            <w:r>
              <w:rPr>
                <w:spacing w:val="2"/>
                <w:sz w:val="22"/>
                <w:szCs w:val="22"/>
                <w:highlight w:val="none"/>
              </w:rPr>
              <w:t xml:space="preserve"> </w:t>
            </w:r>
            <w:r>
              <w:rPr>
                <w:spacing w:val="-16"/>
                <w:sz w:val="22"/>
                <w:szCs w:val="22"/>
                <w:highlight w:val="none"/>
              </w:rPr>
              <w:t>(</w:t>
            </w:r>
            <w:r>
              <w:rPr>
                <w:spacing w:val="-35"/>
                <w:sz w:val="22"/>
                <w:szCs w:val="22"/>
                <w:highlight w:val="none"/>
              </w:rPr>
              <w:t xml:space="preserve"> </w:t>
            </w:r>
            <w:r>
              <w:rPr>
                <w:spacing w:val="-16"/>
                <w:sz w:val="22"/>
                <w:szCs w:val="22"/>
                <w:highlight w:val="none"/>
              </w:rPr>
              <w:t>元</w:t>
            </w:r>
            <w:r>
              <w:rPr>
                <w:spacing w:val="-36"/>
                <w:sz w:val="22"/>
                <w:szCs w:val="22"/>
                <w:highlight w:val="none"/>
              </w:rPr>
              <w:t xml:space="preserve"> </w:t>
            </w:r>
            <w:r>
              <w:rPr>
                <w:spacing w:val="-16"/>
                <w:sz w:val="22"/>
                <w:szCs w:val="22"/>
                <w:highlight w:val="none"/>
              </w:rPr>
              <w:t>)</w:t>
            </w:r>
          </w:p>
        </w:tc>
        <w:tc>
          <w:tcPr>
            <w:tcW w:w="1913" w:type="dxa"/>
            <w:vAlign w:val="top"/>
          </w:tcPr>
          <w:p w14:paraId="489C5116">
            <w:pPr>
              <w:pStyle w:val="6"/>
              <w:spacing w:before="245" w:line="221" w:lineRule="auto"/>
              <w:ind w:left="759"/>
              <w:rPr>
                <w:sz w:val="22"/>
                <w:szCs w:val="22"/>
                <w:highlight w:val="none"/>
              </w:rPr>
            </w:pPr>
            <w:r>
              <w:rPr>
                <w:spacing w:val="5"/>
                <w:sz w:val="22"/>
                <w:szCs w:val="22"/>
                <w:highlight w:val="none"/>
              </w:rPr>
              <w:t>备注</w:t>
            </w:r>
          </w:p>
        </w:tc>
      </w:tr>
      <w:tr w14:paraId="425C2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904" w:type="dxa"/>
            <w:vAlign w:val="top"/>
          </w:tcPr>
          <w:p w14:paraId="7D44A93E">
            <w:pPr>
              <w:rPr>
                <w:rFonts w:ascii="Arial"/>
                <w:sz w:val="21"/>
                <w:highlight w:val="none"/>
              </w:rPr>
            </w:pPr>
          </w:p>
        </w:tc>
        <w:tc>
          <w:tcPr>
            <w:tcW w:w="2427" w:type="dxa"/>
            <w:vAlign w:val="top"/>
          </w:tcPr>
          <w:p w14:paraId="1F75790E">
            <w:pPr>
              <w:rPr>
                <w:rFonts w:ascii="Arial"/>
                <w:sz w:val="21"/>
                <w:highlight w:val="none"/>
              </w:rPr>
            </w:pPr>
          </w:p>
        </w:tc>
        <w:tc>
          <w:tcPr>
            <w:tcW w:w="1138" w:type="dxa"/>
            <w:vAlign w:val="top"/>
          </w:tcPr>
          <w:p w14:paraId="50EFF4E9">
            <w:pPr>
              <w:rPr>
                <w:rFonts w:ascii="Arial"/>
                <w:sz w:val="21"/>
                <w:highlight w:val="none"/>
              </w:rPr>
            </w:pPr>
          </w:p>
        </w:tc>
        <w:tc>
          <w:tcPr>
            <w:tcW w:w="2117" w:type="dxa"/>
            <w:vAlign w:val="top"/>
          </w:tcPr>
          <w:p w14:paraId="4047A16F">
            <w:pPr>
              <w:rPr>
                <w:rFonts w:ascii="Arial"/>
                <w:sz w:val="21"/>
                <w:highlight w:val="none"/>
              </w:rPr>
            </w:pPr>
          </w:p>
        </w:tc>
        <w:tc>
          <w:tcPr>
            <w:tcW w:w="1913" w:type="dxa"/>
            <w:vAlign w:val="top"/>
          </w:tcPr>
          <w:p w14:paraId="1B3B4E2E">
            <w:pPr>
              <w:rPr>
                <w:rFonts w:ascii="Arial"/>
                <w:sz w:val="21"/>
                <w:highlight w:val="none"/>
              </w:rPr>
            </w:pPr>
          </w:p>
        </w:tc>
      </w:tr>
      <w:tr w14:paraId="16C30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904" w:type="dxa"/>
            <w:vAlign w:val="top"/>
          </w:tcPr>
          <w:p w14:paraId="56E22495">
            <w:pPr>
              <w:rPr>
                <w:rFonts w:ascii="Arial"/>
                <w:sz w:val="21"/>
                <w:highlight w:val="none"/>
              </w:rPr>
            </w:pPr>
          </w:p>
        </w:tc>
        <w:tc>
          <w:tcPr>
            <w:tcW w:w="2427" w:type="dxa"/>
            <w:vAlign w:val="top"/>
          </w:tcPr>
          <w:p w14:paraId="44C43484">
            <w:pPr>
              <w:rPr>
                <w:rFonts w:ascii="Arial"/>
                <w:sz w:val="21"/>
                <w:highlight w:val="none"/>
              </w:rPr>
            </w:pPr>
          </w:p>
        </w:tc>
        <w:tc>
          <w:tcPr>
            <w:tcW w:w="1138" w:type="dxa"/>
            <w:vAlign w:val="top"/>
          </w:tcPr>
          <w:p w14:paraId="006DD92D">
            <w:pPr>
              <w:rPr>
                <w:rFonts w:ascii="Arial"/>
                <w:sz w:val="21"/>
                <w:highlight w:val="none"/>
              </w:rPr>
            </w:pPr>
          </w:p>
        </w:tc>
        <w:tc>
          <w:tcPr>
            <w:tcW w:w="2117" w:type="dxa"/>
            <w:vAlign w:val="top"/>
          </w:tcPr>
          <w:p w14:paraId="3A926679">
            <w:pPr>
              <w:rPr>
                <w:rFonts w:ascii="Arial"/>
                <w:sz w:val="21"/>
                <w:highlight w:val="none"/>
              </w:rPr>
            </w:pPr>
          </w:p>
        </w:tc>
        <w:tc>
          <w:tcPr>
            <w:tcW w:w="1913" w:type="dxa"/>
            <w:vAlign w:val="top"/>
          </w:tcPr>
          <w:p w14:paraId="4120A145">
            <w:pPr>
              <w:rPr>
                <w:rFonts w:ascii="Arial"/>
                <w:sz w:val="21"/>
                <w:highlight w:val="none"/>
              </w:rPr>
            </w:pPr>
          </w:p>
        </w:tc>
      </w:tr>
      <w:tr w14:paraId="646D2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04" w:type="dxa"/>
            <w:vAlign w:val="top"/>
          </w:tcPr>
          <w:p w14:paraId="41C2DB8D">
            <w:pPr>
              <w:rPr>
                <w:rFonts w:ascii="Arial"/>
                <w:sz w:val="21"/>
                <w:highlight w:val="none"/>
              </w:rPr>
            </w:pPr>
          </w:p>
        </w:tc>
        <w:tc>
          <w:tcPr>
            <w:tcW w:w="2427" w:type="dxa"/>
            <w:vAlign w:val="top"/>
          </w:tcPr>
          <w:p w14:paraId="5710B7CF">
            <w:pPr>
              <w:rPr>
                <w:rFonts w:ascii="Arial"/>
                <w:sz w:val="21"/>
                <w:highlight w:val="none"/>
              </w:rPr>
            </w:pPr>
          </w:p>
        </w:tc>
        <w:tc>
          <w:tcPr>
            <w:tcW w:w="1138" w:type="dxa"/>
            <w:vAlign w:val="top"/>
          </w:tcPr>
          <w:p w14:paraId="5353AD8E">
            <w:pPr>
              <w:rPr>
                <w:rFonts w:ascii="Arial"/>
                <w:sz w:val="21"/>
                <w:highlight w:val="none"/>
              </w:rPr>
            </w:pPr>
          </w:p>
        </w:tc>
        <w:tc>
          <w:tcPr>
            <w:tcW w:w="2117" w:type="dxa"/>
            <w:vAlign w:val="top"/>
          </w:tcPr>
          <w:p w14:paraId="580D8D65">
            <w:pPr>
              <w:rPr>
                <w:rFonts w:ascii="Arial"/>
                <w:sz w:val="21"/>
                <w:highlight w:val="none"/>
              </w:rPr>
            </w:pPr>
          </w:p>
        </w:tc>
        <w:tc>
          <w:tcPr>
            <w:tcW w:w="1913" w:type="dxa"/>
            <w:vAlign w:val="top"/>
          </w:tcPr>
          <w:p w14:paraId="2D8D3F55">
            <w:pPr>
              <w:rPr>
                <w:rFonts w:ascii="Arial"/>
                <w:sz w:val="21"/>
                <w:highlight w:val="none"/>
              </w:rPr>
            </w:pPr>
          </w:p>
        </w:tc>
      </w:tr>
      <w:tr w14:paraId="24F93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904" w:type="dxa"/>
            <w:vAlign w:val="top"/>
          </w:tcPr>
          <w:p w14:paraId="1E316EDC">
            <w:pPr>
              <w:rPr>
                <w:rFonts w:ascii="Arial"/>
                <w:sz w:val="21"/>
                <w:highlight w:val="none"/>
              </w:rPr>
            </w:pPr>
          </w:p>
        </w:tc>
        <w:tc>
          <w:tcPr>
            <w:tcW w:w="2427" w:type="dxa"/>
            <w:vAlign w:val="top"/>
          </w:tcPr>
          <w:p w14:paraId="52B6EF2C">
            <w:pPr>
              <w:rPr>
                <w:rFonts w:ascii="Arial"/>
                <w:sz w:val="21"/>
                <w:highlight w:val="none"/>
              </w:rPr>
            </w:pPr>
          </w:p>
        </w:tc>
        <w:tc>
          <w:tcPr>
            <w:tcW w:w="1138" w:type="dxa"/>
            <w:vAlign w:val="top"/>
          </w:tcPr>
          <w:p w14:paraId="2982DC0B">
            <w:pPr>
              <w:rPr>
                <w:rFonts w:ascii="Arial"/>
                <w:sz w:val="21"/>
                <w:highlight w:val="none"/>
              </w:rPr>
            </w:pPr>
          </w:p>
        </w:tc>
        <w:tc>
          <w:tcPr>
            <w:tcW w:w="2117" w:type="dxa"/>
            <w:vAlign w:val="top"/>
          </w:tcPr>
          <w:p w14:paraId="38B630E0">
            <w:pPr>
              <w:rPr>
                <w:rFonts w:ascii="Arial"/>
                <w:sz w:val="21"/>
                <w:highlight w:val="none"/>
              </w:rPr>
            </w:pPr>
          </w:p>
        </w:tc>
        <w:tc>
          <w:tcPr>
            <w:tcW w:w="1913" w:type="dxa"/>
            <w:vAlign w:val="top"/>
          </w:tcPr>
          <w:p w14:paraId="333E094B">
            <w:pPr>
              <w:rPr>
                <w:rFonts w:ascii="Arial"/>
                <w:sz w:val="21"/>
                <w:highlight w:val="none"/>
              </w:rPr>
            </w:pPr>
          </w:p>
        </w:tc>
      </w:tr>
      <w:tr w14:paraId="53AC1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04" w:type="dxa"/>
            <w:vAlign w:val="top"/>
          </w:tcPr>
          <w:p w14:paraId="090FBDCF">
            <w:pPr>
              <w:rPr>
                <w:rFonts w:ascii="Arial"/>
                <w:sz w:val="21"/>
                <w:highlight w:val="none"/>
              </w:rPr>
            </w:pPr>
          </w:p>
        </w:tc>
        <w:tc>
          <w:tcPr>
            <w:tcW w:w="2427" w:type="dxa"/>
            <w:vAlign w:val="top"/>
          </w:tcPr>
          <w:p w14:paraId="29610A4B">
            <w:pPr>
              <w:rPr>
                <w:rFonts w:ascii="Arial"/>
                <w:sz w:val="21"/>
                <w:highlight w:val="none"/>
              </w:rPr>
            </w:pPr>
          </w:p>
        </w:tc>
        <w:tc>
          <w:tcPr>
            <w:tcW w:w="1138" w:type="dxa"/>
            <w:vAlign w:val="top"/>
          </w:tcPr>
          <w:p w14:paraId="620BE897">
            <w:pPr>
              <w:rPr>
                <w:rFonts w:ascii="Arial"/>
                <w:sz w:val="21"/>
                <w:highlight w:val="none"/>
              </w:rPr>
            </w:pPr>
          </w:p>
        </w:tc>
        <w:tc>
          <w:tcPr>
            <w:tcW w:w="2117" w:type="dxa"/>
            <w:vAlign w:val="top"/>
          </w:tcPr>
          <w:p w14:paraId="2B1C8605">
            <w:pPr>
              <w:rPr>
                <w:rFonts w:ascii="Arial"/>
                <w:sz w:val="21"/>
                <w:highlight w:val="none"/>
              </w:rPr>
            </w:pPr>
          </w:p>
        </w:tc>
        <w:tc>
          <w:tcPr>
            <w:tcW w:w="1913" w:type="dxa"/>
            <w:vAlign w:val="top"/>
          </w:tcPr>
          <w:p w14:paraId="2AE2E05E">
            <w:pPr>
              <w:rPr>
                <w:rFonts w:ascii="Arial"/>
                <w:sz w:val="21"/>
                <w:highlight w:val="none"/>
              </w:rPr>
            </w:pPr>
          </w:p>
        </w:tc>
      </w:tr>
      <w:tr w14:paraId="49910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904" w:type="dxa"/>
            <w:vAlign w:val="top"/>
          </w:tcPr>
          <w:p w14:paraId="5CDAC8D2">
            <w:pPr>
              <w:rPr>
                <w:rFonts w:ascii="Arial"/>
                <w:sz w:val="21"/>
                <w:highlight w:val="none"/>
              </w:rPr>
            </w:pPr>
          </w:p>
        </w:tc>
        <w:tc>
          <w:tcPr>
            <w:tcW w:w="2427" w:type="dxa"/>
            <w:vAlign w:val="top"/>
          </w:tcPr>
          <w:p w14:paraId="52674FF2">
            <w:pPr>
              <w:rPr>
                <w:rFonts w:ascii="Arial"/>
                <w:sz w:val="21"/>
                <w:highlight w:val="none"/>
              </w:rPr>
            </w:pPr>
          </w:p>
        </w:tc>
        <w:tc>
          <w:tcPr>
            <w:tcW w:w="1138" w:type="dxa"/>
            <w:vAlign w:val="top"/>
          </w:tcPr>
          <w:p w14:paraId="2F899B82">
            <w:pPr>
              <w:rPr>
                <w:rFonts w:ascii="Arial"/>
                <w:sz w:val="21"/>
                <w:highlight w:val="none"/>
              </w:rPr>
            </w:pPr>
          </w:p>
        </w:tc>
        <w:tc>
          <w:tcPr>
            <w:tcW w:w="2117" w:type="dxa"/>
            <w:vAlign w:val="top"/>
          </w:tcPr>
          <w:p w14:paraId="31FC9AF2">
            <w:pPr>
              <w:rPr>
                <w:rFonts w:ascii="Arial"/>
                <w:sz w:val="21"/>
                <w:highlight w:val="none"/>
              </w:rPr>
            </w:pPr>
          </w:p>
        </w:tc>
        <w:tc>
          <w:tcPr>
            <w:tcW w:w="1913" w:type="dxa"/>
            <w:vAlign w:val="top"/>
          </w:tcPr>
          <w:p w14:paraId="34D9F5C7">
            <w:pPr>
              <w:rPr>
                <w:rFonts w:ascii="Arial"/>
                <w:sz w:val="21"/>
                <w:highlight w:val="none"/>
              </w:rPr>
            </w:pPr>
          </w:p>
        </w:tc>
      </w:tr>
      <w:tr w14:paraId="744F9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04" w:type="dxa"/>
            <w:vAlign w:val="top"/>
          </w:tcPr>
          <w:p w14:paraId="21BA7724">
            <w:pPr>
              <w:rPr>
                <w:rFonts w:ascii="Arial"/>
                <w:sz w:val="21"/>
                <w:highlight w:val="none"/>
              </w:rPr>
            </w:pPr>
          </w:p>
        </w:tc>
        <w:tc>
          <w:tcPr>
            <w:tcW w:w="2427" w:type="dxa"/>
            <w:vAlign w:val="top"/>
          </w:tcPr>
          <w:p w14:paraId="1B376E4B">
            <w:pPr>
              <w:rPr>
                <w:rFonts w:ascii="Arial"/>
                <w:sz w:val="21"/>
                <w:highlight w:val="none"/>
              </w:rPr>
            </w:pPr>
          </w:p>
        </w:tc>
        <w:tc>
          <w:tcPr>
            <w:tcW w:w="1138" w:type="dxa"/>
            <w:vAlign w:val="top"/>
          </w:tcPr>
          <w:p w14:paraId="26B145BF">
            <w:pPr>
              <w:rPr>
                <w:rFonts w:ascii="Arial"/>
                <w:sz w:val="21"/>
                <w:highlight w:val="none"/>
              </w:rPr>
            </w:pPr>
          </w:p>
        </w:tc>
        <w:tc>
          <w:tcPr>
            <w:tcW w:w="2117" w:type="dxa"/>
            <w:vAlign w:val="top"/>
          </w:tcPr>
          <w:p w14:paraId="434360BB">
            <w:pPr>
              <w:rPr>
                <w:rFonts w:ascii="Arial"/>
                <w:sz w:val="21"/>
                <w:highlight w:val="none"/>
              </w:rPr>
            </w:pPr>
          </w:p>
        </w:tc>
        <w:tc>
          <w:tcPr>
            <w:tcW w:w="1913" w:type="dxa"/>
            <w:vAlign w:val="top"/>
          </w:tcPr>
          <w:p w14:paraId="6B5087EA">
            <w:pPr>
              <w:rPr>
                <w:rFonts w:ascii="Arial"/>
                <w:sz w:val="21"/>
                <w:highlight w:val="none"/>
              </w:rPr>
            </w:pPr>
          </w:p>
        </w:tc>
      </w:tr>
      <w:tr w14:paraId="5A811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904" w:type="dxa"/>
            <w:vAlign w:val="top"/>
          </w:tcPr>
          <w:p w14:paraId="22BF27B1">
            <w:pPr>
              <w:rPr>
                <w:rFonts w:ascii="Arial"/>
                <w:sz w:val="21"/>
                <w:highlight w:val="none"/>
              </w:rPr>
            </w:pPr>
          </w:p>
        </w:tc>
        <w:tc>
          <w:tcPr>
            <w:tcW w:w="2427" w:type="dxa"/>
            <w:vAlign w:val="top"/>
          </w:tcPr>
          <w:p w14:paraId="28C534C5">
            <w:pPr>
              <w:rPr>
                <w:rFonts w:ascii="Arial"/>
                <w:sz w:val="21"/>
                <w:highlight w:val="none"/>
              </w:rPr>
            </w:pPr>
          </w:p>
        </w:tc>
        <w:tc>
          <w:tcPr>
            <w:tcW w:w="1138" w:type="dxa"/>
            <w:vAlign w:val="top"/>
          </w:tcPr>
          <w:p w14:paraId="55BC4684">
            <w:pPr>
              <w:rPr>
                <w:rFonts w:ascii="Arial"/>
                <w:sz w:val="21"/>
                <w:highlight w:val="none"/>
              </w:rPr>
            </w:pPr>
          </w:p>
        </w:tc>
        <w:tc>
          <w:tcPr>
            <w:tcW w:w="2117" w:type="dxa"/>
            <w:vAlign w:val="top"/>
          </w:tcPr>
          <w:p w14:paraId="21EEBF28">
            <w:pPr>
              <w:rPr>
                <w:rFonts w:ascii="Arial"/>
                <w:sz w:val="21"/>
                <w:highlight w:val="none"/>
              </w:rPr>
            </w:pPr>
          </w:p>
        </w:tc>
        <w:tc>
          <w:tcPr>
            <w:tcW w:w="1913" w:type="dxa"/>
            <w:vAlign w:val="top"/>
          </w:tcPr>
          <w:p w14:paraId="3F26BE4D">
            <w:pPr>
              <w:rPr>
                <w:rFonts w:ascii="Arial"/>
                <w:sz w:val="21"/>
                <w:highlight w:val="none"/>
              </w:rPr>
            </w:pPr>
          </w:p>
        </w:tc>
      </w:tr>
      <w:tr w14:paraId="6E5ED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904" w:type="dxa"/>
            <w:vAlign w:val="top"/>
          </w:tcPr>
          <w:p w14:paraId="6C9A07D3">
            <w:pPr>
              <w:rPr>
                <w:rFonts w:ascii="Arial"/>
                <w:sz w:val="21"/>
                <w:highlight w:val="none"/>
              </w:rPr>
            </w:pPr>
          </w:p>
        </w:tc>
        <w:tc>
          <w:tcPr>
            <w:tcW w:w="2427" w:type="dxa"/>
            <w:vAlign w:val="top"/>
          </w:tcPr>
          <w:p w14:paraId="74F0070D">
            <w:pPr>
              <w:rPr>
                <w:rFonts w:ascii="Arial"/>
                <w:sz w:val="21"/>
                <w:highlight w:val="none"/>
              </w:rPr>
            </w:pPr>
          </w:p>
        </w:tc>
        <w:tc>
          <w:tcPr>
            <w:tcW w:w="1138" w:type="dxa"/>
            <w:vAlign w:val="top"/>
          </w:tcPr>
          <w:p w14:paraId="305D759A">
            <w:pPr>
              <w:rPr>
                <w:rFonts w:ascii="Arial"/>
                <w:sz w:val="21"/>
                <w:highlight w:val="none"/>
              </w:rPr>
            </w:pPr>
          </w:p>
        </w:tc>
        <w:tc>
          <w:tcPr>
            <w:tcW w:w="2117" w:type="dxa"/>
            <w:vAlign w:val="top"/>
          </w:tcPr>
          <w:p w14:paraId="72574DC8">
            <w:pPr>
              <w:rPr>
                <w:rFonts w:ascii="Arial"/>
                <w:sz w:val="21"/>
                <w:highlight w:val="none"/>
              </w:rPr>
            </w:pPr>
          </w:p>
        </w:tc>
        <w:tc>
          <w:tcPr>
            <w:tcW w:w="1913" w:type="dxa"/>
            <w:vAlign w:val="top"/>
          </w:tcPr>
          <w:p w14:paraId="77FF6850">
            <w:pPr>
              <w:rPr>
                <w:rFonts w:ascii="Arial"/>
                <w:sz w:val="21"/>
                <w:highlight w:val="none"/>
              </w:rPr>
            </w:pPr>
          </w:p>
        </w:tc>
      </w:tr>
      <w:tr w14:paraId="34994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904" w:type="dxa"/>
            <w:vAlign w:val="top"/>
          </w:tcPr>
          <w:p w14:paraId="57F5B0E5">
            <w:pPr>
              <w:rPr>
                <w:rFonts w:ascii="Arial"/>
                <w:sz w:val="21"/>
                <w:highlight w:val="none"/>
              </w:rPr>
            </w:pPr>
          </w:p>
        </w:tc>
        <w:tc>
          <w:tcPr>
            <w:tcW w:w="2427" w:type="dxa"/>
            <w:vAlign w:val="top"/>
          </w:tcPr>
          <w:p w14:paraId="0F7F5272">
            <w:pPr>
              <w:rPr>
                <w:rFonts w:ascii="Arial"/>
                <w:sz w:val="21"/>
                <w:highlight w:val="none"/>
              </w:rPr>
            </w:pPr>
          </w:p>
        </w:tc>
        <w:tc>
          <w:tcPr>
            <w:tcW w:w="1138" w:type="dxa"/>
            <w:vAlign w:val="top"/>
          </w:tcPr>
          <w:p w14:paraId="03B53E7A">
            <w:pPr>
              <w:rPr>
                <w:rFonts w:ascii="Arial"/>
                <w:sz w:val="21"/>
                <w:highlight w:val="none"/>
              </w:rPr>
            </w:pPr>
          </w:p>
        </w:tc>
        <w:tc>
          <w:tcPr>
            <w:tcW w:w="2117" w:type="dxa"/>
            <w:vAlign w:val="top"/>
          </w:tcPr>
          <w:p w14:paraId="1AF8DB69">
            <w:pPr>
              <w:rPr>
                <w:rFonts w:ascii="Arial"/>
                <w:sz w:val="21"/>
                <w:highlight w:val="none"/>
              </w:rPr>
            </w:pPr>
          </w:p>
        </w:tc>
        <w:tc>
          <w:tcPr>
            <w:tcW w:w="1913" w:type="dxa"/>
            <w:vAlign w:val="top"/>
          </w:tcPr>
          <w:p w14:paraId="04ACF03B">
            <w:pPr>
              <w:rPr>
                <w:rFonts w:ascii="Arial"/>
                <w:sz w:val="21"/>
                <w:highlight w:val="none"/>
              </w:rPr>
            </w:pPr>
          </w:p>
        </w:tc>
      </w:tr>
      <w:tr w14:paraId="54DF0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904" w:type="dxa"/>
            <w:vAlign w:val="top"/>
          </w:tcPr>
          <w:p w14:paraId="09828E4E">
            <w:pPr>
              <w:rPr>
                <w:rFonts w:ascii="Arial"/>
                <w:sz w:val="21"/>
                <w:highlight w:val="none"/>
              </w:rPr>
            </w:pPr>
          </w:p>
        </w:tc>
        <w:tc>
          <w:tcPr>
            <w:tcW w:w="2427" w:type="dxa"/>
            <w:vAlign w:val="top"/>
          </w:tcPr>
          <w:p w14:paraId="3CBE123E">
            <w:pPr>
              <w:rPr>
                <w:rFonts w:ascii="Arial"/>
                <w:sz w:val="21"/>
                <w:highlight w:val="none"/>
              </w:rPr>
            </w:pPr>
          </w:p>
        </w:tc>
        <w:tc>
          <w:tcPr>
            <w:tcW w:w="1138" w:type="dxa"/>
            <w:vAlign w:val="top"/>
          </w:tcPr>
          <w:p w14:paraId="2FB9869C">
            <w:pPr>
              <w:rPr>
                <w:rFonts w:ascii="Arial"/>
                <w:sz w:val="21"/>
                <w:highlight w:val="none"/>
              </w:rPr>
            </w:pPr>
          </w:p>
        </w:tc>
        <w:tc>
          <w:tcPr>
            <w:tcW w:w="2117" w:type="dxa"/>
            <w:vAlign w:val="top"/>
          </w:tcPr>
          <w:p w14:paraId="37E6E600">
            <w:pPr>
              <w:rPr>
                <w:rFonts w:ascii="Arial"/>
                <w:sz w:val="21"/>
                <w:highlight w:val="none"/>
              </w:rPr>
            </w:pPr>
          </w:p>
        </w:tc>
        <w:tc>
          <w:tcPr>
            <w:tcW w:w="1913" w:type="dxa"/>
            <w:vAlign w:val="top"/>
          </w:tcPr>
          <w:p w14:paraId="08039E66">
            <w:pPr>
              <w:rPr>
                <w:rFonts w:ascii="Arial"/>
                <w:sz w:val="21"/>
                <w:highlight w:val="none"/>
              </w:rPr>
            </w:pPr>
          </w:p>
        </w:tc>
      </w:tr>
      <w:tr w14:paraId="5EEFA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904" w:type="dxa"/>
            <w:vAlign w:val="top"/>
          </w:tcPr>
          <w:p w14:paraId="39654CA7">
            <w:pPr>
              <w:rPr>
                <w:rFonts w:ascii="Arial"/>
                <w:sz w:val="21"/>
                <w:highlight w:val="none"/>
              </w:rPr>
            </w:pPr>
          </w:p>
        </w:tc>
        <w:tc>
          <w:tcPr>
            <w:tcW w:w="2427" w:type="dxa"/>
            <w:vAlign w:val="top"/>
          </w:tcPr>
          <w:p w14:paraId="2CD78D00">
            <w:pPr>
              <w:rPr>
                <w:rFonts w:ascii="Arial"/>
                <w:sz w:val="21"/>
                <w:highlight w:val="none"/>
              </w:rPr>
            </w:pPr>
          </w:p>
        </w:tc>
        <w:tc>
          <w:tcPr>
            <w:tcW w:w="1138" w:type="dxa"/>
            <w:vAlign w:val="top"/>
          </w:tcPr>
          <w:p w14:paraId="3F6FFDD8">
            <w:pPr>
              <w:rPr>
                <w:rFonts w:ascii="Arial"/>
                <w:sz w:val="21"/>
                <w:highlight w:val="none"/>
              </w:rPr>
            </w:pPr>
          </w:p>
        </w:tc>
        <w:tc>
          <w:tcPr>
            <w:tcW w:w="2117" w:type="dxa"/>
            <w:vAlign w:val="top"/>
          </w:tcPr>
          <w:p w14:paraId="35585AD4">
            <w:pPr>
              <w:rPr>
                <w:rFonts w:ascii="Arial"/>
                <w:sz w:val="21"/>
                <w:highlight w:val="none"/>
              </w:rPr>
            </w:pPr>
          </w:p>
        </w:tc>
        <w:tc>
          <w:tcPr>
            <w:tcW w:w="1913" w:type="dxa"/>
            <w:vAlign w:val="top"/>
          </w:tcPr>
          <w:p w14:paraId="1F71A0AF">
            <w:pPr>
              <w:rPr>
                <w:rFonts w:ascii="Arial"/>
                <w:sz w:val="21"/>
                <w:highlight w:val="none"/>
              </w:rPr>
            </w:pPr>
          </w:p>
        </w:tc>
      </w:tr>
      <w:tr w14:paraId="55764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904" w:type="dxa"/>
            <w:vAlign w:val="top"/>
          </w:tcPr>
          <w:p w14:paraId="78C1355F">
            <w:pPr>
              <w:rPr>
                <w:rFonts w:ascii="Arial"/>
                <w:sz w:val="21"/>
                <w:highlight w:val="none"/>
              </w:rPr>
            </w:pPr>
          </w:p>
        </w:tc>
        <w:tc>
          <w:tcPr>
            <w:tcW w:w="2427" w:type="dxa"/>
            <w:vAlign w:val="top"/>
          </w:tcPr>
          <w:p w14:paraId="379BEED1">
            <w:pPr>
              <w:rPr>
                <w:rFonts w:ascii="Arial"/>
                <w:sz w:val="21"/>
                <w:highlight w:val="none"/>
              </w:rPr>
            </w:pPr>
          </w:p>
        </w:tc>
        <w:tc>
          <w:tcPr>
            <w:tcW w:w="1138" w:type="dxa"/>
            <w:vAlign w:val="top"/>
          </w:tcPr>
          <w:p w14:paraId="1B68A823">
            <w:pPr>
              <w:rPr>
                <w:rFonts w:ascii="Arial"/>
                <w:sz w:val="21"/>
                <w:highlight w:val="none"/>
              </w:rPr>
            </w:pPr>
          </w:p>
        </w:tc>
        <w:tc>
          <w:tcPr>
            <w:tcW w:w="2117" w:type="dxa"/>
            <w:vAlign w:val="top"/>
          </w:tcPr>
          <w:p w14:paraId="0759081E">
            <w:pPr>
              <w:rPr>
                <w:rFonts w:ascii="Arial"/>
                <w:sz w:val="21"/>
                <w:highlight w:val="none"/>
              </w:rPr>
            </w:pPr>
          </w:p>
        </w:tc>
        <w:tc>
          <w:tcPr>
            <w:tcW w:w="1913" w:type="dxa"/>
            <w:vAlign w:val="top"/>
          </w:tcPr>
          <w:p w14:paraId="72018A19">
            <w:pPr>
              <w:rPr>
                <w:rFonts w:ascii="Arial"/>
                <w:sz w:val="21"/>
                <w:highlight w:val="none"/>
              </w:rPr>
            </w:pPr>
          </w:p>
        </w:tc>
      </w:tr>
      <w:tr w14:paraId="3C896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3331" w:type="dxa"/>
            <w:gridSpan w:val="2"/>
            <w:vAlign w:val="top"/>
          </w:tcPr>
          <w:p w14:paraId="004972B4">
            <w:pPr>
              <w:pStyle w:val="6"/>
              <w:spacing w:before="246" w:line="218" w:lineRule="auto"/>
              <w:ind w:left="1234"/>
              <w:rPr>
                <w:sz w:val="22"/>
                <w:szCs w:val="22"/>
                <w:highlight w:val="none"/>
              </w:rPr>
            </w:pPr>
            <w:r>
              <w:rPr>
                <w:spacing w:val="-2"/>
                <w:sz w:val="22"/>
                <w:szCs w:val="22"/>
                <w:highlight w:val="none"/>
              </w:rPr>
              <w:t>合计报价</w:t>
            </w:r>
          </w:p>
        </w:tc>
        <w:tc>
          <w:tcPr>
            <w:tcW w:w="5168" w:type="dxa"/>
            <w:gridSpan w:val="3"/>
            <w:vAlign w:val="top"/>
          </w:tcPr>
          <w:p w14:paraId="197E514B">
            <w:pPr>
              <w:rPr>
                <w:rFonts w:ascii="Arial"/>
                <w:sz w:val="21"/>
                <w:highlight w:val="none"/>
              </w:rPr>
            </w:pPr>
          </w:p>
        </w:tc>
      </w:tr>
    </w:tbl>
    <w:p w14:paraId="631CC9EB">
      <w:pPr>
        <w:pStyle w:val="2"/>
        <w:rPr>
          <w:highlight w:val="none"/>
        </w:rPr>
      </w:pPr>
    </w:p>
    <w:p w14:paraId="07E7F47E">
      <w:pPr>
        <w:rPr>
          <w:highlight w:val="none"/>
        </w:rPr>
        <w:sectPr>
          <w:footerReference r:id="rId284" w:type="default"/>
          <w:pgSz w:w="11910" w:h="16840"/>
          <w:pgMar w:top="400" w:right="1715" w:bottom="1238" w:left="1685" w:header="0" w:footer="1006" w:gutter="0"/>
          <w:cols w:space="720" w:num="1"/>
        </w:sectPr>
      </w:pPr>
    </w:p>
    <w:p w14:paraId="6DFA256D">
      <w:pPr>
        <w:pStyle w:val="2"/>
        <w:spacing w:line="263" w:lineRule="auto"/>
        <w:rPr>
          <w:highlight w:val="none"/>
        </w:rPr>
      </w:pPr>
    </w:p>
    <w:p w14:paraId="56F6D0D4">
      <w:pPr>
        <w:pStyle w:val="2"/>
        <w:spacing w:line="263" w:lineRule="auto"/>
        <w:rPr>
          <w:highlight w:val="none"/>
        </w:rPr>
      </w:pPr>
    </w:p>
    <w:p w14:paraId="086CEFAF">
      <w:pPr>
        <w:pStyle w:val="2"/>
        <w:spacing w:line="264" w:lineRule="auto"/>
        <w:rPr>
          <w:highlight w:val="none"/>
        </w:rPr>
      </w:pPr>
    </w:p>
    <w:p w14:paraId="6AB9DA02">
      <w:pPr>
        <w:pStyle w:val="2"/>
        <w:spacing w:line="264" w:lineRule="auto"/>
        <w:rPr>
          <w:highlight w:val="none"/>
        </w:rPr>
      </w:pPr>
    </w:p>
    <w:p w14:paraId="691D6EF9">
      <w:pPr>
        <w:pStyle w:val="2"/>
        <w:spacing w:line="264" w:lineRule="auto"/>
        <w:rPr>
          <w:highlight w:val="none"/>
        </w:rPr>
      </w:pPr>
    </w:p>
    <w:p w14:paraId="0E0B3A8A">
      <w:pPr>
        <w:pStyle w:val="2"/>
        <w:spacing w:line="264" w:lineRule="auto"/>
        <w:rPr>
          <w:highlight w:val="none"/>
        </w:rPr>
      </w:pPr>
    </w:p>
    <w:p w14:paraId="6B8C2794">
      <w:pPr>
        <w:spacing w:before="108" w:line="220" w:lineRule="auto"/>
        <w:ind w:left="94"/>
        <w:rPr>
          <w:rFonts w:ascii="宋体" w:hAnsi="宋体" w:eastAsia="宋体" w:cs="宋体"/>
          <w:sz w:val="33"/>
          <w:szCs w:val="33"/>
          <w:highlight w:val="none"/>
        </w:rPr>
      </w:pPr>
      <w:r>
        <w:rPr>
          <w:rFonts w:ascii="宋体" w:hAnsi="宋体" w:eastAsia="宋体" w:cs="宋体"/>
          <w:spacing w:val="-11"/>
          <w:sz w:val="33"/>
          <w:szCs w:val="33"/>
          <w:highlight w:val="none"/>
        </w:rPr>
        <w:t>2.2</w:t>
      </w:r>
      <w:r>
        <w:rPr>
          <w:rFonts w:ascii="宋体" w:hAnsi="宋体" w:eastAsia="宋体" w:cs="宋体"/>
          <w:spacing w:val="-36"/>
          <w:sz w:val="33"/>
          <w:szCs w:val="33"/>
          <w:highlight w:val="none"/>
        </w:rPr>
        <w:t xml:space="preserve"> </w:t>
      </w:r>
      <w:r>
        <w:rPr>
          <w:rFonts w:ascii="宋体" w:hAnsi="宋体" w:eastAsia="宋体" w:cs="宋体"/>
          <w:b/>
          <w:bCs/>
          <w:spacing w:val="-11"/>
          <w:sz w:val="33"/>
          <w:szCs w:val="33"/>
          <w:highlight w:val="none"/>
        </w:rPr>
        <w:t>工程设备费清单</w:t>
      </w:r>
    </w:p>
    <w:p w14:paraId="118BA139">
      <w:pPr>
        <w:pStyle w:val="2"/>
        <w:spacing w:line="253" w:lineRule="auto"/>
        <w:rPr>
          <w:highlight w:val="none"/>
        </w:rPr>
      </w:pPr>
    </w:p>
    <w:p w14:paraId="3D63414A">
      <w:pPr>
        <w:pStyle w:val="2"/>
        <w:spacing w:line="254" w:lineRule="auto"/>
        <w:rPr>
          <w:highlight w:val="none"/>
        </w:rPr>
      </w:pPr>
    </w:p>
    <w:p w14:paraId="77ADFBE8">
      <w:pPr>
        <w:pStyle w:val="2"/>
        <w:spacing w:line="254" w:lineRule="auto"/>
        <w:rPr>
          <w:highlight w:val="none"/>
        </w:rPr>
      </w:pPr>
    </w:p>
    <w:p w14:paraId="0004552E">
      <w:pPr>
        <w:spacing w:before="68" w:line="219" w:lineRule="auto"/>
        <w:ind w:left="6934"/>
        <w:rPr>
          <w:rFonts w:ascii="宋体" w:hAnsi="宋体" w:eastAsia="宋体" w:cs="宋体"/>
          <w:sz w:val="21"/>
          <w:szCs w:val="21"/>
          <w:highlight w:val="none"/>
        </w:rPr>
      </w:pPr>
      <w:r>
        <w:rPr>
          <w:rFonts w:ascii="宋体" w:hAnsi="宋体" w:eastAsia="宋体" w:cs="宋体"/>
          <w:spacing w:val="-2"/>
          <w:sz w:val="21"/>
          <w:szCs w:val="21"/>
          <w:highlight w:val="none"/>
        </w:rPr>
        <w:t>单位：人民币元</w:t>
      </w:r>
    </w:p>
    <w:p w14:paraId="06DCF8FF">
      <w:pPr>
        <w:spacing w:line="88" w:lineRule="exact"/>
        <w:rPr>
          <w:highlight w:val="none"/>
        </w:rPr>
      </w:pPr>
    </w:p>
    <w:tbl>
      <w:tblPr>
        <w:tblStyle w:val="5"/>
        <w:tblW w:w="84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4"/>
        <w:gridCol w:w="2257"/>
        <w:gridCol w:w="1448"/>
        <w:gridCol w:w="1069"/>
        <w:gridCol w:w="1428"/>
        <w:gridCol w:w="1403"/>
      </w:tblGrid>
      <w:tr w14:paraId="7E3B5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894" w:type="dxa"/>
            <w:vAlign w:val="top"/>
          </w:tcPr>
          <w:p w14:paraId="2242131B">
            <w:pPr>
              <w:pStyle w:val="6"/>
              <w:spacing w:before="244" w:line="221" w:lineRule="auto"/>
              <w:ind w:left="214"/>
              <w:rPr>
                <w:highlight w:val="none"/>
              </w:rPr>
            </w:pPr>
            <w:r>
              <w:rPr>
                <w:spacing w:val="6"/>
                <w:highlight w:val="none"/>
              </w:rPr>
              <w:t>序号</w:t>
            </w:r>
          </w:p>
        </w:tc>
        <w:tc>
          <w:tcPr>
            <w:tcW w:w="2257" w:type="dxa"/>
            <w:vAlign w:val="top"/>
          </w:tcPr>
          <w:p w14:paraId="6A3A5E87">
            <w:pPr>
              <w:pStyle w:val="6"/>
              <w:spacing w:before="244" w:line="221" w:lineRule="auto"/>
              <w:ind w:left="720"/>
              <w:rPr>
                <w:highlight w:val="none"/>
              </w:rPr>
            </w:pPr>
            <w:r>
              <w:rPr>
                <w:spacing w:val="2"/>
                <w:highlight w:val="none"/>
              </w:rPr>
              <w:t>设备名称</w:t>
            </w:r>
          </w:p>
        </w:tc>
        <w:tc>
          <w:tcPr>
            <w:tcW w:w="1448" w:type="dxa"/>
            <w:vAlign w:val="top"/>
          </w:tcPr>
          <w:p w14:paraId="494B12E4">
            <w:pPr>
              <w:pStyle w:val="6"/>
              <w:spacing w:before="243" w:line="219" w:lineRule="auto"/>
              <w:ind w:left="303"/>
              <w:rPr>
                <w:highlight w:val="none"/>
              </w:rPr>
            </w:pPr>
            <w:r>
              <w:rPr>
                <w:spacing w:val="3"/>
                <w:highlight w:val="none"/>
              </w:rPr>
              <w:t>规格型号</w:t>
            </w:r>
          </w:p>
        </w:tc>
        <w:tc>
          <w:tcPr>
            <w:tcW w:w="1069" w:type="dxa"/>
            <w:vAlign w:val="top"/>
          </w:tcPr>
          <w:p w14:paraId="0145A615">
            <w:pPr>
              <w:pStyle w:val="6"/>
              <w:spacing w:before="243" w:line="219" w:lineRule="auto"/>
              <w:ind w:left="316"/>
              <w:rPr>
                <w:highlight w:val="none"/>
              </w:rPr>
            </w:pPr>
            <w:r>
              <w:rPr>
                <w:spacing w:val="-3"/>
                <w:highlight w:val="none"/>
              </w:rPr>
              <w:t>数量</w:t>
            </w:r>
          </w:p>
        </w:tc>
        <w:tc>
          <w:tcPr>
            <w:tcW w:w="1428" w:type="dxa"/>
            <w:vAlign w:val="top"/>
          </w:tcPr>
          <w:p w14:paraId="668E822A">
            <w:pPr>
              <w:pStyle w:val="6"/>
              <w:spacing w:before="241" w:line="218" w:lineRule="auto"/>
              <w:ind w:left="526"/>
              <w:rPr>
                <w:highlight w:val="none"/>
              </w:rPr>
            </w:pPr>
            <w:r>
              <w:rPr>
                <w:spacing w:val="-3"/>
                <w:highlight w:val="none"/>
              </w:rPr>
              <w:t>单价</w:t>
            </w:r>
          </w:p>
        </w:tc>
        <w:tc>
          <w:tcPr>
            <w:tcW w:w="1403" w:type="dxa"/>
            <w:vAlign w:val="top"/>
          </w:tcPr>
          <w:p w14:paraId="613F779E">
            <w:pPr>
              <w:pStyle w:val="6"/>
              <w:spacing w:before="241" w:line="218" w:lineRule="auto"/>
              <w:ind w:left="509"/>
              <w:rPr>
                <w:highlight w:val="none"/>
              </w:rPr>
            </w:pPr>
            <w:r>
              <w:rPr>
                <w:spacing w:val="-3"/>
                <w:highlight w:val="none"/>
              </w:rPr>
              <w:t>合价</w:t>
            </w:r>
          </w:p>
        </w:tc>
      </w:tr>
      <w:tr w14:paraId="52C61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894" w:type="dxa"/>
            <w:vAlign w:val="top"/>
          </w:tcPr>
          <w:p w14:paraId="12760F6D">
            <w:pPr>
              <w:rPr>
                <w:rFonts w:ascii="Arial"/>
                <w:sz w:val="21"/>
                <w:highlight w:val="none"/>
              </w:rPr>
            </w:pPr>
          </w:p>
        </w:tc>
        <w:tc>
          <w:tcPr>
            <w:tcW w:w="2257" w:type="dxa"/>
            <w:vAlign w:val="top"/>
          </w:tcPr>
          <w:p w14:paraId="22FDAB8C">
            <w:pPr>
              <w:rPr>
                <w:rFonts w:ascii="Arial"/>
                <w:sz w:val="21"/>
                <w:highlight w:val="none"/>
              </w:rPr>
            </w:pPr>
          </w:p>
        </w:tc>
        <w:tc>
          <w:tcPr>
            <w:tcW w:w="1448" w:type="dxa"/>
            <w:vAlign w:val="top"/>
          </w:tcPr>
          <w:p w14:paraId="6CCB2DA7">
            <w:pPr>
              <w:rPr>
                <w:rFonts w:ascii="Arial"/>
                <w:sz w:val="21"/>
                <w:highlight w:val="none"/>
              </w:rPr>
            </w:pPr>
          </w:p>
        </w:tc>
        <w:tc>
          <w:tcPr>
            <w:tcW w:w="1069" w:type="dxa"/>
            <w:vAlign w:val="top"/>
          </w:tcPr>
          <w:p w14:paraId="04888734">
            <w:pPr>
              <w:rPr>
                <w:rFonts w:ascii="Arial"/>
                <w:sz w:val="21"/>
                <w:highlight w:val="none"/>
              </w:rPr>
            </w:pPr>
          </w:p>
        </w:tc>
        <w:tc>
          <w:tcPr>
            <w:tcW w:w="1428" w:type="dxa"/>
            <w:vAlign w:val="top"/>
          </w:tcPr>
          <w:p w14:paraId="323EBF30">
            <w:pPr>
              <w:rPr>
                <w:rFonts w:ascii="Arial"/>
                <w:sz w:val="21"/>
                <w:highlight w:val="none"/>
              </w:rPr>
            </w:pPr>
          </w:p>
        </w:tc>
        <w:tc>
          <w:tcPr>
            <w:tcW w:w="1403" w:type="dxa"/>
            <w:vAlign w:val="top"/>
          </w:tcPr>
          <w:p w14:paraId="77BDEAD5">
            <w:pPr>
              <w:rPr>
                <w:rFonts w:ascii="Arial"/>
                <w:sz w:val="21"/>
                <w:highlight w:val="none"/>
              </w:rPr>
            </w:pPr>
          </w:p>
        </w:tc>
      </w:tr>
      <w:tr w14:paraId="03F4F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94" w:type="dxa"/>
            <w:vAlign w:val="top"/>
          </w:tcPr>
          <w:p w14:paraId="6F8C9507">
            <w:pPr>
              <w:rPr>
                <w:rFonts w:ascii="Arial"/>
                <w:sz w:val="21"/>
                <w:highlight w:val="none"/>
              </w:rPr>
            </w:pPr>
          </w:p>
        </w:tc>
        <w:tc>
          <w:tcPr>
            <w:tcW w:w="2257" w:type="dxa"/>
            <w:vAlign w:val="top"/>
          </w:tcPr>
          <w:p w14:paraId="538732C6">
            <w:pPr>
              <w:rPr>
                <w:rFonts w:ascii="Arial"/>
                <w:sz w:val="21"/>
                <w:highlight w:val="none"/>
              </w:rPr>
            </w:pPr>
          </w:p>
        </w:tc>
        <w:tc>
          <w:tcPr>
            <w:tcW w:w="1448" w:type="dxa"/>
            <w:vAlign w:val="top"/>
          </w:tcPr>
          <w:p w14:paraId="7ADF2394">
            <w:pPr>
              <w:rPr>
                <w:rFonts w:ascii="Arial"/>
                <w:sz w:val="21"/>
                <w:highlight w:val="none"/>
              </w:rPr>
            </w:pPr>
          </w:p>
        </w:tc>
        <w:tc>
          <w:tcPr>
            <w:tcW w:w="1069" w:type="dxa"/>
            <w:vAlign w:val="top"/>
          </w:tcPr>
          <w:p w14:paraId="240F2089">
            <w:pPr>
              <w:rPr>
                <w:rFonts w:ascii="Arial"/>
                <w:sz w:val="21"/>
                <w:highlight w:val="none"/>
              </w:rPr>
            </w:pPr>
          </w:p>
        </w:tc>
        <w:tc>
          <w:tcPr>
            <w:tcW w:w="1428" w:type="dxa"/>
            <w:vAlign w:val="top"/>
          </w:tcPr>
          <w:p w14:paraId="6A36AB6F">
            <w:pPr>
              <w:rPr>
                <w:rFonts w:ascii="Arial"/>
                <w:sz w:val="21"/>
                <w:highlight w:val="none"/>
              </w:rPr>
            </w:pPr>
          </w:p>
        </w:tc>
        <w:tc>
          <w:tcPr>
            <w:tcW w:w="1403" w:type="dxa"/>
            <w:vAlign w:val="top"/>
          </w:tcPr>
          <w:p w14:paraId="556D68A6">
            <w:pPr>
              <w:rPr>
                <w:rFonts w:ascii="Arial"/>
                <w:sz w:val="21"/>
                <w:highlight w:val="none"/>
              </w:rPr>
            </w:pPr>
          </w:p>
        </w:tc>
      </w:tr>
      <w:tr w14:paraId="3BDA6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894" w:type="dxa"/>
            <w:vAlign w:val="top"/>
          </w:tcPr>
          <w:p w14:paraId="419459BE">
            <w:pPr>
              <w:rPr>
                <w:rFonts w:ascii="Arial"/>
                <w:sz w:val="21"/>
                <w:highlight w:val="none"/>
              </w:rPr>
            </w:pPr>
          </w:p>
        </w:tc>
        <w:tc>
          <w:tcPr>
            <w:tcW w:w="2257" w:type="dxa"/>
            <w:vAlign w:val="top"/>
          </w:tcPr>
          <w:p w14:paraId="39344264">
            <w:pPr>
              <w:rPr>
                <w:rFonts w:ascii="Arial"/>
                <w:sz w:val="21"/>
                <w:highlight w:val="none"/>
              </w:rPr>
            </w:pPr>
          </w:p>
        </w:tc>
        <w:tc>
          <w:tcPr>
            <w:tcW w:w="1448" w:type="dxa"/>
            <w:vAlign w:val="top"/>
          </w:tcPr>
          <w:p w14:paraId="5B2AD431">
            <w:pPr>
              <w:rPr>
                <w:rFonts w:ascii="Arial"/>
                <w:sz w:val="21"/>
                <w:highlight w:val="none"/>
              </w:rPr>
            </w:pPr>
          </w:p>
        </w:tc>
        <w:tc>
          <w:tcPr>
            <w:tcW w:w="1069" w:type="dxa"/>
            <w:vAlign w:val="top"/>
          </w:tcPr>
          <w:p w14:paraId="6A804F19">
            <w:pPr>
              <w:rPr>
                <w:rFonts w:ascii="Arial"/>
                <w:sz w:val="21"/>
                <w:highlight w:val="none"/>
              </w:rPr>
            </w:pPr>
          </w:p>
        </w:tc>
        <w:tc>
          <w:tcPr>
            <w:tcW w:w="1428" w:type="dxa"/>
            <w:vAlign w:val="top"/>
          </w:tcPr>
          <w:p w14:paraId="35CD681F">
            <w:pPr>
              <w:rPr>
                <w:rFonts w:ascii="Arial"/>
                <w:sz w:val="21"/>
                <w:highlight w:val="none"/>
              </w:rPr>
            </w:pPr>
          </w:p>
        </w:tc>
        <w:tc>
          <w:tcPr>
            <w:tcW w:w="1403" w:type="dxa"/>
            <w:vAlign w:val="top"/>
          </w:tcPr>
          <w:p w14:paraId="79D15605">
            <w:pPr>
              <w:rPr>
                <w:rFonts w:ascii="Arial"/>
                <w:sz w:val="21"/>
                <w:highlight w:val="none"/>
              </w:rPr>
            </w:pPr>
          </w:p>
        </w:tc>
      </w:tr>
      <w:tr w14:paraId="458C9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94" w:type="dxa"/>
            <w:vAlign w:val="top"/>
          </w:tcPr>
          <w:p w14:paraId="7B087930">
            <w:pPr>
              <w:rPr>
                <w:rFonts w:ascii="Arial"/>
                <w:sz w:val="21"/>
                <w:highlight w:val="none"/>
              </w:rPr>
            </w:pPr>
          </w:p>
        </w:tc>
        <w:tc>
          <w:tcPr>
            <w:tcW w:w="2257" w:type="dxa"/>
            <w:vAlign w:val="top"/>
          </w:tcPr>
          <w:p w14:paraId="053E05D5">
            <w:pPr>
              <w:rPr>
                <w:rFonts w:ascii="Arial"/>
                <w:sz w:val="21"/>
                <w:highlight w:val="none"/>
              </w:rPr>
            </w:pPr>
          </w:p>
        </w:tc>
        <w:tc>
          <w:tcPr>
            <w:tcW w:w="1448" w:type="dxa"/>
            <w:vAlign w:val="top"/>
          </w:tcPr>
          <w:p w14:paraId="6B6BBCD2">
            <w:pPr>
              <w:rPr>
                <w:rFonts w:ascii="Arial"/>
                <w:sz w:val="21"/>
                <w:highlight w:val="none"/>
              </w:rPr>
            </w:pPr>
          </w:p>
        </w:tc>
        <w:tc>
          <w:tcPr>
            <w:tcW w:w="1069" w:type="dxa"/>
            <w:vAlign w:val="top"/>
          </w:tcPr>
          <w:p w14:paraId="7F8FAD64">
            <w:pPr>
              <w:rPr>
                <w:rFonts w:ascii="Arial"/>
                <w:sz w:val="21"/>
                <w:highlight w:val="none"/>
              </w:rPr>
            </w:pPr>
          </w:p>
        </w:tc>
        <w:tc>
          <w:tcPr>
            <w:tcW w:w="1428" w:type="dxa"/>
            <w:vAlign w:val="top"/>
          </w:tcPr>
          <w:p w14:paraId="27F14B5E">
            <w:pPr>
              <w:rPr>
                <w:rFonts w:ascii="Arial"/>
                <w:sz w:val="21"/>
                <w:highlight w:val="none"/>
              </w:rPr>
            </w:pPr>
          </w:p>
        </w:tc>
        <w:tc>
          <w:tcPr>
            <w:tcW w:w="1403" w:type="dxa"/>
            <w:vAlign w:val="top"/>
          </w:tcPr>
          <w:p w14:paraId="462D0CF6">
            <w:pPr>
              <w:rPr>
                <w:rFonts w:ascii="Arial"/>
                <w:sz w:val="21"/>
                <w:highlight w:val="none"/>
              </w:rPr>
            </w:pPr>
          </w:p>
        </w:tc>
      </w:tr>
      <w:tr w14:paraId="73B31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94" w:type="dxa"/>
            <w:vAlign w:val="top"/>
          </w:tcPr>
          <w:p w14:paraId="6A5625E5">
            <w:pPr>
              <w:rPr>
                <w:rFonts w:ascii="Arial"/>
                <w:sz w:val="21"/>
                <w:highlight w:val="none"/>
              </w:rPr>
            </w:pPr>
          </w:p>
        </w:tc>
        <w:tc>
          <w:tcPr>
            <w:tcW w:w="2257" w:type="dxa"/>
            <w:vAlign w:val="top"/>
          </w:tcPr>
          <w:p w14:paraId="0585977F">
            <w:pPr>
              <w:rPr>
                <w:rFonts w:ascii="Arial"/>
                <w:sz w:val="21"/>
                <w:highlight w:val="none"/>
              </w:rPr>
            </w:pPr>
          </w:p>
        </w:tc>
        <w:tc>
          <w:tcPr>
            <w:tcW w:w="1448" w:type="dxa"/>
            <w:vAlign w:val="top"/>
          </w:tcPr>
          <w:p w14:paraId="583A5A3B">
            <w:pPr>
              <w:rPr>
                <w:rFonts w:ascii="Arial"/>
                <w:sz w:val="21"/>
                <w:highlight w:val="none"/>
              </w:rPr>
            </w:pPr>
          </w:p>
        </w:tc>
        <w:tc>
          <w:tcPr>
            <w:tcW w:w="1069" w:type="dxa"/>
            <w:vAlign w:val="top"/>
          </w:tcPr>
          <w:p w14:paraId="5E347986">
            <w:pPr>
              <w:rPr>
                <w:rFonts w:ascii="Arial"/>
                <w:sz w:val="21"/>
                <w:highlight w:val="none"/>
              </w:rPr>
            </w:pPr>
          </w:p>
        </w:tc>
        <w:tc>
          <w:tcPr>
            <w:tcW w:w="1428" w:type="dxa"/>
            <w:vAlign w:val="top"/>
          </w:tcPr>
          <w:p w14:paraId="32325857">
            <w:pPr>
              <w:rPr>
                <w:rFonts w:ascii="Arial"/>
                <w:sz w:val="21"/>
                <w:highlight w:val="none"/>
              </w:rPr>
            </w:pPr>
          </w:p>
        </w:tc>
        <w:tc>
          <w:tcPr>
            <w:tcW w:w="1403" w:type="dxa"/>
            <w:vAlign w:val="top"/>
          </w:tcPr>
          <w:p w14:paraId="03223F20">
            <w:pPr>
              <w:rPr>
                <w:rFonts w:ascii="Arial"/>
                <w:sz w:val="21"/>
                <w:highlight w:val="none"/>
              </w:rPr>
            </w:pPr>
          </w:p>
        </w:tc>
      </w:tr>
      <w:tr w14:paraId="5BB8C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894" w:type="dxa"/>
            <w:vAlign w:val="top"/>
          </w:tcPr>
          <w:p w14:paraId="0AE2A2EC">
            <w:pPr>
              <w:rPr>
                <w:rFonts w:ascii="Arial"/>
                <w:sz w:val="21"/>
                <w:highlight w:val="none"/>
              </w:rPr>
            </w:pPr>
          </w:p>
        </w:tc>
        <w:tc>
          <w:tcPr>
            <w:tcW w:w="2257" w:type="dxa"/>
            <w:vAlign w:val="top"/>
          </w:tcPr>
          <w:p w14:paraId="2B54CAF3">
            <w:pPr>
              <w:rPr>
                <w:rFonts w:ascii="Arial"/>
                <w:sz w:val="21"/>
                <w:highlight w:val="none"/>
              </w:rPr>
            </w:pPr>
          </w:p>
        </w:tc>
        <w:tc>
          <w:tcPr>
            <w:tcW w:w="1448" w:type="dxa"/>
            <w:vAlign w:val="top"/>
          </w:tcPr>
          <w:p w14:paraId="64C064C6">
            <w:pPr>
              <w:rPr>
                <w:rFonts w:ascii="Arial"/>
                <w:sz w:val="21"/>
                <w:highlight w:val="none"/>
              </w:rPr>
            </w:pPr>
          </w:p>
        </w:tc>
        <w:tc>
          <w:tcPr>
            <w:tcW w:w="1069" w:type="dxa"/>
            <w:vAlign w:val="top"/>
          </w:tcPr>
          <w:p w14:paraId="6046D061">
            <w:pPr>
              <w:rPr>
                <w:rFonts w:ascii="Arial"/>
                <w:sz w:val="21"/>
                <w:highlight w:val="none"/>
              </w:rPr>
            </w:pPr>
          </w:p>
        </w:tc>
        <w:tc>
          <w:tcPr>
            <w:tcW w:w="1428" w:type="dxa"/>
            <w:vAlign w:val="top"/>
          </w:tcPr>
          <w:p w14:paraId="35CDFD50">
            <w:pPr>
              <w:rPr>
                <w:rFonts w:ascii="Arial"/>
                <w:sz w:val="21"/>
                <w:highlight w:val="none"/>
              </w:rPr>
            </w:pPr>
          </w:p>
        </w:tc>
        <w:tc>
          <w:tcPr>
            <w:tcW w:w="1403" w:type="dxa"/>
            <w:vAlign w:val="top"/>
          </w:tcPr>
          <w:p w14:paraId="436F8403">
            <w:pPr>
              <w:rPr>
                <w:rFonts w:ascii="Arial"/>
                <w:sz w:val="21"/>
                <w:highlight w:val="none"/>
              </w:rPr>
            </w:pPr>
          </w:p>
        </w:tc>
      </w:tr>
      <w:tr w14:paraId="3F5E6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94" w:type="dxa"/>
            <w:vAlign w:val="top"/>
          </w:tcPr>
          <w:p w14:paraId="4710C285">
            <w:pPr>
              <w:rPr>
                <w:rFonts w:ascii="Arial"/>
                <w:sz w:val="21"/>
                <w:highlight w:val="none"/>
              </w:rPr>
            </w:pPr>
          </w:p>
        </w:tc>
        <w:tc>
          <w:tcPr>
            <w:tcW w:w="2257" w:type="dxa"/>
            <w:vAlign w:val="top"/>
          </w:tcPr>
          <w:p w14:paraId="7454B6CA">
            <w:pPr>
              <w:rPr>
                <w:rFonts w:ascii="Arial"/>
                <w:sz w:val="21"/>
                <w:highlight w:val="none"/>
              </w:rPr>
            </w:pPr>
          </w:p>
        </w:tc>
        <w:tc>
          <w:tcPr>
            <w:tcW w:w="1448" w:type="dxa"/>
            <w:vAlign w:val="top"/>
          </w:tcPr>
          <w:p w14:paraId="590EBEB5">
            <w:pPr>
              <w:rPr>
                <w:rFonts w:ascii="Arial"/>
                <w:sz w:val="21"/>
                <w:highlight w:val="none"/>
              </w:rPr>
            </w:pPr>
          </w:p>
        </w:tc>
        <w:tc>
          <w:tcPr>
            <w:tcW w:w="1069" w:type="dxa"/>
            <w:vAlign w:val="top"/>
          </w:tcPr>
          <w:p w14:paraId="75A88F39">
            <w:pPr>
              <w:rPr>
                <w:rFonts w:ascii="Arial"/>
                <w:sz w:val="21"/>
                <w:highlight w:val="none"/>
              </w:rPr>
            </w:pPr>
          </w:p>
        </w:tc>
        <w:tc>
          <w:tcPr>
            <w:tcW w:w="1428" w:type="dxa"/>
            <w:vAlign w:val="top"/>
          </w:tcPr>
          <w:p w14:paraId="79E37EE3">
            <w:pPr>
              <w:rPr>
                <w:rFonts w:ascii="Arial"/>
                <w:sz w:val="21"/>
                <w:highlight w:val="none"/>
              </w:rPr>
            </w:pPr>
          </w:p>
        </w:tc>
        <w:tc>
          <w:tcPr>
            <w:tcW w:w="1403" w:type="dxa"/>
            <w:vAlign w:val="top"/>
          </w:tcPr>
          <w:p w14:paraId="54D7452B">
            <w:pPr>
              <w:rPr>
                <w:rFonts w:ascii="Arial"/>
                <w:sz w:val="21"/>
                <w:highlight w:val="none"/>
              </w:rPr>
            </w:pPr>
          </w:p>
        </w:tc>
      </w:tr>
      <w:tr w14:paraId="69E9C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94" w:type="dxa"/>
            <w:vAlign w:val="top"/>
          </w:tcPr>
          <w:p w14:paraId="448199B4">
            <w:pPr>
              <w:rPr>
                <w:rFonts w:ascii="Arial"/>
                <w:sz w:val="21"/>
                <w:highlight w:val="none"/>
              </w:rPr>
            </w:pPr>
          </w:p>
        </w:tc>
        <w:tc>
          <w:tcPr>
            <w:tcW w:w="2257" w:type="dxa"/>
            <w:vAlign w:val="top"/>
          </w:tcPr>
          <w:p w14:paraId="254E3F90">
            <w:pPr>
              <w:rPr>
                <w:rFonts w:ascii="Arial"/>
                <w:sz w:val="21"/>
                <w:highlight w:val="none"/>
              </w:rPr>
            </w:pPr>
          </w:p>
        </w:tc>
        <w:tc>
          <w:tcPr>
            <w:tcW w:w="1448" w:type="dxa"/>
            <w:vAlign w:val="top"/>
          </w:tcPr>
          <w:p w14:paraId="6043953E">
            <w:pPr>
              <w:rPr>
                <w:rFonts w:ascii="Arial"/>
                <w:sz w:val="21"/>
                <w:highlight w:val="none"/>
              </w:rPr>
            </w:pPr>
          </w:p>
        </w:tc>
        <w:tc>
          <w:tcPr>
            <w:tcW w:w="1069" w:type="dxa"/>
            <w:vAlign w:val="top"/>
          </w:tcPr>
          <w:p w14:paraId="03BCD3A2">
            <w:pPr>
              <w:rPr>
                <w:rFonts w:ascii="Arial"/>
                <w:sz w:val="21"/>
                <w:highlight w:val="none"/>
              </w:rPr>
            </w:pPr>
          </w:p>
        </w:tc>
        <w:tc>
          <w:tcPr>
            <w:tcW w:w="1428" w:type="dxa"/>
            <w:vAlign w:val="top"/>
          </w:tcPr>
          <w:p w14:paraId="5F6A5D05">
            <w:pPr>
              <w:rPr>
                <w:rFonts w:ascii="Arial"/>
                <w:sz w:val="21"/>
                <w:highlight w:val="none"/>
              </w:rPr>
            </w:pPr>
          </w:p>
        </w:tc>
        <w:tc>
          <w:tcPr>
            <w:tcW w:w="1403" w:type="dxa"/>
            <w:vAlign w:val="top"/>
          </w:tcPr>
          <w:p w14:paraId="13FCAFFF">
            <w:pPr>
              <w:rPr>
                <w:rFonts w:ascii="Arial"/>
                <w:sz w:val="21"/>
                <w:highlight w:val="none"/>
              </w:rPr>
            </w:pPr>
          </w:p>
        </w:tc>
      </w:tr>
      <w:tr w14:paraId="5D0EE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94" w:type="dxa"/>
            <w:vAlign w:val="top"/>
          </w:tcPr>
          <w:p w14:paraId="0B7291E0">
            <w:pPr>
              <w:rPr>
                <w:rFonts w:ascii="Arial"/>
                <w:sz w:val="21"/>
                <w:highlight w:val="none"/>
              </w:rPr>
            </w:pPr>
          </w:p>
        </w:tc>
        <w:tc>
          <w:tcPr>
            <w:tcW w:w="2257" w:type="dxa"/>
            <w:vAlign w:val="top"/>
          </w:tcPr>
          <w:p w14:paraId="46BA94A3">
            <w:pPr>
              <w:rPr>
                <w:rFonts w:ascii="Arial"/>
                <w:sz w:val="21"/>
                <w:highlight w:val="none"/>
              </w:rPr>
            </w:pPr>
          </w:p>
        </w:tc>
        <w:tc>
          <w:tcPr>
            <w:tcW w:w="1448" w:type="dxa"/>
            <w:vAlign w:val="top"/>
          </w:tcPr>
          <w:p w14:paraId="325192F6">
            <w:pPr>
              <w:rPr>
                <w:rFonts w:ascii="Arial"/>
                <w:sz w:val="21"/>
                <w:highlight w:val="none"/>
              </w:rPr>
            </w:pPr>
          </w:p>
        </w:tc>
        <w:tc>
          <w:tcPr>
            <w:tcW w:w="1069" w:type="dxa"/>
            <w:vAlign w:val="top"/>
          </w:tcPr>
          <w:p w14:paraId="3ECDC0A7">
            <w:pPr>
              <w:rPr>
                <w:rFonts w:ascii="Arial"/>
                <w:sz w:val="21"/>
                <w:highlight w:val="none"/>
              </w:rPr>
            </w:pPr>
          </w:p>
        </w:tc>
        <w:tc>
          <w:tcPr>
            <w:tcW w:w="1428" w:type="dxa"/>
            <w:vAlign w:val="top"/>
          </w:tcPr>
          <w:p w14:paraId="55BE2176">
            <w:pPr>
              <w:rPr>
                <w:rFonts w:ascii="Arial"/>
                <w:sz w:val="21"/>
                <w:highlight w:val="none"/>
              </w:rPr>
            </w:pPr>
          </w:p>
        </w:tc>
        <w:tc>
          <w:tcPr>
            <w:tcW w:w="1403" w:type="dxa"/>
            <w:vAlign w:val="top"/>
          </w:tcPr>
          <w:p w14:paraId="2ABAE2DC">
            <w:pPr>
              <w:rPr>
                <w:rFonts w:ascii="Arial"/>
                <w:sz w:val="21"/>
                <w:highlight w:val="none"/>
              </w:rPr>
            </w:pPr>
          </w:p>
        </w:tc>
      </w:tr>
      <w:tr w14:paraId="75600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94" w:type="dxa"/>
            <w:vAlign w:val="top"/>
          </w:tcPr>
          <w:p w14:paraId="32B5F4D1">
            <w:pPr>
              <w:rPr>
                <w:rFonts w:ascii="Arial"/>
                <w:sz w:val="21"/>
                <w:highlight w:val="none"/>
              </w:rPr>
            </w:pPr>
          </w:p>
        </w:tc>
        <w:tc>
          <w:tcPr>
            <w:tcW w:w="2257" w:type="dxa"/>
            <w:vAlign w:val="top"/>
          </w:tcPr>
          <w:p w14:paraId="640794EC">
            <w:pPr>
              <w:rPr>
                <w:rFonts w:ascii="Arial"/>
                <w:sz w:val="21"/>
                <w:highlight w:val="none"/>
              </w:rPr>
            </w:pPr>
          </w:p>
        </w:tc>
        <w:tc>
          <w:tcPr>
            <w:tcW w:w="1448" w:type="dxa"/>
            <w:vAlign w:val="top"/>
          </w:tcPr>
          <w:p w14:paraId="5898E6C2">
            <w:pPr>
              <w:rPr>
                <w:rFonts w:ascii="Arial"/>
                <w:sz w:val="21"/>
                <w:highlight w:val="none"/>
              </w:rPr>
            </w:pPr>
          </w:p>
        </w:tc>
        <w:tc>
          <w:tcPr>
            <w:tcW w:w="1069" w:type="dxa"/>
            <w:vAlign w:val="top"/>
          </w:tcPr>
          <w:p w14:paraId="5C08B7E5">
            <w:pPr>
              <w:rPr>
                <w:rFonts w:ascii="Arial"/>
                <w:sz w:val="21"/>
                <w:highlight w:val="none"/>
              </w:rPr>
            </w:pPr>
          </w:p>
        </w:tc>
        <w:tc>
          <w:tcPr>
            <w:tcW w:w="1428" w:type="dxa"/>
            <w:vAlign w:val="top"/>
          </w:tcPr>
          <w:p w14:paraId="5C3A1328">
            <w:pPr>
              <w:rPr>
                <w:rFonts w:ascii="Arial"/>
                <w:sz w:val="21"/>
                <w:highlight w:val="none"/>
              </w:rPr>
            </w:pPr>
          </w:p>
        </w:tc>
        <w:tc>
          <w:tcPr>
            <w:tcW w:w="1403" w:type="dxa"/>
            <w:vAlign w:val="top"/>
          </w:tcPr>
          <w:p w14:paraId="218CBBBB">
            <w:pPr>
              <w:rPr>
                <w:rFonts w:ascii="Arial"/>
                <w:sz w:val="21"/>
                <w:highlight w:val="none"/>
              </w:rPr>
            </w:pPr>
          </w:p>
        </w:tc>
      </w:tr>
      <w:tr w14:paraId="37E3A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894" w:type="dxa"/>
            <w:vAlign w:val="top"/>
          </w:tcPr>
          <w:p w14:paraId="05DAD410">
            <w:pPr>
              <w:rPr>
                <w:rFonts w:ascii="Arial"/>
                <w:sz w:val="21"/>
                <w:highlight w:val="none"/>
              </w:rPr>
            </w:pPr>
          </w:p>
        </w:tc>
        <w:tc>
          <w:tcPr>
            <w:tcW w:w="2257" w:type="dxa"/>
            <w:vAlign w:val="top"/>
          </w:tcPr>
          <w:p w14:paraId="373CCF36">
            <w:pPr>
              <w:rPr>
                <w:rFonts w:ascii="Arial"/>
                <w:sz w:val="21"/>
                <w:highlight w:val="none"/>
              </w:rPr>
            </w:pPr>
          </w:p>
        </w:tc>
        <w:tc>
          <w:tcPr>
            <w:tcW w:w="1448" w:type="dxa"/>
            <w:vAlign w:val="top"/>
          </w:tcPr>
          <w:p w14:paraId="161B05F7">
            <w:pPr>
              <w:rPr>
                <w:rFonts w:ascii="Arial"/>
                <w:sz w:val="21"/>
                <w:highlight w:val="none"/>
              </w:rPr>
            </w:pPr>
          </w:p>
        </w:tc>
        <w:tc>
          <w:tcPr>
            <w:tcW w:w="1069" w:type="dxa"/>
            <w:vAlign w:val="top"/>
          </w:tcPr>
          <w:p w14:paraId="1590949A">
            <w:pPr>
              <w:rPr>
                <w:rFonts w:ascii="Arial"/>
                <w:sz w:val="21"/>
                <w:highlight w:val="none"/>
              </w:rPr>
            </w:pPr>
          </w:p>
        </w:tc>
        <w:tc>
          <w:tcPr>
            <w:tcW w:w="1428" w:type="dxa"/>
            <w:vAlign w:val="top"/>
          </w:tcPr>
          <w:p w14:paraId="56AB2593">
            <w:pPr>
              <w:rPr>
                <w:rFonts w:ascii="Arial"/>
                <w:sz w:val="21"/>
                <w:highlight w:val="none"/>
              </w:rPr>
            </w:pPr>
          </w:p>
        </w:tc>
        <w:tc>
          <w:tcPr>
            <w:tcW w:w="1403" w:type="dxa"/>
            <w:vAlign w:val="top"/>
          </w:tcPr>
          <w:p w14:paraId="2AD6CDAC">
            <w:pPr>
              <w:rPr>
                <w:rFonts w:ascii="Arial"/>
                <w:sz w:val="21"/>
                <w:highlight w:val="none"/>
              </w:rPr>
            </w:pPr>
          </w:p>
        </w:tc>
      </w:tr>
      <w:tr w14:paraId="6ADC6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894" w:type="dxa"/>
            <w:vAlign w:val="top"/>
          </w:tcPr>
          <w:p w14:paraId="72C41410">
            <w:pPr>
              <w:rPr>
                <w:rFonts w:ascii="Arial"/>
                <w:sz w:val="21"/>
                <w:highlight w:val="none"/>
              </w:rPr>
            </w:pPr>
          </w:p>
        </w:tc>
        <w:tc>
          <w:tcPr>
            <w:tcW w:w="2257" w:type="dxa"/>
            <w:vAlign w:val="top"/>
          </w:tcPr>
          <w:p w14:paraId="18866696">
            <w:pPr>
              <w:rPr>
                <w:rFonts w:ascii="Arial"/>
                <w:sz w:val="21"/>
                <w:highlight w:val="none"/>
              </w:rPr>
            </w:pPr>
          </w:p>
        </w:tc>
        <w:tc>
          <w:tcPr>
            <w:tcW w:w="1448" w:type="dxa"/>
            <w:vAlign w:val="top"/>
          </w:tcPr>
          <w:p w14:paraId="44915C02">
            <w:pPr>
              <w:rPr>
                <w:rFonts w:ascii="Arial"/>
                <w:sz w:val="21"/>
                <w:highlight w:val="none"/>
              </w:rPr>
            </w:pPr>
          </w:p>
        </w:tc>
        <w:tc>
          <w:tcPr>
            <w:tcW w:w="1069" w:type="dxa"/>
            <w:vAlign w:val="top"/>
          </w:tcPr>
          <w:p w14:paraId="2D8C568C">
            <w:pPr>
              <w:rPr>
                <w:rFonts w:ascii="Arial"/>
                <w:sz w:val="21"/>
                <w:highlight w:val="none"/>
              </w:rPr>
            </w:pPr>
          </w:p>
        </w:tc>
        <w:tc>
          <w:tcPr>
            <w:tcW w:w="1428" w:type="dxa"/>
            <w:vAlign w:val="top"/>
          </w:tcPr>
          <w:p w14:paraId="5FB5E51B">
            <w:pPr>
              <w:rPr>
                <w:rFonts w:ascii="Arial"/>
                <w:sz w:val="21"/>
                <w:highlight w:val="none"/>
              </w:rPr>
            </w:pPr>
          </w:p>
        </w:tc>
        <w:tc>
          <w:tcPr>
            <w:tcW w:w="1403" w:type="dxa"/>
            <w:vAlign w:val="top"/>
          </w:tcPr>
          <w:p w14:paraId="631F831E">
            <w:pPr>
              <w:rPr>
                <w:rFonts w:ascii="Arial"/>
                <w:sz w:val="21"/>
                <w:highlight w:val="none"/>
              </w:rPr>
            </w:pPr>
          </w:p>
        </w:tc>
      </w:tr>
      <w:tr w14:paraId="55B8B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894" w:type="dxa"/>
            <w:vAlign w:val="top"/>
          </w:tcPr>
          <w:p w14:paraId="1084E555">
            <w:pPr>
              <w:rPr>
                <w:rFonts w:ascii="Arial"/>
                <w:sz w:val="21"/>
                <w:highlight w:val="none"/>
              </w:rPr>
            </w:pPr>
          </w:p>
        </w:tc>
        <w:tc>
          <w:tcPr>
            <w:tcW w:w="2257" w:type="dxa"/>
            <w:vAlign w:val="top"/>
          </w:tcPr>
          <w:p w14:paraId="11DE9C7F">
            <w:pPr>
              <w:rPr>
                <w:rFonts w:ascii="Arial"/>
                <w:sz w:val="21"/>
                <w:highlight w:val="none"/>
              </w:rPr>
            </w:pPr>
          </w:p>
        </w:tc>
        <w:tc>
          <w:tcPr>
            <w:tcW w:w="1448" w:type="dxa"/>
            <w:vAlign w:val="top"/>
          </w:tcPr>
          <w:p w14:paraId="796D9AA0">
            <w:pPr>
              <w:rPr>
                <w:rFonts w:ascii="Arial"/>
                <w:sz w:val="21"/>
                <w:highlight w:val="none"/>
              </w:rPr>
            </w:pPr>
          </w:p>
        </w:tc>
        <w:tc>
          <w:tcPr>
            <w:tcW w:w="1069" w:type="dxa"/>
            <w:vAlign w:val="top"/>
          </w:tcPr>
          <w:p w14:paraId="66B010FD">
            <w:pPr>
              <w:rPr>
                <w:rFonts w:ascii="Arial"/>
                <w:sz w:val="21"/>
                <w:highlight w:val="none"/>
              </w:rPr>
            </w:pPr>
          </w:p>
        </w:tc>
        <w:tc>
          <w:tcPr>
            <w:tcW w:w="1428" w:type="dxa"/>
            <w:vAlign w:val="top"/>
          </w:tcPr>
          <w:p w14:paraId="32BC0FC8">
            <w:pPr>
              <w:rPr>
                <w:rFonts w:ascii="Arial"/>
                <w:sz w:val="21"/>
                <w:highlight w:val="none"/>
              </w:rPr>
            </w:pPr>
          </w:p>
        </w:tc>
        <w:tc>
          <w:tcPr>
            <w:tcW w:w="1403" w:type="dxa"/>
            <w:vAlign w:val="top"/>
          </w:tcPr>
          <w:p w14:paraId="6AF5B6D1">
            <w:pPr>
              <w:rPr>
                <w:rFonts w:ascii="Arial"/>
                <w:sz w:val="21"/>
                <w:highlight w:val="none"/>
              </w:rPr>
            </w:pPr>
          </w:p>
        </w:tc>
      </w:tr>
      <w:tr w14:paraId="573CD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4599" w:type="dxa"/>
            <w:gridSpan w:val="3"/>
            <w:vAlign w:val="top"/>
          </w:tcPr>
          <w:p w14:paraId="1AB2E386">
            <w:pPr>
              <w:pStyle w:val="6"/>
              <w:spacing w:before="256" w:line="218" w:lineRule="auto"/>
              <w:ind w:left="1874"/>
              <w:rPr>
                <w:highlight w:val="none"/>
              </w:rPr>
            </w:pPr>
            <w:r>
              <w:rPr>
                <w:spacing w:val="-2"/>
                <w:highlight w:val="none"/>
              </w:rPr>
              <w:t>合计报价</w:t>
            </w:r>
          </w:p>
        </w:tc>
        <w:tc>
          <w:tcPr>
            <w:tcW w:w="3900" w:type="dxa"/>
            <w:gridSpan w:val="3"/>
            <w:vAlign w:val="top"/>
          </w:tcPr>
          <w:p w14:paraId="28B6C584">
            <w:pPr>
              <w:rPr>
                <w:rFonts w:ascii="Arial"/>
                <w:sz w:val="21"/>
                <w:highlight w:val="none"/>
              </w:rPr>
            </w:pPr>
          </w:p>
        </w:tc>
      </w:tr>
    </w:tbl>
    <w:p w14:paraId="0AEFE78C">
      <w:pPr>
        <w:pStyle w:val="2"/>
        <w:rPr>
          <w:highlight w:val="none"/>
        </w:rPr>
      </w:pPr>
    </w:p>
    <w:p w14:paraId="710A976A">
      <w:pPr>
        <w:rPr>
          <w:highlight w:val="none"/>
        </w:rPr>
        <w:sectPr>
          <w:footerReference r:id="rId285" w:type="default"/>
          <w:pgSz w:w="11910" w:h="16840"/>
          <w:pgMar w:top="400" w:right="1715" w:bottom="1238" w:left="1685" w:header="0" w:footer="1006" w:gutter="0"/>
          <w:cols w:space="720" w:num="1"/>
        </w:sectPr>
      </w:pPr>
    </w:p>
    <w:p w14:paraId="517D5556">
      <w:pPr>
        <w:pStyle w:val="2"/>
        <w:spacing w:line="268" w:lineRule="auto"/>
        <w:rPr>
          <w:highlight w:val="none"/>
        </w:rPr>
      </w:pPr>
    </w:p>
    <w:p w14:paraId="075C0D89">
      <w:pPr>
        <w:pStyle w:val="2"/>
        <w:spacing w:line="268" w:lineRule="auto"/>
        <w:rPr>
          <w:highlight w:val="none"/>
        </w:rPr>
      </w:pPr>
    </w:p>
    <w:p w14:paraId="148C2B0A">
      <w:pPr>
        <w:spacing w:before="107" w:line="219" w:lineRule="auto"/>
        <w:ind w:left="94"/>
        <w:rPr>
          <w:rFonts w:ascii="宋体" w:hAnsi="宋体" w:eastAsia="宋体" w:cs="宋体"/>
          <w:sz w:val="33"/>
          <w:szCs w:val="33"/>
          <w:highlight w:val="none"/>
        </w:rPr>
      </w:pPr>
      <w:bookmarkStart w:id="259" w:name="bookmark304"/>
      <w:bookmarkEnd w:id="259"/>
      <w:r>
        <w:rPr>
          <w:rFonts w:ascii="Times New Roman" w:hAnsi="Times New Roman" w:eastAsia="Times New Roman" w:cs="Times New Roman"/>
          <w:spacing w:val="-2"/>
          <w:sz w:val="33"/>
          <w:szCs w:val="33"/>
          <w:highlight w:val="none"/>
        </w:rPr>
        <w:t>2.3</w:t>
      </w:r>
      <w:r>
        <w:rPr>
          <w:rFonts w:ascii="Times New Roman" w:hAnsi="Times New Roman" w:eastAsia="Times New Roman" w:cs="Times New Roman"/>
          <w:spacing w:val="63"/>
          <w:sz w:val="33"/>
          <w:szCs w:val="33"/>
          <w:highlight w:val="none"/>
        </w:rPr>
        <w:t xml:space="preserve"> </w:t>
      </w:r>
      <w:r>
        <w:rPr>
          <w:rFonts w:ascii="宋体" w:hAnsi="宋体" w:eastAsia="宋体" w:cs="宋体"/>
          <w:spacing w:val="-2"/>
          <w:sz w:val="33"/>
          <w:szCs w:val="33"/>
          <w:highlight w:val="none"/>
        </w:rPr>
        <w:t>必备的备品备件费清单</w:t>
      </w:r>
    </w:p>
    <w:p w14:paraId="016D03DC">
      <w:pPr>
        <w:pStyle w:val="2"/>
        <w:spacing w:line="361" w:lineRule="auto"/>
        <w:rPr>
          <w:highlight w:val="none"/>
        </w:rPr>
      </w:pPr>
    </w:p>
    <w:p w14:paraId="1CEA5EC9">
      <w:pPr>
        <w:spacing w:before="68" w:line="219" w:lineRule="auto"/>
        <w:ind w:left="6934"/>
        <w:rPr>
          <w:rFonts w:ascii="宋体" w:hAnsi="宋体" w:eastAsia="宋体" w:cs="宋体"/>
          <w:sz w:val="21"/>
          <w:szCs w:val="21"/>
          <w:highlight w:val="none"/>
        </w:rPr>
      </w:pPr>
      <w:r>
        <w:rPr>
          <w:rFonts w:ascii="宋体" w:hAnsi="宋体" w:eastAsia="宋体" w:cs="宋体"/>
          <w:spacing w:val="-2"/>
          <w:sz w:val="21"/>
          <w:szCs w:val="21"/>
          <w:highlight w:val="none"/>
        </w:rPr>
        <w:t>单位：人民币元</w:t>
      </w:r>
    </w:p>
    <w:p w14:paraId="71B59350">
      <w:pPr>
        <w:spacing w:line="58" w:lineRule="exact"/>
        <w:rPr>
          <w:highlight w:val="none"/>
        </w:rPr>
      </w:pPr>
    </w:p>
    <w:tbl>
      <w:tblPr>
        <w:tblStyle w:val="5"/>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4"/>
        <w:gridCol w:w="1888"/>
        <w:gridCol w:w="1258"/>
        <w:gridCol w:w="1258"/>
        <w:gridCol w:w="1618"/>
        <w:gridCol w:w="1573"/>
      </w:tblGrid>
      <w:tr w14:paraId="0D8F0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5" w:hRule="atLeast"/>
        </w:trPr>
        <w:tc>
          <w:tcPr>
            <w:tcW w:w="914" w:type="dxa"/>
            <w:vAlign w:val="top"/>
          </w:tcPr>
          <w:p w14:paraId="71622939">
            <w:pPr>
              <w:pStyle w:val="6"/>
              <w:spacing w:before="254" w:line="221" w:lineRule="auto"/>
              <w:ind w:left="234"/>
              <w:rPr>
                <w:highlight w:val="none"/>
              </w:rPr>
            </w:pPr>
            <w:r>
              <w:rPr>
                <w:spacing w:val="6"/>
                <w:highlight w:val="none"/>
              </w:rPr>
              <w:t>序号</w:t>
            </w:r>
          </w:p>
        </w:tc>
        <w:tc>
          <w:tcPr>
            <w:tcW w:w="1888" w:type="dxa"/>
            <w:vAlign w:val="top"/>
          </w:tcPr>
          <w:p w14:paraId="4C3C1AFD">
            <w:pPr>
              <w:pStyle w:val="6"/>
              <w:spacing w:before="253" w:line="219" w:lineRule="auto"/>
              <w:ind w:left="340"/>
              <w:rPr>
                <w:highlight w:val="none"/>
              </w:rPr>
            </w:pPr>
            <w:r>
              <w:rPr>
                <w:spacing w:val="1"/>
                <w:highlight w:val="none"/>
              </w:rPr>
              <w:t>备品备件名称</w:t>
            </w:r>
          </w:p>
        </w:tc>
        <w:tc>
          <w:tcPr>
            <w:tcW w:w="1258" w:type="dxa"/>
            <w:vAlign w:val="top"/>
          </w:tcPr>
          <w:p w14:paraId="110C42B2">
            <w:pPr>
              <w:pStyle w:val="6"/>
              <w:spacing w:before="253" w:line="219" w:lineRule="auto"/>
              <w:ind w:left="223"/>
              <w:rPr>
                <w:highlight w:val="none"/>
              </w:rPr>
            </w:pPr>
            <w:r>
              <w:rPr>
                <w:spacing w:val="3"/>
                <w:highlight w:val="none"/>
              </w:rPr>
              <w:t>规格型号</w:t>
            </w:r>
          </w:p>
        </w:tc>
        <w:tc>
          <w:tcPr>
            <w:tcW w:w="1258" w:type="dxa"/>
            <w:vAlign w:val="top"/>
          </w:tcPr>
          <w:p w14:paraId="30FBA9CF">
            <w:pPr>
              <w:pStyle w:val="6"/>
              <w:spacing w:before="253" w:line="219" w:lineRule="auto"/>
              <w:ind w:left="424"/>
              <w:rPr>
                <w:highlight w:val="none"/>
              </w:rPr>
            </w:pPr>
            <w:r>
              <w:rPr>
                <w:spacing w:val="-3"/>
                <w:highlight w:val="none"/>
              </w:rPr>
              <w:t>数量</w:t>
            </w:r>
          </w:p>
        </w:tc>
        <w:tc>
          <w:tcPr>
            <w:tcW w:w="1618" w:type="dxa"/>
            <w:vAlign w:val="top"/>
          </w:tcPr>
          <w:p w14:paraId="211C0CC3">
            <w:pPr>
              <w:pStyle w:val="6"/>
              <w:spacing w:before="251" w:line="218" w:lineRule="auto"/>
              <w:ind w:left="606"/>
              <w:rPr>
                <w:highlight w:val="none"/>
              </w:rPr>
            </w:pPr>
            <w:r>
              <w:rPr>
                <w:spacing w:val="-3"/>
                <w:highlight w:val="none"/>
              </w:rPr>
              <w:t>单价</w:t>
            </w:r>
          </w:p>
        </w:tc>
        <w:tc>
          <w:tcPr>
            <w:tcW w:w="1573" w:type="dxa"/>
            <w:vAlign w:val="top"/>
          </w:tcPr>
          <w:p w14:paraId="2480F42F">
            <w:pPr>
              <w:pStyle w:val="6"/>
              <w:spacing w:before="251" w:line="218" w:lineRule="auto"/>
              <w:ind w:left="588"/>
              <w:rPr>
                <w:highlight w:val="none"/>
              </w:rPr>
            </w:pPr>
            <w:r>
              <w:rPr>
                <w:spacing w:val="-3"/>
                <w:highlight w:val="none"/>
              </w:rPr>
              <w:t>合价</w:t>
            </w:r>
          </w:p>
        </w:tc>
      </w:tr>
      <w:tr w14:paraId="378FE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914" w:type="dxa"/>
            <w:vAlign w:val="top"/>
          </w:tcPr>
          <w:p w14:paraId="69CE01D2">
            <w:pPr>
              <w:rPr>
                <w:rFonts w:ascii="Arial"/>
                <w:sz w:val="21"/>
                <w:highlight w:val="none"/>
              </w:rPr>
            </w:pPr>
          </w:p>
        </w:tc>
        <w:tc>
          <w:tcPr>
            <w:tcW w:w="1888" w:type="dxa"/>
            <w:vAlign w:val="top"/>
          </w:tcPr>
          <w:p w14:paraId="1C043850">
            <w:pPr>
              <w:rPr>
                <w:rFonts w:ascii="Arial"/>
                <w:sz w:val="21"/>
                <w:highlight w:val="none"/>
              </w:rPr>
            </w:pPr>
          </w:p>
        </w:tc>
        <w:tc>
          <w:tcPr>
            <w:tcW w:w="1258" w:type="dxa"/>
            <w:vAlign w:val="top"/>
          </w:tcPr>
          <w:p w14:paraId="6DC73E03">
            <w:pPr>
              <w:rPr>
                <w:rFonts w:ascii="Arial"/>
                <w:sz w:val="21"/>
                <w:highlight w:val="none"/>
              </w:rPr>
            </w:pPr>
          </w:p>
        </w:tc>
        <w:tc>
          <w:tcPr>
            <w:tcW w:w="1258" w:type="dxa"/>
            <w:vAlign w:val="top"/>
          </w:tcPr>
          <w:p w14:paraId="3D72BA5D">
            <w:pPr>
              <w:rPr>
                <w:rFonts w:ascii="Arial"/>
                <w:sz w:val="21"/>
                <w:highlight w:val="none"/>
              </w:rPr>
            </w:pPr>
          </w:p>
        </w:tc>
        <w:tc>
          <w:tcPr>
            <w:tcW w:w="1618" w:type="dxa"/>
            <w:vAlign w:val="top"/>
          </w:tcPr>
          <w:p w14:paraId="0B1708A7">
            <w:pPr>
              <w:rPr>
                <w:rFonts w:ascii="Arial"/>
                <w:sz w:val="21"/>
                <w:highlight w:val="none"/>
              </w:rPr>
            </w:pPr>
          </w:p>
        </w:tc>
        <w:tc>
          <w:tcPr>
            <w:tcW w:w="1573" w:type="dxa"/>
            <w:vAlign w:val="top"/>
          </w:tcPr>
          <w:p w14:paraId="7ABF87A2">
            <w:pPr>
              <w:rPr>
                <w:rFonts w:ascii="Arial"/>
                <w:sz w:val="21"/>
                <w:highlight w:val="none"/>
              </w:rPr>
            </w:pPr>
          </w:p>
        </w:tc>
      </w:tr>
      <w:tr w14:paraId="4AF8B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914" w:type="dxa"/>
            <w:vAlign w:val="top"/>
          </w:tcPr>
          <w:p w14:paraId="1873B9A3">
            <w:pPr>
              <w:rPr>
                <w:rFonts w:ascii="Arial"/>
                <w:sz w:val="21"/>
                <w:highlight w:val="none"/>
              </w:rPr>
            </w:pPr>
          </w:p>
        </w:tc>
        <w:tc>
          <w:tcPr>
            <w:tcW w:w="1888" w:type="dxa"/>
            <w:vAlign w:val="top"/>
          </w:tcPr>
          <w:p w14:paraId="1841CD6F">
            <w:pPr>
              <w:rPr>
                <w:rFonts w:ascii="Arial"/>
                <w:sz w:val="21"/>
                <w:highlight w:val="none"/>
              </w:rPr>
            </w:pPr>
          </w:p>
        </w:tc>
        <w:tc>
          <w:tcPr>
            <w:tcW w:w="1258" w:type="dxa"/>
            <w:vAlign w:val="top"/>
          </w:tcPr>
          <w:p w14:paraId="49AD18EE">
            <w:pPr>
              <w:rPr>
                <w:rFonts w:ascii="Arial"/>
                <w:sz w:val="21"/>
                <w:highlight w:val="none"/>
              </w:rPr>
            </w:pPr>
          </w:p>
        </w:tc>
        <w:tc>
          <w:tcPr>
            <w:tcW w:w="1258" w:type="dxa"/>
            <w:vAlign w:val="top"/>
          </w:tcPr>
          <w:p w14:paraId="20C915D9">
            <w:pPr>
              <w:rPr>
                <w:rFonts w:ascii="Arial"/>
                <w:sz w:val="21"/>
                <w:highlight w:val="none"/>
              </w:rPr>
            </w:pPr>
          </w:p>
        </w:tc>
        <w:tc>
          <w:tcPr>
            <w:tcW w:w="1618" w:type="dxa"/>
            <w:vAlign w:val="top"/>
          </w:tcPr>
          <w:p w14:paraId="1850EBCD">
            <w:pPr>
              <w:rPr>
                <w:rFonts w:ascii="Arial"/>
                <w:sz w:val="21"/>
                <w:highlight w:val="none"/>
              </w:rPr>
            </w:pPr>
          </w:p>
        </w:tc>
        <w:tc>
          <w:tcPr>
            <w:tcW w:w="1573" w:type="dxa"/>
            <w:vAlign w:val="top"/>
          </w:tcPr>
          <w:p w14:paraId="54010E59">
            <w:pPr>
              <w:rPr>
                <w:rFonts w:ascii="Arial"/>
                <w:sz w:val="21"/>
                <w:highlight w:val="none"/>
              </w:rPr>
            </w:pPr>
          </w:p>
        </w:tc>
      </w:tr>
      <w:tr w14:paraId="363FE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5355CD40">
            <w:pPr>
              <w:rPr>
                <w:rFonts w:ascii="Arial"/>
                <w:sz w:val="21"/>
                <w:highlight w:val="none"/>
              </w:rPr>
            </w:pPr>
          </w:p>
        </w:tc>
        <w:tc>
          <w:tcPr>
            <w:tcW w:w="1888" w:type="dxa"/>
            <w:vAlign w:val="top"/>
          </w:tcPr>
          <w:p w14:paraId="37407AEE">
            <w:pPr>
              <w:rPr>
                <w:rFonts w:ascii="Arial"/>
                <w:sz w:val="21"/>
                <w:highlight w:val="none"/>
              </w:rPr>
            </w:pPr>
          </w:p>
        </w:tc>
        <w:tc>
          <w:tcPr>
            <w:tcW w:w="1258" w:type="dxa"/>
            <w:vAlign w:val="top"/>
          </w:tcPr>
          <w:p w14:paraId="5CFB4CBA">
            <w:pPr>
              <w:rPr>
                <w:rFonts w:ascii="Arial"/>
                <w:sz w:val="21"/>
                <w:highlight w:val="none"/>
              </w:rPr>
            </w:pPr>
          </w:p>
        </w:tc>
        <w:tc>
          <w:tcPr>
            <w:tcW w:w="1258" w:type="dxa"/>
            <w:vAlign w:val="top"/>
          </w:tcPr>
          <w:p w14:paraId="12FD0DDB">
            <w:pPr>
              <w:rPr>
                <w:rFonts w:ascii="Arial"/>
                <w:sz w:val="21"/>
                <w:highlight w:val="none"/>
              </w:rPr>
            </w:pPr>
          </w:p>
        </w:tc>
        <w:tc>
          <w:tcPr>
            <w:tcW w:w="1618" w:type="dxa"/>
            <w:vAlign w:val="top"/>
          </w:tcPr>
          <w:p w14:paraId="6D17D396">
            <w:pPr>
              <w:rPr>
                <w:rFonts w:ascii="Arial"/>
                <w:sz w:val="21"/>
                <w:highlight w:val="none"/>
              </w:rPr>
            </w:pPr>
          </w:p>
        </w:tc>
        <w:tc>
          <w:tcPr>
            <w:tcW w:w="1573" w:type="dxa"/>
            <w:vAlign w:val="top"/>
          </w:tcPr>
          <w:p w14:paraId="4F5570EB">
            <w:pPr>
              <w:rPr>
                <w:rFonts w:ascii="Arial"/>
                <w:sz w:val="21"/>
                <w:highlight w:val="none"/>
              </w:rPr>
            </w:pPr>
          </w:p>
        </w:tc>
      </w:tr>
      <w:tr w14:paraId="719BA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914" w:type="dxa"/>
            <w:vAlign w:val="top"/>
          </w:tcPr>
          <w:p w14:paraId="08D7BF05">
            <w:pPr>
              <w:rPr>
                <w:rFonts w:ascii="Arial"/>
                <w:sz w:val="21"/>
                <w:highlight w:val="none"/>
              </w:rPr>
            </w:pPr>
          </w:p>
        </w:tc>
        <w:tc>
          <w:tcPr>
            <w:tcW w:w="1888" w:type="dxa"/>
            <w:vAlign w:val="top"/>
          </w:tcPr>
          <w:p w14:paraId="6F421E8D">
            <w:pPr>
              <w:rPr>
                <w:rFonts w:ascii="Arial"/>
                <w:sz w:val="21"/>
                <w:highlight w:val="none"/>
              </w:rPr>
            </w:pPr>
          </w:p>
        </w:tc>
        <w:tc>
          <w:tcPr>
            <w:tcW w:w="1258" w:type="dxa"/>
            <w:vAlign w:val="top"/>
          </w:tcPr>
          <w:p w14:paraId="0B1A39A8">
            <w:pPr>
              <w:rPr>
                <w:rFonts w:ascii="Arial"/>
                <w:sz w:val="21"/>
                <w:highlight w:val="none"/>
              </w:rPr>
            </w:pPr>
          </w:p>
        </w:tc>
        <w:tc>
          <w:tcPr>
            <w:tcW w:w="1258" w:type="dxa"/>
            <w:vAlign w:val="top"/>
          </w:tcPr>
          <w:p w14:paraId="49C0AE14">
            <w:pPr>
              <w:rPr>
                <w:rFonts w:ascii="Arial"/>
                <w:sz w:val="21"/>
                <w:highlight w:val="none"/>
              </w:rPr>
            </w:pPr>
          </w:p>
        </w:tc>
        <w:tc>
          <w:tcPr>
            <w:tcW w:w="1618" w:type="dxa"/>
            <w:vAlign w:val="top"/>
          </w:tcPr>
          <w:p w14:paraId="1B75B3F1">
            <w:pPr>
              <w:rPr>
                <w:rFonts w:ascii="Arial"/>
                <w:sz w:val="21"/>
                <w:highlight w:val="none"/>
              </w:rPr>
            </w:pPr>
          </w:p>
        </w:tc>
        <w:tc>
          <w:tcPr>
            <w:tcW w:w="1573" w:type="dxa"/>
            <w:vAlign w:val="top"/>
          </w:tcPr>
          <w:p w14:paraId="347A6FE6">
            <w:pPr>
              <w:rPr>
                <w:rFonts w:ascii="Arial"/>
                <w:sz w:val="21"/>
                <w:highlight w:val="none"/>
              </w:rPr>
            </w:pPr>
          </w:p>
        </w:tc>
      </w:tr>
      <w:tr w14:paraId="10D82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914" w:type="dxa"/>
            <w:vAlign w:val="top"/>
          </w:tcPr>
          <w:p w14:paraId="328F29A5">
            <w:pPr>
              <w:rPr>
                <w:rFonts w:ascii="Arial"/>
                <w:sz w:val="21"/>
                <w:highlight w:val="none"/>
              </w:rPr>
            </w:pPr>
          </w:p>
        </w:tc>
        <w:tc>
          <w:tcPr>
            <w:tcW w:w="1888" w:type="dxa"/>
            <w:vAlign w:val="top"/>
          </w:tcPr>
          <w:p w14:paraId="7E2F91EA">
            <w:pPr>
              <w:rPr>
                <w:rFonts w:ascii="Arial"/>
                <w:sz w:val="21"/>
                <w:highlight w:val="none"/>
              </w:rPr>
            </w:pPr>
          </w:p>
        </w:tc>
        <w:tc>
          <w:tcPr>
            <w:tcW w:w="1258" w:type="dxa"/>
            <w:vAlign w:val="top"/>
          </w:tcPr>
          <w:p w14:paraId="66FB609E">
            <w:pPr>
              <w:rPr>
                <w:rFonts w:ascii="Arial"/>
                <w:sz w:val="21"/>
                <w:highlight w:val="none"/>
              </w:rPr>
            </w:pPr>
          </w:p>
        </w:tc>
        <w:tc>
          <w:tcPr>
            <w:tcW w:w="1258" w:type="dxa"/>
            <w:vAlign w:val="top"/>
          </w:tcPr>
          <w:p w14:paraId="183A972A">
            <w:pPr>
              <w:rPr>
                <w:rFonts w:ascii="Arial"/>
                <w:sz w:val="21"/>
                <w:highlight w:val="none"/>
              </w:rPr>
            </w:pPr>
          </w:p>
        </w:tc>
        <w:tc>
          <w:tcPr>
            <w:tcW w:w="1618" w:type="dxa"/>
            <w:vAlign w:val="top"/>
          </w:tcPr>
          <w:p w14:paraId="5F3C876E">
            <w:pPr>
              <w:rPr>
                <w:rFonts w:ascii="Arial"/>
                <w:sz w:val="21"/>
                <w:highlight w:val="none"/>
              </w:rPr>
            </w:pPr>
          </w:p>
        </w:tc>
        <w:tc>
          <w:tcPr>
            <w:tcW w:w="1573" w:type="dxa"/>
            <w:vAlign w:val="top"/>
          </w:tcPr>
          <w:p w14:paraId="21FEE4C4">
            <w:pPr>
              <w:rPr>
                <w:rFonts w:ascii="Arial"/>
                <w:sz w:val="21"/>
                <w:highlight w:val="none"/>
              </w:rPr>
            </w:pPr>
          </w:p>
        </w:tc>
      </w:tr>
      <w:tr w14:paraId="68AAA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14" w:type="dxa"/>
            <w:vAlign w:val="top"/>
          </w:tcPr>
          <w:p w14:paraId="156A738A">
            <w:pPr>
              <w:rPr>
                <w:rFonts w:ascii="Arial"/>
                <w:sz w:val="21"/>
                <w:highlight w:val="none"/>
              </w:rPr>
            </w:pPr>
          </w:p>
        </w:tc>
        <w:tc>
          <w:tcPr>
            <w:tcW w:w="1888" w:type="dxa"/>
            <w:vAlign w:val="top"/>
          </w:tcPr>
          <w:p w14:paraId="46513A0B">
            <w:pPr>
              <w:rPr>
                <w:rFonts w:ascii="Arial"/>
                <w:sz w:val="21"/>
                <w:highlight w:val="none"/>
              </w:rPr>
            </w:pPr>
          </w:p>
        </w:tc>
        <w:tc>
          <w:tcPr>
            <w:tcW w:w="1258" w:type="dxa"/>
            <w:vAlign w:val="top"/>
          </w:tcPr>
          <w:p w14:paraId="5E437653">
            <w:pPr>
              <w:rPr>
                <w:rFonts w:ascii="Arial"/>
                <w:sz w:val="21"/>
                <w:highlight w:val="none"/>
              </w:rPr>
            </w:pPr>
          </w:p>
        </w:tc>
        <w:tc>
          <w:tcPr>
            <w:tcW w:w="1258" w:type="dxa"/>
            <w:vAlign w:val="top"/>
          </w:tcPr>
          <w:p w14:paraId="65653440">
            <w:pPr>
              <w:rPr>
                <w:rFonts w:ascii="Arial"/>
                <w:sz w:val="21"/>
                <w:highlight w:val="none"/>
              </w:rPr>
            </w:pPr>
          </w:p>
        </w:tc>
        <w:tc>
          <w:tcPr>
            <w:tcW w:w="1618" w:type="dxa"/>
            <w:vAlign w:val="top"/>
          </w:tcPr>
          <w:p w14:paraId="176537A4">
            <w:pPr>
              <w:rPr>
                <w:rFonts w:ascii="Arial"/>
                <w:sz w:val="21"/>
                <w:highlight w:val="none"/>
              </w:rPr>
            </w:pPr>
          </w:p>
        </w:tc>
        <w:tc>
          <w:tcPr>
            <w:tcW w:w="1573" w:type="dxa"/>
            <w:vAlign w:val="top"/>
          </w:tcPr>
          <w:p w14:paraId="3C898D71">
            <w:pPr>
              <w:rPr>
                <w:rFonts w:ascii="Arial"/>
                <w:sz w:val="21"/>
                <w:highlight w:val="none"/>
              </w:rPr>
            </w:pPr>
          </w:p>
        </w:tc>
      </w:tr>
      <w:tr w14:paraId="636D3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914" w:type="dxa"/>
            <w:vAlign w:val="top"/>
          </w:tcPr>
          <w:p w14:paraId="46CF5E84">
            <w:pPr>
              <w:rPr>
                <w:rFonts w:ascii="Arial"/>
                <w:sz w:val="21"/>
                <w:highlight w:val="none"/>
              </w:rPr>
            </w:pPr>
          </w:p>
        </w:tc>
        <w:tc>
          <w:tcPr>
            <w:tcW w:w="1888" w:type="dxa"/>
            <w:vAlign w:val="top"/>
          </w:tcPr>
          <w:p w14:paraId="164EAC14">
            <w:pPr>
              <w:rPr>
                <w:rFonts w:ascii="Arial"/>
                <w:sz w:val="21"/>
                <w:highlight w:val="none"/>
              </w:rPr>
            </w:pPr>
          </w:p>
        </w:tc>
        <w:tc>
          <w:tcPr>
            <w:tcW w:w="1258" w:type="dxa"/>
            <w:vAlign w:val="top"/>
          </w:tcPr>
          <w:p w14:paraId="08399AA0">
            <w:pPr>
              <w:rPr>
                <w:rFonts w:ascii="Arial"/>
                <w:sz w:val="21"/>
                <w:highlight w:val="none"/>
              </w:rPr>
            </w:pPr>
          </w:p>
        </w:tc>
        <w:tc>
          <w:tcPr>
            <w:tcW w:w="1258" w:type="dxa"/>
            <w:vAlign w:val="top"/>
          </w:tcPr>
          <w:p w14:paraId="19DED139">
            <w:pPr>
              <w:rPr>
                <w:rFonts w:ascii="Arial"/>
                <w:sz w:val="21"/>
                <w:highlight w:val="none"/>
              </w:rPr>
            </w:pPr>
          </w:p>
        </w:tc>
        <w:tc>
          <w:tcPr>
            <w:tcW w:w="1618" w:type="dxa"/>
            <w:vAlign w:val="top"/>
          </w:tcPr>
          <w:p w14:paraId="05911CA5">
            <w:pPr>
              <w:rPr>
                <w:rFonts w:ascii="Arial"/>
                <w:sz w:val="21"/>
                <w:highlight w:val="none"/>
              </w:rPr>
            </w:pPr>
          </w:p>
        </w:tc>
        <w:tc>
          <w:tcPr>
            <w:tcW w:w="1573" w:type="dxa"/>
            <w:vAlign w:val="top"/>
          </w:tcPr>
          <w:p w14:paraId="5440A3D3">
            <w:pPr>
              <w:rPr>
                <w:rFonts w:ascii="Arial"/>
                <w:sz w:val="21"/>
                <w:highlight w:val="none"/>
              </w:rPr>
            </w:pPr>
          </w:p>
        </w:tc>
      </w:tr>
      <w:tr w14:paraId="1E99A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69EE0890">
            <w:pPr>
              <w:rPr>
                <w:rFonts w:ascii="Arial"/>
                <w:sz w:val="21"/>
                <w:highlight w:val="none"/>
              </w:rPr>
            </w:pPr>
          </w:p>
        </w:tc>
        <w:tc>
          <w:tcPr>
            <w:tcW w:w="1888" w:type="dxa"/>
            <w:vAlign w:val="top"/>
          </w:tcPr>
          <w:p w14:paraId="52C7A133">
            <w:pPr>
              <w:rPr>
                <w:rFonts w:ascii="Arial"/>
                <w:sz w:val="21"/>
                <w:highlight w:val="none"/>
              </w:rPr>
            </w:pPr>
          </w:p>
        </w:tc>
        <w:tc>
          <w:tcPr>
            <w:tcW w:w="1258" w:type="dxa"/>
            <w:vAlign w:val="top"/>
          </w:tcPr>
          <w:p w14:paraId="7A11647A">
            <w:pPr>
              <w:rPr>
                <w:rFonts w:ascii="Arial"/>
                <w:sz w:val="21"/>
                <w:highlight w:val="none"/>
              </w:rPr>
            </w:pPr>
          </w:p>
        </w:tc>
        <w:tc>
          <w:tcPr>
            <w:tcW w:w="1258" w:type="dxa"/>
            <w:vAlign w:val="top"/>
          </w:tcPr>
          <w:p w14:paraId="7B0CD174">
            <w:pPr>
              <w:rPr>
                <w:rFonts w:ascii="Arial"/>
                <w:sz w:val="21"/>
                <w:highlight w:val="none"/>
              </w:rPr>
            </w:pPr>
          </w:p>
        </w:tc>
        <w:tc>
          <w:tcPr>
            <w:tcW w:w="1618" w:type="dxa"/>
            <w:vAlign w:val="top"/>
          </w:tcPr>
          <w:p w14:paraId="40797B71">
            <w:pPr>
              <w:rPr>
                <w:rFonts w:ascii="Arial"/>
                <w:sz w:val="21"/>
                <w:highlight w:val="none"/>
              </w:rPr>
            </w:pPr>
          </w:p>
        </w:tc>
        <w:tc>
          <w:tcPr>
            <w:tcW w:w="1573" w:type="dxa"/>
            <w:vAlign w:val="top"/>
          </w:tcPr>
          <w:p w14:paraId="229543C6">
            <w:pPr>
              <w:rPr>
                <w:rFonts w:ascii="Arial"/>
                <w:sz w:val="21"/>
                <w:highlight w:val="none"/>
              </w:rPr>
            </w:pPr>
          </w:p>
        </w:tc>
      </w:tr>
      <w:tr w14:paraId="3D657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914" w:type="dxa"/>
            <w:vAlign w:val="top"/>
          </w:tcPr>
          <w:p w14:paraId="4DCEDBAC">
            <w:pPr>
              <w:rPr>
                <w:rFonts w:ascii="Arial"/>
                <w:sz w:val="21"/>
                <w:highlight w:val="none"/>
              </w:rPr>
            </w:pPr>
          </w:p>
        </w:tc>
        <w:tc>
          <w:tcPr>
            <w:tcW w:w="1888" w:type="dxa"/>
            <w:vAlign w:val="top"/>
          </w:tcPr>
          <w:p w14:paraId="36690146">
            <w:pPr>
              <w:rPr>
                <w:rFonts w:ascii="Arial"/>
                <w:sz w:val="21"/>
                <w:highlight w:val="none"/>
              </w:rPr>
            </w:pPr>
          </w:p>
        </w:tc>
        <w:tc>
          <w:tcPr>
            <w:tcW w:w="1258" w:type="dxa"/>
            <w:vAlign w:val="top"/>
          </w:tcPr>
          <w:p w14:paraId="0F0D2327">
            <w:pPr>
              <w:rPr>
                <w:rFonts w:ascii="Arial"/>
                <w:sz w:val="21"/>
                <w:highlight w:val="none"/>
              </w:rPr>
            </w:pPr>
          </w:p>
        </w:tc>
        <w:tc>
          <w:tcPr>
            <w:tcW w:w="1258" w:type="dxa"/>
            <w:vAlign w:val="top"/>
          </w:tcPr>
          <w:p w14:paraId="351C222D">
            <w:pPr>
              <w:rPr>
                <w:rFonts w:ascii="Arial"/>
                <w:sz w:val="21"/>
                <w:highlight w:val="none"/>
              </w:rPr>
            </w:pPr>
          </w:p>
        </w:tc>
        <w:tc>
          <w:tcPr>
            <w:tcW w:w="1618" w:type="dxa"/>
            <w:vAlign w:val="top"/>
          </w:tcPr>
          <w:p w14:paraId="04373055">
            <w:pPr>
              <w:rPr>
                <w:rFonts w:ascii="Arial"/>
                <w:sz w:val="21"/>
                <w:highlight w:val="none"/>
              </w:rPr>
            </w:pPr>
          </w:p>
        </w:tc>
        <w:tc>
          <w:tcPr>
            <w:tcW w:w="1573" w:type="dxa"/>
            <w:vAlign w:val="top"/>
          </w:tcPr>
          <w:p w14:paraId="7371CE78">
            <w:pPr>
              <w:rPr>
                <w:rFonts w:ascii="Arial"/>
                <w:sz w:val="21"/>
                <w:highlight w:val="none"/>
              </w:rPr>
            </w:pPr>
          </w:p>
        </w:tc>
      </w:tr>
      <w:tr w14:paraId="15E3C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501E58EE">
            <w:pPr>
              <w:rPr>
                <w:rFonts w:ascii="Arial"/>
                <w:sz w:val="21"/>
                <w:highlight w:val="none"/>
              </w:rPr>
            </w:pPr>
          </w:p>
        </w:tc>
        <w:tc>
          <w:tcPr>
            <w:tcW w:w="1888" w:type="dxa"/>
            <w:vAlign w:val="top"/>
          </w:tcPr>
          <w:p w14:paraId="644644E2">
            <w:pPr>
              <w:rPr>
                <w:rFonts w:ascii="Arial"/>
                <w:sz w:val="21"/>
                <w:highlight w:val="none"/>
              </w:rPr>
            </w:pPr>
          </w:p>
        </w:tc>
        <w:tc>
          <w:tcPr>
            <w:tcW w:w="1258" w:type="dxa"/>
            <w:vAlign w:val="top"/>
          </w:tcPr>
          <w:p w14:paraId="0833D5E6">
            <w:pPr>
              <w:rPr>
                <w:rFonts w:ascii="Arial"/>
                <w:sz w:val="21"/>
                <w:highlight w:val="none"/>
              </w:rPr>
            </w:pPr>
          </w:p>
        </w:tc>
        <w:tc>
          <w:tcPr>
            <w:tcW w:w="1258" w:type="dxa"/>
            <w:vAlign w:val="top"/>
          </w:tcPr>
          <w:p w14:paraId="25ED227F">
            <w:pPr>
              <w:rPr>
                <w:rFonts w:ascii="Arial"/>
                <w:sz w:val="21"/>
                <w:highlight w:val="none"/>
              </w:rPr>
            </w:pPr>
          </w:p>
        </w:tc>
        <w:tc>
          <w:tcPr>
            <w:tcW w:w="1618" w:type="dxa"/>
            <w:vAlign w:val="top"/>
          </w:tcPr>
          <w:p w14:paraId="49748FD3">
            <w:pPr>
              <w:rPr>
                <w:rFonts w:ascii="Arial"/>
                <w:sz w:val="21"/>
                <w:highlight w:val="none"/>
              </w:rPr>
            </w:pPr>
          </w:p>
        </w:tc>
        <w:tc>
          <w:tcPr>
            <w:tcW w:w="1573" w:type="dxa"/>
            <w:vAlign w:val="top"/>
          </w:tcPr>
          <w:p w14:paraId="374CE25C">
            <w:pPr>
              <w:rPr>
                <w:rFonts w:ascii="Arial"/>
                <w:sz w:val="21"/>
                <w:highlight w:val="none"/>
              </w:rPr>
            </w:pPr>
          </w:p>
        </w:tc>
      </w:tr>
      <w:tr w14:paraId="70BCF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914" w:type="dxa"/>
            <w:vAlign w:val="top"/>
          </w:tcPr>
          <w:p w14:paraId="2CE7DE3C">
            <w:pPr>
              <w:rPr>
                <w:rFonts w:ascii="Arial"/>
                <w:sz w:val="21"/>
                <w:highlight w:val="none"/>
              </w:rPr>
            </w:pPr>
          </w:p>
        </w:tc>
        <w:tc>
          <w:tcPr>
            <w:tcW w:w="1888" w:type="dxa"/>
            <w:vAlign w:val="top"/>
          </w:tcPr>
          <w:p w14:paraId="1714149A">
            <w:pPr>
              <w:rPr>
                <w:rFonts w:ascii="Arial"/>
                <w:sz w:val="21"/>
                <w:highlight w:val="none"/>
              </w:rPr>
            </w:pPr>
          </w:p>
        </w:tc>
        <w:tc>
          <w:tcPr>
            <w:tcW w:w="1258" w:type="dxa"/>
            <w:vAlign w:val="top"/>
          </w:tcPr>
          <w:p w14:paraId="68831062">
            <w:pPr>
              <w:rPr>
                <w:rFonts w:ascii="Arial"/>
                <w:sz w:val="21"/>
                <w:highlight w:val="none"/>
              </w:rPr>
            </w:pPr>
          </w:p>
        </w:tc>
        <w:tc>
          <w:tcPr>
            <w:tcW w:w="1258" w:type="dxa"/>
            <w:vAlign w:val="top"/>
          </w:tcPr>
          <w:p w14:paraId="43DAA72A">
            <w:pPr>
              <w:rPr>
                <w:rFonts w:ascii="Arial"/>
                <w:sz w:val="21"/>
                <w:highlight w:val="none"/>
              </w:rPr>
            </w:pPr>
          </w:p>
        </w:tc>
        <w:tc>
          <w:tcPr>
            <w:tcW w:w="1618" w:type="dxa"/>
            <w:vAlign w:val="top"/>
          </w:tcPr>
          <w:p w14:paraId="5404EC0D">
            <w:pPr>
              <w:rPr>
                <w:rFonts w:ascii="Arial"/>
                <w:sz w:val="21"/>
                <w:highlight w:val="none"/>
              </w:rPr>
            </w:pPr>
          </w:p>
        </w:tc>
        <w:tc>
          <w:tcPr>
            <w:tcW w:w="1573" w:type="dxa"/>
            <w:vAlign w:val="top"/>
          </w:tcPr>
          <w:p w14:paraId="6A45133C">
            <w:pPr>
              <w:rPr>
                <w:rFonts w:ascii="Arial"/>
                <w:sz w:val="21"/>
                <w:highlight w:val="none"/>
              </w:rPr>
            </w:pPr>
          </w:p>
        </w:tc>
      </w:tr>
      <w:tr w14:paraId="7D771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914" w:type="dxa"/>
            <w:vAlign w:val="top"/>
          </w:tcPr>
          <w:p w14:paraId="308B7A94">
            <w:pPr>
              <w:rPr>
                <w:rFonts w:ascii="Arial"/>
                <w:sz w:val="21"/>
                <w:highlight w:val="none"/>
              </w:rPr>
            </w:pPr>
          </w:p>
        </w:tc>
        <w:tc>
          <w:tcPr>
            <w:tcW w:w="1888" w:type="dxa"/>
            <w:vAlign w:val="top"/>
          </w:tcPr>
          <w:p w14:paraId="5A74F2B2">
            <w:pPr>
              <w:rPr>
                <w:rFonts w:ascii="Arial"/>
                <w:sz w:val="21"/>
                <w:highlight w:val="none"/>
              </w:rPr>
            </w:pPr>
          </w:p>
        </w:tc>
        <w:tc>
          <w:tcPr>
            <w:tcW w:w="1258" w:type="dxa"/>
            <w:vAlign w:val="top"/>
          </w:tcPr>
          <w:p w14:paraId="720A863B">
            <w:pPr>
              <w:rPr>
                <w:rFonts w:ascii="Arial"/>
                <w:sz w:val="21"/>
                <w:highlight w:val="none"/>
              </w:rPr>
            </w:pPr>
          </w:p>
        </w:tc>
        <w:tc>
          <w:tcPr>
            <w:tcW w:w="1258" w:type="dxa"/>
            <w:vAlign w:val="top"/>
          </w:tcPr>
          <w:p w14:paraId="527DDB95">
            <w:pPr>
              <w:rPr>
                <w:rFonts w:ascii="Arial"/>
                <w:sz w:val="21"/>
                <w:highlight w:val="none"/>
              </w:rPr>
            </w:pPr>
          </w:p>
        </w:tc>
        <w:tc>
          <w:tcPr>
            <w:tcW w:w="1618" w:type="dxa"/>
            <w:vAlign w:val="top"/>
          </w:tcPr>
          <w:p w14:paraId="114C33EA">
            <w:pPr>
              <w:rPr>
                <w:rFonts w:ascii="Arial"/>
                <w:sz w:val="21"/>
                <w:highlight w:val="none"/>
              </w:rPr>
            </w:pPr>
          </w:p>
        </w:tc>
        <w:tc>
          <w:tcPr>
            <w:tcW w:w="1573" w:type="dxa"/>
            <w:vAlign w:val="top"/>
          </w:tcPr>
          <w:p w14:paraId="69BC7F18">
            <w:pPr>
              <w:rPr>
                <w:rFonts w:ascii="Arial"/>
                <w:sz w:val="21"/>
                <w:highlight w:val="none"/>
              </w:rPr>
            </w:pPr>
          </w:p>
        </w:tc>
      </w:tr>
      <w:tr w14:paraId="02DD6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914" w:type="dxa"/>
            <w:vAlign w:val="top"/>
          </w:tcPr>
          <w:p w14:paraId="61330B48">
            <w:pPr>
              <w:rPr>
                <w:rFonts w:ascii="Arial"/>
                <w:sz w:val="21"/>
                <w:highlight w:val="none"/>
              </w:rPr>
            </w:pPr>
          </w:p>
        </w:tc>
        <w:tc>
          <w:tcPr>
            <w:tcW w:w="1888" w:type="dxa"/>
            <w:vAlign w:val="top"/>
          </w:tcPr>
          <w:p w14:paraId="21511CE3">
            <w:pPr>
              <w:rPr>
                <w:rFonts w:ascii="Arial"/>
                <w:sz w:val="21"/>
                <w:highlight w:val="none"/>
              </w:rPr>
            </w:pPr>
          </w:p>
        </w:tc>
        <w:tc>
          <w:tcPr>
            <w:tcW w:w="1258" w:type="dxa"/>
            <w:vAlign w:val="top"/>
          </w:tcPr>
          <w:p w14:paraId="52C07CFF">
            <w:pPr>
              <w:rPr>
                <w:rFonts w:ascii="Arial"/>
                <w:sz w:val="21"/>
                <w:highlight w:val="none"/>
              </w:rPr>
            </w:pPr>
          </w:p>
        </w:tc>
        <w:tc>
          <w:tcPr>
            <w:tcW w:w="1258" w:type="dxa"/>
            <w:vAlign w:val="top"/>
          </w:tcPr>
          <w:p w14:paraId="4A21A95B">
            <w:pPr>
              <w:rPr>
                <w:rFonts w:ascii="Arial"/>
                <w:sz w:val="21"/>
                <w:highlight w:val="none"/>
              </w:rPr>
            </w:pPr>
          </w:p>
        </w:tc>
        <w:tc>
          <w:tcPr>
            <w:tcW w:w="1618" w:type="dxa"/>
            <w:vAlign w:val="top"/>
          </w:tcPr>
          <w:p w14:paraId="12B1BB1F">
            <w:pPr>
              <w:rPr>
                <w:rFonts w:ascii="Arial"/>
                <w:sz w:val="21"/>
                <w:highlight w:val="none"/>
              </w:rPr>
            </w:pPr>
          </w:p>
        </w:tc>
        <w:tc>
          <w:tcPr>
            <w:tcW w:w="1573" w:type="dxa"/>
            <w:vAlign w:val="top"/>
          </w:tcPr>
          <w:p w14:paraId="3D3C89A3">
            <w:pPr>
              <w:rPr>
                <w:rFonts w:ascii="Arial"/>
                <w:sz w:val="21"/>
                <w:highlight w:val="none"/>
              </w:rPr>
            </w:pPr>
          </w:p>
        </w:tc>
      </w:tr>
      <w:tr w14:paraId="5D15C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914" w:type="dxa"/>
            <w:vAlign w:val="top"/>
          </w:tcPr>
          <w:p w14:paraId="0C4AA4D3">
            <w:pPr>
              <w:rPr>
                <w:rFonts w:ascii="Arial"/>
                <w:sz w:val="21"/>
                <w:highlight w:val="none"/>
              </w:rPr>
            </w:pPr>
          </w:p>
        </w:tc>
        <w:tc>
          <w:tcPr>
            <w:tcW w:w="1888" w:type="dxa"/>
            <w:vAlign w:val="top"/>
          </w:tcPr>
          <w:p w14:paraId="6600815D">
            <w:pPr>
              <w:rPr>
                <w:rFonts w:ascii="Arial"/>
                <w:sz w:val="21"/>
                <w:highlight w:val="none"/>
              </w:rPr>
            </w:pPr>
          </w:p>
        </w:tc>
        <w:tc>
          <w:tcPr>
            <w:tcW w:w="1258" w:type="dxa"/>
            <w:vAlign w:val="top"/>
          </w:tcPr>
          <w:p w14:paraId="1B517175">
            <w:pPr>
              <w:rPr>
                <w:rFonts w:ascii="Arial"/>
                <w:sz w:val="21"/>
                <w:highlight w:val="none"/>
              </w:rPr>
            </w:pPr>
          </w:p>
        </w:tc>
        <w:tc>
          <w:tcPr>
            <w:tcW w:w="1258" w:type="dxa"/>
            <w:vAlign w:val="top"/>
          </w:tcPr>
          <w:p w14:paraId="474CA1F9">
            <w:pPr>
              <w:rPr>
                <w:rFonts w:ascii="Arial"/>
                <w:sz w:val="21"/>
                <w:highlight w:val="none"/>
              </w:rPr>
            </w:pPr>
          </w:p>
        </w:tc>
        <w:tc>
          <w:tcPr>
            <w:tcW w:w="1618" w:type="dxa"/>
            <w:vAlign w:val="top"/>
          </w:tcPr>
          <w:p w14:paraId="455FBC71">
            <w:pPr>
              <w:rPr>
                <w:rFonts w:ascii="Arial"/>
                <w:sz w:val="21"/>
                <w:highlight w:val="none"/>
              </w:rPr>
            </w:pPr>
          </w:p>
        </w:tc>
        <w:tc>
          <w:tcPr>
            <w:tcW w:w="1573" w:type="dxa"/>
            <w:vAlign w:val="top"/>
          </w:tcPr>
          <w:p w14:paraId="6D3C29DB">
            <w:pPr>
              <w:rPr>
                <w:rFonts w:ascii="Arial"/>
                <w:sz w:val="21"/>
                <w:highlight w:val="none"/>
              </w:rPr>
            </w:pPr>
          </w:p>
        </w:tc>
      </w:tr>
      <w:tr w14:paraId="7C91A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914" w:type="dxa"/>
            <w:vAlign w:val="top"/>
          </w:tcPr>
          <w:p w14:paraId="55BE006D">
            <w:pPr>
              <w:rPr>
                <w:rFonts w:ascii="Arial"/>
                <w:sz w:val="21"/>
                <w:highlight w:val="none"/>
              </w:rPr>
            </w:pPr>
          </w:p>
        </w:tc>
        <w:tc>
          <w:tcPr>
            <w:tcW w:w="1888" w:type="dxa"/>
            <w:vAlign w:val="top"/>
          </w:tcPr>
          <w:p w14:paraId="0350F927">
            <w:pPr>
              <w:rPr>
                <w:rFonts w:ascii="Arial"/>
                <w:sz w:val="21"/>
                <w:highlight w:val="none"/>
              </w:rPr>
            </w:pPr>
          </w:p>
        </w:tc>
        <w:tc>
          <w:tcPr>
            <w:tcW w:w="1258" w:type="dxa"/>
            <w:vAlign w:val="top"/>
          </w:tcPr>
          <w:p w14:paraId="622E8EBB">
            <w:pPr>
              <w:rPr>
                <w:rFonts w:ascii="Arial"/>
                <w:sz w:val="21"/>
                <w:highlight w:val="none"/>
              </w:rPr>
            </w:pPr>
          </w:p>
        </w:tc>
        <w:tc>
          <w:tcPr>
            <w:tcW w:w="1258" w:type="dxa"/>
            <w:vAlign w:val="top"/>
          </w:tcPr>
          <w:p w14:paraId="69B92BDB">
            <w:pPr>
              <w:rPr>
                <w:rFonts w:ascii="Arial"/>
                <w:sz w:val="21"/>
                <w:highlight w:val="none"/>
              </w:rPr>
            </w:pPr>
          </w:p>
        </w:tc>
        <w:tc>
          <w:tcPr>
            <w:tcW w:w="1618" w:type="dxa"/>
            <w:vAlign w:val="top"/>
          </w:tcPr>
          <w:p w14:paraId="080835D5">
            <w:pPr>
              <w:rPr>
                <w:rFonts w:ascii="Arial"/>
                <w:sz w:val="21"/>
                <w:highlight w:val="none"/>
              </w:rPr>
            </w:pPr>
          </w:p>
        </w:tc>
        <w:tc>
          <w:tcPr>
            <w:tcW w:w="1573" w:type="dxa"/>
            <w:vAlign w:val="top"/>
          </w:tcPr>
          <w:p w14:paraId="0A30578F">
            <w:pPr>
              <w:rPr>
                <w:rFonts w:ascii="Arial"/>
                <w:sz w:val="21"/>
                <w:highlight w:val="none"/>
              </w:rPr>
            </w:pPr>
          </w:p>
        </w:tc>
      </w:tr>
    </w:tbl>
    <w:p w14:paraId="507D9145">
      <w:pPr>
        <w:pStyle w:val="2"/>
        <w:rPr>
          <w:highlight w:val="none"/>
        </w:rPr>
      </w:pPr>
    </w:p>
    <w:p w14:paraId="1595311D">
      <w:pPr>
        <w:rPr>
          <w:highlight w:val="none"/>
        </w:rPr>
        <w:sectPr>
          <w:footerReference r:id="rId286" w:type="default"/>
          <w:pgSz w:w="11910" w:h="16840"/>
          <w:pgMar w:top="400" w:right="1705" w:bottom="1184" w:left="1685" w:header="0" w:footer="1024" w:gutter="0"/>
          <w:cols w:space="720" w:num="1"/>
        </w:sectPr>
      </w:pPr>
    </w:p>
    <w:p w14:paraId="7047E55C">
      <w:pPr>
        <w:spacing w:before="18"/>
        <w:rPr>
          <w:highlight w:val="none"/>
        </w:rPr>
      </w:pPr>
    </w:p>
    <w:p w14:paraId="6C01E797">
      <w:pPr>
        <w:spacing w:before="17"/>
        <w:rPr>
          <w:highlight w:val="none"/>
        </w:rPr>
      </w:pPr>
    </w:p>
    <w:p w14:paraId="6487DF9B">
      <w:pPr>
        <w:spacing w:before="17"/>
        <w:rPr>
          <w:highlight w:val="none"/>
        </w:rPr>
      </w:pPr>
    </w:p>
    <w:p w14:paraId="77613C4D">
      <w:pPr>
        <w:spacing w:before="17"/>
        <w:rPr>
          <w:highlight w:val="none"/>
        </w:rPr>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60"/>
        <w:gridCol w:w="4459"/>
      </w:tblGrid>
      <w:tr w14:paraId="7B4FE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0" w:hRule="atLeast"/>
        </w:trPr>
        <w:tc>
          <w:tcPr>
            <w:tcW w:w="4060" w:type="dxa"/>
            <w:vAlign w:val="top"/>
          </w:tcPr>
          <w:p w14:paraId="4EA62FC2">
            <w:pPr>
              <w:pStyle w:val="6"/>
              <w:spacing w:before="241" w:line="218" w:lineRule="auto"/>
              <w:ind w:left="1604"/>
              <w:rPr>
                <w:highlight w:val="none"/>
              </w:rPr>
            </w:pPr>
            <w:bookmarkStart w:id="260" w:name="bookmark305"/>
            <w:bookmarkEnd w:id="260"/>
            <w:r>
              <w:rPr>
                <w:spacing w:val="-2"/>
                <w:highlight w:val="none"/>
              </w:rPr>
              <w:t>合计报价</w:t>
            </w:r>
          </w:p>
        </w:tc>
        <w:tc>
          <w:tcPr>
            <w:tcW w:w="4459" w:type="dxa"/>
            <w:vAlign w:val="top"/>
          </w:tcPr>
          <w:p w14:paraId="65916923">
            <w:pPr>
              <w:rPr>
                <w:rFonts w:ascii="Arial"/>
                <w:sz w:val="21"/>
                <w:highlight w:val="none"/>
              </w:rPr>
            </w:pPr>
          </w:p>
        </w:tc>
      </w:tr>
    </w:tbl>
    <w:p w14:paraId="7470DD51">
      <w:pPr>
        <w:pStyle w:val="2"/>
        <w:rPr>
          <w:highlight w:val="none"/>
        </w:rPr>
      </w:pPr>
    </w:p>
    <w:p w14:paraId="0C742F42">
      <w:pPr>
        <w:rPr>
          <w:highlight w:val="none"/>
        </w:rPr>
        <w:sectPr>
          <w:footerReference r:id="rId287" w:type="default"/>
          <w:pgSz w:w="11910" w:h="16840"/>
          <w:pgMar w:top="400" w:right="1695" w:bottom="1228" w:left="1685" w:header="0" w:footer="1009" w:gutter="0"/>
          <w:cols w:space="720" w:num="1"/>
        </w:sectPr>
      </w:pPr>
    </w:p>
    <w:p w14:paraId="53EC0418">
      <w:pPr>
        <w:pStyle w:val="2"/>
        <w:spacing w:line="293" w:lineRule="auto"/>
        <w:rPr>
          <w:highlight w:val="none"/>
        </w:rPr>
      </w:pPr>
    </w:p>
    <w:p w14:paraId="73A2C8E3">
      <w:pPr>
        <w:pStyle w:val="2"/>
        <w:spacing w:line="294" w:lineRule="auto"/>
        <w:rPr>
          <w:highlight w:val="none"/>
        </w:rPr>
      </w:pPr>
    </w:p>
    <w:p w14:paraId="37A11E45">
      <w:pPr>
        <w:pStyle w:val="2"/>
        <w:spacing w:line="294" w:lineRule="auto"/>
        <w:rPr>
          <w:highlight w:val="none"/>
        </w:rPr>
      </w:pPr>
    </w:p>
    <w:p w14:paraId="2243522F">
      <w:pPr>
        <w:pStyle w:val="2"/>
        <w:spacing w:line="294" w:lineRule="auto"/>
        <w:rPr>
          <w:highlight w:val="none"/>
        </w:rPr>
      </w:pPr>
    </w:p>
    <w:p w14:paraId="516ABEBD">
      <w:pPr>
        <w:spacing w:before="107" w:line="220" w:lineRule="auto"/>
        <w:ind w:left="124"/>
        <w:rPr>
          <w:rFonts w:ascii="宋体" w:hAnsi="宋体" w:eastAsia="宋体" w:cs="宋体"/>
          <w:sz w:val="33"/>
          <w:szCs w:val="33"/>
          <w:highlight w:val="none"/>
        </w:rPr>
      </w:pPr>
      <w:r>
        <w:rPr>
          <w:rFonts w:ascii="宋体" w:hAnsi="宋体" w:eastAsia="宋体" w:cs="宋体"/>
          <w:sz w:val="33"/>
          <w:szCs w:val="33"/>
          <w:highlight w:val="none"/>
        </w:rPr>
        <w:t>2.</w:t>
      </w:r>
      <w:r>
        <w:rPr>
          <w:rFonts w:ascii="宋体" w:hAnsi="宋体" w:eastAsia="宋体" w:cs="宋体"/>
          <w:b/>
          <w:bCs/>
          <w:sz w:val="33"/>
          <w:szCs w:val="33"/>
          <w:highlight w:val="none"/>
        </w:rPr>
        <w:t>4建筑安装工程费清单</w:t>
      </w:r>
    </w:p>
    <w:p w14:paraId="10A103AE">
      <w:pPr>
        <w:pStyle w:val="2"/>
        <w:spacing w:line="383" w:lineRule="auto"/>
        <w:rPr>
          <w:highlight w:val="none"/>
        </w:rPr>
      </w:pPr>
    </w:p>
    <w:p w14:paraId="5BFDA7CD">
      <w:pPr>
        <w:spacing w:before="68" w:line="219" w:lineRule="auto"/>
        <w:ind w:left="6954"/>
        <w:rPr>
          <w:rFonts w:ascii="宋体" w:hAnsi="宋体" w:eastAsia="宋体" w:cs="宋体"/>
          <w:sz w:val="21"/>
          <w:szCs w:val="21"/>
          <w:highlight w:val="none"/>
        </w:rPr>
      </w:pPr>
      <w:r>
        <w:rPr>
          <w:rFonts w:ascii="宋体" w:hAnsi="宋体" w:eastAsia="宋体" w:cs="宋体"/>
          <w:spacing w:val="-2"/>
          <w:sz w:val="21"/>
          <w:szCs w:val="21"/>
          <w:highlight w:val="none"/>
        </w:rPr>
        <w:t>单位：人民币元</w:t>
      </w:r>
    </w:p>
    <w:p w14:paraId="55A083F7">
      <w:pPr>
        <w:spacing w:line="58" w:lineRule="exact"/>
        <w:rPr>
          <w:highlight w:val="none"/>
        </w:rPr>
      </w:pPr>
    </w:p>
    <w:tbl>
      <w:tblPr>
        <w:tblStyle w:val="5"/>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4"/>
        <w:gridCol w:w="1708"/>
        <w:gridCol w:w="1838"/>
        <w:gridCol w:w="1039"/>
        <w:gridCol w:w="909"/>
        <w:gridCol w:w="1068"/>
        <w:gridCol w:w="1033"/>
      </w:tblGrid>
      <w:tr w14:paraId="2DC4C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trPr>
        <w:tc>
          <w:tcPr>
            <w:tcW w:w="914" w:type="dxa"/>
            <w:vAlign w:val="top"/>
          </w:tcPr>
          <w:p w14:paraId="3E0F09E6">
            <w:pPr>
              <w:pStyle w:val="6"/>
              <w:spacing w:before="254" w:line="221" w:lineRule="auto"/>
              <w:ind w:left="234"/>
              <w:rPr>
                <w:highlight w:val="none"/>
              </w:rPr>
            </w:pPr>
            <w:r>
              <w:rPr>
                <w:spacing w:val="6"/>
                <w:highlight w:val="none"/>
              </w:rPr>
              <w:t>序号</w:t>
            </w:r>
          </w:p>
        </w:tc>
        <w:tc>
          <w:tcPr>
            <w:tcW w:w="1708" w:type="dxa"/>
            <w:vAlign w:val="top"/>
          </w:tcPr>
          <w:p w14:paraId="2D145C49">
            <w:pPr>
              <w:pStyle w:val="6"/>
              <w:spacing w:before="254" w:line="220" w:lineRule="auto"/>
              <w:ind w:left="430"/>
              <w:rPr>
                <w:highlight w:val="none"/>
              </w:rPr>
            </w:pPr>
            <w:r>
              <w:rPr>
                <w:spacing w:val="2"/>
                <w:highlight w:val="none"/>
              </w:rPr>
              <w:t>项目名称</w:t>
            </w:r>
          </w:p>
        </w:tc>
        <w:tc>
          <w:tcPr>
            <w:tcW w:w="1838" w:type="dxa"/>
            <w:vAlign w:val="top"/>
          </w:tcPr>
          <w:p w14:paraId="75555B22">
            <w:pPr>
              <w:pStyle w:val="6"/>
              <w:spacing w:before="253" w:line="219" w:lineRule="auto"/>
              <w:ind w:left="502"/>
              <w:rPr>
                <w:highlight w:val="none"/>
              </w:rPr>
            </w:pPr>
            <w:r>
              <w:rPr>
                <w:spacing w:val="2"/>
                <w:highlight w:val="none"/>
              </w:rPr>
              <w:t>工作内容</w:t>
            </w:r>
          </w:p>
        </w:tc>
        <w:tc>
          <w:tcPr>
            <w:tcW w:w="1039" w:type="dxa"/>
            <w:vAlign w:val="top"/>
          </w:tcPr>
          <w:p w14:paraId="03109878">
            <w:pPr>
              <w:pStyle w:val="6"/>
              <w:spacing w:before="254" w:line="220" w:lineRule="auto"/>
              <w:ind w:left="304"/>
              <w:rPr>
                <w:highlight w:val="none"/>
              </w:rPr>
            </w:pPr>
            <w:r>
              <w:rPr>
                <w:spacing w:val="-3"/>
                <w:highlight w:val="none"/>
              </w:rPr>
              <w:t>单位</w:t>
            </w:r>
          </w:p>
        </w:tc>
        <w:tc>
          <w:tcPr>
            <w:tcW w:w="909" w:type="dxa"/>
            <w:vAlign w:val="top"/>
          </w:tcPr>
          <w:p w14:paraId="54C8410D">
            <w:pPr>
              <w:pStyle w:val="6"/>
              <w:spacing w:before="253" w:line="219" w:lineRule="auto"/>
              <w:ind w:left="246"/>
              <w:rPr>
                <w:highlight w:val="none"/>
              </w:rPr>
            </w:pPr>
            <w:r>
              <w:rPr>
                <w:spacing w:val="-3"/>
                <w:highlight w:val="none"/>
              </w:rPr>
              <w:t>数量</w:t>
            </w:r>
          </w:p>
        </w:tc>
        <w:tc>
          <w:tcPr>
            <w:tcW w:w="1068" w:type="dxa"/>
            <w:vAlign w:val="top"/>
          </w:tcPr>
          <w:p w14:paraId="1E4B1A2B">
            <w:pPr>
              <w:pStyle w:val="6"/>
              <w:spacing w:before="251" w:line="218" w:lineRule="auto"/>
              <w:ind w:left="326"/>
              <w:rPr>
                <w:highlight w:val="none"/>
              </w:rPr>
            </w:pPr>
            <w:r>
              <w:rPr>
                <w:spacing w:val="-3"/>
                <w:highlight w:val="none"/>
              </w:rPr>
              <w:t>单价</w:t>
            </w:r>
          </w:p>
        </w:tc>
        <w:tc>
          <w:tcPr>
            <w:tcW w:w="1033" w:type="dxa"/>
            <w:vAlign w:val="top"/>
          </w:tcPr>
          <w:p w14:paraId="1455EB5E">
            <w:pPr>
              <w:pStyle w:val="6"/>
              <w:spacing w:before="251" w:line="218" w:lineRule="auto"/>
              <w:ind w:left="318"/>
              <w:rPr>
                <w:highlight w:val="none"/>
              </w:rPr>
            </w:pPr>
            <w:r>
              <w:rPr>
                <w:spacing w:val="-3"/>
                <w:highlight w:val="none"/>
              </w:rPr>
              <w:t>合价</w:t>
            </w:r>
          </w:p>
        </w:tc>
      </w:tr>
      <w:tr w14:paraId="11E22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914" w:type="dxa"/>
            <w:vAlign w:val="top"/>
          </w:tcPr>
          <w:p w14:paraId="2990F498">
            <w:pPr>
              <w:rPr>
                <w:rFonts w:ascii="Arial"/>
                <w:sz w:val="21"/>
                <w:highlight w:val="none"/>
              </w:rPr>
            </w:pPr>
          </w:p>
        </w:tc>
        <w:tc>
          <w:tcPr>
            <w:tcW w:w="1708" w:type="dxa"/>
            <w:vAlign w:val="top"/>
          </w:tcPr>
          <w:p w14:paraId="0EB7835D">
            <w:pPr>
              <w:rPr>
                <w:rFonts w:ascii="Arial"/>
                <w:sz w:val="21"/>
                <w:highlight w:val="none"/>
              </w:rPr>
            </w:pPr>
          </w:p>
        </w:tc>
        <w:tc>
          <w:tcPr>
            <w:tcW w:w="1838" w:type="dxa"/>
            <w:vAlign w:val="top"/>
          </w:tcPr>
          <w:p w14:paraId="7518500B">
            <w:pPr>
              <w:rPr>
                <w:rFonts w:ascii="Arial"/>
                <w:sz w:val="21"/>
                <w:highlight w:val="none"/>
              </w:rPr>
            </w:pPr>
          </w:p>
        </w:tc>
        <w:tc>
          <w:tcPr>
            <w:tcW w:w="1039" w:type="dxa"/>
            <w:vAlign w:val="top"/>
          </w:tcPr>
          <w:p w14:paraId="63090E37">
            <w:pPr>
              <w:rPr>
                <w:rFonts w:ascii="Arial"/>
                <w:sz w:val="21"/>
                <w:highlight w:val="none"/>
              </w:rPr>
            </w:pPr>
          </w:p>
        </w:tc>
        <w:tc>
          <w:tcPr>
            <w:tcW w:w="909" w:type="dxa"/>
            <w:vAlign w:val="top"/>
          </w:tcPr>
          <w:p w14:paraId="3DDABF13">
            <w:pPr>
              <w:rPr>
                <w:rFonts w:ascii="Arial"/>
                <w:sz w:val="21"/>
                <w:highlight w:val="none"/>
              </w:rPr>
            </w:pPr>
          </w:p>
        </w:tc>
        <w:tc>
          <w:tcPr>
            <w:tcW w:w="1068" w:type="dxa"/>
            <w:vAlign w:val="top"/>
          </w:tcPr>
          <w:p w14:paraId="18AE61F5">
            <w:pPr>
              <w:rPr>
                <w:rFonts w:ascii="Arial"/>
                <w:sz w:val="21"/>
                <w:highlight w:val="none"/>
              </w:rPr>
            </w:pPr>
          </w:p>
        </w:tc>
        <w:tc>
          <w:tcPr>
            <w:tcW w:w="1033" w:type="dxa"/>
            <w:vAlign w:val="top"/>
          </w:tcPr>
          <w:p w14:paraId="5E3680D1">
            <w:pPr>
              <w:rPr>
                <w:rFonts w:ascii="Arial"/>
                <w:sz w:val="21"/>
                <w:highlight w:val="none"/>
              </w:rPr>
            </w:pPr>
          </w:p>
        </w:tc>
      </w:tr>
      <w:tr w14:paraId="6B652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914" w:type="dxa"/>
            <w:vAlign w:val="top"/>
          </w:tcPr>
          <w:p w14:paraId="2CD704AE">
            <w:pPr>
              <w:rPr>
                <w:rFonts w:ascii="Arial"/>
                <w:sz w:val="21"/>
                <w:highlight w:val="none"/>
              </w:rPr>
            </w:pPr>
          </w:p>
        </w:tc>
        <w:tc>
          <w:tcPr>
            <w:tcW w:w="1708" w:type="dxa"/>
            <w:vAlign w:val="top"/>
          </w:tcPr>
          <w:p w14:paraId="60CA7F5B">
            <w:pPr>
              <w:rPr>
                <w:rFonts w:ascii="Arial"/>
                <w:sz w:val="21"/>
                <w:highlight w:val="none"/>
              </w:rPr>
            </w:pPr>
          </w:p>
        </w:tc>
        <w:tc>
          <w:tcPr>
            <w:tcW w:w="1838" w:type="dxa"/>
            <w:vAlign w:val="top"/>
          </w:tcPr>
          <w:p w14:paraId="15AB6064">
            <w:pPr>
              <w:rPr>
                <w:rFonts w:ascii="Arial"/>
                <w:sz w:val="21"/>
                <w:highlight w:val="none"/>
              </w:rPr>
            </w:pPr>
          </w:p>
        </w:tc>
        <w:tc>
          <w:tcPr>
            <w:tcW w:w="1039" w:type="dxa"/>
            <w:vAlign w:val="top"/>
          </w:tcPr>
          <w:p w14:paraId="59C893EC">
            <w:pPr>
              <w:rPr>
                <w:rFonts w:ascii="Arial"/>
                <w:sz w:val="21"/>
                <w:highlight w:val="none"/>
              </w:rPr>
            </w:pPr>
          </w:p>
        </w:tc>
        <w:tc>
          <w:tcPr>
            <w:tcW w:w="909" w:type="dxa"/>
            <w:vAlign w:val="top"/>
          </w:tcPr>
          <w:p w14:paraId="71E5D28B">
            <w:pPr>
              <w:rPr>
                <w:rFonts w:ascii="Arial"/>
                <w:sz w:val="21"/>
                <w:highlight w:val="none"/>
              </w:rPr>
            </w:pPr>
          </w:p>
        </w:tc>
        <w:tc>
          <w:tcPr>
            <w:tcW w:w="1068" w:type="dxa"/>
            <w:vAlign w:val="top"/>
          </w:tcPr>
          <w:p w14:paraId="5C70D1AD">
            <w:pPr>
              <w:rPr>
                <w:rFonts w:ascii="Arial"/>
                <w:sz w:val="21"/>
                <w:highlight w:val="none"/>
              </w:rPr>
            </w:pPr>
          </w:p>
        </w:tc>
        <w:tc>
          <w:tcPr>
            <w:tcW w:w="1033" w:type="dxa"/>
            <w:vAlign w:val="top"/>
          </w:tcPr>
          <w:p w14:paraId="6E07F885">
            <w:pPr>
              <w:rPr>
                <w:rFonts w:ascii="Arial"/>
                <w:sz w:val="21"/>
                <w:highlight w:val="none"/>
              </w:rPr>
            </w:pPr>
          </w:p>
        </w:tc>
      </w:tr>
      <w:tr w14:paraId="6044E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914" w:type="dxa"/>
            <w:vAlign w:val="top"/>
          </w:tcPr>
          <w:p w14:paraId="23149BFC">
            <w:pPr>
              <w:rPr>
                <w:rFonts w:ascii="Arial"/>
                <w:sz w:val="21"/>
                <w:highlight w:val="none"/>
              </w:rPr>
            </w:pPr>
          </w:p>
        </w:tc>
        <w:tc>
          <w:tcPr>
            <w:tcW w:w="1708" w:type="dxa"/>
            <w:vAlign w:val="top"/>
          </w:tcPr>
          <w:p w14:paraId="3BE3CD3A">
            <w:pPr>
              <w:rPr>
                <w:rFonts w:ascii="Arial"/>
                <w:sz w:val="21"/>
                <w:highlight w:val="none"/>
              </w:rPr>
            </w:pPr>
          </w:p>
        </w:tc>
        <w:tc>
          <w:tcPr>
            <w:tcW w:w="1838" w:type="dxa"/>
            <w:vAlign w:val="top"/>
          </w:tcPr>
          <w:p w14:paraId="10B03FB1">
            <w:pPr>
              <w:rPr>
                <w:rFonts w:ascii="Arial"/>
                <w:sz w:val="21"/>
                <w:highlight w:val="none"/>
              </w:rPr>
            </w:pPr>
          </w:p>
        </w:tc>
        <w:tc>
          <w:tcPr>
            <w:tcW w:w="1039" w:type="dxa"/>
            <w:vAlign w:val="top"/>
          </w:tcPr>
          <w:p w14:paraId="77DF3712">
            <w:pPr>
              <w:rPr>
                <w:rFonts w:ascii="Arial"/>
                <w:sz w:val="21"/>
                <w:highlight w:val="none"/>
              </w:rPr>
            </w:pPr>
          </w:p>
        </w:tc>
        <w:tc>
          <w:tcPr>
            <w:tcW w:w="909" w:type="dxa"/>
            <w:vAlign w:val="top"/>
          </w:tcPr>
          <w:p w14:paraId="6269D1F4">
            <w:pPr>
              <w:rPr>
                <w:rFonts w:ascii="Arial"/>
                <w:sz w:val="21"/>
                <w:highlight w:val="none"/>
              </w:rPr>
            </w:pPr>
          </w:p>
        </w:tc>
        <w:tc>
          <w:tcPr>
            <w:tcW w:w="1068" w:type="dxa"/>
            <w:vAlign w:val="top"/>
          </w:tcPr>
          <w:p w14:paraId="34C78E5D">
            <w:pPr>
              <w:rPr>
                <w:rFonts w:ascii="Arial"/>
                <w:sz w:val="21"/>
                <w:highlight w:val="none"/>
              </w:rPr>
            </w:pPr>
          </w:p>
        </w:tc>
        <w:tc>
          <w:tcPr>
            <w:tcW w:w="1033" w:type="dxa"/>
            <w:vAlign w:val="top"/>
          </w:tcPr>
          <w:p w14:paraId="09C3BD5C">
            <w:pPr>
              <w:rPr>
                <w:rFonts w:ascii="Arial"/>
                <w:sz w:val="21"/>
                <w:highlight w:val="none"/>
              </w:rPr>
            </w:pPr>
          </w:p>
        </w:tc>
      </w:tr>
      <w:tr w14:paraId="58C85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914" w:type="dxa"/>
            <w:vAlign w:val="top"/>
          </w:tcPr>
          <w:p w14:paraId="69897982">
            <w:pPr>
              <w:rPr>
                <w:rFonts w:ascii="Arial"/>
                <w:sz w:val="21"/>
                <w:highlight w:val="none"/>
              </w:rPr>
            </w:pPr>
          </w:p>
        </w:tc>
        <w:tc>
          <w:tcPr>
            <w:tcW w:w="1708" w:type="dxa"/>
            <w:vAlign w:val="top"/>
          </w:tcPr>
          <w:p w14:paraId="0EBB1205">
            <w:pPr>
              <w:rPr>
                <w:rFonts w:ascii="Arial"/>
                <w:sz w:val="21"/>
                <w:highlight w:val="none"/>
              </w:rPr>
            </w:pPr>
          </w:p>
        </w:tc>
        <w:tc>
          <w:tcPr>
            <w:tcW w:w="1838" w:type="dxa"/>
            <w:vAlign w:val="top"/>
          </w:tcPr>
          <w:p w14:paraId="57859DD9">
            <w:pPr>
              <w:rPr>
                <w:rFonts w:ascii="Arial"/>
                <w:sz w:val="21"/>
                <w:highlight w:val="none"/>
              </w:rPr>
            </w:pPr>
          </w:p>
        </w:tc>
        <w:tc>
          <w:tcPr>
            <w:tcW w:w="1039" w:type="dxa"/>
            <w:vAlign w:val="top"/>
          </w:tcPr>
          <w:p w14:paraId="7B69E3C4">
            <w:pPr>
              <w:rPr>
                <w:rFonts w:ascii="Arial"/>
                <w:sz w:val="21"/>
                <w:highlight w:val="none"/>
              </w:rPr>
            </w:pPr>
          </w:p>
        </w:tc>
        <w:tc>
          <w:tcPr>
            <w:tcW w:w="909" w:type="dxa"/>
            <w:vAlign w:val="top"/>
          </w:tcPr>
          <w:p w14:paraId="2B45D26F">
            <w:pPr>
              <w:rPr>
                <w:rFonts w:ascii="Arial"/>
                <w:sz w:val="21"/>
                <w:highlight w:val="none"/>
              </w:rPr>
            </w:pPr>
          </w:p>
        </w:tc>
        <w:tc>
          <w:tcPr>
            <w:tcW w:w="1068" w:type="dxa"/>
            <w:vAlign w:val="top"/>
          </w:tcPr>
          <w:p w14:paraId="1CC479CA">
            <w:pPr>
              <w:rPr>
                <w:rFonts w:ascii="Arial"/>
                <w:sz w:val="21"/>
                <w:highlight w:val="none"/>
              </w:rPr>
            </w:pPr>
          </w:p>
        </w:tc>
        <w:tc>
          <w:tcPr>
            <w:tcW w:w="1033" w:type="dxa"/>
            <w:vAlign w:val="top"/>
          </w:tcPr>
          <w:p w14:paraId="32E126B4">
            <w:pPr>
              <w:rPr>
                <w:rFonts w:ascii="Arial"/>
                <w:sz w:val="21"/>
                <w:highlight w:val="none"/>
              </w:rPr>
            </w:pPr>
          </w:p>
        </w:tc>
      </w:tr>
      <w:tr w14:paraId="137F3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914" w:type="dxa"/>
            <w:vAlign w:val="top"/>
          </w:tcPr>
          <w:p w14:paraId="42617EFA">
            <w:pPr>
              <w:rPr>
                <w:rFonts w:ascii="Arial"/>
                <w:sz w:val="21"/>
                <w:highlight w:val="none"/>
              </w:rPr>
            </w:pPr>
          </w:p>
        </w:tc>
        <w:tc>
          <w:tcPr>
            <w:tcW w:w="1708" w:type="dxa"/>
            <w:vAlign w:val="top"/>
          </w:tcPr>
          <w:p w14:paraId="62D8B149">
            <w:pPr>
              <w:rPr>
                <w:rFonts w:ascii="Arial"/>
                <w:sz w:val="21"/>
                <w:highlight w:val="none"/>
              </w:rPr>
            </w:pPr>
          </w:p>
        </w:tc>
        <w:tc>
          <w:tcPr>
            <w:tcW w:w="1838" w:type="dxa"/>
            <w:vAlign w:val="top"/>
          </w:tcPr>
          <w:p w14:paraId="08DF7A97">
            <w:pPr>
              <w:rPr>
                <w:rFonts w:ascii="Arial"/>
                <w:sz w:val="21"/>
                <w:highlight w:val="none"/>
              </w:rPr>
            </w:pPr>
          </w:p>
        </w:tc>
        <w:tc>
          <w:tcPr>
            <w:tcW w:w="1039" w:type="dxa"/>
            <w:vAlign w:val="top"/>
          </w:tcPr>
          <w:p w14:paraId="1EEB7FD2">
            <w:pPr>
              <w:rPr>
                <w:rFonts w:ascii="Arial"/>
                <w:sz w:val="21"/>
                <w:highlight w:val="none"/>
              </w:rPr>
            </w:pPr>
          </w:p>
        </w:tc>
        <w:tc>
          <w:tcPr>
            <w:tcW w:w="909" w:type="dxa"/>
            <w:vAlign w:val="top"/>
          </w:tcPr>
          <w:p w14:paraId="5A4E9EFC">
            <w:pPr>
              <w:rPr>
                <w:rFonts w:ascii="Arial"/>
                <w:sz w:val="21"/>
                <w:highlight w:val="none"/>
              </w:rPr>
            </w:pPr>
          </w:p>
        </w:tc>
        <w:tc>
          <w:tcPr>
            <w:tcW w:w="1068" w:type="dxa"/>
            <w:vAlign w:val="top"/>
          </w:tcPr>
          <w:p w14:paraId="552404CB">
            <w:pPr>
              <w:rPr>
                <w:rFonts w:ascii="Arial"/>
                <w:sz w:val="21"/>
                <w:highlight w:val="none"/>
              </w:rPr>
            </w:pPr>
          </w:p>
        </w:tc>
        <w:tc>
          <w:tcPr>
            <w:tcW w:w="1033" w:type="dxa"/>
            <w:vAlign w:val="top"/>
          </w:tcPr>
          <w:p w14:paraId="1C97119D">
            <w:pPr>
              <w:rPr>
                <w:rFonts w:ascii="Arial"/>
                <w:sz w:val="21"/>
                <w:highlight w:val="none"/>
              </w:rPr>
            </w:pPr>
          </w:p>
        </w:tc>
      </w:tr>
      <w:tr w14:paraId="732FC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914" w:type="dxa"/>
            <w:vAlign w:val="top"/>
          </w:tcPr>
          <w:p w14:paraId="6AB225FF">
            <w:pPr>
              <w:rPr>
                <w:rFonts w:ascii="Arial"/>
                <w:sz w:val="21"/>
                <w:highlight w:val="none"/>
              </w:rPr>
            </w:pPr>
          </w:p>
        </w:tc>
        <w:tc>
          <w:tcPr>
            <w:tcW w:w="1708" w:type="dxa"/>
            <w:vAlign w:val="top"/>
          </w:tcPr>
          <w:p w14:paraId="5ED2C73A">
            <w:pPr>
              <w:rPr>
                <w:rFonts w:ascii="Arial"/>
                <w:sz w:val="21"/>
                <w:highlight w:val="none"/>
              </w:rPr>
            </w:pPr>
          </w:p>
        </w:tc>
        <w:tc>
          <w:tcPr>
            <w:tcW w:w="1838" w:type="dxa"/>
            <w:vAlign w:val="top"/>
          </w:tcPr>
          <w:p w14:paraId="3FEC3BB9">
            <w:pPr>
              <w:rPr>
                <w:rFonts w:ascii="Arial"/>
                <w:sz w:val="21"/>
                <w:highlight w:val="none"/>
              </w:rPr>
            </w:pPr>
          </w:p>
        </w:tc>
        <w:tc>
          <w:tcPr>
            <w:tcW w:w="1039" w:type="dxa"/>
            <w:vAlign w:val="top"/>
          </w:tcPr>
          <w:p w14:paraId="18B65290">
            <w:pPr>
              <w:rPr>
                <w:rFonts w:ascii="Arial"/>
                <w:sz w:val="21"/>
                <w:highlight w:val="none"/>
              </w:rPr>
            </w:pPr>
          </w:p>
        </w:tc>
        <w:tc>
          <w:tcPr>
            <w:tcW w:w="909" w:type="dxa"/>
            <w:vAlign w:val="top"/>
          </w:tcPr>
          <w:p w14:paraId="6D929E5C">
            <w:pPr>
              <w:rPr>
                <w:rFonts w:ascii="Arial"/>
                <w:sz w:val="21"/>
                <w:highlight w:val="none"/>
              </w:rPr>
            </w:pPr>
          </w:p>
        </w:tc>
        <w:tc>
          <w:tcPr>
            <w:tcW w:w="1068" w:type="dxa"/>
            <w:vAlign w:val="top"/>
          </w:tcPr>
          <w:p w14:paraId="2602F9E6">
            <w:pPr>
              <w:rPr>
                <w:rFonts w:ascii="Arial"/>
                <w:sz w:val="21"/>
                <w:highlight w:val="none"/>
              </w:rPr>
            </w:pPr>
          </w:p>
        </w:tc>
        <w:tc>
          <w:tcPr>
            <w:tcW w:w="1033" w:type="dxa"/>
            <w:vAlign w:val="top"/>
          </w:tcPr>
          <w:p w14:paraId="7DF7838E">
            <w:pPr>
              <w:rPr>
                <w:rFonts w:ascii="Arial"/>
                <w:sz w:val="21"/>
                <w:highlight w:val="none"/>
              </w:rPr>
            </w:pPr>
          </w:p>
        </w:tc>
      </w:tr>
      <w:tr w14:paraId="27B37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914" w:type="dxa"/>
            <w:vAlign w:val="top"/>
          </w:tcPr>
          <w:p w14:paraId="776EF21B">
            <w:pPr>
              <w:rPr>
                <w:rFonts w:ascii="Arial"/>
                <w:sz w:val="21"/>
                <w:highlight w:val="none"/>
              </w:rPr>
            </w:pPr>
          </w:p>
        </w:tc>
        <w:tc>
          <w:tcPr>
            <w:tcW w:w="1708" w:type="dxa"/>
            <w:vAlign w:val="top"/>
          </w:tcPr>
          <w:p w14:paraId="6DEFB00C">
            <w:pPr>
              <w:rPr>
                <w:rFonts w:ascii="Arial"/>
                <w:sz w:val="21"/>
                <w:highlight w:val="none"/>
              </w:rPr>
            </w:pPr>
          </w:p>
        </w:tc>
        <w:tc>
          <w:tcPr>
            <w:tcW w:w="1838" w:type="dxa"/>
            <w:vAlign w:val="top"/>
          </w:tcPr>
          <w:p w14:paraId="41E76E47">
            <w:pPr>
              <w:rPr>
                <w:rFonts w:ascii="Arial"/>
                <w:sz w:val="21"/>
                <w:highlight w:val="none"/>
              </w:rPr>
            </w:pPr>
          </w:p>
        </w:tc>
        <w:tc>
          <w:tcPr>
            <w:tcW w:w="1039" w:type="dxa"/>
            <w:vAlign w:val="top"/>
          </w:tcPr>
          <w:p w14:paraId="65D08466">
            <w:pPr>
              <w:rPr>
                <w:rFonts w:ascii="Arial"/>
                <w:sz w:val="21"/>
                <w:highlight w:val="none"/>
              </w:rPr>
            </w:pPr>
          </w:p>
        </w:tc>
        <w:tc>
          <w:tcPr>
            <w:tcW w:w="909" w:type="dxa"/>
            <w:vAlign w:val="top"/>
          </w:tcPr>
          <w:p w14:paraId="2F67C3D8">
            <w:pPr>
              <w:rPr>
                <w:rFonts w:ascii="Arial"/>
                <w:sz w:val="21"/>
                <w:highlight w:val="none"/>
              </w:rPr>
            </w:pPr>
          </w:p>
        </w:tc>
        <w:tc>
          <w:tcPr>
            <w:tcW w:w="1068" w:type="dxa"/>
            <w:vAlign w:val="top"/>
          </w:tcPr>
          <w:p w14:paraId="20087558">
            <w:pPr>
              <w:rPr>
                <w:rFonts w:ascii="Arial"/>
                <w:sz w:val="21"/>
                <w:highlight w:val="none"/>
              </w:rPr>
            </w:pPr>
          </w:p>
        </w:tc>
        <w:tc>
          <w:tcPr>
            <w:tcW w:w="1033" w:type="dxa"/>
            <w:vAlign w:val="top"/>
          </w:tcPr>
          <w:p w14:paraId="30F36035">
            <w:pPr>
              <w:rPr>
                <w:rFonts w:ascii="Arial"/>
                <w:sz w:val="21"/>
                <w:highlight w:val="none"/>
              </w:rPr>
            </w:pPr>
          </w:p>
        </w:tc>
      </w:tr>
      <w:tr w14:paraId="78A2C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2EFF7E6D">
            <w:pPr>
              <w:rPr>
                <w:rFonts w:ascii="Arial"/>
                <w:sz w:val="21"/>
                <w:highlight w:val="none"/>
              </w:rPr>
            </w:pPr>
          </w:p>
        </w:tc>
        <w:tc>
          <w:tcPr>
            <w:tcW w:w="1708" w:type="dxa"/>
            <w:vAlign w:val="top"/>
          </w:tcPr>
          <w:p w14:paraId="3F6876A0">
            <w:pPr>
              <w:rPr>
                <w:rFonts w:ascii="Arial"/>
                <w:sz w:val="21"/>
                <w:highlight w:val="none"/>
              </w:rPr>
            </w:pPr>
          </w:p>
        </w:tc>
        <w:tc>
          <w:tcPr>
            <w:tcW w:w="1838" w:type="dxa"/>
            <w:vAlign w:val="top"/>
          </w:tcPr>
          <w:p w14:paraId="5EED9F72">
            <w:pPr>
              <w:rPr>
                <w:rFonts w:ascii="Arial"/>
                <w:sz w:val="21"/>
                <w:highlight w:val="none"/>
              </w:rPr>
            </w:pPr>
          </w:p>
        </w:tc>
        <w:tc>
          <w:tcPr>
            <w:tcW w:w="1039" w:type="dxa"/>
            <w:vAlign w:val="top"/>
          </w:tcPr>
          <w:p w14:paraId="458D5B5A">
            <w:pPr>
              <w:rPr>
                <w:rFonts w:ascii="Arial"/>
                <w:sz w:val="21"/>
                <w:highlight w:val="none"/>
              </w:rPr>
            </w:pPr>
          </w:p>
        </w:tc>
        <w:tc>
          <w:tcPr>
            <w:tcW w:w="909" w:type="dxa"/>
            <w:vAlign w:val="top"/>
          </w:tcPr>
          <w:p w14:paraId="5B35F539">
            <w:pPr>
              <w:rPr>
                <w:rFonts w:ascii="Arial"/>
                <w:sz w:val="21"/>
                <w:highlight w:val="none"/>
              </w:rPr>
            </w:pPr>
          </w:p>
        </w:tc>
        <w:tc>
          <w:tcPr>
            <w:tcW w:w="1068" w:type="dxa"/>
            <w:vAlign w:val="top"/>
          </w:tcPr>
          <w:p w14:paraId="6DF11D9F">
            <w:pPr>
              <w:rPr>
                <w:rFonts w:ascii="Arial"/>
                <w:sz w:val="21"/>
                <w:highlight w:val="none"/>
              </w:rPr>
            </w:pPr>
          </w:p>
        </w:tc>
        <w:tc>
          <w:tcPr>
            <w:tcW w:w="1033" w:type="dxa"/>
            <w:vAlign w:val="top"/>
          </w:tcPr>
          <w:p w14:paraId="3DBF1117">
            <w:pPr>
              <w:rPr>
                <w:rFonts w:ascii="Arial"/>
                <w:sz w:val="21"/>
                <w:highlight w:val="none"/>
              </w:rPr>
            </w:pPr>
          </w:p>
        </w:tc>
      </w:tr>
      <w:tr w14:paraId="4D3B2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14" w:type="dxa"/>
            <w:vAlign w:val="top"/>
          </w:tcPr>
          <w:p w14:paraId="6325E84B">
            <w:pPr>
              <w:rPr>
                <w:rFonts w:ascii="Arial"/>
                <w:sz w:val="21"/>
                <w:highlight w:val="none"/>
              </w:rPr>
            </w:pPr>
          </w:p>
        </w:tc>
        <w:tc>
          <w:tcPr>
            <w:tcW w:w="1708" w:type="dxa"/>
            <w:vAlign w:val="top"/>
          </w:tcPr>
          <w:p w14:paraId="4BFA5022">
            <w:pPr>
              <w:rPr>
                <w:rFonts w:ascii="Arial"/>
                <w:sz w:val="21"/>
                <w:highlight w:val="none"/>
              </w:rPr>
            </w:pPr>
          </w:p>
        </w:tc>
        <w:tc>
          <w:tcPr>
            <w:tcW w:w="1838" w:type="dxa"/>
            <w:vAlign w:val="top"/>
          </w:tcPr>
          <w:p w14:paraId="3F81D82C">
            <w:pPr>
              <w:rPr>
                <w:rFonts w:ascii="Arial"/>
                <w:sz w:val="21"/>
                <w:highlight w:val="none"/>
              </w:rPr>
            </w:pPr>
          </w:p>
        </w:tc>
        <w:tc>
          <w:tcPr>
            <w:tcW w:w="1039" w:type="dxa"/>
            <w:vAlign w:val="top"/>
          </w:tcPr>
          <w:p w14:paraId="57885EBA">
            <w:pPr>
              <w:rPr>
                <w:rFonts w:ascii="Arial"/>
                <w:sz w:val="21"/>
                <w:highlight w:val="none"/>
              </w:rPr>
            </w:pPr>
          </w:p>
        </w:tc>
        <w:tc>
          <w:tcPr>
            <w:tcW w:w="909" w:type="dxa"/>
            <w:vAlign w:val="top"/>
          </w:tcPr>
          <w:p w14:paraId="6DD918FE">
            <w:pPr>
              <w:rPr>
                <w:rFonts w:ascii="Arial"/>
                <w:sz w:val="21"/>
                <w:highlight w:val="none"/>
              </w:rPr>
            </w:pPr>
          </w:p>
        </w:tc>
        <w:tc>
          <w:tcPr>
            <w:tcW w:w="1068" w:type="dxa"/>
            <w:vAlign w:val="top"/>
          </w:tcPr>
          <w:p w14:paraId="0F479BC2">
            <w:pPr>
              <w:rPr>
                <w:rFonts w:ascii="Arial"/>
                <w:sz w:val="21"/>
                <w:highlight w:val="none"/>
              </w:rPr>
            </w:pPr>
          </w:p>
        </w:tc>
        <w:tc>
          <w:tcPr>
            <w:tcW w:w="1033" w:type="dxa"/>
            <w:vAlign w:val="top"/>
          </w:tcPr>
          <w:p w14:paraId="0E83D795">
            <w:pPr>
              <w:rPr>
                <w:rFonts w:ascii="Arial"/>
                <w:sz w:val="21"/>
                <w:highlight w:val="none"/>
              </w:rPr>
            </w:pPr>
          </w:p>
        </w:tc>
      </w:tr>
      <w:tr w14:paraId="29E4D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914" w:type="dxa"/>
            <w:vAlign w:val="top"/>
          </w:tcPr>
          <w:p w14:paraId="0AAEB42B">
            <w:pPr>
              <w:rPr>
                <w:rFonts w:ascii="Arial"/>
                <w:sz w:val="21"/>
                <w:highlight w:val="none"/>
              </w:rPr>
            </w:pPr>
          </w:p>
        </w:tc>
        <w:tc>
          <w:tcPr>
            <w:tcW w:w="1708" w:type="dxa"/>
            <w:vAlign w:val="top"/>
          </w:tcPr>
          <w:p w14:paraId="2ACF56F2">
            <w:pPr>
              <w:rPr>
                <w:rFonts w:ascii="Arial"/>
                <w:sz w:val="21"/>
                <w:highlight w:val="none"/>
              </w:rPr>
            </w:pPr>
          </w:p>
        </w:tc>
        <w:tc>
          <w:tcPr>
            <w:tcW w:w="1838" w:type="dxa"/>
            <w:vAlign w:val="top"/>
          </w:tcPr>
          <w:p w14:paraId="296AC25D">
            <w:pPr>
              <w:rPr>
                <w:rFonts w:ascii="Arial"/>
                <w:sz w:val="21"/>
                <w:highlight w:val="none"/>
              </w:rPr>
            </w:pPr>
          </w:p>
        </w:tc>
        <w:tc>
          <w:tcPr>
            <w:tcW w:w="1039" w:type="dxa"/>
            <w:vAlign w:val="top"/>
          </w:tcPr>
          <w:p w14:paraId="222D18EE">
            <w:pPr>
              <w:rPr>
                <w:rFonts w:ascii="Arial"/>
                <w:sz w:val="21"/>
                <w:highlight w:val="none"/>
              </w:rPr>
            </w:pPr>
          </w:p>
        </w:tc>
        <w:tc>
          <w:tcPr>
            <w:tcW w:w="909" w:type="dxa"/>
            <w:vAlign w:val="top"/>
          </w:tcPr>
          <w:p w14:paraId="1B9CA7D7">
            <w:pPr>
              <w:rPr>
                <w:rFonts w:ascii="Arial"/>
                <w:sz w:val="21"/>
                <w:highlight w:val="none"/>
              </w:rPr>
            </w:pPr>
          </w:p>
        </w:tc>
        <w:tc>
          <w:tcPr>
            <w:tcW w:w="1068" w:type="dxa"/>
            <w:vAlign w:val="top"/>
          </w:tcPr>
          <w:p w14:paraId="4BA6B0BC">
            <w:pPr>
              <w:rPr>
                <w:rFonts w:ascii="Arial"/>
                <w:sz w:val="21"/>
                <w:highlight w:val="none"/>
              </w:rPr>
            </w:pPr>
          </w:p>
        </w:tc>
        <w:tc>
          <w:tcPr>
            <w:tcW w:w="1033" w:type="dxa"/>
            <w:vAlign w:val="top"/>
          </w:tcPr>
          <w:p w14:paraId="3760294C">
            <w:pPr>
              <w:rPr>
                <w:rFonts w:ascii="Arial"/>
                <w:sz w:val="21"/>
                <w:highlight w:val="none"/>
              </w:rPr>
            </w:pPr>
          </w:p>
        </w:tc>
      </w:tr>
      <w:tr w14:paraId="2BC60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914" w:type="dxa"/>
            <w:vAlign w:val="top"/>
          </w:tcPr>
          <w:p w14:paraId="56BE1BBB">
            <w:pPr>
              <w:rPr>
                <w:rFonts w:ascii="Arial"/>
                <w:sz w:val="21"/>
                <w:highlight w:val="none"/>
              </w:rPr>
            </w:pPr>
          </w:p>
        </w:tc>
        <w:tc>
          <w:tcPr>
            <w:tcW w:w="1708" w:type="dxa"/>
            <w:vAlign w:val="top"/>
          </w:tcPr>
          <w:p w14:paraId="382D427E">
            <w:pPr>
              <w:rPr>
                <w:rFonts w:ascii="Arial"/>
                <w:sz w:val="21"/>
                <w:highlight w:val="none"/>
              </w:rPr>
            </w:pPr>
          </w:p>
        </w:tc>
        <w:tc>
          <w:tcPr>
            <w:tcW w:w="1838" w:type="dxa"/>
            <w:vAlign w:val="top"/>
          </w:tcPr>
          <w:p w14:paraId="58EB0F91">
            <w:pPr>
              <w:rPr>
                <w:rFonts w:ascii="Arial"/>
                <w:sz w:val="21"/>
                <w:highlight w:val="none"/>
              </w:rPr>
            </w:pPr>
          </w:p>
        </w:tc>
        <w:tc>
          <w:tcPr>
            <w:tcW w:w="1039" w:type="dxa"/>
            <w:vAlign w:val="top"/>
          </w:tcPr>
          <w:p w14:paraId="02239C75">
            <w:pPr>
              <w:rPr>
                <w:rFonts w:ascii="Arial"/>
                <w:sz w:val="21"/>
                <w:highlight w:val="none"/>
              </w:rPr>
            </w:pPr>
          </w:p>
        </w:tc>
        <w:tc>
          <w:tcPr>
            <w:tcW w:w="909" w:type="dxa"/>
            <w:vAlign w:val="top"/>
          </w:tcPr>
          <w:p w14:paraId="42B137E9">
            <w:pPr>
              <w:rPr>
                <w:rFonts w:ascii="Arial"/>
                <w:sz w:val="21"/>
                <w:highlight w:val="none"/>
              </w:rPr>
            </w:pPr>
          </w:p>
        </w:tc>
        <w:tc>
          <w:tcPr>
            <w:tcW w:w="1068" w:type="dxa"/>
            <w:vAlign w:val="top"/>
          </w:tcPr>
          <w:p w14:paraId="3421836C">
            <w:pPr>
              <w:rPr>
                <w:rFonts w:ascii="Arial"/>
                <w:sz w:val="21"/>
                <w:highlight w:val="none"/>
              </w:rPr>
            </w:pPr>
          </w:p>
        </w:tc>
        <w:tc>
          <w:tcPr>
            <w:tcW w:w="1033" w:type="dxa"/>
            <w:vAlign w:val="top"/>
          </w:tcPr>
          <w:p w14:paraId="75093D5D">
            <w:pPr>
              <w:rPr>
                <w:rFonts w:ascii="Arial"/>
                <w:sz w:val="21"/>
                <w:highlight w:val="none"/>
              </w:rPr>
            </w:pPr>
          </w:p>
        </w:tc>
      </w:tr>
      <w:tr w14:paraId="2DA2B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914" w:type="dxa"/>
            <w:vAlign w:val="top"/>
          </w:tcPr>
          <w:p w14:paraId="5C18B07F">
            <w:pPr>
              <w:rPr>
                <w:rFonts w:ascii="Arial"/>
                <w:sz w:val="21"/>
                <w:highlight w:val="none"/>
              </w:rPr>
            </w:pPr>
          </w:p>
        </w:tc>
        <w:tc>
          <w:tcPr>
            <w:tcW w:w="1708" w:type="dxa"/>
            <w:vAlign w:val="top"/>
          </w:tcPr>
          <w:p w14:paraId="448CFFAB">
            <w:pPr>
              <w:rPr>
                <w:rFonts w:ascii="Arial"/>
                <w:sz w:val="21"/>
                <w:highlight w:val="none"/>
              </w:rPr>
            </w:pPr>
          </w:p>
        </w:tc>
        <w:tc>
          <w:tcPr>
            <w:tcW w:w="1838" w:type="dxa"/>
            <w:vAlign w:val="top"/>
          </w:tcPr>
          <w:p w14:paraId="0DEAD4BD">
            <w:pPr>
              <w:rPr>
                <w:rFonts w:ascii="Arial"/>
                <w:sz w:val="21"/>
                <w:highlight w:val="none"/>
              </w:rPr>
            </w:pPr>
          </w:p>
        </w:tc>
        <w:tc>
          <w:tcPr>
            <w:tcW w:w="1039" w:type="dxa"/>
            <w:vAlign w:val="top"/>
          </w:tcPr>
          <w:p w14:paraId="3DE204AA">
            <w:pPr>
              <w:rPr>
                <w:rFonts w:ascii="Arial"/>
                <w:sz w:val="21"/>
                <w:highlight w:val="none"/>
              </w:rPr>
            </w:pPr>
          </w:p>
        </w:tc>
        <w:tc>
          <w:tcPr>
            <w:tcW w:w="909" w:type="dxa"/>
            <w:vAlign w:val="top"/>
          </w:tcPr>
          <w:p w14:paraId="624DDEDD">
            <w:pPr>
              <w:rPr>
                <w:rFonts w:ascii="Arial"/>
                <w:sz w:val="21"/>
                <w:highlight w:val="none"/>
              </w:rPr>
            </w:pPr>
          </w:p>
        </w:tc>
        <w:tc>
          <w:tcPr>
            <w:tcW w:w="1068" w:type="dxa"/>
            <w:vAlign w:val="top"/>
          </w:tcPr>
          <w:p w14:paraId="007B1AFA">
            <w:pPr>
              <w:rPr>
                <w:rFonts w:ascii="Arial"/>
                <w:sz w:val="21"/>
                <w:highlight w:val="none"/>
              </w:rPr>
            </w:pPr>
          </w:p>
        </w:tc>
        <w:tc>
          <w:tcPr>
            <w:tcW w:w="1033" w:type="dxa"/>
            <w:vAlign w:val="top"/>
          </w:tcPr>
          <w:p w14:paraId="5AAFCFCB">
            <w:pPr>
              <w:rPr>
                <w:rFonts w:ascii="Arial"/>
                <w:sz w:val="21"/>
                <w:highlight w:val="none"/>
              </w:rPr>
            </w:pPr>
          </w:p>
        </w:tc>
      </w:tr>
      <w:tr w14:paraId="0ABC6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914" w:type="dxa"/>
            <w:vAlign w:val="top"/>
          </w:tcPr>
          <w:p w14:paraId="08622AC5">
            <w:pPr>
              <w:rPr>
                <w:rFonts w:ascii="Arial"/>
                <w:sz w:val="21"/>
                <w:highlight w:val="none"/>
              </w:rPr>
            </w:pPr>
          </w:p>
        </w:tc>
        <w:tc>
          <w:tcPr>
            <w:tcW w:w="1708" w:type="dxa"/>
            <w:vAlign w:val="top"/>
          </w:tcPr>
          <w:p w14:paraId="5EBB7D6E">
            <w:pPr>
              <w:rPr>
                <w:rFonts w:ascii="Arial"/>
                <w:sz w:val="21"/>
                <w:highlight w:val="none"/>
              </w:rPr>
            </w:pPr>
          </w:p>
        </w:tc>
        <w:tc>
          <w:tcPr>
            <w:tcW w:w="1838" w:type="dxa"/>
            <w:vAlign w:val="top"/>
          </w:tcPr>
          <w:p w14:paraId="1440B4CB">
            <w:pPr>
              <w:rPr>
                <w:rFonts w:ascii="Arial"/>
                <w:sz w:val="21"/>
                <w:highlight w:val="none"/>
              </w:rPr>
            </w:pPr>
          </w:p>
        </w:tc>
        <w:tc>
          <w:tcPr>
            <w:tcW w:w="1039" w:type="dxa"/>
            <w:vAlign w:val="top"/>
          </w:tcPr>
          <w:p w14:paraId="00E5F77F">
            <w:pPr>
              <w:rPr>
                <w:rFonts w:ascii="Arial"/>
                <w:sz w:val="21"/>
                <w:highlight w:val="none"/>
              </w:rPr>
            </w:pPr>
          </w:p>
        </w:tc>
        <w:tc>
          <w:tcPr>
            <w:tcW w:w="909" w:type="dxa"/>
            <w:vAlign w:val="top"/>
          </w:tcPr>
          <w:p w14:paraId="01F2B228">
            <w:pPr>
              <w:rPr>
                <w:rFonts w:ascii="Arial"/>
                <w:sz w:val="21"/>
                <w:highlight w:val="none"/>
              </w:rPr>
            </w:pPr>
          </w:p>
        </w:tc>
        <w:tc>
          <w:tcPr>
            <w:tcW w:w="1068" w:type="dxa"/>
            <w:vAlign w:val="top"/>
          </w:tcPr>
          <w:p w14:paraId="4EEABE8D">
            <w:pPr>
              <w:rPr>
                <w:rFonts w:ascii="Arial"/>
                <w:sz w:val="21"/>
                <w:highlight w:val="none"/>
              </w:rPr>
            </w:pPr>
          </w:p>
        </w:tc>
        <w:tc>
          <w:tcPr>
            <w:tcW w:w="1033" w:type="dxa"/>
            <w:vAlign w:val="top"/>
          </w:tcPr>
          <w:p w14:paraId="37D67DBD">
            <w:pPr>
              <w:rPr>
                <w:rFonts w:ascii="Arial"/>
                <w:sz w:val="21"/>
                <w:highlight w:val="none"/>
              </w:rPr>
            </w:pPr>
          </w:p>
        </w:tc>
      </w:tr>
      <w:tr w14:paraId="2209F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914" w:type="dxa"/>
            <w:vAlign w:val="top"/>
          </w:tcPr>
          <w:p w14:paraId="209E46C0">
            <w:pPr>
              <w:rPr>
                <w:rFonts w:ascii="Arial"/>
                <w:sz w:val="21"/>
                <w:highlight w:val="none"/>
              </w:rPr>
            </w:pPr>
          </w:p>
        </w:tc>
        <w:tc>
          <w:tcPr>
            <w:tcW w:w="1708" w:type="dxa"/>
            <w:vAlign w:val="top"/>
          </w:tcPr>
          <w:p w14:paraId="377222B5">
            <w:pPr>
              <w:rPr>
                <w:rFonts w:ascii="Arial"/>
                <w:sz w:val="21"/>
                <w:highlight w:val="none"/>
              </w:rPr>
            </w:pPr>
          </w:p>
        </w:tc>
        <w:tc>
          <w:tcPr>
            <w:tcW w:w="1838" w:type="dxa"/>
            <w:vAlign w:val="top"/>
          </w:tcPr>
          <w:p w14:paraId="70BC3325">
            <w:pPr>
              <w:rPr>
                <w:rFonts w:ascii="Arial"/>
                <w:sz w:val="21"/>
                <w:highlight w:val="none"/>
              </w:rPr>
            </w:pPr>
          </w:p>
        </w:tc>
        <w:tc>
          <w:tcPr>
            <w:tcW w:w="1039" w:type="dxa"/>
            <w:vAlign w:val="top"/>
          </w:tcPr>
          <w:p w14:paraId="64B5475B">
            <w:pPr>
              <w:rPr>
                <w:rFonts w:ascii="Arial"/>
                <w:sz w:val="21"/>
                <w:highlight w:val="none"/>
              </w:rPr>
            </w:pPr>
          </w:p>
        </w:tc>
        <w:tc>
          <w:tcPr>
            <w:tcW w:w="909" w:type="dxa"/>
            <w:vAlign w:val="top"/>
          </w:tcPr>
          <w:p w14:paraId="44406067">
            <w:pPr>
              <w:rPr>
                <w:rFonts w:ascii="Arial"/>
                <w:sz w:val="21"/>
                <w:highlight w:val="none"/>
              </w:rPr>
            </w:pPr>
          </w:p>
        </w:tc>
        <w:tc>
          <w:tcPr>
            <w:tcW w:w="1068" w:type="dxa"/>
            <w:vAlign w:val="top"/>
          </w:tcPr>
          <w:p w14:paraId="756A42A9">
            <w:pPr>
              <w:rPr>
                <w:rFonts w:ascii="Arial"/>
                <w:sz w:val="21"/>
                <w:highlight w:val="none"/>
              </w:rPr>
            </w:pPr>
          </w:p>
        </w:tc>
        <w:tc>
          <w:tcPr>
            <w:tcW w:w="1033" w:type="dxa"/>
            <w:vAlign w:val="top"/>
          </w:tcPr>
          <w:p w14:paraId="313F9CF4">
            <w:pPr>
              <w:rPr>
                <w:rFonts w:ascii="Arial"/>
                <w:sz w:val="21"/>
                <w:highlight w:val="none"/>
              </w:rPr>
            </w:pPr>
          </w:p>
        </w:tc>
      </w:tr>
      <w:tr w14:paraId="0743F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trPr>
        <w:tc>
          <w:tcPr>
            <w:tcW w:w="2622" w:type="dxa"/>
            <w:gridSpan w:val="2"/>
            <w:vAlign w:val="top"/>
          </w:tcPr>
          <w:p w14:paraId="005C5DD3">
            <w:pPr>
              <w:pStyle w:val="6"/>
              <w:spacing w:before="255" w:line="218" w:lineRule="auto"/>
              <w:ind w:left="895"/>
              <w:rPr>
                <w:highlight w:val="none"/>
              </w:rPr>
            </w:pPr>
            <w:r>
              <w:rPr>
                <w:spacing w:val="-2"/>
                <w:highlight w:val="none"/>
              </w:rPr>
              <w:t>合计报价</w:t>
            </w:r>
          </w:p>
        </w:tc>
        <w:tc>
          <w:tcPr>
            <w:tcW w:w="5887" w:type="dxa"/>
            <w:gridSpan w:val="5"/>
            <w:vAlign w:val="top"/>
          </w:tcPr>
          <w:p w14:paraId="20F123BF">
            <w:pPr>
              <w:rPr>
                <w:rFonts w:ascii="Arial"/>
                <w:sz w:val="21"/>
                <w:highlight w:val="none"/>
              </w:rPr>
            </w:pPr>
          </w:p>
        </w:tc>
      </w:tr>
    </w:tbl>
    <w:p w14:paraId="521A66CE">
      <w:pPr>
        <w:pStyle w:val="2"/>
        <w:rPr>
          <w:highlight w:val="none"/>
        </w:rPr>
      </w:pPr>
    </w:p>
    <w:p w14:paraId="3167F4E0">
      <w:pPr>
        <w:rPr>
          <w:highlight w:val="none"/>
        </w:rPr>
        <w:sectPr>
          <w:footerReference r:id="rId288" w:type="default"/>
          <w:pgSz w:w="11910" w:h="16840"/>
          <w:pgMar w:top="400" w:right="1725" w:bottom="1238" w:left="1665" w:header="0" w:footer="1006" w:gutter="0"/>
          <w:cols w:space="720" w:num="1"/>
        </w:sectPr>
      </w:pPr>
    </w:p>
    <w:p w14:paraId="7615E4DF">
      <w:pPr>
        <w:pStyle w:val="2"/>
        <w:spacing w:line="263" w:lineRule="auto"/>
        <w:rPr>
          <w:highlight w:val="none"/>
        </w:rPr>
      </w:pPr>
    </w:p>
    <w:p w14:paraId="71FD0338">
      <w:pPr>
        <w:pStyle w:val="2"/>
        <w:spacing w:line="264" w:lineRule="auto"/>
        <w:rPr>
          <w:highlight w:val="none"/>
        </w:rPr>
      </w:pPr>
    </w:p>
    <w:p w14:paraId="67E33FBF">
      <w:pPr>
        <w:pStyle w:val="2"/>
        <w:spacing w:line="264" w:lineRule="auto"/>
        <w:rPr>
          <w:highlight w:val="none"/>
        </w:rPr>
      </w:pPr>
    </w:p>
    <w:p w14:paraId="68411B43">
      <w:pPr>
        <w:pStyle w:val="2"/>
        <w:spacing w:line="264" w:lineRule="auto"/>
        <w:rPr>
          <w:highlight w:val="none"/>
        </w:rPr>
      </w:pPr>
    </w:p>
    <w:p w14:paraId="6557DEC4">
      <w:pPr>
        <w:spacing w:before="107" w:line="219" w:lineRule="auto"/>
        <w:ind w:left="104"/>
        <w:rPr>
          <w:rFonts w:ascii="宋体" w:hAnsi="宋体" w:eastAsia="宋体" w:cs="宋体"/>
          <w:sz w:val="33"/>
          <w:szCs w:val="33"/>
          <w:highlight w:val="none"/>
        </w:rPr>
      </w:pPr>
      <w:r>
        <w:rPr>
          <w:rFonts w:ascii="宋体" w:hAnsi="宋体" w:eastAsia="宋体" w:cs="宋体"/>
          <w:spacing w:val="-15"/>
          <w:sz w:val="33"/>
          <w:szCs w:val="33"/>
          <w:highlight w:val="none"/>
        </w:rPr>
        <w:t>2.5</w:t>
      </w:r>
      <w:r>
        <w:rPr>
          <w:rFonts w:ascii="宋体" w:hAnsi="宋体" w:eastAsia="宋体" w:cs="宋体"/>
          <w:spacing w:val="-23"/>
          <w:sz w:val="33"/>
          <w:szCs w:val="33"/>
          <w:highlight w:val="none"/>
        </w:rPr>
        <w:t xml:space="preserve"> </w:t>
      </w:r>
      <w:r>
        <w:rPr>
          <w:rFonts w:ascii="宋体" w:hAnsi="宋体" w:eastAsia="宋体" w:cs="宋体"/>
          <w:b/>
          <w:bCs/>
          <w:spacing w:val="-15"/>
          <w:sz w:val="33"/>
          <w:szCs w:val="33"/>
          <w:highlight w:val="none"/>
        </w:rPr>
        <w:t>技术服务费清单</w:t>
      </w:r>
    </w:p>
    <w:p w14:paraId="3312BFD5">
      <w:pPr>
        <w:pStyle w:val="2"/>
        <w:spacing w:line="376" w:lineRule="auto"/>
        <w:rPr>
          <w:highlight w:val="none"/>
        </w:rPr>
      </w:pPr>
    </w:p>
    <w:p w14:paraId="6A05AD22">
      <w:pPr>
        <w:spacing w:before="68" w:line="219" w:lineRule="auto"/>
        <w:ind w:left="6934"/>
        <w:rPr>
          <w:rFonts w:ascii="宋体" w:hAnsi="宋体" w:eastAsia="宋体" w:cs="宋体"/>
          <w:sz w:val="21"/>
          <w:szCs w:val="21"/>
          <w:highlight w:val="none"/>
        </w:rPr>
      </w:pPr>
      <w:r>
        <w:rPr>
          <w:rFonts w:ascii="宋体" w:hAnsi="宋体" w:eastAsia="宋体" w:cs="宋体"/>
          <w:spacing w:val="-2"/>
          <w:sz w:val="21"/>
          <w:szCs w:val="21"/>
          <w:highlight w:val="none"/>
        </w:rPr>
        <w:t>单位：人民币元</w:t>
      </w:r>
    </w:p>
    <w:p w14:paraId="2263B2E8">
      <w:pPr>
        <w:spacing w:line="68" w:lineRule="exact"/>
        <w:rPr>
          <w:highlight w:val="none"/>
        </w:rPr>
      </w:pPr>
    </w:p>
    <w:tbl>
      <w:tblPr>
        <w:tblStyle w:val="5"/>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4"/>
        <w:gridCol w:w="2447"/>
        <w:gridCol w:w="1128"/>
        <w:gridCol w:w="2117"/>
        <w:gridCol w:w="1903"/>
      </w:tblGrid>
      <w:tr w14:paraId="049BC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14" w:type="dxa"/>
            <w:vAlign w:val="top"/>
          </w:tcPr>
          <w:p w14:paraId="5C17CAA1">
            <w:pPr>
              <w:pStyle w:val="6"/>
              <w:spacing w:before="254" w:line="221" w:lineRule="auto"/>
              <w:ind w:left="234"/>
              <w:rPr>
                <w:highlight w:val="none"/>
              </w:rPr>
            </w:pPr>
            <w:r>
              <w:rPr>
                <w:spacing w:val="6"/>
                <w:highlight w:val="none"/>
              </w:rPr>
              <w:t>序号</w:t>
            </w:r>
          </w:p>
        </w:tc>
        <w:tc>
          <w:tcPr>
            <w:tcW w:w="2447" w:type="dxa"/>
            <w:vAlign w:val="top"/>
          </w:tcPr>
          <w:p w14:paraId="36E80F7C">
            <w:pPr>
              <w:pStyle w:val="6"/>
              <w:spacing w:before="254" w:line="220" w:lineRule="auto"/>
              <w:ind w:left="790"/>
              <w:rPr>
                <w:highlight w:val="none"/>
              </w:rPr>
            </w:pPr>
            <w:r>
              <w:rPr>
                <w:spacing w:val="2"/>
                <w:highlight w:val="none"/>
              </w:rPr>
              <w:t>项目名称</w:t>
            </w:r>
          </w:p>
        </w:tc>
        <w:tc>
          <w:tcPr>
            <w:tcW w:w="1128" w:type="dxa"/>
            <w:vAlign w:val="top"/>
          </w:tcPr>
          <w:p w14:paraId="53FCAF7C">
            <w:pPr>
              <w:pStyle w:val="6"/>
              <w:spacing w:before="253" w:line="219" w:lineRule="auto"/>
              <w:ind w:left="133"/>
              <w:rPr>
                <w:highlight w:val="none"/>
              </w:rPr>
            </w:pPr>
            <w:r>
              <w:rPr>
                <w:spacing w:val="2"/>
                <w:highlight w:val="none"/>
              </w:rPr>
              <w:t>工作内容</w:t>
            </w:r>
          </w:p>
        </w:tc>
        <w:tc>
          <w:tcPr>
            <w:tcW w:w="2117" w:type="dxa"/>
            <w:vAlign w:val="top"/>
          </w:tcPr>
          <w:p w14:paraId="581BCD9A">
            <w:pPr>
              <w:pStyle w:val="6"/>
              <w:spacing w:before="253" w:line="219" w:lineRule="auto"/>
              <w:ind w:left="775"/>
              <w:rPr>
                <w:highlight w:val="none"/>
              </w:rPr>
            </w:pPr>
            <w:r>
              <w:rPr>
                <w:spacing w:val="-5"/>
                <w:highlight w:val="none"/>
              </w:rPr>
              <w:t>金</w:t>
            </w:r>
            <w:r>
              <w:rPr>
                <w:spacing w:val="61"/>
                <w:highlight w:val="none"/>
              </w:rPr>
              <w:t xml:space="preserve"> </w:t>
            </w:r>
            <w:r>
              <w:rPr>
                <w:spacing w:val="-5"/>
                <w:highlight w:val="none"/>
              </w:rPr>
              <w:t>额</w:t>
            </w:r>
          </w:p>
        </w:tc>
        <w:tc>
          <w:tcPr>
            <w:tcW w:w="1903" w:type="dxa"/>
            <w:vAlign w:val="top"/>
          </w:tcPr>
          <w:p w14:paraId="67718BBD">
            <w:pPr>
              <w:pStyle w:val="6"/>
              <w:spacing w:before="254" w:line="221" w:lineRule="auto"/>
              <w:ind w:left="749"/>
              <w:rPr>
                <w:highlight w:val="none"/>
              </w:rPr>
            </w:pPr>
            <w:r>
              <w:rPr>
                <w:spacing w:val="5"/>
                <w:highlight w:val="none"/>
              </w:rPr>
              <w:t>备注</w:t>
            </w:r>
          </w:p>
        </w:tc>
      </w:tr>
      <w:tr w14:paraId="4C42A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914" w:type="dxa"/>
            <w:vAlign w:val="top"/>
          </w:tcPr>
          <w:p w14:paraId="54217DB0">
            <w:pPr>
              <w:rPr>
                <w:rFonts w:ascii="Arial"/>
                <w:sz w:val="21"/>
                <w:highlight w:val="none"/>
              </w:rPr>
            </w:pPr>
          </w:p>
        </w:tc>
        <w:tc>
          <w:tcPr>
            <w:tcW w:w="2447" w:type="dxa"/>
            <w:vAlign w:val="top"/>
          </w:tcPr>
          <w:p w14:paraId="4E330636">
            <w:pPr>
              <w:rPr>
                <w:rFonts w:ascii="Arial"/>
                <w:sz w:val="21"/>
                <w:highlight w:val="none"/>
              </w:rPr>
            </w:pPr>
          </w:p>
        </w:tc>
        <w:tc>
          <w:tcPr>
            <w:tcW w:w="1128" w:type="dxa"/>
            <w:vAlign w:val="top"/>
          </w:tcPr>
          <w:p w14:paraId="4BE60FE9">
            <w:pPr>
              <w:rPr>
                <w:rFonts w:ascii="Arial"/>
                <w:sz w:val="21"/>
                <w:highlight w:val="none"/>
              </w:rPr>
            </w:pPr>
          </w:p>
        </w:tc>
        <w:tc>
          <w:tcPr>
            <w:tcW w:w="2117" w:type="dxa"/>
            <w:vAlign w:val="top"/>
          </w:tcPr>
          <w:p w14:paraId="2D523490">
            <w:pPr>
              <w:rPr>
                <w:rFonts w:ascii="Arial"/>
                <w:sz w:val="21"/>
                <w:highlight w:val="none"/>
              </w:rPr>
            </w:pPr>
          </w:p>
        </w:tc>
        <w:tc>
          <w:tcPr>
            <w:tcW w:w="1903" w:type="dxa"/>
            <w:vAlign w:val="top"/>
          </w:tcPr>
          <w:p w14:paraId="72176E57">
            <w:pPr>
              <w:rPr>
                <w:rFonts w:ascii="Arial"/>
                <w:sz w:val="21"/>
                <w:highlight w:val="none"/>
              </w:rPr>
            </w:pPr>
          </w:p>
        </w:tc>
      </w:tr>
      <w:tr w14:paraId="5CDD1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914" w:type="dxa"/>
            <w:vAlign w:val="top"/>
          </w:tcPr>
          <w:p w14:paraId="6BD563D9">
            <w:pPr>
              <w:rPr>
                <w:rFonts w:ascii="Arial"/>
                <w:sz w:val="21"/>
                <w:highlight w:val="none"/>
              </w:rPr>
            </w:pPr>
          </w:p>
        </w:tc>
        <w:tc>
          <w:tcPr>
            <w:tcW w:w="2447" w:type="dxa"/>
            <w:vAlign w:val="top"/>
          </w:tcPr>
          <w:p w14:paraId="7D865B87">
            <w:pPr>
              <w:rPr>
                <w:rFonts w:ascii="Arial"/>
                <w:sz w:val="21"/>
                <w:highlight w:val="none"/>
              </w:rPr>
            </w:pPr>
          </w:p>
        </w:tc>
        <w:tc>
          <w:tcPr>
            <w:tcW w:w="1128" w:type="dxa"/>
            <w:vAlign w:val="top"/>
          </w:tcPr>
          <w:p w14:paraId="50919F21">
            <w:pPr>
              <w:rPr>
                <w:rFonts w:ascii="Arial"/>
                <w:sz w:val="21"/>
                <w:highlight w:val="none"/>
              </w:rPr>
            </w:pPr>
          </w:p>
        </w:tc>
        <w:tc>
          <w:tcPr>
            <w:tcW w:w="2117" w:type="dxa"/>
            <w:vAlign w:val="top"/>
          </w:tcPr>
          <w:p w14:paraId="09FE4E2E">
            <w:pPr>
              <w:rPr>
                <w:rFonts w:ascii="Arial"/>
                <w:sz w:val="21"/>
                <w:highlight w:val="none"/>
              </w:rPr>
            </w:pPr>
          </w:p>
        </w:tc>
        <w:tc>
          <w:tcPr>
            <w:tcW w:w="1903" w:type="dxa"/>
            <w:vAlign w:val="top"/>
          </w:tcPr>
          <w:p w14:paraId="175CA717">
            <w:pPr>
              <w:rPr>
                <w:rFonts w:ascii="Arial"/>
                <w:sz w:val="21"/>
                <w:highlight w:val="none"/>
              </w:rPr>
            </w:pPr>
          </w:p>
        </w:tc>
      </w:tr>
      <w:tr w14:paraId="019F8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6119DD45">
            <w:pPr>
              <w:rPr>
                <w:rFonts w:ascii="Arial"/>
                <w:sz w:val="21"/>
                <w:highlight w:val="none"/>
              </w:rPr>
            </w:pPr>
          </w:p>
        </w:tc>
        <w:tc>
          <w:tcPr>
            <w:tcW w:w="2447" w:type="dxa"/>
            <w:vAlign w:val="top"/>
          </w:tcPr>
          <w:p w14:paraId="4FABE857">
            <w:pPr>
              <w:rPr>
                <w:rFonts w:ascii="Arial"/>
                <w:sz w:val="21"/>
                <w:highlight w:val="none"/>
              </w:rPr>
            </w:pPr>
          </w:p>
        </w:tc>
        <w:tc>
          <w:tcPr>
            <w:tcW w:w="1128" w:type="dxa"/>
            <w:vAlign w:val="top"/>
          </w:tcPr>
          <w:p w14:paraId="29A24142">
            <w:pPr>
              <w:rPr>
                <w:rFonts w:ascii="Arial"/>
                <w:sz w:val="21"/>
                <w:highlight w:val="none"/>
              </w:rPr>
            </w:pPr>
          </w:p>
        </w:tc>
        <w:tc>
          <w:tcPr>
            <w:tcW w:w="2117" w:type="dxa"/>
            <w:vAlign w:val="top"/>
          </w:tcPr>
          <w:p w14:paraId="0A62D4D3">
            <w:pPr>
              <w:rPr>
                <w:rFonts w:ascii="Arial"/>
                <w:sz w:val="21"/>
                <w:highlight w:val="none"/>
              </w:rPr>
            </w:pPr>
          </w:p>
        </w:tc>
        <w:tc>
          <w:tcPr>
            <w:tcW w:w="1903" w:type="dxa"/>
            <w:vAlign w:val="top"/>
          </w:tcPr>
          <w:p w14:paraId="6750D279">
            <w:pPr>
              <w:rPr>
                <w:rFonts w:ascii="Arial"/>
                <w:sz w:val="21"/>
                <w:highlight w:val="none"/>
              </w:rPr>
            </w:pPr>
          </w:p>
        </w:tc>
      </w:tr>
      <w:tr w14:paraId="40F27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914" w:type="dxa"/>
            <w:vAlign w:val="top"/>
          </w:tcPr>
          <w:p w14:paraId="651212B3">
            <w:pPr>
              <w:rPr>
                <w:rFonts w:ascii="Arial"/>
                <w:sz w:val="21"/>
                <w:highlight w:val="none"/>
              </w:rPr>
            </w:pPr>
          </w:p>
        </w:tc>
        <w:tc>
          <w:tcPr>
            <w:tcW w:w="2447" w:type="dxa"/>
            <w:vAlign w:val="top"/>
          </w:tcPr>
          <w:p w14:paraId="6CC64C6A">
            <w:pPr>
              <w:rPr>
                <w:rFonts w:ascii="Arial"/>
                <w:sz w:val="21"/>
                <w:highlight w:val="none"/>
              </w:rPr>
            </w:pPr>
          </w:p>
        </w:tc>
        <w:tc>
          <w:tcPr>
            <w:tcW w:w="1128" w:type="dxa"/>
            <w:vAlign w:val="top"/>
          </w:tcPr>
          <w:p w14:paraId="3054E33D">
            <w:pPr>
              <w:rPr>
                <w:rFonts w:ascii="Arial"/>
                <w:sz w:val="21"/>
                <w:highlight w:val="none"/>
              </w:rPr>
            </w:pPr>
          </w:p>
        </w:tc>
        <w:tc>
          <w:tcPr>
            <w:tcW w:w="2117" w:type="dxa"/>
            <w:vAlign w:val="top"/>
          </w:tcPr>
          <w:p w14:paraId="5943C334">
            <w:pPr>
              <w:rPr>
                <w:rFonts w:ascii="Arial"/>
                <w:sz w:val="21"/>
                <w:highlight w:val="none"/>
              </w:rPr>
            </w:pPr>
          </w:p>
        </w:tc>
        <w:tc>
          <w:tcPr>
            <w:tcW w:w="1903" w:type="dxa"/>
            <w:vAlign w:val="top"/>
          </w:tcPr>
          <w:p w14:paraId="3FF63B76">
            <w:pPr>
              <w:rPr>
                <w:rFonts w:ascii="Arial"/>
                <w:sz w:val="21"/>
                <w:highlight w:val="none"/>
              </w:rPr>
            </w:pPr>
          </w:p>
        </w:tc>
      </w:tr>
      <w:tr w14:paraId="1FBFB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31C7CCC3">
            <w:pPr>
              <w:rPr>
                <w:rFonts w:ascii="Arial"/>
                <w:sz w:val="21"/>
                <w:highlight w:val="none"/>
              </w:rPr>
            </w:pPr>
          </w:p>
        </w:tc>
        <w:tc>
          <w:tcPr>
            <w:tcW w:w="2447" w:type="dxa"/>
            <w:vAlign w:val="top"/>
          </w:tcPr>
          <w:p w14:paraId="2EFAE0BB">
            <w:pPr>
              <w:rPr>
                <w:rFonts w:ascii="Arial"/>
                <w:sz w:val="21"/>
                <w:highlight w:val="none"/>
              </w:rPr>
            </w:pPr>
          </w:p>
        </w:tc>
        <w:tc>
          <w:tcPr>
            <w:tcW w:w="1128" w:type="dxa"/>
            <w:vAlign w:val="top"/>
          </w:tcPr>
          <w:p w14:paraId="054BF379">
            <w:pPr>
              <w:rPr>
                <w:rFonts w:ascii="Arial"/>
                <w:sz w:val="21"/>
                <w:highlight w:val="none"/>
              </w:rPr>
            </w:pPr>
          </w:p>
        </w:tc>
        <w:tc>
          <w:tcPr>
            <w:tcW w:w="2117" w:type="dxa"/>
            <w:vAlign w:val="top"/>
          </w:tcPr>
          <w:p w14:paraId="41D7D4CB">
            <w:pPr>
              <w:rPr>
                <w:rFonts w:ascii="Arial"/>
                <w:sz w:val="21"/>
                <w:highlight w:val="none"/>
              </w:rPr>
            </w:pPr>
          </w:p>
        </w:tc>
        <w:tc>
          <w:tcPr>
            <w:tcW w:w="1903" w:type="dxa"/>
            <w:vAlign w:val="top"/>
          </w:tcPr>
          <w:p w14:paraId="4495A327">
            <w:pPr>
              <w:rPr>
                <w:rFonts w:ascii="Arial"/>
                <w:sz w:val="21"/>
                <w:highlight w:val="none"/>
              </w:rPr>
            </w:pPr>
          </w:p>
        </w:tc>
      </w:tr>
      <w:tr w14:paraId="6EFD8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25758E15">
            <w:pPr>
              <w:rPr>
                <w:rFonts w:ascii="Arial"/>
                <w:sz w:val="21"/>
                <w:highlight w:val="none"/>
              </w:rPr>
            </w:pPr>
          </w:p>
        </w:tc>
        <w:tc>
          <w:tcPr>
            <w:tcW w:w="2447" w:type="dxa"/>
            <w:vAlign w:val="top"/>
          </w:tcPr>
          <w:p w14:paraId="65BFCE79">
            <w:pPr>
              <w:rPr>
                <w:rFonts w:ascii="Arial"/>
                <w:sz w:val="21"/>
                <w:highlight w:val="none"/>
              </w:rPr>
            </w:pPr>
          </w:p>
        </w:tc>
        <w:tc>
          <w:tcPr>
            <w:tcW w:w="1128" w:type="dxa"/>
            <w:vAlign w:val="top"/>
          </w:tcPr>
          <w:p w14:paraId="3C7AFEDC">
            <w:pPr>
              <w:rPr>
                <w:rFonts w:ascii="Arial"/>
                <w:sz w:val="21"/>
                <w:highlight w:val="none"/>
              </w:rPr>
            </w:pPr>
          </w:p>
        </w:tc>
        <w:tc>
          <w:tcPr>
            <w:tcW w:w="2117" w:type="dxa"/>
            <w:vAlign w:val="top"/>
          </w:tcPr>
          <w:p w14:paraId="6E691F99">
            <w:pPr>
              <w:rPr>
                <w:rFonts w:ascii="Arial"/>
                <w:sz w:val="21"/>
                <w:highlight w:val="none"/>
              </w:rPr>
            </w:pPr>
          </w:p>
        </w:tc>
        <w:tc>
          <w:tcPr>
            <w:tcW w:w="1903" w:type="dxa"/>
            <w:vAlign w:val="top"/>
          </w:tcPr>
          <w:p w14:paraId="2AD52EAE">
            <w:pPr>
              <w:rPr>
                <w:rFonts w:ascii="Arial"/>
                <w:sz w:val="21"/>
                <w:highlight w:val="none"/>
              </w:rPr>
            </w:pPr>
          </w:p>
        </w:tc>
      </w:tr>
      <w:tr w14:paraId="07646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914" w:type="dxa"/>
            <w:vAlign w:val="top"/>
          </w:tcPr>
          <w:p w14:paraId="702D3C5E">
            <w:pPr>
              <w:rPr>
                <w:rFonts w:ascii="Arial"/>
                <w:sz w:val="21"/>
                <w:highlight w:val="none"/>
              </w:rPr>
            </w:pPr>
          </w:p>
        </w:tc>
        <w:tc>
          <w:tcPr>
            <w:tcW w:w="2447" w:type="dxa"/>
            <w:vAlign w:val="top"/>
          </w:tcPr>
          <w:p w14:paraId="2F9FDAD2">
            <w:pPr>
              <w:rPr>
                <w:rFonts w:ascii="Arial"/>
                <w:sz w:val="21"/>
                <w:highlight w:val="none"/>
              </w:rPr>
            </w:pPr>
          </w:p>
        </w:tc>
        <w:tc>
          <w:tcPr>
            <w:tcW w:w="1128" w:type="dxa"/>
            <w:vAlign w:val="top"/>
          </w:tcPr>
          <w:p w14:paraId="10066878">
            <w:pPr>
              <w:rPr>
                <w:rFonts w:ascii="Arial"/>
                <w:sz w:val="21"/>
                <w:highlight w:val="none"/>
              </w:rPr>
            </w:pPr>
          </w:p>
        </w:tc>
        <w:tc>
          <w:tcPr>
            <w:tcW w:w="2117" w:type="dxa"/>
            <w:vAlign w:val="top"/>
          </w:tcPr>
          <w:p w14:paraId="69AD2E97">
            <w:pPr>
              <w:rPr>
                <w:rFonts w:ascii="Arial"/>
                <w:sz w:val="21"/>
                <w:highlight w:val="none"/>
              </w:rPr>
            </w:pPr>
          </w:p>
        </w:tc>
        <w:tc>
          <w:tcPr>
            <w:tcW w:w="1903" w:type="dxa"/>
            <w:vAlign w:val="top"/>
          </w:tcPr>
          <w:p w14:paraId="0B03476C">
            <w:pPr>
              <w:rPr>
                <w:rFonts w:ascii="Arial"/>
                <w:sz w:val="21"/>
                <w:highlight w:val="none"/>
              </w:rPr>
            </w:pPr>
          </w:p>
        </w:tc>
      </w:tr>
      <w:tr w14:paraId="3E128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2B6E65A7">
            <w:pPr>
              <w:rPr>
                <w:rFonts w:ascii="Arial"/>
                <w:sz w:val="21"/>
                <w:highlight w:val="none"/>
              </w:rPr>
            </w:pPr>
          </w:p>
        </w:tc>
        <w:tc>
          <w:tcPr>
            <w:tcW w:w="2447" w:type="dxa"/>
            <w:vAlign w:val="top"/>
          </w:tcPr>
          <w:p w14:paraId="1DEBDE90">
            <w:pPr>
              <w:rPr>
                <w:rFonts w:ascii="Arial"/>
                <w:sz w:val="21"/>
                <w:highlight w:val="none"/>
              </w:rPr>
            </w:pPr>
          </w:p>
        </w:tc>
        <w:tc>
          <w:tcPr>
            <w:tcW w:w="1128" w:type="dxa"/>
            <w:vAlign w:val="top"/>
          </w:tcPr>
          <w:p w14:paraId="69A6FD67">
            <w:pPr>
              <w:rPr>
                <w:rFonts w:ascii="Arial"/>
                <w:sz w:val="21"/>
                <w:highlight w:val="none"/>
              </w:rPr>
            </w:pPr>
          </w:p>
        </w:tc>
        <w:tc>
          <w:tcPr>
            <w:tcW w:w="2117" w:type="dxa"/>
            <w:vAlign w:val="top"/>
          </w:tcPr>
          <w:p w14:paraId="10EED255">
            <w:pPr>
              <w:rPr>
                <w:rFonts w:ascii="Arial"/>
                <w:sz w:val="21"/>
                <w:highlight w:val="none"/>
              </w:rPr>
            </w:pPr>
          </w:p>
        </w:tc>
        <w:tc>
          <w:tcPr>
            <w:tcW w:w="1903" w:type="dxa"/>
            <w:vAlign w:val="top"/>
          </w:tcPr>
          <w:p w14:paraId="7FCCA2F3">
            <w:pPr>
              <w:rPr>
                <w:rFonts w:ascii="Arial"/>
                <w:sz w:val="21"/>
                <w:highlight w:val="none"/>
              </w:rPr>
            </w:pPr>
          </w:p>
        </w:tc>
      </w:tr>
      <w:tr w14:paraId="771AF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14" w:type="dxa"/>
            <w:vAlign w:val="top"/>
          </w:tcPr>
          <w:p w14:paraId="27DBA039">
            <w:pPr>
              <w:rPr>
                <w:rFonts w:ascii="Arial"/>
                <w:sz w:val="21"/>
                <w:highlight w:val="none"/>
              </w:rPr>
            </w:pPr>
          </w:p>
        </w:tc>
        <w:tc>
          <w:tcPr>
            <w:tcW w:w="2447" w:type="dxa"/>
            <w:vAlign w:val="top"/>
          </w:tcPr>
          <w:p w14:paraId="69A4BD1F">
            <w:pPr>
              <w:rPr>
                <w:rFonts w:ascii="Arial"/>
                <w:sz w:val="21"/>
                <w:highlight w:val="none"/>
              </w:rPr>
            </w:pPr>
          </w:p>
        </w:tc>
        <w:tc>
          <w:tcPr>
            <w:tcW w:w="1128" w:type="dxa"/>
            <w:vAlign w:val="top"/>
          </w:tcPr>
          <w:p w14:paraId="055631A3">
            <w:pPr>
              <w:rPr>
                <w:rFonts w:ascii="Arial"/>
                <w:sz w:val="21"/>
                <w:highlight w:val="none"/>
              </w:rPr>
            </w:pPr>
          </w:p>
        </w:tc>
        <w:tc>
          <w:tcPr>
            <w:tcW w:w="2117" w:type="dxa"/>
            <w:vAlign w:val="top"/>
          </w:tcPr>
          <w:p w14:paraId="5513B11F">
            <w:pPr>
              <w:rPr>
                <w:rFonts w:ascii="Arial"/>
                <w:sz w:val="21"/>
                <w:highlight w:val="none"/>
              </w:rPr>
            </w:pPr>
          </w:p>
        </w:tc>
        <w:tc>
          <w:tcPr>
            <w:tcW w:w="1903" w:type="dxa"/>
            <w:vAlign w:val="top"/>
          </w:tcPr>
          <w:p w14:paraId="5E782B9E">
            <w:pPr>
              <w:rPr>
                <w:rFonts w:ascii="Arial"/>
                <w:sz w:val="21"/>
                <w:highlight w:val="none"/>
              </w:rPr>
            </w:pPr>
          </w:p>
        </w:tc>
      </w:tr>
      <w:tr w14:paraId="3E967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914" w:type="dxa"/>
            <w:vAlign w:val="top"/>
          </w:tcPr>
          <w:p w14:paraId="305B3D17">
            <w:pPr>
              <w:rPr>
                <w:rFonts w:ascii="Arial"/>
                <w:sz w:val="21"/>
                <w:highlight w:val="none"/>
              </w:rPr>
            </w:pPr>
          </w:p>
        </w:tc>
        <w:tc>
          <w:tcPr>
            <w:tcW w:w="2447" w:type="dxa"/>
            <w:vAlign w:val="top"/>
          </w:tcPr>
          <w:p w14:paraId="79F1E718">
            <w:pPr>
              <w:rPr>
                <w:rFonts w:ascii="Arial"/>
                <w:sz w:val="21"/>
                <w:highlight w:val="none"/>
              </w:rPr>
            </w:pPr>
          </w:p>
        </w:tc>
        <w:tc>
          <w:tcPr>
            <w:tcW w:w="1128" w:type="dxa"/>
            <w:vAlign w:val="top"/>
          </w:tcPr>
          <w:p w14:paraId="2DF1873A">
            <w:pPr>
              <w:rPr>
                <w:rFonts w:ascii="Arial"/>
                <w:sz w:val="21"/>
                <w:highlight w:val="none"/>
              </w:rPr>
            </w:pPr>
          </w:p>
        </w:tc>
        <w:tc>
          <w:tcPr>
            <w:tcW w:w="2117" w:type="dxa"/>
            <w:vAlign w:val="top"/>
          </w:tcPr>
          <w:p w14:paraId="72906F74">
            <w:pPr>
              <w:rPr>
                <w:rFonts w:ascii="Arial"/>
                <w:sz w:val="21"/>
                <w:highlight w:val="none"/>
              </w:rPr>
            </w:pPr>
          </w:p>
        </w:tc>
        <w:tc>
          <w:tcPr>
            <w:tcW w:w="1903" w:type="dxa"/>
            <w:vAlign w:val="top"/>
          </w:tcPr>
          <w:p w14:paraId="60891E2C">
            <w:pPr>
              <w:rPr>
                <w:rFonts w:ascii="Arial"/>
                <w:sz w:val="21"/>
                <w:highlight w:val="none"/>
              </w:rPr>
            </w:pPr>
          </w:p>
        </w:tc>
      </w:tr>
      <w:tr w14:paraId="2B195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914" w:type="dxa"/>
            <w:vAlign w:val="top"/>
          </w:tcPr>
          <w:p w14:paraId="16201C6B">
            <w:pPr>
              <w:rPr>
                <w:rFonts w:ascii="Arial"/>
                <w:sz w:val="21"/>
                <w:highlight w:val="none"/>
              </w:rPr>
            </w:pPr>
          </w:p>
        </w:tc>
        <w:tc>
          <w:tcPr>
            <w:tcW w:w="2447" w:type="dxa"/>
            <w:vAlign w:val="top"/>
          </w:tcPr>
          <w:p w14:paraId="50C2D5F3">
            <w:pPr>
              <w:rPr>
                <w:rFonts w:ascii="Arial"/>
                <w:sz w:val="21"/>
                <w:highlight w:val="none"/>
              </w:rPr>
            </w:pPr>
          </w:p>
        </w:tc>
        <w:tc>
          <w:tcPr>
            <w:tcW w:w="1128" w:type="dxa"/>
            <w:vAlign w:val="top"/>
          </w:tcPr>
          <w:p w14:paraId="6FCD0B05">
            <w:pPr>
              <w:rPr>
                <w:rFonts w:ascii="Arial"/>
                <w:sz w:val="21"/>
                <w:highlight w:val="none"/>
              </w:rPr>
            </w:pPr>
          </w:p>
        </w:tc>
        <w:tc>
          <w:tcPr>
            <w:tcW w:w="2117" w:type="dxa"/>
            <w:vAlign w:val="top"/>
          </w:tcPr>
          <w:p w14:paraId="12670682">
            <w:pPr>
              <w:rPr>
                <w:rFonts w:ascii="Arial"/>
                <w:sz w:val="21"/>
                <w:highlight w:val="none"/>
              </w:rPr>
            </w:pPr>
          </w:p>
        </w:tc>
        <w:tc>
          <w:tcPr>
            <w:tcW w:w="1903" w:type="dxa"/>
            <w:vAlign w:val="top"/>
          </w:tcPr>
          <w:p w14:paraId="07A02A45">
            <w:pPr>
              <w:rPr>
                <w:rFonts w:ascii="Arial"/>
                <w:sz w:val="21"/>
                <w:highlight w:val="none"/>
              </w:rPr>
            </w:pPr>
          </w:p>
        </w:tc>
      </w:tr>
      <w:tr w14:paraId="388CB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914" w:type="dxa"/>
            <w:vAlign w:val="top"/>
          </w:tcPr>
          <w:p w14:paraId="06684C97">
            <w:pPr>
              <w:rPr>
                <w:rFonts w:ascii="Arial"/>
                <w:sz w:val="21"/>
                <w:highlight w:val="none"/>
              </w:rPr>
            </w:pPr>
          </w:p>
        </w:tc>
        <w:tc>
          <w:tcPr>
            <w:tcW w:w="2447" w:type="dxa"/>
            <w:vAlign w:val="top"/>
          </w:tcPr>
          <w:p w14:paraId="2CC325DE">
            <w:pPr>
              <w:rPr>
                <w:rFonts w:ascii="Arial"/>
                <w:sz w:val="21"/>
                <w:highlight w:val="none"/>
              </w:rPr>
            </w:pPr>
          </w:p>
        </w:tc>
        <w:tc>
          <w:tcPr>
            <w:tcW w:w="1128" w:type="dxa"/>
            <w:vAlign w:val="top"/>
          </w:tcPr>
          <w:p w14:paraId="450057CA">
            <w:pPr>
              <w:rPr>
                <w:rFonts w:ascii="Arial"/>
                <w:sz w:val="21"/>
                <w:highlight w:val="none"/>
              </w:rPr>
            </w:pPr>
          </w:p>
        </w:tc>
        <w:tc>
          <w:tcPr>
            <w:tcW w:w="2117" w:type="dxa"/>
            <w:vAlign w:val="top"/>
          </w:tcPr>
          <w:p w14:paraId="22EC67AE">
            <w:pPr>
              <w:rPr>
                <w:rFonts w:ascii="Arial"/>
                <w:sz w:val="21"/>
                <w:highlight w:val="none"/>
              </w:rPr>
            </w:pPr>
          </w:p>
        </w:tc>
        <w:tc>
          <w:tcPr>
            <w:tcW w:w="1903" w:type="dxa"/>
            <w:vAlign w:val="top"/>
          </w:tcPr>
          <w:p w14:paraId="77259653">
            <w:pPr>
              <w:rPr>
                <w:rFonts w:ascii="Arial"/>
                <w:sz w:val="21"/>
                <w:highlight w:val="none"/>
              </w:rPr>
            </w:pPr>
          </w:p>
        </w:tc>
      </w:tr>
      <w:tr w14:paraId="667B5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914" w:type="dxa"/>
            <w:vAlign w:val="top"/>
          </w:tcPr>
          <w:p w14:paraId="41E726E1">
            <w:pPr>
              <w:rPr>
                <w:rFonts w:ascii="Arial"/>
                <w:sz w:val="21"/>
                <w:highlight w:val="none"/>
              </w:rPr>
            </w:pPr>
          </w:p>
        </w:tc>
        <w:tc>
          <w:tcPr>
            <w:tcW w:w="2447" w:type="dxa"/>
            <w:vAlign w:val="top"/>
          </w:tcPr>
          <w:p w14:paraId="7807A648">
            <w:pPr>
              <w:rPr>
                <w:rFonts w:ascii="Arial"/>
                <w:sz w:val="21"/>
                <w:highlight w:val="none"/>
              </w:rPr>
            </w:pPr>
          </w:p>
        </w:tc>
        <w:tc>
          <w:tcPr>
            <w:tcW w:w="1128" w:type="dxa"/>
            <w:vAlign w:val="top"/>
          </w:tcPr>
          <w:p w14:paraId="3DB91AAC">
            <w:pPr>
              <w:rPr>
                <w:rFonts w:ascii="Arial"/>
                <w:sz w:val="21"/>
                <w:highlight w:val="none"/>
              </w:rPr>
            </w:pPr>
          </w:p>
        </w:tc>
        <w:tc>
          <w:tcPr>
            <w:tcW w:w="2117" w:type="dxa"/>
            <w:vAlign w:val="top"/>
          </w:tcPr>
          <w:p w14:paraId="57E68E49">
            <w:pPr>
              <w:rPr>
                <w:rFonts w:ascii="Arial"/>
                <w:sz w:val="21"/>
                <w:highlight w:val="none"/>
              </w:rPr>
            </w:pPr>
          </w:p>
        </w:tc>
        <w:tc>
          <w:tcPr>
            <w:tcW w:w="1903" w:type="dxa"/>
            <w:vAlign w:val="top"/>
          </w:tcPr>
          <w:p w14:paraId="02279EA8">
            <w:pPr>
              <w:rPr>
                <w:rFonts w:ascii="Arial"/>
                <w:sz w:val="21"/>
                <w:highlight w:val="none"/>
              </w:rPr>
            </w:pPr>
          </w:p>
        </w:tc>
      </w:tr>
      <w:tr w14:paraId="3605F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914" w:type="dxa"/>
            <w:vAlign w:val="top"/>
          </w:tcPr>
          <w:p w14:paraId="332CA21D">
            <w:pPr>
              <w:rPr>
                <w:rFonts w:ascii="Arial"/>
                <w:sz w:val="21"/>
                <w:highlight w:val="none"/>
              </w:rPr>
            </w:pPr>
          </w:p>
        </w:tc>
        <w:tc>
          <w:tcPr>
            <w:tcW w:w="2447" w:type="dxa"/>
            <w:vAlign w:val="top"/>
          </w:tcPr>
          <w:p w14:paraId="235915B2">
            <w:pPr>
              <w:rPr>
                <w:rFonts w:ascii="Arial"/>
                <w:sz w:val="21"/>
                <w:highlight w:val="none"/>
              </w:rPr>
            </w:pPr>
          </w:p>
        </w:tc>
        <w:tc>
          <w:tcPr>
            <w:tcW w:w="1128" w:type="dxa"/>
            <w:vAlign w:val="top"/>
          </w:tcPr>
          <w:p w14:paraId="5A00DC85">
            <w:pPr>
              <w:rPr>
                <w:rFonts w:ascii="Arial"/>
                <w:sz w:val="21"/>
                <w:highlight w:val="none"/>
              </w:rPr>
            </w:pPr>
          </w:p>
        </w:tc>
        <w:tc>
          <w:tcPr>
            <w:tcW w:w="2117" w:type="dxa"/>
            <w:vAlign w:val="top"/>
          </w:tcPr>
          <w:p w14:paraId="5394FD3B">
            <w:pPr>
              <w:rPr>
                <w:rFonts w:ascii="Arial"/>
                <w:sz w:val="21"/>
                <w:highlight w:val="none"/>
              </w:rPr>
            </w:pPr>
          </w:p>
        </w:tc>
        <w:tc>
          <w:tcPr>
            <w:tcW w:w="1903" w:type="dxa"/>
            <w:vAlign w:val="top"/>
          </w:tcPr>
          <w:p w14:paraId="2D39D4D1">
            <w:pPr>
              <w:rPr>
                <w:rFonts w:ascii="Arial"/>
                <w:sz w:val="21"/>
                <w:highlight w:val="none"/>
              </w:rPr>
            </w:pPr>
          </w:p>
        </w:tc>
      </w:tr>
      <w:tr w14:paraId="77213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914" w:type="dxa"/>
            <w:vAlign w:val="top"/>
          </w:tcPr>
          <w:p w14:paraId="2B4DBA6E">
            <w:pPr>
              <w:rPr>
                <w:rFonts w:ascii="Arial"/>
                <w:sz w:val="21"/>
                <w:highlight w:val="none"/>
              </w:rPr>
            </w:pPr>
          </w:p>
        </w:tc>
        <w:tc>
          <w:tcPr>
            <w:tcW w:w="2447" w:type="dxa"/>
            <w:vAlign w:val="top"/>
          </w:tcPr>
          <w:p w14:paraId="19E4CA9C">
            <w:pPr>
              <w:rPr>
                <w:rFonts w:ascii="Arial"/>
                <w:sz w:val="21"/>
                <w:highlight w:val="none"/>
              </w:rPr>
            </w:pPr>
          </w:p>
        </w:tc>
        <w:tc>
          <w:tcPr>
            <w:tcW w:w="1128" w:type="dxa"/>
            <w:vAlign w:val="top"/>
          </w:tcPr>
          <w:p w14:paraId="74AE47AC">
            <w:pPr>
              <w:rPr>
                <w:rFonts w:ascii="Arial"/>
                <w:sz w:val="21"/>
                <w:highlight w:val="none"/>
              </w:rPr>
            </w:pPr>
          </w:p>
        </w:tc>
        <w:tc>
          <w:tcPr>
            <w:tcW w:w="2117" w:type="dxa"/>
            <w:vAlign w:val="top"/>
          </w:tcPr>
          <w:p w14:paraId="0A46ECFB">
            <w:pPr>
              <w:rPr>
                <w:rFonts w:ascii="Arial"/>
                <w:sz w:val="21"/>
                <w:highlight w:val="none"/>
              </w:rPr>
            </w:pPr>
          </w:p>
        </w:tc>
        <w:tc>
          <w:tcPr>
            <w:tcW w:w="1903" w:type="dxa"/>
            <w:vAlign w:val="top"/>
          </w:tcPr>
          <w:p w14:paraId="0BA3EF77">
            <w:pPr>
              <w:rPr>
                <w:rFonts w:ascii="Arial"/>
                <w:sz w:val="21"/>
                <w:highlight w:val="none"/>
              </w:rPr>
            </w:pPr>
          </w:p>
        </w:tc>
      </w:tr>
    </w:tbl>
    <w:p w14:paraId="72F44606">
      <w:pPr>
        <w:pStyle w:val="2"/>
        <w:rPr>
          <w:highlight w:val="none"/>
        </w:rPr>
      </w:pPr>
    </w:p>
    <w:p w14:paraId="7B808957">
      <w:pPr>
        <w:rPr>
          <w:highlight w:val="none"/>
        </w:rPr>
        <w:sectPr>
          <w:footerReference r:id="rId289" w:type="default"/>
          <w:pgSz w:w="11910" w:h="16840"/>
          <w:pgMar w:top="400" w:right="1705" w:bottom="1238" w:left="1685" w:header="0" w:footer="1006" w:gutter="0"/>
          <w:cols w:space="720" w:num="1"/>
        </w:sectPr>
      </w:pPr>
    </w:p>
    <w:p w14:paraId="2FB612E4">
      <w:pPr>
        <w:spacing w:before="18"/>
        <w:rPr>
          <w:highlight w:val="none"/>
        </w:rPr>
      </w:pPr>
    </w:p>
    <w:p w14:paraId="7AC50645">
      <w:pPr>
        <w:spacing w:before="17"/>
        <w:rPr>
          <w:highlight w:val="none"/>
        </w:rPr>
      </w:pPr>
    </w:p>
    <w:p w14:paraId="2D29A9C5">
      <w:pPr>
        <w:spacing w:before="17"/>
        <w:rPr>
          <w:highlight w:val="none"/>
        </w:rPr>
      </w:pPr>
    </w:p>
    <w:p w14:paraId="6BE3DC06">
      <w:pPr>
        <w:spacing w:before="17"/>
        <w:rPr>
          <w:highlight w:val="none"/>
        </w:rPr>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41"/>
        <w:gridCol w:w="5178"/>
      </w:tblGrid>
      <w:tr w14:paraId="5F32D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3341" w:type="dxa"/>
            <w:vAlign w:val="top"/>
          </w:tcPr>
          <w:p w14:paraId="0F9D38D7">
            <w:pPr>
              <w:pStyle w:val="6"/>
              <w:spacing w:before="242" w:line="218" w:lineRule="auto"/>
              <w:ind w:left="1224"/>
              <w:rPr>
                <w:sz w:val="22"/>
                <w:szCs w:val="22"/>
                <w:highlight w:val="none"/>
              </w:rPr>
            </w:pPr>
            <w:r>
              <w:rPr>
                <w:spacing w:val="-2"/>
                <w:sz w:val="22"/>
                <w:szCs w:val="22"/>
                <w:highlight w:val="none"/>
              </w:rPr>
              <w:t>合计报价</w:t>
            </w:r>
          </w:p>
        </w:tc>
        <w:tc>
          <w:tcPr>
            <w:tcW w:w="5178" w:type="dxa"/>
            <w:vAlign w:val="top"/>
          </w:tcPr>
          <w:p w14:paraId="7F9BAB0A">
            <w:pPr>
              <w:rPr>
                <w:rFonts w:ascii="Arial"/>
                <w:sz w:val="21"/>
                <w:highlight w:val="none"/>
              </w:rPr>
            </w:pPr>
          </w:p>
        </w:tc>
      </w:tr>
    </w:tbl>
    <w:p w14:paraId="74FAB34B">
      <w:pPr>
        <w:pStyle w:val="2"/>
        <w:spacing w:line="285" w:lineRule="auto"/>
        <w:rPr>
          <w:highlight w:val="none"/>
        </w:rPr>
      </w:pPr>
    </w:p>
    <w:p w14:paraId="3082F4E4">
      <w:pPr>
        <w:pStyle w:val="2"/>
        <w:spacing w:line="285" w:lineRule="auto"/>
        <w:rPr>
          <w:highlight w:val="none"/>
        </w:rPr>
      </w:pPr>
    </w:p>
    <w:p w14:paraId="7CA14619">
      <w:pPr>
        <w:spacing w:before="107" w:line="218" w:lineRule="auto"/>
        <w:ind w:left="84"/>
        <w:rPr>
          <w:rFonts w:ascii="宋体" w:hAnsi="宋体" w:eastAsia="宋体" w:cs="宋体"/>
          <w:sz w:val="33"/>
          <w:szCs w:val="33"/>
          <w:highlight w:val="none"/>
        </w:rPr>
      </w:pPr>
      <w:r>
        <w:rPr>
          <w:rFonts w:ascii="Times New Roman" w:hAnsi="Times New Roman" w:eastAsia="Times New Roman" w:cs="Times New Roman"/>
          <w:b/>
          <w:bCs/>
          <w:spacing w:val="-6"/>
          <w:sz w:val="33"/>
          <w:szCs w:val="33"/>
          <w:highlight w:val="none"/>
        </w:rPr>
        <w:t>2.6</w:t>
      </w:r>
      <w:r>
        <w:rPr>
          <w:rFonts w:ascii="Times New Roman" w:hAnsi="Times New Roman" w:eastAsia="Times New Roman" w:cs="Times New Roman"/>
          <w:b/>
          <w:bCs/>
          <w:spacing w:val="70"/>
          <w:w w:val="101"/>
          <w:sz w:val="33"/>
          <w:szCs w:val="33"/>
          <w:highlight w:val="none"/>
        </w:rPr>
        <w:t xml:space="preserve"> </w:t>
      </w:r>
      <w:r>
        <w:rPr>
          <w:rFonts w:ascii="宋体" w:hAnsi="宋体" w:eastAsia="宋体" w:cs="宋体"/>
          <w:b/>
          <w:bCs/>
          <w:spacing w:val="-6"/>
          <w:sz w:val="33"/>
          <w:szCs w:val="33"/>
          <w:highlight w:val="none"/>
        </w:rPr>
        <w:t>暂估价清单</w:t>
      </w:r>
    </w:p>
    <w:p w14:paraId="251DB245">
      <w:pPr>
        <w:pStyle w:val="2"/>
        <w:spacing w:line="347" w:lineRule="auto"/>
        <w:rPr>
          <w:highlight w:val="none"/>
        </w:rPr>
      </w:pPr>
    </w:p>
    <w:p w14:paraId="5A2E6B3C">
      <w:pPr>
        <w:spacing w:before="72" w:line="218" w:lineRule="auto"/>
        <w:ind w:left="104"/>
        <w:rPr>
          <w:rFonts w:ascii="宋体" w:hAnsi="宋体" w:eastAsia="宋体" w:cs="宋体"/>
          <w:sz w:val="22"/>
          <w:szCs w:val="22"/>
          <w:highlight w:val="none"/>
        </w:rPr>
      </w:pPr>
      <w:r>
        <w:rPr>
          <w:rFonts w:ascii="宋体" w:hAnsi="宋体" w:eastAsia="宋体" w:cs="宋体"/>
          <w:spacing w:val="1"/>
          <w:sz w:val="22"/>
          <w:szCs w:val="22"/>
          <w:highlight w:val="none"/>
        </w:rPr>
        <w:t>2.6.1材料暂估价表</w:t>
      </w:r>
    </w:p>
    <w:p w14:paraId="0F026117">
      <w:pPr>
        <w:spacing w:line="85" w:lineRule="auto"/>
        <w:rPr>
          <w:rFonts w:ascii="Arial"/>
          <w:sz w:val="2"/>
          <w:highlight w:val="none"/>
        </w:rPr>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4"/>
        <w:gridCol w:w="1278"/>
        <w:gridCol w:w="1249"/>
        <w:gridCol w:w="1248"/>
        <w:gridCol w:w="1278"/>
        <w:gridCol w:w="1249"/>
        <w:gridCol w:w="1223"/>
      </w:tblGrid>
      <w:tr w14:paraId="4CE3F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994" w:type="dxa"/>
            <w:vAlign w:val="top"/>
          </w:tcPr>
          <w:p w14:paraId="032397DB">
            <w:pPr>
              <w:pStyle w:val="6"/>
              <w:spacing w:before="154" w:line="221" w:lineRule="auto"/>
              <w:ind w:left="265"/>
              <w:rPr>
                <w:highlight w:val="none"/>
              </w:rPr>
            </w:pPr>
            <w:r>
              <w:rPr>
                <w:spacing w:val="6"/>
                <w:highlight w:val="none"/>
              </w:rPr>
              <w:t>序号</w:t>
            </w:r>
          </w:p>
        </w:tc>
        <w:tc>
          <w:tcPr>
            <w:tcW w:w="1278" w:type="dxa"/>
            <w:vAlign w:val="top"/>
          </w:tcPr>
          <w:p w14:paraId="77E98012">
            <w:pPr>
              <w:pStyle w:val="6"/>
              <w:spacing w:before="186" w:line="217" w:lineRule="auto"/>
              <w:ind w:left="430"/>
              <w:rPr>
                <w:highlight w:val="none"/>
              </w:rPr>
            </w:pPr>
            <w:r>
              <w:rPr>
                <w:spacing w:val="5"/>
                <w:highlight w:val="none"/>
              </w:rPr>
              <w:t>名称</w:t>
            </w:r>
          </w:p>
        </w:tc>
        <w:tc>
          <w:tcPr>
            <w:tcW w:w="1249" w:type="dxa"/>
            <w:vAlign w:val="top"/>
          </w:tcPr>
          <w:p w14:paraId="43714AEA">
            <w:pPr>
              <w:pStyle w:val="6"/>
              <w:spacing w:before="154" w:line="220" w:lineRule="auto"/>
              <w:ind w:left="412"/>
              <w:rPr>
                <w:highlight w:val="none"/>
              </w:rPr>
            </w:pPr>
            <w:r>
              <w:rPr>
                <w:spacing w:val="-3"/>
                <w:highlight w:val="none"/>
              </w:rPr>
              <w:t>单位</w:t>
            </w:r>
          </w:p>
        </w:tc>
        <w:tc>
          <w:tcPr>
            <w:tcW w:w="1248" w:type="dxa"/>
            <w:vAlign w:val="top"/>
          </w:tcPr>
          <w:p w14:paraId="413D12F1">
            <w:pPr>
              <w:pStyle w:val="6"/>
              <w:spacing w:before="163" w:line="219" w:lineRule="auto"/>
              <w:ind w:left="403"/>
              <w:rPr>
                <w:highlight w:val="none"/>
              </w:rPr>
            </w:pPr>
            <w:r>
              <w:rPr>
                <w:spacing w:val="-3"/>
                <w:highlight w:val="none"/>
              </w:rPr>
              <w:t>数量</w:t>
            </w:r>
          </w:p>
        </w:tc>
        <w:tc>
          <w:tcPr>
            <w:tcW w:w="1278" w:type="dxa"/>
            <w:vAlign w:val="top"/>
          </w:tcPr>
          <w:p w14:paraId="0418A703">
            <w:pPr>
              <w:pStyle w:val="6"/>
              <w:spacing w:before="161" w:line="218" w:lineRule="auto"/>
              <w:ind w:left="505"/>
              <w:rPr>
                <w:highlight w:val="none"/>
              </w:rPr>
            </w:pPr>
            <w:r>
              <w:rPr>
                <w:spacing w:val="-3"/>
                <w:highlight w:val="none"/>
              </w:rPr>
              <w:t>单价</w:t>
            </w:r>
          </w:p>
        </w:tc>
        <w:tc>
          <w:tcPr>
            <w:tcW w:w="1249" w:type="dxa"/>
            <w:vAlign w:val="top"/>
          </w:tcPr>
          <w:p w14:paraId="1BC03570">
            <w:pPr>
              <w:pStyle w:val="6"/>
              <w:spacing w:before="161" w:line="218" w:lineRule="auto"/>
              <w:ind w:left="488"/>
              <w:rPr>
                <w:highlight w:val="none"/>
              </w:rPr>
            </w:pPr>
            <w:r>
              <w:rPr>
                <w:spacing w:val="-3"/>
                <w:highlight w:val="none"/>
              </w:rPr>
              <w:t>合价</w:t>
            </w:r>
          </w:p>
        </w:tc>
        <w:tc>
          <w:tcPr>
            <w:tcW w:w="1223" w:type="dxa"/>
            <w:vAlign w:val="top"/>
          </w:tcPr>
          <w:p w14:paraId="4BC35DA3">
            <w:pPr>
              <w:pStyle w:val="6"/>
              <w:spacing w:before="154" w:line="221" w:lineRule="auto"/>
              <w:ind w:left="438"/>
              <w:rPr>
                <w:highlight w:val="none"/>
              </w:rPr>
            </w:pPr>
            <w:r>
              <w:rPr>
                <w:spacing w:val="5"/>
                <w:highlight w:val="none"/>
              </w:rPr>
              <w:t>备注</w:t>
            </w:r>
          </w:p>
        </w:tc>
      </w:tr>
      <w:tr w14:paraId="1BAD5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994" w:type="dxa"/>
            <w:vAlign w:val="top"/>
          </w:tcPr>
          <w:p w14:paraId="5E327276">
            <w:pPr>
              <w:rPr>
                <w:rFonts w:ascii="Arial"/>
                <w:sz w:val="21"/>
                <w:highlight w:val="none"/>
              </w:rPr>
            </w:pPr>
          </w:p>
        </w:tc>
        <w:tc>
          <w:tcPr>
            <w:tcW w:w="1278" w:type="dxa"/>
            <w:vAlign w:val="top"/>
          </w:tcPr>
          <w:p w14:paraId="4CF598F7">
            <w:pPr>
              <w:rPr>
                <w:rFonts w:ascii="Arial"/>
                <w:sz w:val="21"/>
                <w:highlight w:val="none"/>
              </w:rPr>
            </w:pPr>
          </w:p>
        </w:tc>
        <w:tc>
          <w:tcPr>
            <w:tcW w:w="1249" w:type="dxa"/>
            <w:vAlign w:val="top"/>
          </w:tcPr>
          <w:p w14:paraId="2DE2921C">
            <w:pPr>
              <w:rPr>
                <w:rFonts w:ascii="Arial"/>
                <w:sz w:val="21"/>
                <w:highlight w:val="none"/>
              </w:rPr>
            </w:pPr>
          </w:p>
        </w:tc>
        <w:tc>
          <w:tcPr>
            <w:tcW w:w="1248" w:type="dxa"/>
            <w:vAlign w:val="top"/>
          </w:tcPr>
          <w:p w14:paraId="034CD55B">
            <w:pPr>
              <w:rPr>
                <w:rFonts w:ascii="Arial"/>
                <w:sz w:val="21"/>
                <w:highlight w:val="none"/>
              </w:rPr>
            </w:pPr>
          </w:p>
        </w:tc>
        <w:tc>
          <w:tcPr>
            <w:tcW w:w="1278" w:type="dxa"/>
            <w:vAlign w:val="top"/>
          </w:tcPr>
          <w:p w14:paraId="1CC4CC7D">
            <w:pPr>
              <w:rPr>
                <w:rFonts w:ascii="Arial"/>
                <w:sz w:val="21"/>
                <w:highlight w:val="none"/>
              </w:rPr>
            </w:pPr>
          </w:p>
        </w:tc>
        <w:tc>
          <w:tcPr>
            <w:tcW w:w="1249" w:type="dxa"/>
            <w:vAlign w:val="top"/>
          </w:tcPr>
          <w:p w14:paraId="40D74B7A">
            <w:pPr>
              <w:rPr>
                <w:rFonts w:ascii="Arial"/>
                <w:sz w:val="21"/>
                <w:highlight w:val="none"/>
              </w:rPr>
            </w:pPr>
          </w:p>
        </w:tc>
        <w:tc>
          <w:tcPr>
            <w:tcW w:w="1223" w:type="dxa"/>
            <w:vAlign w:val="top"/>
          </w:tcPr>
          <w:p w14:paraId="340D6163">
            <w:pPr>
              <w:rPr>
                <w:rFonts w:ascii="Arial"/>
                <w:sz w:val="21"/>
                <w:highlight w:val="none"/>
              </w:rPr>
            </w:pPr>
          </w:p>
        </w:tc>
      </w:tr>
      <w:tr w14:paraId="70490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994" w:type="dxa"/>
            <w:vAlign w:val="top"/>
          </w:tcPr>
          <w:p w14:paraId="1202FFD8">
            <w:pPr>
              <w:rPr>
                <w:rFonts w:ascii="Arial"/>
                <w:sz w:val="21"/>
                <w:highlight w:val="none"/>
              </w:rPr>
            </w:pPr>
          </w:p>
        </w:tc>
        <w:tc>
          <w:tcPr>
            <w:tcW w:w="1278" w:type="dxa"/>
            <w:vAlign w:val="top"/>
          </w:tcPr>
          <w:p w14:paraId="566D5FA5">
            <w:pPr>
              <w:rPr>
                <w:rFonts w:ascii="Arial"/>
                <w:sz w:val="21"/>
                <w:highlight w:val="none"/>
              </w:rPr>
            </w:pPr>
          </w:p>
        </w:tc>
        <w:tc>
          <w:tcPr>
            <w:tcW w:w="1249" w:type="dxa"/>
            <w:vAlign w:val="top"/>
          </w:tcPr>
          <w:p w14:paraId="43E0D3F9">
            <w:pPr>
              <w:rPr>
                <w:rFonts w:ascii="Arial"/>
                <w:sz w:val="21"/>
                <w:highlight w:val="none"/>
              </w:rPr>
            </w:pPr>
          </w:p>
        </w:tc>
        <w:tc>
          <w:tcPr>
            <w:tcW w:w="1248" w:type="dxa"/>
            <w:vAlign w:val="top"/>
          </w:tcPr>
          <w:p w14:paraId="520F4736">
            <w:pPr>
              <w:rPr>
                <w:rFonts w:ascii="Arial"/>
                <w:sz w:val="21"/>
                <w:highlight w:val="none"/>
              </w:rPr>
            </w:pPr>
          </w:p>
        </w:tc>
        <w:tc>
          <w:tcPr>
            <w:tcW w:w="1278" w:type="dxa"/>
            <w:vAlign w:val="top"/>
          </w:tcPr>
          <w:p w14:paraId="04277ABA">
            <w:pPr>
              <w:rPr>
                <w:rFonts w:ascii="Arial"/>
                <w:sz w:val="21"/>
                <w:highlight w:val="none"/>
              </w:rPr>
            </w:pPr>
          </w:p>
        </w:tc>
        <w:tc>
          <w:tcPr>
            <w:tcW w:w="1249" w:type="dxa"/>
            <w:vAlign w:val="top"/>
          </w:tcPr>
          <w:p w14:paraId="67E5E914">
            <w:pPr>
              <w:rPr>
                <w:rFonts w:ascii="Arial"/>
                <w:sz w:val="21"/>
                <w:highlight w:val="none"/>
              </w:rPr>
            </w:pPr>
          </w:p>
        </w:tc>
        <w:tc>
          <w:tcPr>
            <w:tcW w:w="1223" w:type="dxa"/>
            <w:vAlign w:val="top"/>
          </w:tcPr>
          <w:p w14:paraId="3CFCAA08">
            <w:pPr>
              <w:rPr>
                <w:rFonts w:ascii="Arial"/>
                <w:sz w:val="21"/>
                <w:highlight w:val="none"/>
              </w:rPr>
            </w:pPr>
          </w:p>
        </w:tc>
      </w:tr>
      <w:tr w14:paraId="018E4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994" w:type="dxa"/>
            <w:vAlign w:val="top"/>
          </w:tcPr>
          <w:p w14:paraId="075F6E3F">
            <w:pPr>
              <w:rPr>
                <w:rFonts w:ascii="Arial"/>
                <w:sz w:val="21"/>
                <w:highlight w:val="none"/>
              </w:rPr>
            </w:pPr>
          </w:p>
        </w:tc>
        <w:tc>
          <w:tcPr>
            <w:tcW w:w="1278" w:type="dxa"/>
            <w:vAlign w:val="top"/>
          </w:tcPr>
          <w:p w14:paraId="27ED9E80">
            <w:pPr>
              <w:rPr>
                <w:rFonts w:ascii="Arial"/>
                <w:sz w:val="21"/>
                <w:highlight w:val="none"/>
              </w:rPr>
            </w:pPr>
          </w:p>
        </w:tc>
        <w:tc>
          <w:tcPr>
            <w:tcW w:w="1249" w:type="dxa"/>
            <w:vAlign w:val="top"/>
          </w:tcPr>
          <w:p w14:paraId="3CE80981">
            <w:pPr>
              <w:rPr>
                <w:rFonts w:ascii="Arial"/>
                <w:sz w:val="21"/>
                <w:highlight w:val="none"/>
              </w:rPr>
            </w:pPr>
          </w:p>
        </w:tc>
        <w:tc>
          <w:tcPr>
            <w:tcW w:w="1248" w:type="dxa"/>
            <w:vAlign w:val="top"/>
          </w:tcPr>
          <w:p w14:paraId="08056365">
            <w:pPr>
              <w:rPr>
                <w:rFonts w:ascii="Arial"/>
                <w:sz w:val="21"/>
                <w:highlight w:val="none"/>
              </w:rPr>
            </w:pPr>
          </w:p>
        </w:tc>
        <w:tc>
          <w:tcPr>
            <w:tcW w:w="1278" w:type="dxa"/>
            <w:vAlign w:val="top"/>
          </w:tcPr>
          <w:p w14:paraId="1AEC7C66">
            <w:pPr>
              <w:rPr>
                <w:rFonts w:ascii="Arial"/>
                <w:sz w:val="21"/>
                <w:highlight w:val="none"/>
              </w:rPr>
            </w:pPr>
          </w:p>
        </w:tc>
        <w:tc>
          <w:tcPr>
            <w:tcW w:w="1249" w:type="dxa"/>
            <w:vAlign w:val="top"/>
          </w:tcPr>
          <w:p w14:paraId="404EEEF6">
            <w:pPr>
              <w:rPr>
                <w:rFonts w:ascii="Arial"/>
                <w:sz w:val="21"/>
                <w:highlight w:val="none"/>
              </w:rPr>
            </w:pPr>
          </w:p>
        </w:tc>
        <w:tc>
          <w:tcPr>
            <w:tcW w:w="1223" w:type="dxa"/>
            <w:vAlign w:val="top"/>
          </w:tcPr>
          <w:p w14:paraId="4B2CE4DF">
            <w:pPr>
              <w:rPr>
                <w:rFonts w:ascii="Arial"/>
                <w:sz w:val="21"/>
                <w:highlight w:val="none"/>
              </w:rPr>
            </w:pPr>
          </w:p>
        </w:tc>
      </w:tr>
      <w:tr w14:paraId="4398F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994" w:type="dxa"/>
            <w:vAlign w:val="top"/>
          </w:tcPr>
          <w:p w14:paraId="5D32C3F2">
            <w:pPr>
              <w:rPr>
                <w:rFonts w:ascii="Arial"/>
                <w:sz w:val="21"/>
                <w:highlight w:val="none"/>
              </w:rPr>
            </w:pPr>
          </w:p>
        </w:tc>
        <w:tc>
          <w:tcPr>
            <w:tcW w:w="1278" w:type="dxa"/>
            <w:vAlign w:val="top"/>
          </w:tcPr>
          <w:p w14:paraId="3BAB2661">
            <w:pPr>
              <w:rPr>
                <w:rFonts w:ascii="Arial"/>
                <w:sz w:val="21"/>
                <w:highlight w:val="none"/>
              </w:rPr>
            </w:pPr>
          </w:p>
        </w:tc>
        <w:tc>
          <w:tcPr>
            <w:tcW w:w="1249" w:type="dxa"/>
            <w:vAlign w:val="top"/>
          </w:tcPr>
          <w:p w14:paraId="0F6DF3EB">
            <w:pPr>
              <w:rPr>
                <w:rFonts w:ascii="Arial"/>
                <w:sz w:val="21"/>
                <w:highlight w:val="none"/>
              </w:rPr>
            </w:pPr>
          </w:p>
        </w:tc>
        <w:tc>
          <w:tcPr>
            <w:tcW w:w="1248" w:type="dxa"/>
            <w:vAlign w:val="top"/>
          </w:tcPr>
          <w:p w14:paraId="73F4A958">
            <w:pPr>
              <w:rPr>
                <w:rFonts w:ascii="Arial"/>
                <w:sz w:val="21"/>
                <w:highlight w:val="none"/>
              </w:rPr>
            </w:pPr>
          </w:p>
        </w:tc>
        <w:tc>
          <w:tcPr>
            <w:tcW w:w="1278" w:type="dxa"/>
            <w:vAlign w:val="top"/>
          </w:tcPr>
          <w:p w14:paraId="01235D4F">
            <w:pPr>
              <w:rPr>
                <w:rFonts w:ascii="Arial"/>
                <w:sz w:val="21"/>
                <w:highlight w:val="none"/>
              </w:rPr>
            </w:pPr>
          </w:p>
        </w:tc>
        <w:tc>
          <w:tcPr>
            <w:tcW w:w="1249" w:type="dxa"/>
            <w:vAlign w:val="top"/>
          </w:tcPr>
          <w:p w14:paraId="4206D47F">
            <w:pPr>
              <w:rPr>
                <w:rFonts w:ascii="Arial"/>
                <w:sz w:val="21"/>
                <w:highlight w:val="none"/>
              </w:rPr>
            </w:pPr>
          </w:p>
        </w:tc>
        <w:tc>
          <w:tcPr>
            <w:tcW w:w="1223" w:type="dxa"/>
            <w:vAlign w:val="top"/>
          </w:tcPr>
          <w:p w14:paraId="6C7675EB">
            <w:pPr>
              <w:rPr>
                <w:rFonts w:ascii="Arial"/>
                <w:sz w:val="21"/>
                <w:highlight w:val="none"/>
              </w:rPr>
            </w:pPr>
          </w:p>
        </w:tc>
      </w:tr>
      <w:tr w14:paraId="06988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994" w:type="dxa"/>
            <w:vAlign w:val="top"/>
          </w:tcPr>
          <w:p w14:paraId="5FF5D5D9">
            <w:pPr>
              <w:rPr>
                <w:rFonts w:ascii="Arial"/>
                <w:sz w:val="21"/>
                <w:highlight w:val="none"/>
              </w:rPr>
            </w:pPr>
          </w:p>
        </w:tc>
        <w:tc>
          <w:tcPr>
            <w:tcW w:w="1278" w:type="dxa"/>
            <w:vAlign w:val="top"/>
          </w:tcPr>
          <w:p w14:paraId="6C84B19A">
            <w:pPr>
              <w:rPr>
                <w:rFonts w:ascii="Arial"/>
                <w:sz w:val="21"/>
                <w:highlight w:val="none"/>
              </w:rPr>
            </w:pPr>
          </w:p>
        </w:tc>
        <w:tc>
          <w:tcPr>
            <w:tcW w:w="1249" w:type="dxa"/>
            <w:vAlign w:val="top"/>
          </w:tcPr>
          <w:p w14:paraId="00EBE7AD">
            <w:pPr>
              <w:rPr>
                <w:rFonts w:ascii="Arial"/>
                <w:sz w:val="21"/>
                <w:highlight w:val="none"/>
              </w:rPr>
            </w:pPr>
          </w:p>
        </w:tc>
        <w:tc>
          <w:tcPr>
            <w:tcW w:w="1248" w:type="dxa"/>
            <w:vAlign w:val="top"/>
          </w:tcPr>
          <w:p w14:paraId="04B0A5E7">
            <w:pPr>
              <w:rPr>
                <w:rFonts w:ascii="Arial"/>
                <w:sz w:val="21"/>
                <w:highlight w:val="none"/>
              </w:rPr>
            </w:pPr>
          </w:p>
        </w:tc>
        <w:tc>
          <w:tcPr>
            <w:tcW w:w="1278" w:type="dxa"/>
            <w:vAlign w:val="top"/>
          </w:tcPr>
          <w:p w14:paraId="6030687D">
            <w:pPr>
              <w:rPr>
                <w:rFonts w:ascii="Arial"/>
                <w:sz w:val="21"/>
                <w:highlight w:val="none"/>
              </w:rPr>
            </w:pPr>
          </w:p>
        </w:tc>
        <w:tc>
          <w:tcPr>
            <w:tcW w:w="1249" w:type="dxa"/>
            <w:vAlign w:val="top"/>
          </w:tcPr>
          <w:p w14:paraId="34545383">
            <w:pPr>
              <w:rPr>
                <w:rFonts w:ascii="Arial"/>
                <w:sz w:val="21"/>
                <w:highlight w:val="none"/>
              </w:rPr>
            </w:pPr>
          </w:p>
        </w:tc>
        <w:tc>
          <w:tcPr>
            <w:tcW w:w="1223" w:type="dxa"/>
            <w:vAlign w:val="top"/>
          </w:tcPr>
          <w:p w14:paraId="1D77922B">
            <w:pPr>
              <w:rPr>
                <w:rFonts w:ascii="Arial"/>
                <w:sz w:val="21"/>
                <w:highlight w:val="none"/>
              </w:rPr>
            </w:pPr>
          </w:p>
        </w:tc>
      </w:tr>
    </w:tbl>
    <w:p w14:paraId="6F17B95A">
      <w:pPr>
        <w:pStyle w:val="2"/>
        <w:spacing w:line="378" w:lineRule="auto"/>
        <w:rPr>
          <w:highlight w:val="none"/>
        </w:rPr>
      </w:pPr>
    </w:p>
    <w:p w14:paraId="41B17185">
      <w:pPr>
        <w:spacing w:before="72" w:line="216" w:lineRule="auto"/>
        <w:ind w:left="94"/>
        <w:rPr>
          <w:rFonts w:ascii="宋体" w:hAnsi="宋体" w:eastAsia="宋体" w:cs="宋体"/>
          <w:sz w:val="22"/>
          <w:szCs w:val="22"/>
          <w:highlight w:val="none"/>
        </w:rPr>
      </w:pPr>
      <w:r>
        <w:rPr>
          <w:rFonts w:ascii="宋体" w:hAnsi="宋体" w:eastAsia="宋体" w:cs="宋体"/>
          <w:sz w:val="22"/>
          <w:szCs w:val="22"/>
          <w:highlight w:val="none"/>
        </w:rPr>
        <w:t>2.6.2工程设备暂估价表</w:t>
      </w: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4"/>
        <w:gridCol w:w="1268"/>
        <w:gridCol w:w="1259"/>
        <w:gridCol w:w="1248"/>
        <w:gridCol w:w="1268"/>
        <w:gridCol w:w="1259"/>
        <w:gridCol w:w="1223"/>
      </w:tblGrid>
      <w:tr w14:paraId="0E6C9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994" w:type="dxa"/>
            <w:vAlign w:val="top"/>
          </w:tcPr>
          <w:p w14:paraId="78E3B0EE">
            <w:pPr>
              <w:pStyle w:val="6"/>
              <w:spacing w:before="185" w:line="218" w:lineRule="auto"/>
              <w:ind w:left="265"/>
              <w:rPr>
                <w:highlight w:val="none"/>
              </w:rPr>
            </w:pPr>
            <w:r>
              <w:rPr>
                <w:spacing w:val="6"/>
                <w:highlight w:val="none"/>
              </w:rPr>
              <w:t>序号</w:t>
            </w:r>
          </w:p>
        </w:tc>
        <w:tc>
          <w:tcPr>
            <w:tcW w:w="1268" w:type="dxa"/>
            <w:vAlign w:val="top"/>
          </w:tcPr>
          <w:p w14:paraId="736FDA35">
            <w:pPr>
              <w:pStyle w:val="6"/>
              <w:spacing w:before="186" w:line="217" w:lineRule="auto"/>
              <w:ind w:left="421"/>
              <w:rPr>
                <w:highlight w:val="none"/>
              </w:rPr>
            </w:pPr>
            <w:r>
              <w:rPr>
                <w:spacing w:val="5"/>
                <w:highlight w:val="none"/>
              </w:rPr>
              <w:t>名称</w:t>
            </w:r>
          </w:p>
        </w:tc>
        <w:tc>
          <w:tcPr>
            <w:tcW w:w="1259" w:type="dxa"/>
            <w:vAlign w:val="top"/>
          </w:tcPr>
          <w:p w14:paraId="61E2A9BA">
            <w:pPr>
              <w:pStyle w:val="6"/>
              <w:spacing w:before="183" w:line="219" w:lineRule="auto"/>
              <w:ind w:left="422"/>
              <w:rPr>
                <w:highlight w:val="none"/>
              </w:rPr>
            </w:pPr>
            <w:r>
              <w:rPr>
                <w:spacing w:val="-3"/>
                <w:highlight w:val="none"/>
              </w:rPr>
              <w:t>单位</w:t>
            </w:r>
          </w:p>
        </w:tc>
        <w:tc>
          <w:tcPr>
            <w:tcW w:w="1248" w:type="dxa"/>
            <w:vAlign w:val="top"/>
          </w:tcPr>
          <w:p w14:paraId="4BCEF265">
            <w:pPr>
              <w:pStyle w:val="6"/>
              <w:spacing w:before="183" w:line="219" w:lineRule="auto"/>
              <w:ind w:left="403"/>
              <w:rPr>
                <w:highlight w:val="none"/>
              </w:rPr>
            </w:pPr>
            <w:r>
              <w:rPr>
                <w:spacing w:val="-3"/>
                <w:highlight w:val="none"/>
              </w:rPr>
              <w:t>数量</w:t>
            </w:r>
          </w:p>
        </w:tc>
        <w:tc>
          <w:tcPr>
            <w:tcW w:w="1268" w:type="dxa"/>
            <w:vAlign w:val="top"/>
          </w:tcPr>
          <w:p w14:paraId="43852445">
            <w:pPr>
              <w:pStyle w:val="6"/>
              <w:spacing w:before="181" w:line="218" w:lineRule="auto"/>
              <w:ind w:left="495"/>
              <w:rPr>
                <w:highlight w:val="none"/>
              </w:rPr>
            </w:pPr>
            <w:r>
              <w:rPr>
                <w:spacing w:val="-3"/>
                <w:highlight w:val="none"/>
              </w:rPr>
              <w:t>单价</w:t>
            </w:r>
          </w:p>
        </w:tc>
        <w:tc>
          <w:tcPr>
            <w:tcW w:w="1259" w:type="dxa"/>
            <w:vAlign w:val="top"/>
          </w:tcPr>
          <w:p w14:paraId="075CACC6">
            <w:pPr>
              <w:pStyle w:val="6"/>
              <w:spacing w:before="181" w:line="218" w:lineRule="auto"/>
              <w:ind w:left="508"/>
              <w:rPr>
                <w:highlight w:val="none"/>
              </w:rPr>
            </w:pPr>
            <w:r>
              <w:rPr>
                <w:spacing w:val="-3"/>
                <w:highlight w:val="none"/>
              </w:rPr>
              <w:t>合价</w:t>
            </w:r>
          </w:p>
        </w:tc>
        <w:tc>
          <w:tcPr>
            <w:tcW w:w="1223" w:type="dxa"/>
            <w:vAlign w:val="top"/>
          </w:tcPr>
          <w:p w14:paraId="287E88F0">
            <w:pPr>
              <w:pStyle w:val="6"/>
              <w:spacing w:before="185" w:line="218" w:lineRule="auto"/>
              <w:ind w:left="408"/>
              <w:rPr>
                <w:highlight w:val="none"/>
              </w:rPr>
            </w:pPr>
            <w:r>
              <w:rPr>
                <w:spacing w:val="5"/>
                <w:highlight w:val="none"/>
              </w:rPr>
              <w:t>备注</w:t>
            </w:r>
          </w:p>
        </w:tc>
      </w:tr>
      <w:tr w14:paraId="00E29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994" w:type="dxa"/>
            <w:vAlign w:val="top"/>
          </w:tcPr>
          <w:p w14:paraId="6F44F65C">
            <w:pPr>
              <w:rPr>
                <w:rFonts w:ascii="Arial"/>
                <w:sz w:val="21"/>
                <w:highlight w:val="none"/>
              </w:rPr>
            </w:pPr>
          </w:p>
        </w:tc>
        <w:tc>
          <w:tcPr>
            <w:tcW w:w="1268" w:type="dxa"/>
            <w:vAlign w:val="top"/>
          </w:tcPr>
          <w:p w14:paraId="0D5C2ED3">
            <w:pPr>
              <w:rPr>
                <w:rFonts w:ascii="Arial"/>
                <w:sz w:val="21"/>
                <w:highlight w:val="none"/>
              </w:rPr>
            </w:pPr>
          </w:p>
        </w:tc>
        <w:tc>
          <w:tcPr>
            <w:tcW w:w="1259" w:type="dxa"/>
            <w:vAlign w:val="top"/>
          </w:tcPr>
          <w:p w14:paraId="1AFCC7CB">
            <w:pPr>
              <w:rPr>
                <w:rFonts w:ascii="Arial"/>
                <w:sz w:val="21"/>
                <w:highlight w:val="none"/>
              </w:rPr>
            </w:pPr>
          </w:p>
        </w:tc>
        <w:tc>
          <w:tcPr>
            <w:tcW w:w="1248" w:type="dxa"/>
            <w:vAlign w:val="top"/>
          </w:tcPr>
          <w:p w14:paraId="695529E0">
            <w:pPr>
              <w:rPr>
                <w:rFonts w:ascii="Arial"/>
                <w:sz w:val="21"/>
                <w:highlight w:val="none"/>
              </w:rPr>
            </w:pPr>
          </w:p>
        </w:tc>
        <w:tc>
          <w:tcPr>
            <w:tcW w:w="1268" w:type="dxa"/>
            <w:vAlign w:val="top"/>
          </w:tcPr>
          <w:p w14:paraId="002DBD15">
            <w:pPr>
              <w:rPr>
                <w:rFonts w:ascii="Arial"/>
                <w:sz w:val="21"/>
                <w:highlight w:val="none"/>
              </w:rPr>
            </w:pPr>
          </w:p>
        </w:tc>
        <w:tc>
          <w:tcPr>
            <w:tcW w:w="1259" w:type="dxa"/>
            <w:vAlign w:val="top"/>
          </w:tcPr>
          <w:p w14:paraId="75309EA5">
            <w:pPr>
              <w:rPr>
                <w:rFonts w:ascii="Arial"/>
                <w:sz w:val="21"/>
                <w:highlight w:val="none"/>
              </w:rPr>
            </w:pPr>
          </w:p>
        </w:tc>
        <w:tc>
          <w:tcPr>
            <w:tcW w:w="1223" w:type="dxa"/>
            <w:vAlign w:val="top"/>
          </w:tcPr>
          <w:p w14:paraId="24215B9A">
            <w:pPr>
              <w:rPr>
                <w:rFonts w:ascii="Arial"/>
                <w:sz w:val="21"/>
                <w:highlight w:val="none"/>
              </w:rPr>
            </w:pPr>
          </w:p>
        </w:tc>
      </w:tr>
      <w:tr w14:paraId="0BA31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94" w:type="dxa"/>
            <w:vAlign w:val="top"/>
          </w:tcPr>
          <w:p w14:paraId="60D52460">
            <w:pPr>
              <w:rPr>
                <w:rFonts w:ascii="Arial"/>
                <w:sz w:val="21"/>
                <w:highlight w:val="none"/>
              </w:rPr>
            </w:pPr>
          </w:p>
        </w:tc>
        <w:tc>
          <w:tcPr>
            <w:tcW w:w="1268" w:type="dxa"/>
            <w:vAlign w:val="top"/>
          </w:tcPr>
          <w:p w14:paraId="40458288">
            <w:pPr>
              <w:rPr>
                <w:rFonts w:ascii="Arial"/>
                <w:sz w:val="21"/>
                <w:highlight w:val="none"/>
              </w:rPr>
            </w:pPr>
          </w:p>
        </w:tc>
        <w:tc>
          <w:tcPr>
            <w:tcW w:w="1259" w:type="dxa"/>
            <w:vAlign w:val="top"/>
          </w:tcPr>
          <w:p w14:paraId="77E8F168">
            <w:pPr>
              <w:rPr>
                <w:rFonts w:ascii="Arial"/>
                <w:sz w:val="21"/>
                <w:highlight w:val="none"/>
              </w:rPr>
            </w:pPr>
          </w:p>
        </w:tc>
        <w:tc>
          <w:tcPr>
            <w:tcW w:w="1248" w:type="dxa"/>
            <w:vAlign w:val="top"/>
          </w:tcPr>
          <w:p w14:paraId="0FB22F77">
            <w:pPr>
              <w:rPr>
                <w:rFonts w:ascii="Arial"/>
                <w:sz w:val="21"/>
                <w:highlight w:val="none"/>
              </w:rPr>
            </w:pPr>
          </w:p>
        </w:tc>
        <w:tc>
          <w:tcPr>
            <w:tcW w:w="1268" w:type="dxa"/>
            <w:vAlign w:val="top"/>
          </w:tcPr>
          <w:p w14:paraId="1A786B01">
            <w:pPr>
              <w:rPr>
                <w:rFonts w:ascii="Arial"/>
                <w:sz w:val="21"/>
                <w:highlight w:val="none"/>
              </w:rPr>
            </w:pPr>
          </w:p>
        </w:tc>
        <w:tc>
          <w:tcPr>
            <w:tcW w:w="1259" w:type="dxa"/>
            <w:vAlign w:val="top"/>
          </w:tcPr>
          <w:p w14:paraId="367ABE4C">
            <w:pPr>
              <w:rPr>
                <w:rFonts w:ascii="Arial"/>
                <w:sz w:val="21"/>
                <w:highlight w:val="none"/>
              </w:rPr>
            </w:pPr>
          </w:p>
        </w:tc>
        <w:tc>
          <w:tcPr>
            <w:tcW w:w="1223" w:type="dxa"/>
            <w:vAlign w:val="top"/>
          </w:tcPr>
          <w:p w14:paraId="68B8A105">
            <w:pPr>
              <w:rPr>
                <w:rFonts w:ascii="Arial"/>
                <w:sz w:val="21"/>
                <w:highlight w:val="none"/>
              </w:rPr>
            </w:pPr>
          </w:p>
        </w:tc>
      </w:tr>
      <w:tr w14:paraId="337EA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994" w:type="dxa"/>
            <w:vAlign w:val="top"/>
          </w:tcPr>
          <w:p w14:paraId="0EE1D557">
            <w:pPr>
              <w:rPr>
                <w:rFonts w:ascii="Arial"/>
                <w:sz w:val="21"/>
                <w:highlight w:val="none"/>
              </w:rPr>
            </w:pPr>
          </w:p>
        </w:tc>
        <w:tc>
          <w:tcPr>
            <w:tcW w:w="1268" w:type="dxa"/>
            <w:vAlign w:val="top"/>
          </w:tcPr>
          <w:p w14:paraId="0862B07B">
            <w:pPr>
              <w:rPr>
                <w:rFonts w:ascii="Arial"/>
                <w:sz w:val="21"/>
                <w:highlight w:val="none"/>
              </w:rPr>
            </w:pPr>
          </w:p>
        </w:tc>
        <w:tc>
          <w:tcPr>
            <w:tcW w:w="1259" w:type="dxa"/>
            <w:vAlign w:val="top"/>
          </w:tcPr>
          <w:p w14:paraId="083F104E">
            <w:pPr>
              <w:rPr>
                <w:rFonts w:ascii="Arial"/>
                <w:sz w:val="21"/>
                <w:highlight w:val="none"/>
              </w:rPr>
            </w:pPr>
          </w:p>
        </w:tc>
        <w:tc>
          <w:tcPr>
            <w:tcW w:w="1248" w:type="dxa"/>
            <w:vAlign w:val="top"/>
          </w:tcPr>
          <w:p w14:paraId="7DDAF535">
            <w:pPr>
              <w:rPr>
                <w:rFonts w:ascii="Arial"/>
                <w:sz w:val="21"/>
                <w:highlight w:val="none"/>
              </w:rPr>
            </w:pPr>
          </w:p>
        </w:tc>
        <w:tc>
          <w:tcPr>
            <w:tcW w:w="1268" w:type="dxa"/>
            <w:vAlign w:val="top"/>
          </w:tcPr>
          <w:p w14:paraId="1DD1FC4A">
            <w:pPr>
              <w:rPr>
                <w:rFonts w:ascii="Arial"/>
                <w:sz w:val="21"/>
                <w:highlight w:val="none"/>
              </w:rPr>
            </w:pPr>
          </w:p>
        </w:tc>
        <w:tc>
          <w:tcPr>
            <w:tcW w:w="1259" w:type="dxa"/>
            <w:vAlign w:val="top"/>
          </w:tcPr>
          <w:p w14:paraId="6D6941F6">
            <w:pPr>
              <w:rPr>
                <w:rFonts w:ascii="Arial"/>
                <w:sz w:val="21"/>
                <w:highlight w:val="none"/>
              </w:rPr>
            </w:pPr>
          </w:p>
        </w:tc>
        <w:tc>
          <w:tcPr>
            <w:tcW w:w="1223" w:type="dxa"/>
            <w:vAlign w:val="top"/>
          </w:tcPr>
          <w:p w14:paraId="707954DB">
            <w:pPr>
              <w:rPr>
                <w:rFonts w:ascii="Arial"/>
                <w:sz w:val="21"/>
                <w:highlight w:val="none"/>
              </w:rPr>
            </w:pPr>
          </w:p>
        </w:tc>
      </w:tr>
      <w:tr w14:paraId="4FC48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94" w:type="dxa"/>
            <w:vAlign w:val="top"/>
          </w:tcPr>
          <w:p w14:paraId="0D7D854D">
            <w:pPr>
              <w:rPr>
                <w:rFonts w:ascii="Arial"/>
                <w:sz w:val="21"/>
                <w:highlight w:val="none"/>
              </w:rPr>
            </w:pPr>
          </w:p>
        </w:tc>
        <w:tc>
          <w:tcPr>
            <w:tcW w:w="1268" w:type="dxa"/>
            <w:vAlign w:val="top"/>
          </w:tcPr>
          <w:p w14:paraId="6B6DBF87">
            <w:pPr>
              <w:rPr>
                <w:rFonts w:ascii="Arial"/>
                <w:sz w:val="21"/>
                <w:highlight w:val="none"/>
              </w:rPr>
            </w:pPr>
          </w:p>
        </w:tc>
        <w:tc>
          <w:tcPr>
            <w:tcW w:w="1259" w:type="dxa"/>
            <w:vAlign w:val="top"/>
          </w:tcPr>
          <w:p w14:paraId="07242A95">
            <w:pPr>
              <w:rPr>
                <w:rFonts w:ascii="Arial"/>
                <w:sz w:val="21"/>
                <w:highlight w:val="none"/>
              </w:rPr>
            </w:pPr>
          </w:p>
        </w:tc>
        <w:tc>
          <w:tcPr>
            <w:tcW w:w="1248" w:type="dxa"/>
            <w:vAlign w:val="top"/>
          </w:tcPr>
          <w:p w14:paraId="611FF345">
            <w:pPr>
              <w:rPr>
                <w:rFonts w:ascii="Arial"/>
                <w:sz w:val="21"/>
                <w:highlight w:val="none"/>
              </w:rPr>
            </w:pPr>
          </w:p>
        </w:tc>
        <w:tc>
          <w:tcPr>
            <w:tcW w:w="1268" w:type="dxa"/>
            <w:vAlign w:val="top"/>
          </w:tcPr>
          <w:p w14:paraId="3A995B2F">
            <w:pPr>
              <w:rPr>
                <w:rFonts w:ascii="Arial"/>
                <w:sz w:val="21"/>
                <w:highlight w:val="none"/>
              </w:rPr>
            </w:pPr>
          </w:p>
        </w:tc>
        <w:tc>
          <w:tcPr>
            <w:tcW w:w="1259" w:type="dxa"/>
            <w:vAlign w:val="top"/>
          </w:tcPr>
          <w:p w14:paraId="354DF0F4">
            <w:pPr>
              <w:rPr>
                <w:rFonts w:ascii="Arial"/>
                <w:sz w:val="21"/>
                <w:highlight w:val="none"/>
              </w:rPr>
            </w:pPr>
          </w:p>
        </w:tc>
        <w:tc>
          <w:tcPr>
            <w:tcW w:w="1223" w:type="dxa"/>
            <w:vAlign w:val="top"/>
          </w:tcPr>
          <w:p w14:paraId="2DC2E76A">
            <w:pPr>
              <w:rPr>
                <w:rFonts w:ascii="Arial"/>
                <w:sz w:val="21"/>
                <w:highlight w:val="none"/>
              </w:rPr>
            </w:pPr>
          </w:p>
        </w:tc>
      </w:tr>
      <w:tr w14:paraId="5E296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94" w:type="dxa"/>
            <w:vAlign w:val="top"/>
          </w:tcPr>
          <w:p w14:paraId="6F45E273">
            <w:pPr>
              <w:rPr>
                <w:rFonts w:ascii="Arial"/>
                <w:sz w:val="21"/>
                <w:highlight w:val="none"/>
              </w:rPr>
            </w:pPr>
          </w:p>
        </w:tc>
        <w:tc>
          <w:tcPr>
            <w:tcW w:w="1268" w:type="dxa"/>
            <w:vAlign w:val="top"/>
          </w:tcPr>
          <w:p w14:paraId="2AAB30C9">
            <w:pPr>
              <w:rPr>
                <w:rFonts w:ascii="Arial"/>
                <w:sz w:val="21"/>
                <w:highlight w:val="none"/>
              </w:rPr>
            </w:pPr>
          </w:p>
        </w:tc>
        <w:tc>
          <w:tcPr>
            <w:tcW w:w="1259" w:type="dxa"/>
            <w:vAlign w:val="top"/>
          </w:tcPr>
          <w:p w14:paraId="59832E87">
            <w:pPr>
              <w:rPr>
                <w:rFonts w:ascii="Arial"/>
                <w:sz w:val="21"/>
                <w:highlight w:val="none"/>
              </w:rPr>
            </w:pPr>
          </w:p>
        </w:tc>
        <w:tc>
          <w:tcPr>
            <w:tcW w:w="1248" w:type="dxa"/>
            <w:vAlign w:val="top"/>
          </w:tcPr>
          <w:p w14:paraId="56D1944D">
            <w:pPr>
              <w:rPr>
                <w:rFonts w:ascii="Arial"/>
                <w:sz w:val="21"/>
                <w:highlight w:val="none"/>
              </w:rPr>
            </w:pPr>
          </w:p>
        </w:tc>
        <w:tc>
          <w:tcPr>
            <w:tcW w:w="1268" w:type="dxa"/>
            <w:vAlign w:val="top"/>
          </w:tcPr>
          <w:p w14:paraId="2646BDA8">
            <w:pPr>
              <w:rPr>
                <w:rFonts w:ascii="Arial"/>
                <w:sz w:val="21"/>
                <w:highlight w:val="none"/>
              </w:rPr>
            </w:pPr>
          </w:p>
        </w:tc>
        <w:tc>
          <w:tcPr>
            <w:tcW w:w="1259" w:type="dxa"/>
            <w:vAlign w:val="top"/>
          </w:tcPr>
          <w:p w14:paraId="0AC96A8E">
            <w:pPr>
              <w:rPr>
                <w:rFonts w:ascii="Arial"/>
                <w:sz w:val="21"/>
                <w:highlight w:val="none"/>
              </w:rPr>
            </w:pPr>
          </w:p>
        </w:tc>
        <w:tc>
          <w:tcPr>
            <w:tcW w:w="1223" w:type="dxa"/>
            <w:vAlign w:val="top"/>
          </w:tcPr>
          <w:p w14:paraId="324C6F64">
            <w:pPr>
              <w:rPr>
                <w:rFonts w:ascii="Arial"/>
                <w:sz w:val="21"/>
                <w:highlight w:val="none"/>
              </w:rPr>
            </w:pPr>
          </w:p>
        </w:tc>
      </w:tr>
      <w:tr w14:paraId="66CD1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994" w:type="dxa"/>
            <w:vAlign w:val="top"/>
          </w:tcPr>
          <w:p w14:paraId="7E15AA6C">
            <w:pPr>
              <w:rPr>
                <w:rFonts w:ascii="Arial"/>
                <w:sz w:val="21"/>
                <w:highlight w:val="none"/>
              </w:rPr>
            </w:pPr>
          </w:p>
        </w:tc>
        <w:tc>
          <w:tcPr>
            <w:tcW w:w="1268" w:type="dxa"/>
            <w:vAlign w:val="top"/>
          </w:tcPr>
          <w:p w14:paraId="755E3EB1">
            <w:pPr>
              <w:rPr>
                <w:rFonts w:ascii="Arial"/>
                <w:sz w:val="21"/>
                <w:highlight w:val="none"/>
              </w:rPr>
            </w:pPr>
          </w:p>
        </w:tc>
        <w:tc>
          <w:tcPr>
            <w:tcW w:w="1259" w:type="dxa"/>
            <w:vAlign w:val="top"/>
          </w:tcPr>
          <w:p w14:paraId="76A429D1">
            <w:pPr>
              <w:rPr>
                <w:rFonts w:ascii="Arial"/>
                <w:sz w:val="21"/>
                <w:highlight w:val="none"/>
              </w:rPr>
            </w:pPr>
          </w:p>
        </w:tc>
        <w:tc>
          <w:tcPr>
            <w:tcW w:w="1248" w:type="dxa"/>
            <w:vAlign w:val="top"/>
          </w:tcPr>
          <w:p w14:paraId="0500C8F6">
            <w:pPr>
              <w:rPr>
                <w:rFonts w:ascii="Arial"/>
                <w:sz w:val="21"/>
                <w:highlight w:val="none"/>
              </w:rPr>
            </w:pPr>
          </w:p>
        </w:tc>
        <w:tc>
          <w:tcPr>
            <w:tcW w:w="1268" w:type="dxa"/>
            <w:vAlign w:val="top"/>
          </w:tcPr>
          <w:p w14:paraId="0C8CBD4F">
            <w:pPr>
              <w:rPr>
                <w:rFonts w:ascii="Arial"/>
                <w:sz w:val="21"/>
                <w:highlight w:val="none"/>
              </w:rPr>
            </w:pPr>
          </w:p>
        </w:tc>
        <w:tc>
          <w:tcPr>
            <w:tcW w:w="1259" w:type="dxa"/>
            <w:vAlign w:val="top"/>
          </w:tcPr>
          <w:p w14:paraId="40B3897C">
            <w:pPr>
              <w:rPr>
                <w:rFonts w:ascii="Arial"/>
                <w:sz w:val="21"/>
                <w:highlight w:val="none"/>
              </w:rPr>
            </w:pPr>
          </w:p>
        </w:tc>
        <w:tc>
          <w:tcPr>
            <w:tcW w:w="1223" w:type="dxa"/>
            <w:vAlign w:val="top"/>
          </w:tcPr>
          <w:p w14:paraId="74B85660">
            <w:pPr>
              <w:rPr>
                <w:rFonts w:ascii="Arial"/>
                <w:sz w:val="21"/>
                <w:highlight w:val="none"/>
              </w:rPr>
            </w:pPr>
          </w:p>
        </w:tc>
      </w:tr>
    </w:tbl>
    <w:p w14:paraId="38041DEF">
      <w:pPr>
        <w:pStyle w:val="2"/>
        <w:spacing w:line="410" w:lineRule="auto"/>
        <w:rPr>
          <w:highlight w:val="none"/>
        </w:rPr>
      </w:pPr>
    </w:p>
    <w:p w14:paraId="0EFD5621">
      <w:pPr>
        <w:spacing w:before="69" w:line="218" w:lineRule="auto"/>
        <w:ind w:left="104"/>
        <w:rPr>
          <w:rFonts w:ascii="宋体" w:hAnsi="宋体" w:eastAsia="宋体" w:cs="宋体"/>
          <w:sz w:val="21"/>
          <w:szCs w:val="21"/>
          <w:highlight w:val="none"/>
        </w:rPr>
      </w:pPr>
      <w:r>
        <w:rPr>
          <w:rFonts w:ascii="宋体" w:hAnsi="宋体" w:eastAsia="宋体" w:cs="宋体"/>
          <w:spacing w:val="-1"/>
          <w:sz w:val="21"/>
          <w:szCs w:val="21"/>
          <w:highlight w:val="none"/>
        </w:rPr>
        <w:t>2.6.3专业工程暂估价表</w:t>
      </w:r>
    </w:p>
    <w:p w14:paraId="010F7346">
      <w:pPr>
        <w:spacing w:line="107" w:lineRule="auto"/>
        <w:rPr>
          <w:rFonts w:ascii="Arial"/>
          <w:sz w:val="2"/>
          <w:highlight w:val="none"/>
        </w:rPr>
      </w:pPr>
    </w:p>
    <w:tbl>
      <w:tblPr>
        <w:tblStyle w:val="5"/>
        <w:tblW w:w="85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83"/>
        <w:gridCol w:w="5563"/>
        <w:gridCol w:w="1173"/>
      </w:tblGrid>
      <w:tr w14:paraId="2659D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783" w:type="dxa"/>
            <w:vAlign w:val="top"/>
          </w:tcPr>
          <w:p w14:paraId="342C1F7A">
            <w:pPr>
              <w:pStyle w:val="6"/>
              <w:spacing w:before="183" w:line="219" w:lineRule="auto"/>
              <w:ind w:left="254"/>
              <w:rPr>
                <w:highlight w:val="none"/>
              </w:rPr>
            </w:pPr>
            <w:r>
              <w:rPr>
                <w:spacing w:val="-2"/>
                <w:highlight w:val="none"/>
              </w:rPr>
              <w:t>专业工程名称</w:t>
            </w:r>
          </w:p>
        </w:tc>
        <w:tc>
          <w:tcPr>
            <w:tcW w:w="5563" w:type="dxa"/>
            <w:vAlign w:val="top"/>
          </w:tcPr>
          <w:p w14:paraId="694BF3E0">
            <w:pPr>
              <w:pStyle w:val="6"/>
              <w:spacing w:before="183" w:line="219" w:lineRule="auto"/>
              <w:ind w:left="2381"/>
              <w:rPr>
                <w:highlight w:val="none"/>
              </w:rPr>
            </w:pPr>
            <w:r>
              <w:rPr>
                <w:spacing w:val="2"/>
                <w:highlight w:val="none"/>
              </w:rPr>
              <w:t>工程内容</w:t>
            </w:r>
          </w:p>
        </w:tc>
        <w:tc>
          <w:tcPr>
            <w:tcW w:w="1173" w:type="dxa"/>
            <w:vAlign w:val="top"/>
          </w:tcPr>
          <w:p w14:paraId="31FC5CA2">
            <w:pPr>
              <w:pStyle w:val="6"/>
              <w:spacing w:before="183" w:line="219" w:lineRule="auto"/>
              <w:ind w:left="388"/>
              <w:rPr>
                <w:highlight w:val="none"/>
              </w:rPr>
            </w:pPr>
            <w:r>
              <w:rPr>
                <w:spacing w:val="-3"/>
                <w:highlight w:val="none"/>
              </w:rPr>
              <w:t>金额</w:t>
            </w:r>
          </w:p>
        </w:tc>
      </w:tr>
      <w:tr w14:paraId="2D02C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783" w:type="dxa"/>
            <w:vAlign w:val="top"/>
          </w:tcPr>
          <w:p w14:paraId="7567C0BC">
            <w:pPr>
              <w:rPr>
                <w:rFonts w:ascii="Arial"/>
                <w:sz w:val="21"/>
                <w:highlight w:val="none"/>
              </w:rPr>
            </w:pPr>
          </w:p>
        </w:tc>
        <w:tc>
          <w:tcPr>
            <w:tcW w:w="5563" w:type="dxa"/>
            <w:vAlign w:val="top"/>
          </w:tcPr>
          <w:p w14:paraId="494A7873">
            <w:pPr>
              <w:rPr>
                <w:rFonts w:ascii="Arial"/>
                <w:sz w:val="21"/>
                <w:highlight w:val="none"/>
              </w:rPr>
            </w:pPr>
          </w:p>
        </w:tc>
        <w:tc>
          <w:tcPr>
            <w:tcW w:w="1173" w:type="dxa"/>
            <w:vAlign w:val="top"/>
          </w:tcPr>
          <w:p w14:paraId="2A1779D2">
            <w:pPr>
              <w:rPr>
                <w:rFonts w:ascii="Arial"/>
                <w:sz w:val="21"/>
                <w:highlight w:val="none"/>
              </w:rPr>
            </w:pPr>
          </w:p>
        </w:tc>
      </w:tr>
      <w:tr w14:paraId="4B58F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1783" w:type="dxa"/>
            <w:vAlign w:val="top"/>
          </w:tcPr>
          <w:p w14:paraId="2D44A3A8">
            <w:pPr>
              <w:rPr>
                <w:rFonts w:ascii="Arial"/>
                <w:sz w:val="21"/>
                <w:highlight w:val="none"/>
              </w:rPr>
            </w:pPr>
          </w:p>
        </w:tc>
        <w:tc>
          <w:tcPr>
            <w:tcW w:w="5563" w:type="dxa"/>
            <w:vAlign w:val="top"/>
          </w:tcPr>
          <w:p w14:paraId="487FB6A4">
            <w:pPr>
              <w:rPr>
                <w:rFonts w:ascii="Arial"/>
                <w:sz w:val="21"/>
                <w:highlight w:val="none"/>
              </w:rPr>
            </w:pPr>
          </w:p>
        </w:tc>
        <w:tc>
          <w:tcPr>
            <w:tcW w:w="1173" w:type="dxa"/>
            <w:vAlign w:val="top"/>
          </w:tcPr>
          <w:p w14:paraId="29B9D855">
            <w:pPr>
              <w:rPr>
                <w:rFonts w:ascii="Arial"/>
                <w:sz w:val="21"/>
                <w:highlight w:val="none"/>
              </w:rPr>
            </w:pPr>
          </w:p>
        </w:tc>
      </w:tr>
      <w:tr w14:paraId="0020F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83" w:type="dxa"/>
            <w:vAlign w:val="top"/>
          </w:tcPr>
          <w:p w14:paraId="580277BD">
            <w:pPr>
              <w:rPr>
                <w:rFonts w:ascii="Arial"/>
                <w:sz w:val="21"/>
                <w:highlight w:val="none"/>
              </w:rPr>
            </w:pPr>
          </w:p>
        </w:tc>
        <w:tc>
          <w:tcPr>
            <w:tcW w:w="5563" w:type="dxa"/>
            <w:vAlign w:val="top"/>
          </w:tcPr>
          <w:p w14:paraId="44BA5A27">
            <w:pPr>
              <w:rPr>
                <w:rFonts w:ascii="Arial"/>
                <w:sz w:val="21"/>
                <w:highlight w:val="none"/>
              </w:rPr>
            </w:pPr>
          </w:p>
        </w:tc>
        <w:tc>
          <w:tcPr>
            <w:tcW w:w="1173" w:type="dxa"/>
            <w:vAlign w:val="top"/>
          </w:tcPr>
          <w:p w14:paraId="22D7C8CB">
            <w:pPr>
              <w:rPr>
                <w:rFonts w:ascii="Arial"/>
                <w:sz w:val="21"/>
                <w:highlight w:val="none"/>
              </w:rPr>
            </w:pPr>
          </w:p>
        </w:tc>
      </w:tr>
      <w:tr w14:paraId="1BC08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783" w:type="dxa"/>
            <w:vAlign w:val="top"/>
          </w:tcPr>
          <w:p w14:paraId="56127BFB">
            <w:pPr>
              <w:rPr>
                <w:rFonts w:ascii="Arial"/>
                <w:sz w:val="21"/>
                <w:highlight w:val="none"/>
              </w:rPr>
            </w:pPr>
          </w:p>
        </w:tc>
        <w:tc>
          <w:tcPr>
            <w:tcW w:w="5563" w:type="dxa"/>
            <w:vAlign w:val="top"/>
          </w:tcPr>
          <w:p w14:paraId="34588B81">
            <w:pPr>
              <w:rPr>
                <w:rFonts w:ascii="Arial"/>
                <w:sz w:val="21"/>
                <w:highlight w:val="none"/>
              </w:rPr>
            </w:pPr>
          </w:p>
        </w:tc>
        <w:tc>
          <w:tcPr>
            <w:tcW w:w="1173" w:type="dxa"/>
            <w:vAlign w:val="top"/>
          </w:tcPr>
          <w:p w14:paraId="03541868">
            <w:pPr>
              <w:rPr>
                <w:rFonts w:ascii="Arial"/>
                <w:sz w:val="21"/>
                <w:highlight w:val="none"/>
              </w:rPr>
            </w:pPr>
          </w:p>
        </w:tc>
      </w:tr>
      <w:tr w14:paraId="779DB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783" w:type="dxa"/>
            <w:vAlign w:val="top"/>
          </w:tcPr>
          <w:p w14:paraId="12BB305B">
            <w:pPr>
              <w:rPr>
                <w:rFonts w:ascii="Arial"/>
                <w:sz w:val="21"/>
                <w:highlight w:val="none"/>
              </w:rPr>
            </w:pPr>
          </w:p>
        </w:tc>
        <w:tc>
          <w:tcPr>
            <w:tcW w:w="5563" w:type="dxa"/>
            <w:vAlign w:val="top"/>
          </w:tcPr>
          <w:p w14:paraId="4356FC9B">
            <w:pPr>
              <w:rPr>
                <w:rFonts w:ascii="Arial"/>
                <w:sz w:val="21"/>
                <w:highlight w:val="none"/>
              </w:rPr>
            </w:pPr>
          </w:p>
        </w:tc>
        <w:tc>
          <w:tcPr>
            <w:tcW w:w="1173" w:type="dxa"/>
            <w:vAlign w:val="top"/>
          </w:tcPr>
          <w:p w14:paraId="60F492D8">
            <w:pPr>
              <w:rPr>
                <w:rFonts w:ascii="Arial"/>
                <w:sz w:val="21"/>
                <w:highlight w:val="none"/>
              </w:rPr>
            </w:pPr>
          </w:p>
        </w:tc>
      </w:tr>
      <w:tr w14:paraId="2E726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783" w:type="dxa"/>
            <w:vAlign w:val="top"/>
          </w:tcPr>
          <w:p w14:paraId="6F123900">
            <w:pPr>
              <w:rPr>
                <w:rFonts w:ascii="Arial"/>
                <w:sz w:val="21"/>
                <w:highlight w:val="none"/>
              </w:rPr>
            </w:pPr>
          </w:p>
        </w:tc>
        <w:tc>
          <w:tcPr>
            <w:tcW w:w="5563" w:type="dxa"/>
            <w:vAlign w:val="top"/>
          </w:tcPr>
          <w:p w14:paraId="09E6F24B">
            <w:pPr>
              <w:rPr>
                <w:rFonts w:ascii="Arial"/>
                <w:sz w:val="21"/>
                <w:highlight w:val="none"/>
              </w:rPr>
            </w:pPr>
          </w:p>
        </w:tc>
        <w:tc>
          <w:tcPr>
            <w:tcW w:w="1173" w:type="dxa"/>
            <w:vAlign w:val="top"/>
          </w:tcPr>
          <w:p w14:paraId="5BA3C497">
            <w:pPr>
              <w:rPr>
                <w:rFonts w:ascii="Arial"/>
                <w:sz w:val="21"/>
                <w:highlight w:val="none"/>
              </w:rPr>
            </w:pPr>
          </w:p>
        </w:tc>
      </w:tr>
      <w:tr w14:paraId="22829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783" w:type="dxa"/>
            <w:vAlign w:val="top"/>
          </w:tcPr>
          <w:p w14:paraId="313426B2">
            <w:pPr>
              <w:rPr>
                <w:rFonts w:ascii="Arial"/>
                <w:sz w:val="21"/>
                <w:highlight w:val="none"/>
              </w:rPr>
            </w:pPr>
          </w:p>
        </w:tc>
        <w:tc>
          <w:tcPr>
            <w:tcW w:w="5563" w:type="dxa"/>
            <w:vAlign w:val="top"/>
          </w:tcPr>
          <w:p w14:paraId="519DC33B">
            <w:pPr>
              <w:rPr>
                <w:rFonts w:ascii="Arial"/>
                <w:sz w:val="21"/>
                <w:highlight w:val="none"/>
              </w:rPr>
            </w:pPr>
          </w:p>
        </w:tc>
        <w:tc>
          <w:tcPr>
            <w:tcW w:w="1173" w:type="dxa"/>
            <w:vAlign w:val="top"/>
          </w:tcPr>
          <w:p w14:paraId="5BFCD2E9">
            <w:pPr>
              <w:rPr>
                <w:rFonts w:ascii="Arial"/>
                <w:sz w:val="21"/>
                <w:highlight w:val="none"/>
              </w:rPr>
            </w:pPr>
          </w:p>
        </w:tc>
      </w:tr>
    </w:tbl>
    <w:p w14:paraId="611073B5">
      <w:pPr>
        <w:pStyle w:val="2"/>
        <w:rPr>
          <w:highlight w:val="none"/>
        </w:rPr>
      </w:pPr>
    </w:p>
    <w:p w14:paraId="17713BC9">
      <w:pPr>
        <w:rPr>
          <w:highlight w:val="none"/>
        </w:rPr>
        <w:sectPr>
          <w:footerReference r:id="rId290" w:type="default"/>
          <w:pgSz w:w="11910" w:h="16840"/>
          <w:pgMar w:top="400" w:right="1695" w:bottom="1228" w:left="1685" w:header="0" w:footer="1009" w:gutter="0"/>
          <w:cols w:space="720" w:num="1"/>
        </w:sectPr>
      </w:pPr>
    </w:p>
    <w:p w14:paraId="0B478C3C">
      <w:pPr>
        <w:pStyle w:val="2"/>
        <w:spacing w:line="264" w:lineRule="auto"/>
        <w:rPr>
          <w:highlight w:val="none"/>
        </w:rPr>
      </w:pPr>
    </w:p>
    <w:p w14:paraId="53065745">
      <w:pPr>
        <w:pStyle w:val="2"/>
        <w:spacing w:line="264" w:lineRule="auto"/>
        <w:rPr>
          <w:highlight w:val="none"/>
        </w:rPr>
      </w:pPr>
    </w:p>
    <w:p w14:paraId="325D201E">
      <w:pPr>
        <w:pStyle w:val="2"/>
        <w:spacing w:line="264" w:lineRule="auto"/>
        <w:rPr>
          <w:highlight w:val="none"/>
        </w:rPr>
      </w:pPr>
    </w:p>
    <w:p w14:paraId="6929831B">
      <w:pPr>
        <w:pStyle w:val="2"/>
        <w:spacing w:line="264" w:lineRule="auto"/>
        <w:rPr>
          <w:highlight w:val="none"/>
        </w:rPr>
      </w:pPr>
    </w:p>
    <w:p w14:paraId="3B6AB0C7">
      <w:pPr>
        <w:spacing w:before="107" w:line="220" w:lineRule="auto"/>
        <w:ind w:left="114"/>
        <w:rPr>
          <w:rFonts w:ascii="宋体" w:hAnsi="宋体" w:eastAsia="宋体" w:cs="宋体"/>
          <w:sz w:val="33"/>
          <w:szCs w:val="33"/>
          <w:highlight w:val="none"/>
        </w:rPr>
      </w:pPr>
      <w:r>
        <w:rPr>
          <w:rFonts w:ascii="Times New Roman" w:hAnsi="Times New Roman" w:eastAsia="Times New Roman" w:cs="Times New Roman"/>
          <w:b/>
          <w:bCs/>
          <w:spacing w:val="-8"/>
          <w:sz w:val="33"/>
          <w:szCs w:val="33"/>
          <w:highlight w:val="none"/>
        </w:rPr>
        <w:t>2.7</w:t>
      </w:r>
      <w:r>
        <w:rPr>
          <w:rFonts w:ascii="Times New Roman" w:hAnsi="Times New Roman" w:eastAsia="Times New Roman" w:cs="Times New Roman"/>
          <w:b/>
          <w:bCs/>
          <w:spacing w:val="68"/>
          <w:sz w:val="33"/>
          <w:szCs w:val="33"/>
          <w:highlight w:val="none"/>
        </w:rPr>
        <w:t xml:space="preserve"> </w:t>
      </w:r>
      <w:r>
        <w:rPr>
          <w:rFonts w:ascii="宋体" w:hAnsi="宋体" w:eastAsia="宋体" w:cs="宋体"/>
          <w:b/>
          <w:bCs/>
          <w:spacing w:val="-8"/>
          <w:sz w:val="33"/>
          <w:szCs w:val="33"/>
          <w:highlight w:val="none"/>
        </w:rPr>
        <w:t>其它费用清单</w:t>
      </w:r>
    </w:p>
    <w:p w14:paraId="4CB1A845">
      <w:pPr>
        <w:pStyle w:val="2"/>
        <w:spacing w:line="373" w:lineRule="auto"/>
        <w:rPr>
          <w:highlight w:val="none"/>
        </w:rPr>
      </w:pPr>
    </w:p>
    <w:p w14:paraId="6C94A3B4">
      <w:pPr>
        <w:spacing w:before="68" w:line="219" w:lineRule="auto"/>
        <w:ind w:left="6934"/>
        <w:rPr>
          <w:rFonts w:ascii="宋体" w:hAnsi="宋体" w:eastAsia="宋体" w:cs="宋体"/>
          <w:sz w:val="21"/>
          <w:szCs w:val="21"/>
          <w:highlight w:val="none"/>
        </w:rPr>
      </w:pPr>
      <w:r>
        <w:rPr>
          <w:rFonts w:ascii="宋体" w:hAnsi="宋体" w:eastAsia="宋体" w:cs="宋体"/>
          <w:spacing w:val="-2"/>
          <w:sz w:val="21"/>
          <w:szCs w:val="21"/>
          <w:highlight w:val="none"/>
        </w:rPr>
        <w:t>单位：人民币元</w:t>
      </w:r>
    </w:p>
    <w:p w14:paraId="11C97172">
      <w:pPr>
        <w:spacing w:line="68" w:lineRule="exact"/>
        <w:rPr>
          <w:highlight w:val="none"/>
        </w:rPr>
      </w:pPr>
    </w:p>
    <w:tbl>
      <w:tblPr>
        <w:tblStyle w:val="5"/>
        <w:tblW w:w="85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4"/>
        <w:gridCol w:w="2447"/>
        <w:gridCol w:w="1128"/>
        <w:gridCol w:w="2117"/>
        <w:gridCol w:w="1903"/>
      </w:tblGrid>
      <w:tr w14:paraId="38760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14" w:type="dxa"/>
            <w:vAlign w:val="top"/>
          </w:tcPr>
          <w:p w14:paraId="6548063A">
            <w:pPr>
              <w:pStyle w:val="6"/>
              <w:spacing w:before="254" w:line="221" w:lineRule="auto"/>
              <w:ind w:left="234"/>
              <w:rPr>
                <w:highlight w:val="none"/>
              </w:rPr>
            </w:pPr>
            <w:r>
              <w:rPr>
                <w:spacing w:val="6"/>
                <w:highlight w:val="none"/>
              </w:rPr>
              <w:t>序号</w:t>
            </w:r>
          </w:p>
        </w:tc>
        <w:tc>
          <w:tcPr>
            <w:tcW w:w="2447" w:type="dxa"/>
            <w:vAlign w:val="top"/>
          </w:tcPr>
          <w:p w14:paraId="5743943A">
            <w:pPr>
              <w:pStyle w:val="6"/>
              <w:spacing w:before="254" w:line="220" w:lineRule="auto"/>
              <w:ind w:left="790"/>
              <w:rPr>
                <w:highlight w:val="none"/>
              </w:rPr>
            </w:pPr>
            <w:r>
              <w:rPr>
                <w:spacing w:val="2"/>
                <w:highlight w:val="none"/>
              </w:rPr>
              <w:t>项目名称</w:t>
            </w:r>
          </w:p>
        </w:tc>
        <w:tc>
          <w:tcPr>
            <w:tcW w:w="1128" w:type="dxa"/>
            <w:vAlign w:val="top"/>
          </w:tcPr>
          <w:p w14:paraId="3BC3788C">
            <w:pPr>
              <w:pStyle w:val="6"/>
              <w:spacing w:before="253" w:line="219" w:lineRule="auto"/>
              <w:ind w:left="333"/>
              <w:rPr>
                <w:highlight w:val="none"/>
              </w:rPr>
            </w:pPr>
            <w:r>
              <w:rPr>
                <w:spacing w:val="5"/>
                <w:highlight w:val="none"/>
              </w:rPr>
              <w:t>内容</w:t>
            </w:r>
          </w:p>
        </w:tc>
        <w:tc>
          <w:tcPr>
            <w:tcW w:w="2117" w:type="dxa"/>
            <w:vAlign w:val="top"/>
          </w:tcPr>
          <w:p w14:paraId="50DD9FB8">
            <w:pPr>
              <w:pStyle w:val="6"/>
              <w:spacing w:before="253" w:line="219" w:lineRule="auto"/>
              <w:ind w:left="775"/>
              <w:rPr>
                <w:highlight w:val="none"/>
              </w:rPr>
            </w:pPr>
            <w:r>
              <w:rPr>
                <w:spacing w:val="-5"/>
                <w:highlight w:val="none"/>
              </w:rPr>
              <w:t>金</w:t>
            </w:r>
            <w:r>
              <w:rPr>
                <w:spacing w:val="61"/>
                <w:highlight w:val="none"/>
              </w:rPr>
              <w:t xml:space="preserve"> </w:t>
            </w:r>
            <w:r>
              <w:rPr>
                <w:spacing w:val="-5"/>
                <w:highlight w:val="none"/>
              </w:rPr>
              <w:t>额</w:t>
            </w:r>
          </w:p>
        </w:tc>
        <w:tc>
          <w:tcPr>
            <w:tcW w:w="1903" w:type="dxa"/>
            <w:vAlign w:val="top"/>
          </w:tcPr>
          <w:p w14:paraId="5D81088A">
            <w:pPr>
              <w:pStyle w:val="6"/>
              <w:spacing w:before="254" w:line="221" w:lineRule="auto"/>
              <w:ind w:left="749"/>
              <w:rPr>
                <w:highlight w:val="none"/>
              </w:rPr>
            </w:pPr>
            <w:r>
              <w:rPr>
                <w:spacing w:val="5"/>
                <w:highlight w:val="none"/>
              </w:rPr>
              <w:t>备注</w:t>
            </w:r>
          </w:p>
        </w:tc>
      </w:tr>
      <w:tr w14:paraId="7905F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914" w:type="dxa"/>
            <w:vAlign w:val="top"/>
          </w:tcPr>
          <w:p w14:paraId="413C5762">
            <w:pPr>
              <w:rPr>
                <w:rFonts w:ascii="Arial"/>
                <w:sz w:val="21"/>
                <w:highlight w:val="none"/>
              </w:rPr>
            </w:pPr>
          </w:p>
        </w:tc>
        <w:tc>
          <w:tcPr>
            <w:tcW w:w="2447" w:type="dxa"/>
            <w:vAlign w:val="top"/>
          </w:tcPr>
          <w:p w14:paraId="74B438CA">
            <w:pPr>
              <w:rPr>
                <w:rFonts w:ascii="Arial"/>
                <w:sz w:val="21"/>
                <w:highlight w:val="none"/>
              </w:rPr>
            </w:pPr>
          </w:p>
        </w:tc>
        <w:tc>
          <w:tcPr>
            <w:tcW w:w="1128" w:type="dxa"/>
            <w:vAlign w:val="top"/>
          </w:tcPr>
          <w:p w14:paraId="54173259">
            <w:pPr>
              <w:rPr>
                <w:rFonts w:ascii="Arial"/>
                <w:sz w:val="21"/>
                <w:highlight w:val="none"/>
              </w:rPr>
            </w:pPr>
          </w:p>
        </w:tc>
        <w:tc>
          <w:tcPr>
            <w:tcW w:w="2117" w:type="dxa"/>
            <w:vAlign w:val="top"/>
          </w:tcPr>
          <w:p w14:paraId="0E9F97CB">
            <w:pPr>
              <w:rPr>
                <w:rFonts w:ascii="Arial"/>
                <w:sz w:val="21"/>
                <w:highlight w:val="none"/>
              </w:rPr>
            </w:pPr>
          </w:p>
        </w:tc>
        <w:tc>
          <w:tcPr>
            <w:tcW w:w="1903" w:type="dxa"/>
            <w:vAlign w:val="top"/>
          </w:tcPr>
          <w:p w14:paraId="12C52076">
            <w:pPr>
              <w:rPr>
                <w:rFonts w:ascii="Arial"/>
                <w:sz w:val="21"/>
                <w:highlight w:val="none"/>
              </w:rPr>
            </w:pPr>
          </w:p>
        </w:tc>
      </w:tr>
      <w:tr w14:paraId="419AE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914" w:type="dxa"/>
            <w:vAlign w:val="top"/>
          </w:tcPr>
          <w:p w14:paraId="594E8B85">
            <w:pPr>
              <w:rPr>
                <w:rFonts w:ascii="Arial"/>
                <w:sz w:val="21"/>
                <w:highlight w:val="none"/>
              </w:rPr>
            </w:pPr>
          </w:p>
        </w:tc>
        <w:tc>
          <w:tcPr>
            <w:tcW w:w="2447" w:type="dxa"/>
            <w:vAlign w:val="top"/>
          </w:tcPr>
          <w:p w14:paraId="1E4637D5">
            <w:pPr>
              <w:rPr>
                <w:rFonts w:ascii="Arial"/>
                <w:sz w:val="21"/>
                <w:highlight w:val="none"/>
              </w:rPr>
            </w:pPr>
          </w:p>
        </w:tc>
        <w:tc>
          <w:tcPr>
            <w:tcW w:w="1128" w:type="dxa"/>
            <w:vAlign w:val="top"/>
          </w:tcPr>
          <w:p w14:paraId="5A3D46E2">
            <w:pPr>
              <w:rPr>
                <w:rFonts w:ascii="Arial"/>
                <w:sz w:val="21"/>
                <w:highlight w:val="none"/>
              </w:rPr>
            </w:pPr>
          </w:p>
        </w:tc>
        <w:tc>
          <w:tcPr>
            <w:tcW w:w="2117" w:type="dxa"/>
            <w:vAlign w:val="top"/>
          </w:tcPr>
          <w:p w14:paraId="667945C6">
            <w:pPr>
              <w:rPr>
                <w:rFonts w:ascii="Arial"/>
                <w:sz w:val="21"/>
                <w:highlight w:val="none"/>
              </w:rPr>
            </w:pPr>
          </w:p>
        </w:tc>
        <w:tc>
          <w:tcPr>
            <w:tcW w:w="1903" w:type="dxa"/>
            <w:vAlign w:val="top"/>
          </w:tcPr>
          <w:p w14:paraId="491D5D57">
            <w:pPr>
              <w:rPr>
                <w:rFonts w:ascii="Arial"/>
                <w:sz w:val="21"/>
                <w:highlight w:val="none"/>
              </w:rPr>
            </w:pPr>
          </w:p>
        </w:tc>
      </w:tr>
      <w:tr w14:paraId="2003E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6161DF76">
            <w:pPr>
              <w:rPr>
                <w:rFonts w:ascii="Arial"/>
                <w:sz w:val="21"/>
                <w:highlight w:val="none"/>
              </w:rPr>
            </w:pPr>
          </w:p>
        </w:tc>
        <w:tc>
          <w:tcPr>
            <w:tcW w:w="2447" w:type="dxa"/>
            <w:vAlign w:val="top"/>
          </w:tcPr>
          <w:p w14:paraId="15F94EAF">
            <w:pPr>
              <w:rPr>
                <w:rFonts w:ascii="Arial"/>
                <w:sz w:val="21"/>
                <w:highlight w:val="none"/>
              </w:rPr>
            </w:pPr>
          </w:p>
        </w:tc>
        <w:tc>
          <w:tcPr>
            <w:tcW w:w="1128" w:type="dxa"/>
            <w:vAlign w:val="top"/>
          </w:tcPr>
          <w:p w14:paraId="64CF8C1A">
            <w:pPr>
              <w:rPr>
                <w:rFonts w:ascii="Arial"/>
                <w:sz w:val="21"/>
                <w:highlight w:val="none"/>
              </w:rPr>
            </w:pPr>
          </w:p>
        </w:tc>
        <w:tc>
          <w:tcPr>
            <w:tcW w:w="2117" w:type="dxa"/>
            <w:vAlign w:val="top"/>
          </w:tcPr>
          <w:p w14:paraId="6ACBD51D">
            <w:pPr>
              <w:rPr>
                <w:rFonts w:ascii="Arial"/>
                <w:sz w:val="21"/>
                <w:highlight w:val="none"/>
              </w:rPr>
            </w:pPr>
          </w:p>
        </w:tc>
        <w:tc>
          <w:tcPr>
            <w:tcW w:w="1903" w:type="dxa"/>
            <w:vAlign w:val="top"/>
          </w:tcPr>
          <w:p w14:paraId="20F6C301">
            <w:pPr>
              <w:rPr>
                <w:rFonts w:ascii="Arial"/>
                <w:sz w:val="21"/>
                <w:highlight w:val="none"/>
              </w:rPr>
            </w:pPr>
          </w:p>
        </w:tc>
      </w:tr>
      <w:tr w14:paraId="2117A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914" w:type="dxa"/>
            <w:vAlign w:val="top"/>
          </w:tcPr>
          <w:p w14:paraId="6ACDA23F">
            <w:pPr>
              <w:rPr>
                <w:rFonts w:ascii="Arial"/>
                <w:sz w:val="21"/>
                <w:highlight w:val="none"/>
              </w:rPr>
            </w:pPr>
          </w:p>
        </w:tc>
        <w:tc>
          <w:tcPr>
            <w:tcW w:w="2447" w:type="dxa"/>
            <w:vAlign w:val="top"/>
          </w:tcPr>
          <w:p w14:paraId="13A84C3D">
            <w:pPr>
              <w:rPr>
                <w:rFonts w:ascii="Arial"/>
                <w:sz w:val="21"/>
                <w:highlight w:val="none"/>
              </w:rPr>
            </w:pPr>
          </w:p>
        </w:tc>
        <w:tc>
          <w:tcPr>
            <w:tcW w:w="1128" w:type="dxa"/>
            <w:vAlign w:val="top"/>
          </w:tcPr>
          <w:p w14:paraId="63FCEF12">
            <w:pPr>
              <w:rPr>
                <w:rFonts w:ascii="Arial"/>
                <w:sz w:val="21"/>
                <w:highlight w:val="none"/>
              </w:rPr>
            </w:pPr>
          </w:p>
        </w:tc>
        <w:tc>
          <w:tcPr>
            <w:tcW w:w="2117" w:type="dxa"/>
            <w:vAlign w:val="top"/>
          </w:tcPr>
          <w:p w14:paraId="085B19C0">
            <w:pPr>
              <w:rPr>
                <w:rFonts w:ascii="Arial"/>
                <w:sz w:val="21"/>
                <w:highlight w:val="none"/>
              </w:rPr>
            </w:pPr>
          </w:p>
        </w:tc>
        <w:tc>
          <w:tcPr>
            <w:tcW w:w="1903" w:type="dxa"/>
            <w:vAlign w:val="top"/>
          </w:tcPr>
          <w:p w14:paraId="23563B89">
            <w:pPr>
              <w:rPr>
                <w:rFonts w:ascii="Arial"/>
                <w:sz w:val="21"/>
                <w:highlight w:val="none"/>
              </w:rPr>
            </w:pPr>
          </w:p>
        </w:tc>
      </w:tr>
      <w:tr w14:paraId="1760B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7955F721">
            <w:pPr>
              <w:rPr>
                <w:rFonts w:ascii="Arial"/>
                <w:sz w:val="21"/>
                <w:highlight w:val="none"/>
              </w:rPr>
            </w:pPr>
          </w:p>
        </w:tc>
        <w:tc>
          <w:tcPr>
            <w:tcW w:w="2447" w:type="dxa"/>
            <w:vAlign w:val="top"/>
          </w:tcPr>
          <w:p w14:paraId="3AD02BE9">
            <w:pPr>
              <w:rPr>
                <w:rFonts w:ascii="Arial"/>
                <w:sz w:val="21"/>
                <w:highlight w:val="none"/>
              </w:rPr>
            </w:pPr>
          </w:p>
        </w:tc>
        <w:tc>
          <w:tcPr>
            <w:tcW w:w="1128" w:type="dxa"/>
            <w:vAlign w:val="top"/>
          </w:tcPr>
          <w:p w14:paraId="56FA18DF">
            <w:pPr>
              <w:rPr>
                <w:rFonts w:ascii="Arial"/>
                <w:sz w:val="21"/>
                <w:highlight w:val="none"/>
              </w:rPr>
            </w:pPr>
          </w:p>
        </w:tc>
        <w:tc>
          <w:tcPr>
            <w:tcW w:w="2117" w:type="dxa"/>
            <w:vAlign w:val="top"/>
          </w:tcPr>
          <w:p w14:paraId="243E6683">
            <w:pPr>
              <w:rPr>
                <w:rFonts w:ascii="Arial"/>
                <w:sz w:val="21"/>
                <w:highlight w:val="none"/>
              </w:rPr>
            </w:pPr>
          </w:p>
        </w:tc>
        <w:tc>
          <w:tcPr>
            <w:tcW w:w="1903" w:type="dxa"/>
            <w:vAlign w:val="top"/>
          </w:tcPr>
          <w:p w14:paraId="0C9A64C8">
            <w:pPr>
              <w:rPr>
                <w:rFonts w:ascii="Arial"/>
                <w:sz w:val="21"/>
                <w:highlight w:val="none"/>
              </w:rPr>
            </w:pPr>
          </w:p>
        </w:tc>
      </w:tr>
      <w:tr w14:paraId="6A59B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758BD228">
            <w:pPr>
              <w:rPr>
                <w:rFonts w:ascii="Arial"/>
                <w:sz w:val="21"/>
                <w:highlight w:val="none"/>
              </w:rPr>
            </w:pPr>
          </w:p>
        </w:tc>
        <w:tc>
          <w:tcPr>
            <w:tcW w:w="2447" w:type="dxa"/>
            <w:vAlign w:val="top"/>
          </w:tcPr>
          <w:p w14:paraId="1159CD44">
            <w:pPr>
              <w:rPr>
                <w:rFonts w:ascii="Arial"/>
                <w:sz w:val="21"/>
                <w:highlight w:val="none"/>
              </w:rPr>
            </w:pPr>
          </w:p>
        </w:tc>
        <w:tc>
          <w:tcPr>
            <w:tcW w:w="1128" w:type="dxa"/>
            <w:vAlign w:val="top"/>
          </w:tcPr>
          <w:p w14:paraId="731D9BBA">
            <w:pPr>
              <w:rPr>
                <w:rFonts w:ascii="Arial"/>
                <w:sz w:val="21"/>
                <w:highlight w:val="none"/>
              </w:rPr>
            </w:pPr>
          </w:p>
        </w:tc>
        <w:tc>
          <w:tcPr>
            <w:tcW w:w="2117" w:type="dxa"/>
            <w:vAlign w:val="top"/>
          </w:tcPr>
          <w:p w14:paraId="25138F6A">
            <w:pPr>
              <w:rPr>
                <w:rFonts w:ascii="Arial"/>
                <w:sz w:val="21"/>
                <w:highlight w:val="none"/>
              </w:rPr>
            </w:pPr>
          </w:p>
        </w:tc>
        <w:tc>
          <w:tcPr>
            <w:tcW w:w="1903" w:type="dxa"/>
            <w:vAlign w:val="top"/>
          </w:tcPr>
          <w:p w14:paraId="0D3C58FC">
            <w:pPr>
              <w:rPr>
                <w:rFonts w:ascii="Arial"/>
                <w:sz w:val="21"/>
                <w:highlight w:val="none"/>
              </w:rPr>
            </w:pPr>
          </w:p>
        </w:tc>
      </w:tr>
      <w:tr w14:paraId="08D24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914" w:type="dxa"/>
            <w:vAlign w:val="top"/>
          </w:tcPr>
          <w:p w14:paraId="68121993">
            <w:pPr>
              <w:rPr>
                <w:rFonts w:ascii="Arial"/>
                <w:sz w:val="21"/>
                <w:highlight w:val="none"/>
              </w:rPr>
            </w:pPr>
          </w:p>
        </w:tc>
        <w:tc>
          <w:tcPr>
            <w:tcW w:w="2447" w:type="dxa"/>
            <w:vAlign w:val="top"/>
          </w:tcPr>
          <w:p w14:paraId="0441857C">
            <w:pPr>
              <w:rPr>
                <w:rFonts w:ascii="Arial"/>
                <w:sz w:val="21"/>
                <w:highlight w:val="none"/>
              </w:rPr>
            </w:pPr>
          </w:p>
        </w:tc>
        <w:tc>
          <w:tcPr>
            <w:tcW w:w="1128" w:type="dxa"/>
            <w:vAlign w:val="top"/>
          </w:tcPr>
          <w:p w14:paraId="2A677E95">
            <w:pPr>
              <w:rPr>
                <w:rFonts w:ascii="Arial"/>
                <w:sz w:val="21"/>
                <w:highlight w:val="none"/>
              </w:rPr>
            </w:pPr>
          </w:p>
        </w:tc>
        <w:tc>
          <w:tcPr>
            <w:tcW w:w="2117" w:type="dxa"/>
            <w:vAlign w:val="top"/>
          </w:tcPr>
          <w:p w14:paraId="3224456B">
            <w:pPr>
              <w:rPr>
                <w:rFonts w:ascii="Arial"/>
                <w:sz w:val="21"/>
                <w:highlight w:val="none"/>
              </w:rPr>
            </w:pPr>
          </w:p>
        </w:tc>
        <w:tc>
          <w:tcPr>
            <w:tcW w:w="1903" w:type="dxa"/>
            <w:vAlign w:val="top"/>
          </w:tcPr>
          <w:p w14:paraId="43A16592">
            <w:pPr>
              <w:rPr>
                <w:rFonts w:ascii="Arial"/>
                <w:sz w:val="21"/>
                <w:highlight w:val="none"/>
              </w:rPr>
            </w:pPr>
          </w:p>
        </w:tc>
      </w:tr>
      <w:tr w14:paraId="4B637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4020F7DB">
            <w:pPr>
              <w:rPr>
                <w:rFonts w:ascii="Arial"/>
                <w:sz w:val="21"/>
                <w:highlight w:val="none"/>
              </w:rPr>
            </w:pPr>
          </w:p>
        </w:tc>
        <w:tc>
          <w:tcPr>
            <w:tcW w:w="2447" w:type="dxa"/>
            <w:vAlign w:val="top"/>
          </w:tcPr>
          <w:p w14:paraId="25213EE5">
            <w:pPr>
              <w:rPr>
                <w:rFonts w:ascii="Arial"/>
                <w:sz w:val="21"/>
                <w:highlight w:val="none"/>
              </w:rPr>
            </w:pPr>
          </w:p>
        </w:tc>
        <w:tc>
          <w:tcPr>
            <w:tcW w:w="1128" w:type="dxa"/>
            <w:vAlign w:val="top"/>
          </w:tcPr>
          <w:p w14:paraId="5703B5B7">
            <w:pPr>
              <w:rPr>
                <w:rFonts w:ascii="Arial"/>
                <w:sz w:val="21"/>
                <w:highlight w:val="none"/>
              </w:rPr>
            </w:pPr>
          </w:p>
        </w:tc>
        <w:tc>
          <w:tcPr>
            <w:tcW w:w="2117" w:type="dxa"/>
            <w:vAlign w:val="top"/>
          </w:tcPr>
          <w:p w14:paraId="2023BF75">
            <w:pPr>
              <w:rPr>
                <w:rFonts w:ascii="Arial"/>
                <w:sz w:val="21"/>
                <w:highlight w:val="none"/>
              </w:rPr>
            </w:pPr>
          </w:p>
        </w:tc>
        <w:tc>
          <w:tcPr>
            <w:tcW w:w="1903" w:type="dxa"/>
            <w:vAlign w:val="top"/>
          </w:tcPr>
          <w:p w14:paraId="00FFB4A4">
            <w:pPr>
              <w:rPr>
                <w:rFonts w:ascii="Arial"/>
                <w:sz w:val="21"/>
                <w:highlight w:val="none"/>
              </w:rPr>
            </w:pPr>
          </w:p>
        </w:tc>
      </w:tr>
      <w:tr w14:paraId="16769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14" w:type="dxa"/>
            <w:vAlign w:val="top"/>
          </w:tcPr>
          <w:p w14:paraId="438C53A7">
            <w:pPr>
              <w:rPr>
                <w:rFonts w:ascii="Arial"/>
                <w:sz w:val="21"/>
                <w:highlight w:val="none"/>
              </w:rPr>
            </w:pPr>
          </w:p>
        </w:tc>
        <w:tc>
          <w:tcPr>
            <w:tcW w:w="2447" w:type="dxa"/>
            <w:vAlign w:val="top"/>
          </w:tcPr>
          <w:p w14:paraId="05E63DE6">
            <w:pPr>
              <w:rPr>
                <w:rFonts w:ascii="Arial"/>
                <w:sz w:val="21"/>
                <w:highlight w:val="none"/>
              </w:rPr>
            </w:pPr>
          </w:p>
        </w:tc>
        <w:tc>
          <w:tcPr>
            <w:tcW w:w="1128" w:type="dxa"/>
            <w:vAlign w:val="top"/>
          </w:tcPr>
          <w:p w14:paraId="06C59588">
            <w:pPr>
              <w:rPr>
                <w:rFonts w:ascii="Arial"/>
                <w:sz w:val="21"/>
                <w:highlight w:val="none"/>
              </w:rPr>
            </w:pPr>
          </w:p>
        </w:tc>
        <w:tc>
          <w:tcPr>
            <w:tcW w:w="2117" w:type="dxa"/>
            <w:vAlign w:val="top"/>
          </w:tcPr>
          <w:p w14:paraId="7BA88712">
            <w:pPr>
              <w:rPr>
                <w:rFonts w:ascii="Arial"/>
                <w:sz w:val="21"/>
                <w:highlight w:val="none"/>
              </w:rPr>
            </w:pPr>
          </w:p>
        </w:tc>
        <w:tc>
          <w:tcPr>
            <w:tcW w:w="1903" w:type="dxa"/>
            <w:vAlign w:val="top"/>
          </w:tcPr>
          <w:p w14:paraId="1F59B947">
            <w:pPr>
              <w:rPr>
                <w:rFonts w:ascii="Arial"/>
                <w:sz w:val="21"/>
                <w:highlight w:val="none"/>
              </w:rPr>
            </w:pPr>
          </w:p>
        </w:tc>
      </w:tr>
      <w:tr w14:paraId="7E4A7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914" w:type="dxa"/>
            <w:vAlign w:val="top"/>
          </w:tcPr>
          <w:p w14:paraId="118B54CD">
            <w:pPr>
              <w:rPr>
                <w:rFonts w:ascii="Arial"/>
                <w:sz w:val="21"/>
                <w:highlight w:val="none"/>
              </w:rPr>
            </w:pPr>
          </w:p>
        </w:tc>
        <w:tc>
          <w:tcPr>
            <w:tcW w:w="2447" w:type="dxa"/>
            <w:vAlign w:val="top"/>
          </w:tcPr>
          <w:p w14:paraId="5A21CAA1">
            <w:pPr>
              <w:rPr>
                <w:rFonts w:ascii="Arial"/>
                <w:sz w:val="21"/>
                <w:highlight w:val="none"/>
              </w:rPr>
            </w:pPr>
          </w:p>
        </w:tc>
        <w:tc>
          <w:tcPr>
            <w:tcW w:w="1128" w:type="dxa"/>
            <w:vAlign w:val="top"/>
          </w:tcPr>
          <w:p w14:paraId="359E7155">
            <w:pPr>
              <w:rPr>
                <w:rFonts w:ascii="Arial"/>
                <w:sz w:val="21"/>
                <w:highlight w:val="none"/>
              </w:rPr>
            </w:pPr>
          </w:p>
        </w:tc>
        <w:tc>
          <w:tcPr>
            <w:tcW w:w="2117" w:type="dxa"/>
            <w:vAlign w:val="top"/>
          </w:tcPr>
          <w:p w14:paraId="0EB153D2">
            <w:pPr>
              <w:rPr>
                <w:rFonts w:ascii="Arial"/>
                <w:sz w:val="21"/>
                <w:highlight w:val="none"/>
              </w:rPr>
            </w:pPr>
          </w:p>
        </w:tc>
        <w:tc>
          <w:tcPr>
            <w:tcW w:w="1903" w:type="dxa"/>
            <w:vAlign w:val="top"/>
          </w:tcPr>
          <w:p w14:paraId="7E67CD6A">
            <w:pPr>
              <w:rPr>
                <w:rFonts w:ascii="Arial"/>
                <w:sz w:val="21"/>
                <w:highlight w:val="none"/>
              </w:rPr>
            </w:pPr>
          </w:p>
        </w:tc>
      </w:tr>
      <w:tr w14:paraId="46695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914" w:type="dxa"/>
            <w:vAlign w:val="top"/>
          </w:tcPr>
          <w:p w14:paraId="63B86CB9">
            <w:pPr>
              <w:rPr>
                <w:rFonts w:ascii="Arial"/>
                <w:sz w:val="21"/>
                <w:highlight w:val="none"/>
              </w:rPr>
            </w:pPr>
          </w:p>
        </w:tc>
        <w:tc>
          <w:tcPr>
            <w:tcW w:w="2447" w:type="dxa"/>
            <w:vAlign w:val="top"/>
          </w:tcPr>
          <w:p w14:paraId="5A248826">
            <w:pPr>
              <w:rPr>
                <w:rFonts w:ascii="Arial"/>
                <w:sz w:val="21"/>
                <w:highlight w:val="none"/>
              </w:rPr>
            </w:pPr>
          </w:p>
        </w:tc>
        <w:tc>
          <w:tcPr>
            <w:tcW w:w="1128" w:type="dxa"/>
            <w:vAlign w:val="top"/>
          </w:tcPr>
          <w:p w14:paraId="74C273AF">
            <w:pPr>
              <w:rPr>
                <w:rFonts w:ascii="Arial"/>
                <w:sz w:val="21"/>
                <w:highlight w:val="none"/>
              </w:rPr>
            </w:pPr>
          </w:p>
        </w:tc>
        <w:tc>
          <w:tcPr>
            <w:tcW w:w="2117" w:type="dxa"/>
            <w:vAlign w:val="top"/>
          </w:tcPr>
          <w:p w14:paraId="044E9FC9">
            <w:pPr>
              <w:rPr>
                <w:rFonts w:ascii="Arial"/>
                <w:sz w:val="21"/>
                <w:highlight w:val="none"/>
              </w:rPr>
            </w:pPr>
          </w:p>
        </w:tc>
        <w:tc>
          <w:tcPr>
            <w:tcW w:w="1903" w:type="dxa"/>
            <w:vAlign w:val="top"/>
          </w:tcPr>
          <w:p w14:paraId="15EA6BBE">
            <w:pPr>
              <w:rPr>
                <w:rFonts w:ascii="Arial"/>
                <w:sz w:val="21"/>
                <w:highlight w:val="none"/>
              </w:rPr>
            </w:pPr>
          </w:p>
        </w:tc>
      </w:tr>
      <w:tr w14:paraId="24FA0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914" w:type="dxa"/>
            <w:vAlign w:val="top"/>
          </w:tcPr>
          <w:p w14:paraId="77AB85A5">
            <w:pPr>
              <w:rPr>
                <w:rFonts w:ascii="Arial"/>
                <w:sz w:val="21"/>
                <w:highlight w:val="none"/>
              </w:rPr>
            </w:pPr>
          </w:p>
        </w:tc>
        <w:tc>
          <w:tcPr>
            <w:tcW w:w="2447" w:type="dxa"/>
            <w:vAlign w:val="top"/>
          </w:tcPr>
          <w:p w14:paraId="55776FB2">
            <w:pPr>
              <w:rPr>
                <w:rFonts w:ascii="Arial"/>
                <w:sz w:val="21"/>
                <w:highlight w:val="none"/>
              </w:rPr>
            </w:pPr>
          </w:p>
        </w:tc>
        <w:tc>
          <w:tcPr>
            <w:tcW w:w="1128" w:type="dxa"/>
            <w:vAlign w:val="top"/>
          </w:tcPr>
          <w:p w14:paraId="28F9E4EC">
            <w:pPr>
              <w:rPr>
                <w:rFonts w:ascii="Arial"/>
                <w:sz w:val="21"/>
                <w:highlight w:val="none"/>
              </w:rPr>
            </w:pPr>
          </w:p>
        </w:tc>
        <w:tc>
          <w:tcPr>
            <w:tcW w:w="2117" w:type="dxa"/>
            <w:vAlign w:val="top"/>
          </w:tcPr>
          <w:p w14:paraId="61E3B93F">
            <w:pPr>
              <w:rPr>
                <w:rFonts w:ascii="Arial"/>
                <w:sz w:val="21"/>
                <w:highlight w:val="none"/>
              </w:rPr>
            </w:pPr>
          </w:p>
        </w:tc>
        <w:tc>
          <w:tcPr>
            <w:tcW w:w="1903" w:type="dxa"/>
            <w:vAlign w:val="top"/>
          </w:tcPr>
          <w:p w14:paraId="51AF2CA5">
            <w:pPr>
              <w:rPr>
                <w:rFonts w:ascii="Arial"/>
                <w:sz w:val="21"/>
                <w:highlight w:val="none"/>
              </w:rPr>
            </w:pPr>
          </w:p>
        </w:tc>
      </w:tr>
      <w:tr w14:paraId="16415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914" w:type="dxa"/>
            <w:vAlign w:val="top"/>
          </w:tcPr>
          <w:p w14:paraId="4C199DFB">
            <w:pPr>
              <w:rPr>
                <w:rFonts w:ascii="Arial"/>
                <w:sz w:val="21"/>
                <w:highlight w:val="none"/>
              </w:rPr>
            </w:pPr>
          </w:p>
        </w:tc>
        <w:tc>
          <w:tcPr>
            <w:tcW w:w="2447" w:type="dxa"/>
            <w:vAlign w:val="top"/>
          </w:tcPr>
          <w:p w14:paraId="6F804386">
            <w:pPr>
              <w:rPr>
                <w:rFonts w:ascii="Arial"/>
                <w:sz w:val="21"/>
                <w:highlight w:val="none"/>
              </w:rPr>
            </w:pPr>
          </w:p>
        </w:tc>
        <w:tc>
          <w:tcPr>
            <w:tcW w:w="1128" w:type="dxa"/>
            <w:vAlign w:val="top"/>
          </w:tcPr>
          <w:p w14:paraId="5DFBBF47">
            <w:pPr>
              <w:rPr>
                <w:rFonts w:ascii="Arial"/>
                <w:sz w:val="21"/>
                <w:highlight w:val="none"/>
              </w:rPr>
            </w:pPr>
          </w:p>
        </w:tc>
        <w:tc>
          <w:tcPr>
            <w:tcW w:w="2117" w:type="dxa"/>
            <w:vAlign w:val="top"/>
          </w:tcPr>
          <w:p w14:paraId="06B8EF52">
            <w:pPr>
              <w:rPr>
                <w:rFonts w:ascii="Arial"/>
                <w:sz w:val="21"/>
                <w:highlight w:val="none"/>
              </w:rPr>
            </w:pPr>
          </w:p>
        </w:tc>
        <w:tc>
          <w:tcPr>
            <w:tcW w:w="1903" w:type="dxa"/>
            <w:vAlign w:val="top"/>
          </w:tcPr>
          <w:p w14:paraId="40E68D29">
            <w:pPr>
              <w:rPr>
                <w:rFonts w:ascii="Arial"/>
                <w:sz w:val="21"/>
                <w:highlight w:val="none"/>
              </w:rPr>
            </w:pPr>
          </w:p>
        </w:tc>
      </w:tr>
      <w:tr w14:paraId="6284A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914" w:type="dxa"/>
            <w:vAlign w:val="top"/>
          </w:tcPr>
          <w:p w14:paraId="18C6B5DE">
            <w:pPr>
              <w:rPr>
                <w:rFonts w:ascii="Arial"/>
                <w:sz w:val="21"/>
                <w:highlight w:val="none"/>
              </w:rPr>
            </w:pPr>
          </w:p>
        </w:tc>
        <w:tc>
          <w:tcPr>
            <w:tcW w:w="2447" w:type="dxa"/>
            <w:vAlign w:val="top"/>
          </w:tcPr>
          <w:p w14:paraId="736C9CFC">
            <w:pPr>
              <w:rPr>
                <w:rFonts w:ascii="Arial"/>
                <w:sz w:val="21"/>
                <w:highlight w:val="none"/>
              </w:rPr>
            </w:pPr>
          </w:p>
        </w:tc>
        <w:tc>
          <w:tcPr>
            <w:tcW w:w="1128" w:type="dxa"/>
            <w:vAlign w:val="top"/>
          </w:tcPr>
          <w:p w14:paraId="0590E298">
            <w:pPr>
              <w:rPr>
                <w:rFonts w:ascii="Arial"/>
                <w:sz w:val="21"/>
                <w:highlight w:val="none"/>
              </w:rPr>
            </w:pPr>
          </w:p>
        </w:tc>
        <w:tc>
          <w:tcPr>
            <w:tcW w:w="2117" w:type="dxa"/>
            <w:vAlign w:val="top"/>
          </w:tcPr>
          <w:p w14:paraId="142A7440">
            <w:pPr>
              <w:rPr>
                <w:rFonts w:ascii="Arial"/>
                <w:sz w:val="21"/>
                <w:highlight w:val="none"/>
              </w:rPr>
            </w:pPr>
          </w:p>
        </w:tc>
        <w:tc>
          <w:tcPr>
            <w:tcW w:w="1903" w:type="dxa"/>
            <w:vAlign w:val="top"/>
          </w:tcPr>
          <w:p w14:paraId="43F038A6">
            <w:pPr>
              <w:rPr>
                <w:rFonts w:ascii="Arial"/>
                <w:sz w:val="21"/>
                <w:highlight w:val="none"/>
              </w:rPr>
            </w:pPr>
          </w:p>
        </w:tc>
      </w:tr>
      <w:tr w14:paraId="7273B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3361" w:type="dxa"/>
            <w:gridSpan w:val="2"/>
            <w:vAlign w:val="top"/>
          </w:tcPr>
          <w:p w14:paraId="18715A67">
            <w:pPr>
              <w:pStyle w:val="6"/>
              <w:spacing w:before="246" w:line="218" w:lineRule="auto"/>
              <w:ind w:left="1254"/>
              <w:rPr>
                <w:highlight w:val="none"/>
              </w:rPr>
            </w:pPr>
            <w:r>
              <w:rPr>
                <w:spacing w:val="-2"/>
                <w:highlight w:val="none"/>
              </w:rPr>
              <w:t>合计报价</w:t>
            </w:r>
          </w:p>
        </w:tc>
        <w:tc>
          <w:tcPr>
            <w:tcW w:w="5148" w:type="dxa"/>
            <w:gridSpan w:val="3"/>
            <w:vAlign w:val="top"/>
          </w:tcPr>
          <w:p w14:paraId="0A23EA9C">
            <w:pPr>
              <w:rPr>
                <w:rFonts w:ascii="Arial"/>
                <w:sz w:val="21"/>
                <w:highlight w:val="none"/>
              </w:rPr>
            </w:pPr>
          </w:p>
        </w:tc>
      </w:tr>
    </w:tbl>
    <w:p w14:paraId="3AB41404">
      <w:pPr>
        <w:pStyle w:val="2"/>
        <w:rPr>
          <w:highlight w:val="none"/>
        </w:rPr>
      </w:pPr>
    </w:p>
    <w:p w14:paraId="51EB7C16">
      <w:pPr>
        <w:rPr>
          <w:highlight w:val="none"/>
        </w:rPr>
        <w:sectPr>
          <w:footerReference r:id="rId291" w:type="default"/>
          <w:pgSz w:w="11910" w:h="16840"/>
          <w:pgMar w:top="400" w:right="1705" w:bottom="1238" w:left="1685" w:header="0" w:footer="1006" w:gutter="0"/>
          <w:cols w:space="720" w:num="1"/>
        </w:sectPr>
      </w:pPr>
    </w:p>
    <w:p w14:paraId="0D15F63D">
      <w:pPr>
        <w:pStyle w:val="2"/>
        <w:spacing w:line="256" w:lineRule="auto"/>
        <w:rPr>
          <w:highlight w:val="none"/>
        </w:rPr>
      </w:pPr>
    </w:p>
    <w:p w14:paraId="2F2C2AF8">
      <w:pPr>
        <w:pStyle w:val="2"/>
        <w:spacing w:line="256" w:lineRule="auto"/>
        <w:rPr>
          <w:highlight w:val="none"/>
        </w:rPr>
      </w:pPr>
    </w:p>
    <w:p w14:paraId="11EFEA64">
      <w:pPr>
        <w:pStyle w:val="2"/>
        <w:spacing w:line="257" w:lineRule="auto"/>
        <w:rPr>
          <w:highlight w:val="none"/>
        </w:rPr>
      </w:pPr>
    </w:p>
    <w:p w14:paraId="0FCD4AFC">
      <w:pPr>
        <w:pStyle w:val="2"/>
        <w:spacing w:line="257" w:lineRule="auto"/>
        <w:rPr>
          <w:highlight w:val="none"/>
        </w:rPr>
      </w:pPr>
    </w:p>
    <w:p w14:paraId="173F70C1">
      <w:pPr>
        <w:spacing w:before="113" w:line="218" w:lineRule="auto"/>
        <w:ind w:left="109"/>
        <w:rPr>
          <w:rFonts w:ascii="宋体" w:hAnsi="宋体" w:eastAsia="宋体" w:cs="宋体"/>
          <w:sz w:val="35"/>
          <w:szCs w:val="35"/>
          <w:highlight w:val="none"/>
        </w:rPr>
      </w:pPr>
      <w:r>
        <w:rPr>
          <w:rFonts w:ascii="宋体" w:hAnsi="宋体" w:eastAsia="宋体" w:cs="宋体"/>
          <w:b/>
          <w:bCs/>
          <w:spacing w:val="-17"/>
          <w:sz w:val="35"/>
          <w:szCs w:val="35"/>
          <w:highlight w:val="none"/>
        </w:rPr>
        <w:t>2.8投标报价汇总表</w:t>
      </w:r>
    </w:p>
    <w:p w14:paraId="4A33DFD0">
      <w:pPr>
        <w:pStyle w:val="2"/>
        <w:spacing w:line="377" w:lineRule="auto"/>
        <w:rPr>
          <w:highlight w:val="none"/>
        </w:rPr>
      </w:pPr>
    </w:p>
    <w:p w14:paraId="527D43D5">
      <w:pPr>
        <w:spacing w:before="68" w:line="219" w:lineRule="auto"/>
        <w:ind w:left="6934"/>
        <w:rPr>
          <w:rFonts w:ascii="宋体" w:hAnsi="宋体" w:eastAsia="宋体" w:cs="宋体"/>
          <w:sz w:val="21"/>
          <w:szCs w:val="21"/>
          <w:highlight w:val="none"/>
        </w:rPr>
      </w:pPr>
      <w:r>
        <w:rPr>
          <w:rFonts w:ascii="宋体" w:hAnsi="宋体" w:eastAsia="宋体" w:cs="宋体"/>
          <w:spacing w:val="-2"/>
          <w:sz w:val="21"/>
          <w:szCs w:val="21"/>
          <w:highlight w:val="none"/>
        </w:rPr>
        <w:t>单位：人民币元</w:t>
      </w:r>
    </w:p>
    <w:p w14:paraId="07C1167B">
      <w:pPr>
        <w:spacing w:line="68" w:lineRule="exact"/>
        <w:rPr>
          <w:highlight w:val="none"/>
        </w:rPr>
      </w:pPr>
    </w:p>
    <w:tbl>
      <w:tblPr>
        <w:tblStyle w:val="5"/>
        <w:tblW w:w="84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4"/>
        <w:gridCol w:w="2756"/>
        <w:gridCol w:w="2267"/>
        <w:gridCol w:w="2562"/>
      </w:tblGrid>
      <w:tr w14:paraId="3B987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914" w:type="dxa"/>
            <w:vAlign w:val="top"/>
          </w:tcPr>
          <w:p w14:paraId="0B8E80CD">
            <w:pPr>
              <w:pStyle w:val="6"/>
              <w:spacing w:before="185" w:line="221" w:lineRule="auto"/>
              <w:ind w:left="224"/>
              <w:rPr>
                <w:sz w:val="22"/>
                <w:szCs w:val="22"/>
                <w:highlight w:val="none"/>
              </w:rPr>
            </w:pPr>
            <w:r>
              <w:rPr>
                <w:spacing w:val="6"/>
                <w:sz w:val="22"/>
                <w:szCs w:val="22"/>
                <w:highlight w:val="none"/>
              </w:rPr>
              <w:t>序号</w:t>
            </w:r>
          </w:p>
        </w:tc>
        <w:tc>
          <w:tcPr>
            <w:tcW w:w="2756" w:type="dxa"/>
            <w:vAlign w:val="top"/>
          </w:tcPr>
          <w:p w14:paraId="7E16874A">
            <w:pPr>
              <w:pStyle w:val="6"/>
              <w:spacing w:before="184" w:line="220" w:lineRule="auto"/>
              <w:ind w:left="960"/>
              <w:rPr>
                <w:sz w:val="22"/>
                <w:szCs w:val="22"/>
                <w:highlight w:val="none"/>
              </w:rPr>
            </w:pPr>
            <w:r>
              <w:rPr>
                <w:spacing w:val="2"/>
                <w:sz w:val="22"/>
                <w:szCs w:val="22"/>
                <w:highlight w:val="none"/>
              </w:rPr>
              <w:t>项目名称</w:t>
            </w:r>
          </w:p>
        </w:tc>
        <w:tc>
          <w:tcPr>
            <w:tcW w:w="2267" w:type="dxa"/>
            <w:vAlign w:val="top"/>
          </w:tcPr>
          <w:p w14:paraId="19AA46C9">
            <w:pPr>
              <w:pStyle w:val="6"/>
              <w:spacing w:before="182" w:line="219" w:lineRule="auto"/>
              <w:ind w:left="314"/>
              <w:rPr>
                <w:sz w:val="22"/>
                <w:szCs w:val="22"/>
                <w:highlight w:val="none"/>
              </w:rPr>
            </w:pPr>
            <w:r>
              <w:rPr>
                <w:spacing w:val="6"/>
                <w:sz w:val="22"/>
                <w:szCs w:val="22"/>
                <w:highlight w:val="none"/>
              </w:rPr>
              <w:t>金额(人民币元)</w:t>
            </w:r>
          </w:p>
        </w:tc>
        <w:tc>
          <w:tcPr>
            <w:tcW w:w="2562" w:type="dxa"/>
            <w:vAlign w:val="top"/>
          </w:tcPr>
          <w:p w14:paraId="33C2B092">
            <w:pPr>
              <w:pStyle w:val="6"/>
              <w:spacing w:before="185" w:line="221" w:lineRule="auto"/>
              <w:ind w:left="1087"/>
              <w:rPr>
                <w:sz w:val="22"/>
                <w:szCs w:val="22"/>
                <w:highlight w:val="none"/>
              </w:rPr>
            </w:pPr>
            <w:r>
              <w:rPr>
                <w:spacing w:val="5"/>
                <w:sz w:val="22"/>
                <w:szCs w:val="22"/>
                <w:highlight w:val="none"/>
              </w:rPr>
              <w:t>备注</w:t>
            </w:r>
          </w:p>
        </w:tc>
      </w:tr>
      <w:tr w14:paraId="34DA4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914" w:type="dxa"/>
            <w:vAlign w:val="top"/>
          </w:tcPr>
          <w:p w14:paraId="134BC702">
            <w:pPr>
              <w:rPr>
                <w:rFonts w:ascii="Arial"/>
                <w:sz w:val="21"/>
                <w:highlight w:val="none"/>
              </w:rPr>
            </w:pPr>
          </w:p>
        </w:tc>
        <w:tc>
          <w:tcPr>
            <w:tcW w:w="2756" w:type="dxa"/>
            <w:vAlign w:val="top"/>
          </w:tcPr>
          <w:p w14:paraId="0FCA306E">
            <w:pPr>
              <w:rPr>
                <w:rFonts w:ascii="Arial"/>
                <w:sz w:val="21"/>
                <w:highlight w:val="none"/>
              </w:rPr>
            </w:pPr>
          </w:p>
        </w:tc>
        <w:tc>
          <w:tcPr>
            <w:tcW w:w="2267" w:type="dxa"/>
            <w:vAlign w:val="top"/>
          </w:tcPr>
          <w:p w14:paraId="6488C97E">
            <w:pPr>
              <w:rPr>
                <w:rFonts w:ascii="Arial"/>
                <w:sz w:val="21"/>
                <w:highlight w:val="none"/>
              </w:rPr>
            </w:pPr>
          </w:p>
        </w:tc>
        <w:tc>
          <w:tcPr>
            <w:tcW w:w="2562" w:type="dxa"/>
            <w:vAlign w:val="top"/>
          </w:tcPr>
          <w:p w14:paraId="2FA9C26F">
            <w:pPr>
              <w:rPr>
                <w:rFonts w:ascii="Arial"/>
                <w:sz w:val="21"/>
                <w:highlight w:val="none"/>
              </w:rPr>
            </w:pPr>
          </w:p>
        </w:tc>
      </w:tr>
      <w:tr w14:paraId="52C5C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914" w:type="dxa"/>
            <w:vAlign w:val="top"/>
          </w:tcPr>
          <w:p w14:paraId="21F2E967">
            <w:pPr>
              <w:rPr>
                <w:rFonts w:ascii="Arial"/>
                <w:sz w:val="21"/>
                <w:highlight w:val="none"/>
              </w:rPr>
            </w:pPr>
          </w:p>
        </w:tc>
        <w:tc>
          <w:tcPr>
            <w:tcW w:w="2756" w:type="dxa"/>
            <w:vAlign w:val="top"/>
          </w:tcPr>
          <w:p w14:paraId="702E23D0">
            <w:pPr>
              <w:rPr>
                <w:rFonts w:ascii="Arial"/>
                <w:sz w:val="21"/>
                <w:highlight w:val="none"/>
              </w:rPr>
            </w:pPr>
          </w:p>
        </w:tc>
        <w:tc>
          <w:tcPr>
            <w:tcW w:w="2267" w:type="dxa"/>
            <w:vAlign w:val="top"/>
          </w:tcPr>
          <w:p w14:paraId="67A38329">
            <w:pPr>
              <w:rPr>
                <w:rFonts w:ascii="Arial"/>
                <w:sz w:val="21"/>
                <w:highlight w:val="none"/>
              </w:rPr>
            </w:pPr>
          </w:p>
        </w:tc>
        <w:tc>
          <w:tcPr>
            <w:tcW w:w="2562" w:type="dxa"/>
            <w:vAlign w:val="top"/>
          </w:tcPr>
          <w:p w14:paraId="7AC8D899">
            <w:pPr>
              <w:rPr>
                <w:rFonts w:ascii="Arial"/>
                <w:sz w:val="21"/>
                <w:highlight w:val="none"/>
              </w:rPr>
            </w:pPr>
          </w:p>
        </w:tc>
      </w:tr>
      <w:tr w14:paraId="28D1C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914" w:type="dxa"/>
            <w:vAlign w:val="top"/>
          </w:tcPr>
          <w:p w14:paraId="1C1C1C5E">
            <w:pPr>
              <w:rPr>
                <w:rFonts w:ascii="Arial"/>
                <w:sz w:val="21"/>
                <w:highlight w:val="none"/>
              </w:rPr>
            </w:pPr>
          </w:p>
        </w:tc>
        <w:tc>
          <w:tcPr>
            <w:tcW w:w="2756" w:type="dxa"/>
            <w:vAlign w:val="top"/>
          </w:tcPr>
          <w:p w14:paraId="491A291F">
            <w:pPr>
              <w:rPr>
                <w:rFonts w:ascii="Arial"/>
                <w:sz w:val="21"/>
                <w:highlight w:val="none"/>
              </w:rPr>
            </w:pPr>
          </w:p>
        </w:tc>
        <w:tc>
          <w:tcPr>
            <w:tcW w:w="2267" w:type="dxa"/>
            <w:vAlign w:val="top"/>
          </w:tcPr>
          <w:p w14:paraId="7E1C8EB6">
            <w:pPr>
              <w:rPr>
                <w:rFonts w:ascii="Arial"/>
                <w:sz w:val="21"/>
                <w:highlight w:val="none"/>
              </w:rPr>
            </w:pPr>
          </w:p>
        </w:tc>
        <w:tc>
          <w:tcPr>
            <w:tcW w:w="2562" w:type="dxa"/>
            <w:vAlign w:val="top"/>
          </w:tcPr>
          <w:p w14:paraId="451A112A">
            <w:pPr>
              <w:rPr>
                <w:rFonts w:ascii="Arial"/>
                <w:sz w:val="21"/>
                <w:highlight w:val="none"/>
              </w:rPr>
            </w:pPr>
          </w:p>
        </w:tc>
      </w:tr>
      <w:tr w14:paraId="6A4FC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14" w:type="dxa"/>
            <w:vAlign w:val="top"/>
          </w:tcPr>
          <w:p w14:paraId="2C63F8B8">
            <w:pPr>
              <w:rPr>
                <w:rFonts w:ascii="Arial"/>
                <w:sz w:val="21"/>
                <w:highlight w:val="none"/>
              </w:rPr>
            </w:pPr>
          </w:p>
        </w:tc>
        <w:tc>
          <w:tcPr>
            <w:tcW w:w="2756" w:type="dxa"/>
            <w:vAlign w:val="top"/>
          </w:tcPr>
          <w:p w14:paraId="36B93E78">
            <w:pPr>
              <w:rPr>
                <w:rFonts w:ascii="Arial"/>
                <w:sz w:val="21"/>
                <w:highlight w:val="none"/>
              </w:rPr>
            </w:pPr>
          </w:p>
        </w:tc>
        <w:tc>
          <w:tcPr>
            <w:tcW w:w="2267" w:type="dxa"/>
            <w:vAlign w:val="top"/>
          </w:tcPr>
          <w:p w14:paraId="3B5269E6">
            <w:pPr>
              <w:rPr>
                <w:rFonts w:ascii="Arial"/>
                <w:sz w:val="21"/>
                <w:highlight w:val="none"/>
              </w:rPr>
            </w:pPr>
          </w:p>
        </w:tc>
        <w:tc>
          <w:tcPr>
            <w:tcW w:w="2562" w:type="dxa"/>
            <w:vAlign w:val="top"/>
          </w:tcPr>
          <w:p w14:paraId="34E2863F">
            <w:pPr>
              <w:rPr>
                <w:rFonts w:ascii="Arial"/>
                <w:sz w:val="21"/>
                <w:highlight w:val="none"/>
              </w:rPr>
            </w:pPr>
          </w:p>
        </w:tc>
      </w:tr>
      <w:tr w14:paraId="5D101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914" w:type="dxa"/>
            <w:vAlign w:val="top"/>
          </w:tcPr>
          <w:p w14:paraId="5372CFF1">
            <w:pPr>
              <w:rPr>
                <w:rFonts w:ascii="Arial"/>
                <w:sz w:val="21"/>
                <w:highlight w:val="none"/>
              </w:rPr>
            </w:pPr>
          </w:p>
        </w:tc>
        <w:tc>
          <w:tcPr>
            <w:tcW w:w="2756" w:type="dxa"/>
            <w:vAlign w:val="top"/>
          </w:tcPr>
          <w:p w14:paraId="7451F3F5">
            <w:pPr>
              <w:rPr>
                <w:rFonts w:ascii="Arial"/>
                <w:sz w:val="21"/>
                <w:highlight w:val="none"/>
              </w:rPr>
            </w:pPr>
          </w:p>
        </w:tc>
        <w:tc>
          <w:tcPr>
            <w:tcW w:w="2267" w:type="dxa"/>
            <w:vAlign w:val="top"/>
          </w:tcPr>
          <w:p w14:paraId="0F6CD014">
            <w:pPr>
              <w:rPr>
                <w:rFonts w:ascii="Arial"/>
                <w:sz w:val="21"/>
                <w:highlight w:val="none"/>
              </w:rPr>
            </w:pPr>
          </w:p>
        </w:tc>
        <w:tc>
          <w:tcPr>
            <w:tcW w:w="2562" w:type="dxa"/>
            <w:vAlign w:val="top"/>
          </w:tcPr>
          <w:p w14:paraId="3D389362">
            <w:pPr>
              <w:rPr>
                <w:rFonts w:ascii="Arial"/>
                <w:sz w:val="21"/>
                <w:highlight w:val="none"/>
              </w:rPr>
            </w:pPr>
          </w:p>
        </w:tc>
      </w:tr>
      <w:tr w14:paraId="3DB0C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trPr>
        <w:tc>
          <w:tcPr>
            <w:tcW w:w="914" w:type="dxa"/>
            <w:vAlign w:val="top"/>
          </w:tcPr>
          <w:p w14:paraId="39E70872">
            <w:pPr>
              <w:rPr>
                <w:rFonts w:ascii="Arial"/>
                <w:sz w:val="21"/>
                <w:highlight w:val="none"/>
              </w:rPr>
            </w:pPr>
          </w:p>
        </w:tc>
        <w:tc>
          <w:tcPr>
            <w:tcW w:w="2756" w:type="dxa"/>
            <w:vAlign w:val="top"/>
          </w:tcPr>
          <w:p w14:paraId="6A8DE0B1">
            <w:pPr>
              <w:rPr>
                <w:rFonts w:ascii="Arial"/>
                <w:sz w:val="21"/>
                <w:highlight w:val="none"/>
              </w:rPr>
            </w:pPr>
          </w:p>
        </w:tc>
        <w:tc>
          <w:tcPr>
            <w:tcW w:w="2267" w:type="dxa"/>
            <w:vAlign w:val="top"/>
          </w:tcPr>
          <w:p w14:paraId="60ACDD1A">
            <w:pPr>
              <w:rPr>
                <w:rFonts w:ascii="Arial"/>
                <w:sz w:val="21"/>
                <w:highlight w:val="none"/>
              </w:rPr>
            </w:pPr>
          </w:p>
        </w:tc>
        <w:tc>
          <w:tcPr>
            <w:tcW w:w="2562" w:type="dxa"/>
            <w:vAlign w:val="top"/>
          </w:tcPr>
          <w:p w14:paraId="2BD83EA6">
            <w:pPr>
              <w:rPr>
                <w:rFonts w:ascii="Arial"/>
                <w:sz w:val="21"/>
                <w:highlight w:val="none"/>
              </w:rPr>
            </w:pPr>
          </w:p>
        </w:tc>
      </w:tr>
      <w:tr w14:paraId="4766B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914" w:type="dxa"/>
            <w:vAlign w:val="top"/>
          </w:tcPr>
          <w:p w14:paraId="688BE84D">
            <w:pPr>
              <w:rPr>
                <w:rFonts w:ascii="Arial"/>
                <w:sz w:val="21"/>
                <w:highlight w:val="none"/>
              </w:rPr>
            </w:pPr>
          </w:p>
        </w:tc>
        <w:tc>
          <w:tcPr>
            <w:tcW w:w="2756" w:type="dxa"/>
            <w:vAlign w:val="top"/>
          </w:tcPr>
          <w:p w14:paraId="5A0704BB">
            <w:pPr>
              <w:rPr>
                <w:rFonts w:ascii="Arial"/>
                <w:sz w:val="21"/>
                <w:highlight w:val="none"/>
              </w:rPr>
            </w:pPr>
          </w:p>
        </w:tc>
        <w:tc>
          <w:tcPr>
            <w:tcW w:w="2267" w:type="dxa"/>
            <w:vAlign w:val="top"/>
          </w:tcPr>
          <w:p w14:paraId="70FDA849">
            <w:pPr>
              <w:rPr>
                <w:rFonts w:ascii="Arial"/>
                <w:sz w:val="21"/>
                <w:highlight w:val="none"/>
              </w:rPr>
            </w:pPr>
          </w:p>
        </w:tc>
        <w:tc>
          <w:tcPr>
            <w:tcW w:w="2562" w:type="dxa"/>
            <w:vAlign w:val="top"/>
          </w:tcPr>
          <w:p w14:paraId="582CA0B2">
            <w:pPr>
              <w:rPr>
                <w:rFonts w:ascii="Arial"/>
                <w:sz w:val="21"/>
                <w:highlight w:val="none"/>
              </w:rPr>
            </w:pPr>
          </w:p>
        </w:tc>
      </w:tr>
      <w:tr w14:paraId="1B573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914" w:type="dxa"/>
            <w:vAlign w:val="top"/>
          </w:tcPr>
          <w:p w14:paraId="5D8713F8">
            <w:pPr>
              <w:rPr>
                <w:rFonts w:ascii="Arial"/>
                <w:sz w:val="21"/>
                <w:highlight w:val="none"/>
              </w:rPr>
            </w:pPr>
          </w:p>
        </w:tc>
        <w:tc>
          <w:tcPr>
            <w:tcW w:w="2756" w:type="dxa"/>
            <w:vAlign w:val="top"/>
          </w:tcPr>
          <w:p w14:paraId="569FD2FF">
            <w:pPr>
              <w:rPr>
                <w:rFonts w:ascii="Arial"/>
                <w:sz w:val="21"/>
                <w:highlight w:val="none"/>
              </w:rPr>
            </w:pPr>
          </w:p>
        </w:tc>
        <w:tc>
          <w:tcPr>
            <w:tcW w:w="2267" w:type="dxa"/>
            <w:vAlign w:val="top"/>
          </w:tcPr>
          <w:p w14:paraId="6DB0F4A0">
            <w:pPr>
              <w:rPr>
                <w:rFonts w:ascii="Arial"/>
                <w:sz w:val="21"/>
                <w:highlight w:val="none"/>
              </w:rPr>
            </w:pPr>
          </w:p>
        </w:tc>
        <w:tc>
          <w:tcPr>
            <w:tcW w:w="2562" w:type="dxa"/>
            <w:vAlign w:val="top"/>
          </w:tcPr>
          <w:p w14:paraId="31B897CD">
            <w:pPr>
              <w:rPr>
                <w:rFonts w:ascii="Arial"/>
                <w:sz w:val="21"/>
                <w:highlight w:val="none"/>
              </w:rPr>
            </w:pPr>
          </w:p>
        </w:tc>
      </w:tr>
      <w:tr w14:paraId="60F1D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trPr>
        <w:tc>
          <w:tcPr>
            <w:tcW w:w="914" w:type="dxa"/>
            <w:vAlign w:val="top"/>
          </w:tcPr>
          <w:p w14:paraId="5D847AA2">
            <w:pPr>
              <w:rPr>
                <w:rFonts w:ascii="Arial"/>
                <w:sz w:val="21"/>
                <w:highlight w:val="none"/>
              </w:rPr>
            </w:pPr>
          </w:p>
        </w:tc>
        <w:tc>
          <w:tcPr>
            <w:tcW w:w="2756" w:type="dxa"/>
            <w:vAlign w:val="top"/>
          </w:tcPr>
          <w:p w14:paraId="533C84B0">
            <w:pPr>
              <w:rPr>
                <w:rFonts w:ascii="Arial"/>
                <w:sz w:val="21"/>
                <w:highlight w:val="none"/>
              </w:rPr>
            </w:pPr>
          </w:p>
        </w:tc>
        <w:tc>
          <w:tcPr>
            <w:tcW w:w="2267" w:type="dxa"/>
            <w:vAlign w:val="top"/>
          </w:tcPr>
          <w:p w14:paraId="109220E0">
            <w:pPr>
              <w:rPr>
                <w:rFonts w:ascii="Arial"/>
                <w:sz w:val="21"/>
                <w:highlight w:val="none"/>
              </w:rPr>
            </w:pPr>
          </w:p>
        </w:tc>
        <w:tc>
          <w:tcPr>
            <w:tcW w:w="2562" w:type="dxa"/>
            <w:vAlign w:val="top"/>
          </w:tcPr>
          <w:p w14:paraId="3E8741BC">
            <w:pPr>
              <w:rPr>
                <w:rFonts w:ascii="Arial"/>
                <w:sz w:val="21"/>
                <w:highlight w:val="none"/>
              </w:rPr>
            </w:pPr>
          </w:p>
        </w:tc>
      </w:tr>
      <w:tr w14:paraId="4EEEE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914" w:type="dxa"/>
            <w:vAlign w:val="top"/>
          </w:tcPr>
          <w:p w14:paraId="32740E79">
            <w:pPr>
              <w:rPr>
                <w:rFonts w:ascii="Arial"/>
                <w:sz w:val="21"/>
                <w:highlight w:val="none"/>
              </w:rPr>
            </w:pPr>
          </w:p>
        </w:tc>
        <w:tc>
          <w:tcPr>
            <w:tcW w:w="2756" w:type="dxa"/>
            <w:vAlign w:val="top"/>
          </w:tcPr>
          <w:p w14:paraId="2DE82AF9">
            <w:pPr>
              <w:rPr>
                <w:rFonts w:ascii="Arial"/>
                <w:sz w:val="21"/>
                <w:highlight w:val="none"/>
              </w:rPr>
            </w:pPr>
          </w:p>
        </w:tc>
        <w:tc>
          <w:tcPr>
            <w:tcW w:w="2267" w:type="dxa"/>
            <w:vAlign w:val="top"/>
          </w:tcPr>
          <w:p w14:paraId="42A01C03">
            <w:pPr>
              <w:rPr>
                <w:rFonts w:ascii="Arial"/>
                <w:sz w:val="21"/>
                <w:highlight w:val="none"/>
              </w:rPr>
            </w:pPr>
          </w:p>
        </w:tc>
        <w:tc>
          <w:tcPr>
            <w:tcW w:w="2562" w:type="dxa"/>
            <w:vAlign w:val="top"/>
          </w:tcPr>
          <w:p w14:paraId="5616D94B">
            <w:pPr>
              <w:rPr>
                <w:rFonts w:ascii="Arial"/>
                <w:sz w:val="21"/>
                <w:highlight w:val="none"/>
              </w:rPr>
            </w:pPr>
          </w:p>
        </w:tc>
      </w:tr>
      <w:tr w14:paraId="24C73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14" w:type="dxa"/>
            <w:vAlign w:val="top"/>
          </w:tcPr>
          <w:p w14:paraId="62FF3821">
            <w:pPr>
              <w:rPr>
                <w:rFonts w:ascii="Arial"/>
                <w:sz w:val="21"/>
                <w:highlight w:val="none"/>
              </w:rPr>
            </w:pPr>
          </w:p>
        </w:tc>
        <w:tc>
          <w:tcPr>
            <w:tcW w:w="2756" w:type="dxa"/>
            <w:vAlign w:val="top"/>
          </w:tcPr>
          <w:p w14:paraId="56ECF8B9">
            <w:pPr>
              <w:rPr>
                <w:rFonts w:ascii="Arial"/>
                <w:sz w:val="21"/>
                <w:highlight w:val="none"/>
              </w:rPr>
            </w:pPr>
          </w:p>
        </w:tc>
        <w:tc>
          <w:tcPr>
            <w:tcW w:w="2267" w:type="dxa"/>
            <w:vAlign w:val="top"/>
          </w:tcPr>
          <w:p w14:paraId="6191C2F7">
            <w:pPr>
              <w:rPr>
                <w:rFonts w:ascii="Arial"/>
                <w:sz w:val="21"/>
                <w:highlight w:val="none"/>
              </w:rPr>
            </w:pPr>
          </w:p>
        </w:tc>
        <w:tc>
          <w:tcPr>
            <w:tcW w:w="2562" w:type="dxa"/>
            <w:vAlign w:val="top"/>
          </w:tcPr>
          <w:p w14:paraId="6857BB81">
            <w:pPr>
              <w:rPr>
                <w:rFonts w:ascii="Arial"/>
                <w:sz w:val="21"/>
                <w:highlight w:val="none"/>
              </w:rPr>
            </w:pPr>
          </w:p>
        </w:tc>
      </w:tr>
      <w:tr w14:paraId="4BE31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914" w:type="dxa"/>
            <w:vAlign w:val="top"/>
          </w:tcPr>
          <w:p w14:paraId="2BF88473">
            <w:pPr>
              <w:rPr>
                <w:rFonts w:ascii="Arial"/>
                <w:sz w:val="21"/>
                <w:highlight w:val="none"/>
              </w:rPr>
            </w:pPr>
          </w:p>
        </w:tc>
        <w:tc>
          <w:tcPr>
            <w:tcW w:w="2756" w:type="dxa"/>
            <w:vAlign w:val="top"/>
          </w:tcPr>
          <w:p w14:paraId="45D57F3D">
            <w:pPr>
              <w:rPr>
                <w:rFonts w:ascii="Arial"/>
                <w:sz w:val="21"/>
                <w:highlight w:val="none"/>
              </w:rPr>
            </w:pPr>
          </w:p>
        </w:tc>
        <w:tc>
          <w:tcPr>
            <w:tcW w:w="2267" w:type="dxa"/>
            <w:vAlign w:val="top"/>
          </w:tcPr>
          <w:p w14:paraId="2131B7CD">
            <w:pPr>
              <w:rPr>
                <w:rFonts w:ascii="Arial"/>
                <w:sz w:val="21"/>
                <w:highlight w:val="none"/>
              </w:rPr>
            </w:pPr>
          </w:p>
        </w:tc>
        <w:tc>
          <w:tcPr>
            <w:tcW w:w="2562" w:type="dxa"/>
            <w:vAlign w:val="top"/>
          </w:tcPr>
          <w:p w14:paraId="58E23970">
            <w:pPr>
              <w:rPr>
                <w:rFonts w:ascii="Arial"/>
                <w:sz w:val="21"/>
                <w:highlight w:val="none"/>
              </w:rPr>
            </w:pPr>
          </w:p>
        </w:tc>
      </w:tr>
      <w:tr w14:paraId="11E5A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914" w:type="dxa"/>
            <w:vAlign w:val="top"/>
          </w:tcPr>
          <w:p w14:paraId="192D25B7">
            <w:pPr>
              <w:rPr>
                <w:rFonts w:ascii="Arial"/>
                <w:sz w:val="21"/>
                <w:highlight w:val="none"/>
              </w:rPr>
            </w:pPr>
          </w:p>
        </w:tc>
        <w:tc>
          <w:tcPr>
            <w:tcW w:w="2756" w:type="dxa"/>
            <w:vAlign w:val="top"/>
          </w:tcPr>
          <w:p w14:paraId="04DAF1FD">
            <w:pPr>
              <w:rPr>
                <w:rFonts w:ascii="Arial"/>
                <w:sz w:val="21"/>
                <w:highlight w:val="none"/>
              </w:rPr>
            </w:pPr>
          </w:p>
        </w:tc>
        <w:tc>
          <w:tcPr>
            <w:tcW w:w="2267" w:type="dxa"/>
            <w:vAlign w:val="top"/>
          </w:tcPr>
          <w:p w14:paraId="614D1D65">
            <w:pPr>
              <w:rPr>
                <w:rFonts w:ascii="Arial"/>
                <w:sz w:val="21"/>
                <w:highlight w:val="none"/>
              </w:rPr>
            </w:pPr>
          </w:p>
        </w:tc>
        <w:tc>
          <w:tcPr>
            <w:tcW w:w="2562" w:type="dxa"/>
            <w:vAlign w:val="top"/>
          </w:tcPr>
          <w:p w14:paraId="5FC208F9">
            <w:pPr>
              <w:rPr>
                <w:rFonts w:ascii="Arial"/>
                <w:sz w:val="21"/>
                <w:highlight w:val="none"/>
              </w:rPr>
            </w:pPr>
          </w:p>
        </w:tc>
      </w:tr>
      <w:tr w14:paraId="37EF3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3670" w:type="dxa"/>
            <w:gridSpan w:val="2"/>
            <w:vAlign w:val="top"/>
          </w:tcPr>
          <w:p w14:paraId="20CA08E8">
            <w:pPr>
              <w:pStyle w:val="6"/>
              <w:spacing w:before="287" w:line="218" w:lineRule="auto"/>
              <w:ind w:left="104"/>
              <w:rPr>
                <w:sz w:val="22"/>
                <w:szCs w:val="22"/>
                <w:highlight w:val="none"/>
              </w:rPr>
            </w:pPr>
            <w:r>
              <w:rPr>
                <w:spacing w:val="2"/>
                <w:sz w:val="22"/>
                <w:szCs w:val="22"/>
                <w:highlight w:val="none"/>
              </w:rPr>
              <w:t>投标报价</w:t>
            </w:r>
          </w:p>
        </w:tc>
        <w:tc>
          <w:tcPr>
            <w:tcW w:w="4829" w:type="dxa"/>
            <w:gridSpan w:val="2"/>
            <w:vAlign w:val="top"/>
          </w:tcPr>
          <w:p w14:paraId="66183030">
            <w:pPr>
              <w:rPr>
                <w:rFonts w:ascii="Arial"/>
                <w:sz w:val="21"/>
                <w:highlight w:val="none"/>
              </w:rPr>
            </w:pPr>
          </w:p>
        </w:tc>
      </w:tr>
    </w:tbl>
    <w:p w14:paraId="40E3F091">
      <w:pPr>
        <w:pStyle w:val="2"/>
        <w:rPr>
          <w:highlight w:val="none"/>
        </w:rPr>
      </w:pPr>
    </w:p>
    <w:p w14:paraId="5C6E66C9">
      <w:pPr>
        <w:rPr>
          <w:highlight w:val="none"/>
        </w:rPr>
        <w:sectPr>
          <w:footerReference r:id="rId292" w:type="default"/>
          <w:pgSz w:w="11910" w:h="16840"/>
          <w:pgMar w:top="400" w:right="1715" w:bottom="1238" w:left="1685" w:header="0" w:footer="1007" w:gutter="0"/>
          <w:cols w:space="720" w:num="1"/>
        </w:sectPr>
      </w:pPr>
    </w:p>
    <w:p w14:paraId="52BDF917">
      <w:pPr>
        <w:pStyle w:val="2"/>
        <w:spacing w:line="267" w:lineRule="auto"/>
        <w:rPr>
          <w:highlight w:val="none"/>
        </w:rPr>
      </w:pPr>
    </w:p>
    <w:p w14:paraId="5567462C">
      <w:pPr>
        <w:pStyle w:val="2"/>
        <w:spacing w:line="267" w:lineRule="auto"/>
        <w:rPr>
          <w:highlight w:val="none"/>
        </w:rPr>
      </w:pPr>
    </w:p>
    <w:p w14:paraId="3047613E">
      <w:pPr>
        <w:pStyle w:val="2"/>
        <w:spacing w:line="268" w:lineRule="auto"/>
        <w:rPr>
          <w:highlight w:val="none"/>
        </w:rPr>
      </w:pPr>
    </w:p>
    <w:p w14:paraId="3B6C7C26">
      <w:pPr>
        <w:pStyle w:val="2"/>
        <w:spacing w:line="268" w:lineRule="auto"/>
        <w:rPr>
          <w:highlight w:val="none"/>
        </w:rPr>
      </w:pPr>
    </w:p>
    <w:p w14:paraId="46C9FEE2">
      <w:pPr>
        <w:spacing w:before="104" w:line="222" w:lineRule="auto"/>
        <w:outlineLvl w:val="1"/>
        <w:rPr>
          <w:rFonts w:ascii="黑体" w:hAnsi="黑体" w:eastAsia="黑体" w:cs="黑体"/>
          <w:sz w:val="32"/>
          <w:szCs w:val="32"/>
          <w:highlight w:val="none"/>
        </w:rPr>
      </w:pPr>
      <w:bookmarkStart w:id="261" w:name="bookmark167"/>
      <w:bookmarkEnd w:id="261"/>
      <w:r>
        <w:rPr>
          <w:rFonts w:ascii="黑体" w:hAnsi="黑体" w:eastAsia="黑体" w:cs="黑体"/>
          <w:spacing w:val="3"/>
          <w:sz w:val="32"/>
          <w:szCs w:val="32"/>
          <w:highlight w:val="none"/>
        </w:rPr>
        <w:t>十一、承包人建议书</w:t>
      </w:r>
    </w:p>
    <w:p w14:paraId="007627D8">
      <w:pPr>
        <w:pStyle w:val="2"/>
        <w:spacing w:line="262" w:lineRule="auto"/>
        <w:rPr>
          <w:highlight w:val="none"/>
        </w:rPr>
      </w:pPr>
    </w:p>
    <w:p w14:paraId="4017A9F0">
      <w:pPr>
        <w:pStyle w:val="2"/>
        <w:spacing w:line="263" w:lineRule="auto"/>
        <w:rPr>
          <w:highlight w:val="none"/>
        </w:rPr>
      </w:pPr>
    </w:p>
    <w:p w14:paraId="040741B9">
      <w:pPr>
        <w:spacing w:before="65" w:line="221" w:lineRule="auto"/>
        <w:ind w:left="110"/>
        <w:rPr>
          <w:rFonts w:ascii="宋体" w:hAnsi="宋体" w:eastAsia="宋体" w:cs="宋体"/>
          <w:sz w:val="20"/>
          <w:szCs w:val="20"/>
          <w:highlight w:val="none"/>
        </w:rPr>
      </w:pPr>
      <w:r>
        <w:rPr>
          <w:rFonts w:ascii="宋体" w:hAnsi="宋体" w:eastAsia="宋体" w:cs="宋体"/>
          <w:spacing w:val="4"/>
          <w:sz w:val="20"/>
          <w:szCs w:val="20"/>
          <w:highlight w:val="none"/>
        </w:rPr>
        <w:t>(</w:t>
      </w:r>
      <w:r>
        <w:rPr>
          <w:rFonts w:ascii="宋体" w:hAnsi="宋体" w:eastAsia="宋体" w:cs="宋体"/>
          <w:spacing w:val="-43"/>
          <w:sz w:val="20"/>
          <w:szCs w:val="20"/>
          <w:highlight w:val="none"/>
        </w:rPr>
        <w:t xml:space="preserve"> </w:t>
      </w:r>
      <w:r>
        <w:rPr>
          <w:rFonts w:ascii="宋体" w:hAnsi="宋体" w:eastAsia="宋体" w:cs="宋体"/>
          <w:spacing w:val="4"/>
          <w:sz w:val="20"/>
          <w:szCs w:val="20"/>
          <w:highlight w:val="none"/>
        </w:rPr>
        <w:t>一</w:t>
      </w:r>
      <w:r>
        <w:rPr>
          <w:rFonts w:ascii="宋体" w:hAnsi="宋体" w:eastAsia="宋体" w:cs="宋体"/>
          <w:spacing w:val="-47"/>
          <w:sz w:val="20"/>
          <w:szCs w:val="20"/>
          <w:highlight w:val="none"/>
        </w:rPr>
        <w:t xml:space="preserve"> </w:t>
      </w:r>
      <w:r>
        <w:rPr>
          <w:rFonts w:ascii="宋体" w:hAnsi="宋体" w:eastAsia="宋体" w:cs="宋体"/>
          <w:spacing w:val="4"/>
          <w:sz w:val="20"/>
          <w:szCs w:val="20"/>
          <w:highlight w:val="none"/>
        </w:rPr>
        <w:t>)图纸</w:t>
      </w:r>
    </w:p>
    <w:p w14:paraId="07FD5431">
      <w:pPr>
        <w:spacing w:before="150" w:line="219" w:lineRule="auto"/>
        <w:ind w:left="110"/>
        <w:rPr>
          <w:rFonts w:ascii="宋体" w:hAnsi="宋体" w:eastAsia="宋体" w:cs="宋体"/>
          <w:sz w:val="22"/>
          <w:szCs w:val="22"/>
          <w:highlight w:val="none"/>
        </w:rPr>
      </w:pPr>
      <w:r>
        <w:rPr>
          <w:rFonts w:ascii="宋体" w:hAnsi="宋体" w:eastAsia="宋体" w:cs="宋体"/>
          <w:spacing w:val="1"/>
          <w:sz w:val="22"/>
          <w:szCs w:val="22"/>
          <w:highlight w:val="none"/>
        </w:rPr>
        <w:t>(二)工程详细说明</w:t>
      </w:r>
    </w:p>
    <w:p w14:paraId="28CC1A27">
      <w:pPr>
        <w:spacing w:before="138" w:line="220" w:lineRule="auto"/>
        <w:ind w:left="110"/>
        <w:rPr>
          <w:rFonts w:ascii="宋体" w:hAnsi="宋体" w:eastAsia="宋体" w:cs="宋体"/>
          <w:sz w:val="20"/>
          <w:szCs w:val="20"/>
          <w:highlight w:val="none"/>
        </w:rPr>
      </w:pPr>
      <w:r>
        <w:rPr>
          <w:rFonts w:ascii="宋体" w:hAnsi="宋体" w:eastAsia="宋体" w:cs="宋体"/>
          <w:spacing w:val="21"/>
          <w:sz w:val="20"/>
          <w:szCs w:val="20"/>
          <w:highlight w:val="none"/>
        </w:rPr>
        <w:t>(三)设备方案</w:t>
      </w:r>
    </w:p>
    <w:p w14:paraId="2AF0402F">
      <w:pPr>
        <w:spacing w:before="152" w:line="219" w:lineRule="auto"/>
        <w:rPr>
          <w:rFonts w:ascii="宋体" w:hAnsi="宋体" w:eastAsia="宋体" w:cs="宋体"/>
          <w:sz w:val="22"/>
          <w:szCs w:val="22"/>
          <w:highlight w:val="none"/>
        </w:rPr>
      </w:pPr>
      <w:r>
        <w:rPr>
          <w:rFonts w:ascii="宋体" w:hAnsi="宋体" w:eastAsia="宋体" w:cs="宋体"/>
          <w:spacing w:val="1"/>
          <w:sz w:val="22"/>
          <w:szCs w:val="22"/>
          <w:highlight w:val="none"/>
        </w:rPr>
        <w:t>1.生产设备。</w:t>
      </w:r>
    </w:p>
    <w:p w14:paraId="27EF6A02">
      <w:pPr>
        <w:spacing w:before="148" w:line="219" w:lineRule="auto"/>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2.</w:t>
      </w:r>
      <w:r>
        <w:rPr>
          <w:rFonts w:ascii="Times New Roman" w:hAnsi="Times New Roman" w:eastAsia="Times New Roman" w:cs="Times New Roman"/>
          <w:spacing w:val="3"/>
          <w:sz w:val="20"/>
          <w:szCs w:val="20"/>
          <w:highlight w:val="none"/>
        </w:rPr>
        <w:t xml:space="preserve">   </w:t>
      </w:r>
      <w:r>
        <w:rPr>
          <w:rFonts w:ascii="宋体" w:hAnsi="宋体" w:eastAsia="宋体" w:cs="宋体"/>
          <w:spacing w:val="5"/>
          <w:sz w:val="20"/>
          <w:szCs w:val="20"/>
          <w:highlight w:val="none"/>
        </w:rPr>
        <w:t>必备的备品备件。</w:t>
      </w:r>
    </w:p>
    <w:p w14:paraId="0298EA99">
      <w:pPr>
        <w:spacing w:before="162" w:line="219" w:lineRule="auto"/>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 xml:space="preserve">3.  </w:t>
      </w:r>
      <w:r>
        <w:rPr>
          <w:rFonts w:ascii="宋体" w:hAnsi="宋体" w:eastAsia="宋体" w:cs="宋体"/>
          <w:spacing w:val="5"/>
          <w:sz w:val="20"/>
          <w:szCs w:val="20"/>
          <w:highlight w:val="none"/>
        </w:rPr>
        <w:t>备选的备品备件。</w:t>
      </w:r>
    </w:p>
    <w:p w14:paraId="03C3557A">
      <w:pPr>
        <w:spacing w:before="174" w:line="220" w:lineRule="auto"/>
        <w:ind w:left="110"/>
        <w:rPr>
          <w:rFonts w:ascii="宋体" w:hAnsi="宋体" w:eastAsia="宋体" w:cs="宋体"/>
          <w:sz w:val="21"/>
          <w:szCs w:val="21"/>
          <w:highlight w:val="none"/>
        </w:rPr>
      </w:pPr>
      <w:r>
        <w:rPr>
          <w:rFonts w:ascii="宋体" w:hAnsi="宋体" w:eastAsia="宋体" w:cs="宋体"/>
          <w:spacing w:val="12"/>
          <w:sz w:val="21"/>
          <w:szCs w:val="21"/>
          <w:highlight w:val="none"/>
        </w:rPr>
        <w:t>(四)分包方案</w:t>
      </w:r>
    </w:p>
    <w:p w14:paraId="3A5CC794">
      <w:pPr>
        <w:spacing w:before="149" w:line="219" w:lineRule="auto"/>
        <w:ind w:left="110"/>
        <w:rPr>
          <w:rFonts w:ascii="宋体" w:hAnsi="宋体" w:eastAsia="宋体" w:cs="宋体"/>
          <w:sz w:val="20"/>
          <w:szCs w:val="20"/>
          <w:highlight w:val="none"/>
        </w:rPr>
      </w:pPr>
      <w:r>
        <w:rPr>
          <w:rFonts w:ascii="宋体" w:hAnsi="宋体" w:eastAsia="宋体" w:cs="宋体"/>
          <w:spacing w:val="16"/>
          <w:sz w:val="20"/>
          <w:szCs w:val="20"/>
          <w:highlight w:val="none"/>
        </w:rPr>
        <w:t>(五)对发包人要求错误的说明</w:t>
      </w:r>
    </w:p>
    <w:p w14:paraId="3243FA2F">
      <w:pPr>
        <w:spacing w:before="144" w:line="220" w:lineRule="auto"/>
        <w:ind w:left="110"/>
        <w:rPr>
          <w:rFonts w:ascii="宋体" w:hAnsi="宋体" w:eastAsia="宋体" w:cs="宋体"/>
          <w:sz w:val="22"/>
          <w:szCs w:val="22"/>
          <w:highlight w:val="none"/>
        </w:rPr>
      </w:pPr>
      <w:r>
        <w:rPr>
          <w:rFonts w:ascii="宋体" w:hAnsi="宋体" w:eastAsia="宋体" w:cs="宋体"/>
          <w:spacing w:val="9"/>
          <w:sz w:val="22"/>
          <w:szCs w:val="22"/>
          <w:highlight w:val="none"/>
        </w:rPr>
        <w:t>(六)其他</w:t>
      </w:r>
    </w:p>
    <w:p w14:paraId="613F56BF">
      <w:pPr>
        <w:pStyle w:val="2"/>
        <w:spacing w:line="451" w:lineRule="auto"/>
        <w:rPr>
          <w:highlight w:val="none"/>
        </w:rPr>
      </w:pPr>
    </w:p>
    <w:p w14:paraId="6C13ACF9">
      <w:pPr>
        <w:spacing w:before="72" w:line="219" w:lineRule="auto"/>
        <w:rPr>
          <w:rFonts w:ascii="宋体" w:hAnsi="宋体" w:eastAsia="宋体" w:cs="宋体"/>
          <w:sz w:val="22"/>
          <w:szCs w:val="22"/>
          <w:highlight w:val="none"/>
        </w:rPr>
      </w:pPr>
      <w:r>
        <w:rPr>
          <w:rFonts w:ascii="宋体" w:hAnsi="宋体" w:eastAsia="宋体" w:cs="宋体"/>
          <w:spacing w:val="-10"/>
          <w:sz w:val="22"/>
          <w:szCs w:val="22"/>
          <w:highlight w:val="none"/>
        </w:rPr>
        <w:t>说明：发包人认为承包人实施计划中的有关内容应列入承包人建议书的，应在本页载明。</w:t>
      </w:r>
    </w:p>
    <w:p w14:paraId="219A44BD">
      <w:pPr>
        <w:spacing w:line="219" w:lineRule="auto"/>
        <w:rPr>
          <w:rFonts w:ascii="宋体" w:hAnsi="宋体" w:eastAsia="宋体" w:cs="宋体"/>
          <w:sz w:val="22"/>
          <w:szCs w:val="22"/>
          <w:highlight w:val="none"/>
        </w:rPr>
        <w:sectPr>
          <w:footerReference r:id="rId293" w:type="default"/>
          <w:pgSz w:w="11910" w:h="16840"/>
          <w:pgMar w:top="400" w:right="1786" w:bottom="1217" w:left="1779" w:header="0" w:footer="1013" w:gutter="0"/>
          <w:cols w:space="720" w:num="1"/>
        </w:sectPr>
      </w:pPr>
    </w:p>
    <w:p w14:paraId="2588ECFA">
      <w:pPr>
        <w:pStyle w:val="2"/>
        <w:spacing w:line="270" w:lineRule="auto"/>
        <w:rPr>
          <w:highlight w:val="none"/>
        </w:rPr>
      </w:pPr>
    </w:p>
    <w:p w14:paraId="721D416C">
      <w:pPr>
        <w:pStyle w:val="2"/>
        <w:spacing w:line="270" w:lineRule="auto"/>
        <w:rPr>
          <w:highlight w:val="none"/>
        </w:rPr>
      </w:pPr>
    </w:p>
    <w:p w14:paraId="5E8030BD">
      <w:pPr>
        <w:pStyle w:val="2"/>
        <w:spacing w:line="270" w:lineRule="auto"/>
        <w:rPr>
          <w:highlight w:val="none"/>
        </w:rPr>
      </w:pPr>
    </w:p>
    <w:p w14:paraId="5F32EC61">
      <w:pPr>
        <w:pStyle w:val="2"/>
        <w:spacing w:line="270" w:lineRule="auto"/>
        <w:rPr>
          <w:highlight w:val="none"/>
        </w:rPr>
      </w:pPr>
    </w:p>
    <w:p w14:paraId="2C1A6730">
      <w:pPr>
        <w:spacing w:before="104" w:line="222" w:lineRule="auto"/>
        <w:ind w:left="3"/>
        <w:outlineLvl w:val="1"/>
        <w:rPr>
          <w:rFonts w:ascii="黑体" w:hAnsi="黑体" w:eastAsia="黑体" w:cs="黑体"/>
          <w:sz w:val="32"/>
          <w:szCs w:val="32"/>
          <w:highlight w:val="none"/>
        </w:rPr>
      </w:pPr>
      <w:bookmarkStart w:id="262" w:name="bookmark168"/>
      <w:bookmarkEnd w:id="262"/>
      <w:r>
        <w:rPr>
          <w:rFonts w:ascii="黑体" w:hAnsi="黑体" w:eastAsia="黑体" w:cs="黑体"/>
          <w:spacing w:val="3"/>
          <w:sz w:val="32"/>
          <w:szCs w:val="32"/>
          <w:highlight w:val="none"/>
        </w:rPr>
        <w:t>十二、承包人实施计划</w:t>
      </w:r>
    </w:p>
    <w:p w14:paraId="08B181D8">
      <w:pPr>
        <w:pStyle w:val="2"/>
        <w:spacing w:line="304" w:lineRule="auto"/>
        <w:rPr>
          <w:highlight w:val="none"/>
        </w:rPr>
      </w:pPr>
    </w:p>
    <w:p w14:paraId="493AC106">
      <w:pPr>
        <w:pStyle w:val="2"/>
        <w:spacing w:line="304" w:lineRule="auto"/>
        <w:rPr>
          <w:highlight w:val="none"/>
        </w:rPr>
      </w:pPr>
    </w:p>
    <w:p w14:paraId="5758BD8E">
      <w:pPr>
        <w:spacing w:before="68" w:line="401" w:lineRule="auto"/>
        <w:ind w:left="13" w:right="14" w:firstLine="300"/>
        <w:rPr>
          <w:rFonts w:ascii="宋体" w:hAnsi="宋体" w:eastAsia="宋体" w:cs="宋体"/>
          <w:sz w:val="21"/>
          <w:szCs w:val="21"/>
          <w:highlight w:val="none"/>
        </w:rPr>
      </w:pPr>
      <w:r>
        <w:rPr>
          <w:rFonts w:ascii="宋体" w:hAnsi="宋体" w:eastAsia="宋体" w:cs="宋体"/>
          <w:spacing w:val="-2"/>
          <w:sz w:val="21"/>
          <w:szCs w:val="21"/>
          <w:highlight w:val="none"/>
        </w:rPr>
        <w:t>一</w:t>
      </w:r>
      <w:r>
        <w:rPr>
          <w:rFonts w:ascii="宋体" w:hAnsi="宋体" w:eastAsia="宋体" w:cs="宋体"/>
          <w:spacing w:val="-46"/>
          <w:sz w:val="21"/>
          <w:szCs w:val="21"/>
          <w:highlight w:val="none"/>
        </w:rPr>
        <w:t xml:space="preserve"> </w:t>
      </w:r>
      <w:r>
        <w:rPr>
          <w:rFonts w:ascii="宋体" w:hAnsi="宋体" w:eastAsia="宋体" w:cs="宋体"/>
          <w:spacing w:val="-2"/>
          <w:sz w:val="21"/>
          <w:szCs w:val="21"/>
          <w:highlight w:val="none"/>
        </w:rPr>
        <w:t>、</w:t>
      </w:r>
      <w:r>
        <w:rPr>
          <w:rFonts w:ascii="宋体" w:hAnsi="宋体" w:eastAsia="宋体" w:cs="宋体"/>
          <w:spacing w:val="-60"/>
          <w:sz w:val="21"/>
          <w:szCs w:val="21"/>
          <w:highlight w:val="none"/>
        </w:rPr>
        <w:t xml:space="preserve"> </w:t>
      </w:r>
      <w:r>
        <w:rPr>
          <w:rFonts w:ascii="宋体" w:hAnsi="宋体" w:eastAsia="宋体" w:cs="宋体"/>
          <w:spacing w:val="-2"/>
          <w:sz w:val="21"/>
          <w:szCs w:val="21"/>
          <w:highlight w:val="none"/>
        </w:rPr>
        <w:t>投标人应根据招标文件和对现场的勘察情况，采用文字并结合图表形式，参照中华</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人民共和国国家标准要求编制本工程的施工实施，其要点如</w:t>
      </w:r>
      <w:r>
        <w:rPr>
          <w:rFonts w:ascii="宋体" w:hAnsi="宋体" w:eastAsia="宋体" w:cs="宋体"/>
          <w:spacing w:val="-3"/>
          <w:sz w:val="21"/>
          <w:szCs w:val="21"/>
          <w:highlight w:val="none"/>
        </w:rPr>
        <w:t>下：</w:t>
      </w:r>
    </w:p>
    <w:p w14:paraId="0E8D32DF">
      <w:pPr>
        <w:spacing w:line="219" w:lineRule="auto"/>
        <w:ind w:left="103"/>
        <w:rPr>
          <w:rFonts w:ascii="宋体" w:hAnsi="宋体" w:eastAsia="宋体" w:cs="宋体"/>
          <w:sz w:val="22"/>
          <w:szCs w:val="22"/>
          <w:highlight w:val="none"/>
        </w:rPr>
      </w:pPr>
      <w:r>
        <w:rPr>
          <w:rFonts w:ascii="宋体" w:hAnsi="宋体" w:eastAsia="宋体" w:cs="宋体"/>
          <w:spacing w:val="11"/>
          <w:sz w:val="22"/>
          <w:szCs w:val="22"/>
          <w:highlight w:val="none"/>
        </w:rPr>
        <w:t>(一)概述</w:t>
      </w:r>
    </w:p>
    <w:p w14:paraId="738F7839">
      <w:pPr>
        <w:spacing w:before="167" w:line="219" w:lineRule="auto"/>
        <w:ind w:left="393"/>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1.</w:t>
      </w:r>
      <w:r>
        <w:rPr>
          <w:rFonts w:ascii="Times New Roman" w:hAnsi="Times New Roman" w:eastAsia="Times New Roman" w:cs="Times New Roman"/>
          <w:spacing w:val="24"/>
          <w:sz w:val="22"/>
          <w:szCs w:val="22"/>
          <w:highlight w:val="none"/>
        </w:rPr>
        <w:t xml:space="preserve">  </w:t>
      </w:r>
      <w:r>
        <w:rPr>
          <w:rFonts w:ascii="宋体" w:hAnsi="宋体" w:eastAsia="宋体" w:cs="宋体"/>
          <w:spacing w:val="-8"/>
          <w:sz w:val="22"/>
          <w:szCs w:val="22"/>
          <w:highlight w:val="none"/>
        </w:rPr>
        <w:t>项目简要介绍。</w:t>
      </w:r>
    </w:p>
    <w:p w14:paraId="266CE624">
      <w:pPr>
        <w:spacing w:before="121" w:line="220" w:lineRule="auto"/>
        <w:ind w:left="393"/>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2.</w:t>
      </w:r>
      <w:r>
        <w:rPr>
          <w:rFonts w:ascii="Times New Roman" w:hAnsi="Times New Roman" w:eastAsia="Times New Roman" w:cs="Times New Roman"/>
          <w:spacing w:val="20"/>
          <w:sz w:val="22"/>
          <w:szCs w:val="22"/>
          <w:highlight w:val="none"/>
        </w:rPr>
        <w:t xml:space="preserve">  </w:t>
      </w:r>
      <w:r>
        <w:rPr>
          <w:rFonts w:ascii="宋体" w:hAnsi="宋体" w:eastAsia="宋体" w:cs="宋体"/>
          <w:spacing w:val="-9"/>
          <w:sz w:val="22"/>
          <w:szCs w:val="22"/>
          <w:highlight w:val="none"/>
        </w:rPr>
        <w:t>项目范围。</w:t>
      </w:r>
    </w:p>
    <w:p w14:paraId="32CCED9A">
      <w:pPr>
        <w:spacing w:before="137" w:line="219" w:lineRule="auto"/>
        <w:ind w:left="393"/>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3.</w:t>
      </w:r>
      <w:r>
        <w:rPr>
          <w:rFonts w:ascii="Times New Roman" w:hAnsi="Times New Roman" w:eastAsia="Times New Roman" w:cs="Times New Roman"/>
          <w:spacing w:val="13"/>
          <w:w w:val="101"/>
          <w:sz w:val="22"/>
          <w:szCs w:val="22"/>
          <w:highlight w:val="none"/>
        </w:rPr>
        <w:t xml:space="preserve">  </w:t>
      </w:r>
      <w:r>
        <w:rPr>
          <w:rFonts w:ascii="宋体" w:hAnsi="宋体" w:eastAsia="宋体" w:cs="宋体"/>
          <w:spacing w:val="-7"/>
          <w:sz w:val="22"/>
          <w:szCs w:val="22"/>
          <w:highlight w:val="none"/>
        </w:rPr>
        <w:t>项目特点。</w:t>
      </w:r>
    </w:p>
    <w:p w14:paraId="5E310C95">
      <w:pPr>
        <w:spacing w:before="150" w:line="220" w:lineRule="auto"/>
        <w:ind w:left="103"/>
        <w:rPr>
          <w:rFonts w:ascii="宋体" w:hAnsi="宋体" w:eastAsia="宋体" w:cs="宋体"/>
          <w:sz w:val="22"/>
          <w:szCs w:val="22"/>
          <w:highlight w:val="none"/>
        </w:rPr>
      </w:pPr>
      <w:r>
        <w:rPr>
          <w:rFonts w:ascii="宋体" w:hAnsi="宋体" w:eastAsia="宋体" w:cs="宋体"/>
          <w:spacing w:val="1"/>
          <w:sz w:val="22"/>
          <w:szCs w:val="22"/>
          <w:highlight w:val="none"/>
        </w:rPr>
        <w:t>(二)总体实施方案</w:t>
      </w:r>
    </w:p>
    <w:p w14:paraId="57DFA7DD">
      <w:pPr>
        <w:spacing w:before="144" w:line="218" w:lineRule="auto"/>
        <w:ind w:left="393"/>
        <w:rPr>
          <w:rFonts w:ascii="宋体" w:hAnsi="宋体" w:eastAsia="宋体" w:cs="宋体"/>
          <w:sz w:val="20"/>
          <w:szCs w:val="20"/>
          <w:highlight w:val="none"/>
        </w:rPr>
      </w:pPr>
      <w:r>
        <w:rPr>
          <w:rFonts w:ascii="Times New Roman" w:hAnsi="Times New Roman" w:eastAsia="Times New Roman" w:cs="Times New Roman"/>
          <w:spacing w:val="11"/>
          <w:sz w:val="20"/>
          <w:szCs w:val="20"/>
          <w:highlight w:val="none"/>
        </w:rPr>
        <w:t xml:space="preserve">1.   </w:t>
      </w:r>
      <w:r>
        <w:rPr>
          <w:rFonts w:ascii="宋体" w:hAnsi="宋体" w:eastAsia="宋体" w:cs="宋体"/>
          <w:spacing w:val="11"/>
          <w:sz w:val="20"/>
          <w:szCs w:val="20"/>
          <w:highlight w:val="none"/>
        </w:rPr>
        <w:t>项目目标(质量、工期、造价)。</w:t>
      </w:r>
    </w:p>
    <w:p w14:paraId="6BF3E1C6">
      <w:pPr>
        <w:spacing w:before="156" w:line="220" w:lineRule="auto"/>
        <w:ind w:left="393"/>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2.</w:t>
      </w:r>
      <w:r>
        <w:rPr>
          <w:rFonts w:ascii="Times New Roman" w:hAnsi="Times New Roman" w:eastAsia="Times New Roman" w:cs="Times New Roman"/>
          <w:spacing w:val="4"/>
          <w:sz w:val="20"/>
          <w:szCs w:val="20"/>
          <w:highlight w:val="none"/>
        </w:rPr>
        <w:t xml:space="preserve">   </w:t>
      </w:r>
      <w:r>
        <w:rPr>
          <w:rFonts w:ascii="宋体" w:hAnsi="宋体" w:eastAsia="宋体" w:cs="宋体"/>
          <w:spacing w:val="6"/>
          <w:sz w:val="20"/>
          <w:szCs w:val="20"/>
          <w:highlight w:val="none"/>
        </w:rPr>
        <w:t>项目实施组织形式。</w:t>
      </w:r>
    </w:p>
    <w:p w14:paraId="3A54E038">
      <w:pPr>
        <w:spacing w:before="143" w:line="220" w:lineRule="auto"/>
        <w:ind w:left="393"/>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3.</w:t>
      </w:r>
      <w:r>
        <w:rPr>
          <w:rFonts w:ascii="Times New Roman" w:hAnsi="Times New Roman" w:eastAsia="Times New Roman" w:cs="Times New Roman"/>
          <w:spacing w:val="15"/>
          <w:sz w:val="22"/>
          <w:szCs w:val="22"/>
          <w:highlight w:val="none"/>
        </w:rPr>
        <w:t xml:space="preserve">  </w:t>
      </w:r>
      <w:r>
        <w:rPr>
          <w:rFonts w:ascii="宋体" w:hAnsi="宋体" w:eastAsia="宋体" w:cs="宋体"/>
          <w:spacing w:val="-6"/>
          <w:sz w:val="22"/>
          <w:szCs w:val="22"/>
          <w:highlight w:val="none"/>
        </w:rPr>
        <w:t>项目阶段划分。</w:t>
      </w:r>
    </w:p>
    <w:p w14:paraId="71B9333E">
      <w:pPr>
        <w:spacing w:before="167" w:line="220" w:lineRule="auto"/>
        <w:ind w:left="393"/>
        <w:rPr>
          <w:rFonts w:ascii="宋体" w:hAnsi="宋体" w:eastAsia="宋体" w:cs="宋体"/>
          <w:sz w:val="20"/>
          <w:szCs w:val="20"/>
          <w:highlight w:val="none"/>
        </w:rPr>
      </w:pPr>
      <w:r>
        <w:rPr>
          <w:rFonts w:ascii="Times New Roman" w:hAnsi="Times New Roman" w:eastAsia="Times New Roman" w:cs="Times New Roman"/>
          <w:spacing w:val="7"/>
          <w:sz w:val="20"/>
          <w:szCs w:val="20"/>
          <w:highlight w:val="none"/>
        </w:rPr>
        <w:t xml:space="preserve">4.   </w:t>
      </w:r>
      <w:r>
        <w:rPr>
          <w:rFonts w:ascii="宋体" w:hAnsi="宋体" w:eastAsia="宋体" w:cs="宋体"/>
          <w:spacing w:val="7"/>
          <w:sz w:val="20"/>
          <w:szCs w:val="20"/>
          <w:highlight w:val="none"/>
        </w:rPr>
        <w:t>项目工作分解结构。</w:t>
      </w:r>
    </w:p>
    <w:p w14:paraId="7730C345">
      <w:pPr>
        <w:spacing w:before="141" w:line="219" w:lineRule="auto"/>
        <w:ind w:left="393"/>
        <w:rPr>
          <w:rFonts w:ascii="宋体" w:hAnsi="宋体" w:eastAsia="宋体" w:cs="宋体"/>
          <w:sz w:val="20"/>
          <w:szCs w:val="20"/>
          <w:highlight w:val="none"/>
        </w:rPr>
      </w:pPr>
      <w:r>
        <w:rPr>
          <w:rFonts w:ascii="Times New Roman" w:hAnsi="Times New Roman" w:eastAsia="Times New Roman" w:cs="Times New Roman"/>
          <w:spacing w:val="8"/>
          <w:sz w:val="20"/>
          <w:szCs w:val="20"/>
          <w:highlight w:val="none"/>
        </w:rPr>
        <w:t>5.</w:t>
      </w:r>
      <w:r>
        <w:rPr>
          <w:rFonts w:ascii="Times New Roman" w:hAnsi="Times New Roman" w:eastAsia="Times New Roman" w:cs="Times New Roman"/>
          <w:spacing w:val="26"/>
          <w:sz w:val="20"/>
          <w:szCs w:val="20"/>
          <w:highlight w:val="none"/>
        </w:rPr>
        <w:t xml:space="preserve">  </w:t>
      </w:r>
      <w:r>
        <w:rPr>
          <w:rFonts w:ascii="宋体" w:hAnsi="宋体" w:eastAsia="宋体" w:cs="宋体"/>
          <w:spacing w:val="8"/>
          <w:sz w:val="20"/>
          <w:szCs w:val="20"/>
          <w:highlight w:val="none"/>
        </w:rPr>
        <w:t>对项目各阶段工作及文件的要求。</w:t>
      </w:r>
    </w:p>
    <w:p w14:paraId="17FF005D">
      <w:pPr>
        <w:spacing w:before="152" w:line="219" w:lineRule="auto"/>
        <w:ind w:left="393"/>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6.</w:t>
      </w:r>
      <w:r>
        <w:rPr>
          <w:rFonts w:ascii="Times New Roman" w:hAnsi="Times New Roman" w:eastAsia="Times New Roman" w:cs="Times New Roman"/>
          <w:spacing w:val="14"/>
          <w:sz w:val="22"/>
          <w:szCs w:val="22"/>
          <w:highlight w:val="none"/>
        </w:rPr>
        <w:t xml:space="preserve">  </w:t>
      </w:r>
      <w:r>
        <w:rPr>
          <w:rFonts w:ascii="宋体" w:hAnsi="宋体" w:eastAsia="宋体" w:cs="宋体"/>
          <w:spacing w:val="-8"/>
          <w:sz w:val="22"/>
          <w:szCs w:val="22"/>
          <w:highlight w:val="none"/>
        </w:rPr>
        <w:t>项目分包和采购计划。</w:t>
      </w:r>
    </w:p>
    <w:p w14:paraId="5A657465">
      <w:pPr>
        <w:spacing w:before="170" w:line="220" w:lineRule="auto"/>
        <w:ind w:left="393"/>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 xml:space="preserve">7.   </w:t>
      </w:r>
      <w:r>
        <w:rPr>
          <w:rFonts w:ascii="宋体" w:hAnsi="宋体" w:eastAsia="宋体" w:cs="宋体"/>
          <w:spacing w:val="5"/>
          <w:sz w:val="20"/>
          <w:szCs w:val="20"/>
          <w:highlight w:val="none"/>
        </w:rPr>
        <w:t>项目沟通与协调程序。</w:t>
      </w:r>
    </w:p>
    <w:p w14:paraId="5231C484">
      <w:pPr>
        <w:spacing w:before="133" w:line="220" w:lineRule="auto"/>
        <w:ind w:left="103"/>
        <w:rPr>
          <w:rFonts w:ascii="宋体" w:hAnsi="宋体" w:eastAsia="宋体" w:cs="宋体"/>
          <w:sz w:val="21"/>
          <w:szCs w:val="21"/>
          <w:highlight w:val="none"/>
        </w:rPr>
      </w:pPr>
      <w:r>
        <w:rPr>
          <w:rFonts w:ascii="宋体" w:hAnsi="宋体" w:eastAsia="宋体" w:cs="宋体"/>
          <w:spacing w:val="11"/>
          <w:sz w:val="21"/>
          <w:szCs w:val="21"/>
          <w:highlight w:val="none"/>
        </w:rPr>
        <w:t>(三)项目实施要点</w:t>
      </w:r>
    </w:p>
    <w:p w14:paraId="5EEA6388">
      <w:pPr>
        <w:spacing w:before="159" w:line="219" w:lineRule="auto"/>
        <w:ind w:left="393"/>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1.</w:t>
      </w:r>
      <w:r>
        <w:rPr>
          <w:rFonts w:ascii="Times New Roman" w:hAnsi="Times New Roman" w:eastAsia="Times New Roman" w:cs="Times New Roman"/>
          <w:spacing w:val="20"/>
          <w:w w:val="101"/>
          <w:sz w:val="22"/>
          <w:szCs w:val="22"/>
          <w:highlight w:val="none"/>
        </w:rPr>
        <w:t xml:space="preserve">  </w:t>
      </w:r>
      <w:r>
        <w:rPr>
          <w:rFonts w:ascii="宋体" w:hAnsi="宋体" w:eastAsia="宋体" w:cs="宋体"/>
          <w:spacing w:val="-9"/>
          <w:sz w:val="22"/>
          <w:szCs w:val="22"/>
          <w:highlight w:val="none"/>
        </w:rPr>
        <w:t>勘察设计实施要点。</w:t>
      </w:r>
    </w:p>
    <w:p w14:paraId="1930282D">
      <w:pPr>
        <w:spacing w:before="118" w:line="219" w:lineRule="auto"/>
        <w:ind w:left="393"/>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2.</w:t>
      </w:r>
      <w:r>
        <w:rPr>
          <w:rFonts w:ascii="Times New Roman" w:hAnsi="Times New Roman" w:eastAsia="Times New Roman" w:cs="Times New Roman"/>
          <w:spacing w:val="18"/>
          <w:sz w:val="22"/>
          <w:szCs w:val="22"/>
          <w:highlight w:val="none"/>
        </w:rPr>
        <w:t xml:space="preserve">  </w:t>
      </w:r>
      <w:r>
        <w:rPr>
          <w:rFonts w:ascii="宋体" w:hAnsi="宋体" w:eastAsia="宋体" w:cs="宋体"/>
          <w:spacing w:val="-8"/>
          <w:sz w:val="22"/>
          <w:szCs w:val="22"/>
          <w:highlight w:val="none"/>
        </w:rPr>
        <w:t>采购实施要点。</w:t>
      </w:r>
    </w:p>
    <w:p w14:paraId="533DBC22">
      <w:pPr>
        <w:spacing w:before="151" w:line="220" w:lineRule="auto"/>
        <w:ind w:left="393"/>
        <w:rPr>
          <w:rFonts w:ascii="宋体" w:hAnsi="宋体" w:eastAsia="宋体" w:cs="宋体"/>
          <w:sz w:val="22"/>
          <w:szCs w:val="22"/>
          <w:highlight w:val="none"/>
        </w:rPr>
      </w:pPr>
      <w:r>
        <w:rPr>
          <w:rFonts w:ascii="Times New Roman" w:hAnsi="Times New Roman" w:eastAsia="Times New Roman" w:cs="Times New Roman"/>
          <w:spacing w:val="-7"/>
          <w:sz w:val="22"/>
          <w:szCs w:val="22"/>
          <w:highlight w:val="none"/>
        </w:rPr>
        <w:t>3.</w:t>
      </w:r>
      <w:r>
        <w:rPr>
          <w:rFonts w:ascii="Times New Roman" w:hAnsi="Times New Roman" w:eastAsia="Times New Roman" w:cs="Times New Roman"/>
          <w:spacing w:val="12"/>
          <w:sz w:val="22"/>
          <w:szCs w:val="22"/>
          <w:highlight w:val="none"/>
        </w:rPr>
        <w:t xml:space="preserve">  </w:t>
      </w:r>
      <w:r>
        <w:rPr>
          <w:rFonts w:ascii="宋体" w:hAnsi="宋体" w:eastAsia="宋体" w:cs="宋体"/>
          <w:spacing w:val="-7"/>
          <w:sz w:val="22"/>
          <w:szCs w:val="22"/>
          <w:highlight w:val="none"/>
        </w:rPr>
        <w:t>施工实施要点。</w:t>
      </w:r>
    </w:p>
    <w:p w14:paraId="2282F7B7">
      <w:pPr>
        <w:spacing w:before="147" w:line="220" w:lineRule="auto"/>
        <w:ind w:left="393"/>
        <w:rPr>
          <w:rFonts w:ascii="宋体" w:hAnsi="宋体" w:eastAsia="宋体" w:cs="宋体"/>
          <w:sz w:val="20"/>
          <w:szCs w:val="20"/>
          <w:highlight w:val="none"/>
        </w:rPr>
      </w:pPr>
      <w:r>
        <w:rPr>
          <w:rFonts w:ascii="Times New Roman" w:hAnsi="Times New Roman" w:eastAsia="Times New Roman" w:cs="Times New Roman"/>
          <w:spacing w:val="5"/>
          <w:sz w:val="20"/>
          <w:szCs w:val="20"/>
          <w:highlight w:val="none"/>
        </w:rPr>
        <w:t>4.</w:t>
      </w:r>
      <w:r>
        <w:rPr>
          <w:rFonts w:ascii="Times New Roman" w:hAnsi="Times New Roman" w:eastAsia="Times New Roman" w:cs="Times New Roman"/>
          <w:spacing w:val="2"/>
          <w:sz w:val="20"/>
          <w:szCs w:val="20"/>
          <w:highlight w:val="none"/>
        </w:rPr>
        <w:t xml:space="preserve">   </w:t>
      </w:r>
      <w:r>
        <w:rPr>
          <w:rFonts w:ascii="宋体" w:hAnsi="宋体" w:eastAsia="宋体" w:cs="宋体"/>
          <w:spacing w:val="5"/>
          <w:sz w:val="20"/>
          <w:szCs w:val="20"/>
          <w:highlight w:val="none"/>
        </w:rPr>
        <w:t>试运行实施要点。</w:t>
      </w:r>
    </w:p>
    <w:p w14:paraId="3AFD4CDE">
      <w:pPr>
        <w:spacing w:before="142" w:line="219" w:lineRule="auto"/>
        <w:ind w:left="103"/>
        <w:rPr>
          <w:rFonts w:ascii="宋体" w:hAnsi="宋体" w:eastAsia="宋体" w:cs="宋体"/>
          <w:sz w:val="22"/>
          <w:szCs w:val="22"/>
          <w:highlight w:val="none"/>
        </w:rPr>
      </w:pPr>
      <w:r>
        <w:rPr>
          <w:rFonts w:ascii="宋体" w:hAnsi="宋体" w:eastAsia="宋体" w:cs="宋体"/>
          <w:spacing w:val="2"/>
          <w:sz w:val="22"/>
          <w:szCs w:val="22"/>
          <w:highlight w:val="none"/>
        </w:rPr>
        <w:t>(四)项目管理要点</w:t>
      </w:r>
    </w:p>
    <w:p w14:paraId="1C0FAF24">
      <w:pPr>
        <w:spacing w:before="168" w:line="219" w:lineRule="auto"/>
        <w:ind w:left="393"/>
        <w:rPr>
          <w:rFonts w:ascii="宋体" w:hAnsi="宋体" w:eastAsia="宋体" w:cs="宋体"/>
          <w:sz w:val="20"/>
          <w:szCs w:val="20"/>
          <w:highlight w:val="none"/>
        </w:rPr>
      </w:pPr>
      <w:r>
        <w:rPr>
          <w:rFonts w:ascii="Times New Roman" w:hAnsi="Times New Roman" w:eastAsia="Times New Roman" w:cs="Times New Roman"/>
          <w:spacing w:val="6"/>
          <w:sz w:val="20"/>
          <w:szCs w:val="20"/>
          <w:highlight w:val="none"/>
        </w:rPr>
        <w:t>1.</w:t>
      </w:r>
      <w:r>
        <w:rPr>
          <w:rFonts w:ascii="Times New Roman" w:hAnsi="Times New Roman" w:eastAsia="Times New Roman" w:cs="Times New Roman"/>
          <w:spacing w:val="1"/>
          <w:sz w:val="20"/>
          <w:szCs w:val="20"/>
          <w:highlight w:val="none"/>
        </w:rPr>
        <w:t xml:space="preserve">   </w:t>
      </w:r>
      <w:r>
        <w:rPr>
          <w:rFonts w:ascii="宋体" w:hAnsi="宋体" w:eastAsia="宋体" w:cs="宋体"/>
          <w:spacing w:val="6"/>
          <w:sz w:val="20"/>
          <w:szCs w:val="20"/>
          <w:highlight w:val="none"/>
        </w:rPr>
        <w:t>合同管理要点。</w:t>
      </w:r>
    </w:p>
    <w:p w14:paraId="32E644E2">
      <w:pPr>
        <w:spacing w:before="134" w:line="219" w:lineRule="auto"/>
        <w:ind w:left="393"/>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2.</w:t>
      </w:r>
      <w:r>
        <w:rPr>
          <w:rFonts w:ascii="Times New Roman" w:hAnsi="Times New Roman" w:eastAsia="Times New Roman" w:cs="Times New Roman"/>
          <w:spacing w:val="23"/>
          <w:sz w:val="22"/>
          <w:szCs w:val="22"/>
          <w:highlight w:val="none"/>
        </w:rPr>
        <w:t xml:space="preserve">  </w:t>
      </w:r>
      <w:r>
        <w:rPr>
          <w:rFonts w:ascii="宋体" w:hAnsi="宋体" w:eastAsia="宋体" w:cs="宋体"/>
          <w:spacing w:val="-9"/>
          <w:sz w:val="22"/>
          <w:szCs w:val="22"/>
          <w:highlight w:val="none"/>
        </w:rPr>
        <w:t>资源管理要点。</w:t>
      </w:r>
    </w:p>
    <w:p w14:paraId="59C78B38">
      <w:pPr>
        <w:spacing w:before="168" w:line="220" w:lineRule="auto"/>
        <w:ind w:left="393"/>
        <w:rPr>
          <w:rFonts w:ascii="宋体" w:hAnsi="宋体" w:eastAsia="宋体" w:cs="宋体"/>
          <w:sz w:val="20"/>
          <w:szCs w:val="20"/>
          <w:highlight w:val="none"/>
        </w:rPr>
      </w:pPr>
      <w:r>
        <w:rPr>
          <w:rFonts w:ascii="Times New Roman" w:hAnsi="Times New Roman" w:eastAsia="Times New Roman" w:cs="Times New Roman"/>
          <w:spacing w:val="4"/>
          <w:sz w:val="20"/>
          <w:szCs w:val="20"/>
          <w:highlight w:val="none"/>
        </w:rPr>
        <w:t xml:space="preserve">3.   </w:t>
      </w:r>
      <w:r>
        <w:rPr>
          <w:rFonts w:ascii="宋体" w:hAnsi="宋体" w:eastAsia="宋体" w:cs="宋体"/>
          <w:spacing w:val="4"/>
          <w:sz w:val="20"/>
          <w:szCs w:val="20"/>
          <w:highlight w:val="none"/>
        </w:rPr>
        <w:t>质量控制要点。</w:t>
      </w:r>
    </w:p>
    <w:p w14:paraId="69C057BB">
      <w:pPr>
        <w:spacing w:before="123" w:line="220" w:lineRule="auto"/>
        <w:ind w:left="393"/>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4.</w:t>
      </w:r>
      <w:r>
        <w:rPr>
          <w:rFonts w:ascii="Times New Roman" w:hAnsi="Times New Roman" w:eastAsia="Times New Roman" w:cs="Times New Roman"/>
          <w:spacing w:val="23"/>
          <w:sz w:val="22"/>
          <w:szCs w:val="22"/>
          <w:highlight w:val="none"/>
        </w:rPr>
        <w:t xml:space="preserve">  </w:t>
      </w:r>
      <w:r>
        <w:rPr>
          <w:rFonts w:ascii="宋体" w:hAnsi="宋体" w:eastAsia="宋体" w:cs="宋体"/>
          <w:spacing w:val="-9"/>
          <w:sz w:val="22"/>
          <w:szCs w:val="22"/>
          <w:highlight w:val="none"/>
        </w:rPr>
        <w:t>进度控制要点。</w:t>
      </w:r>
    </w:p>
    <w:p w14:paraId="5EC096AA">
      <w:pPr>
        <w:spacing w:before="145" w:line="218" w:lineRule="auto"/>
        <w:ind w:left="393"/>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5.</w:t>
      </w:r>
      <w:r>
        <w:rPr>
          <w:rFonts w:ascii="Times New Roman" w:hAnsi="Times New Roman" w:eastAsia="Times New Roman" w:cs="Times New Roman"/>
          <w:spacing w:val="27"/>
          <w:sz w:val="22"/>
          <w:szCs w:val="22"/>
          <w:highlight w:val="none"/>
        </w:rPr>
        <w:t xml:space="preserve">  </w:t>
      </w:r>
      <w:r>
        <w:rPr>
          <w:rFonts w:ascii="宋体" w:hAnsi="宋体" w:eastAsia="宋体" w:cs="宋体"/>
          <w:spacing w:val="-10"/>
          <w:sz w:val="22"/>
          <w:szCs w:val="22"/>
          <w:highlight w:val="none"/>
        </w:rPr>
        <w:t>费用估算及控制要点。</w:t>
      </w:r>
    </w:p>
    <w:p w14:paraId="2640536E">
      <w:pPr>
        <w:spacing w:before="152" w:line="219" w:lineRule="auto"/>
        <w:ind w:left="393"/>
        <w:rPr>
          <w:rFonts w:ascii="宋体" w:hAnsi="宋体" w:eastAsia="宋体" w:cs="宋体"/>
          <w:sz w:val="22"/>
          <w:szCs w:val="22"/>
          <w:highlight w:val="none"/>
        </w:rPr>
      </w:pPr>
      <w:r>
        <w:rPr>
          <w:rFonts w:ascii="Times New Roman" w:hAnsi="Times New Roman" w:eastAsia="Times New Roman" w:cs="Times New Roman"/>
          <w:spacing w:val="-9"/>
          <w:sz w:val="22"/>
          <w:szCs w:val="22"/>
          <w:highlight w:val="none"/>
        </w:rPr>
        <w:t>6.</w:t>
      </w:r>
      <w:r>
        <w:rPr>
          <w:rFonts w:ascii="Times New Roman" w:hAnsi="Times New Roman" w:eastAsia="Times New Roman" w:cs="Times New Roman"/>
          <w:spacing w:val="23"/>
          <w:sz w:val="22"/>
          <w:szCs w:val="22"/>
          <w:highlight w:val="none"/>
        </w:rPr>
        <w:t xml:space="preserve">  </w:t>
      </w:r>
      <w:r>
        <w:rPr>
          <w:rFonts w:ascii="宋体" w:hAnsi="宋体" w:eastAsia="宋体" w:cs="宋体"/>
          <w:spacing w:val="-9"/>
          <w:sz w:val="22"/>
          <w:szCs w:val="22"/>
          <w:highlight w:val="none"/>
        </w:rPr>
        <w:t>安全管理要点。</w:t>
      </w:r>
    </w:p>
    <w:p w14:paraId="1C2D15F1">
      <w:pPr>
        <w:spacing w:before="119" w:line="219" w:lineRule="auto"/>
        <w:ind w:left="393"/>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7.</w:t>
      </w:r>
      <w:r>
        <w:rPr>
          <w:rFonts w:ascii="Times New Roman" w:hAnsi="Times New Roman" w:eastAsia="Times New Roman" w:cs="Times New Roman"/>
          <w:spacing w:val="15"/>
          <w:sz w:val="22"/>
          <w:szCs w:val="22"/>
          <w:highlight w:val="none"/>
        </w:rPr>
        <w:t xml:space="preserve">  </w:t>
      </w:r>
      <w:r>
        <w:rPr>
          <w:rFonts w:ascii="宋体" w:hAnsi="宋体" w:eastAsia="宋体" w:cs="宋体"/>
          <w:spacing w:val="-8"/>
          <w:sz w:val="22"/>
          <w:szCs w:val="22"/>
          <w:highlight w:val="none"/>
        </w:rPr>
        <w:t>职业健康管理要点。</w:t>
      </w:r>
    </w:p>
    <w:p w14:paraId="4AE3F097">
      <w:pPr>
        <w:spacing w:before="149" w:line="219" w:lineRule="auto"/>
        <w:ind w:left="393"/>
        <w:rPr>
          <w:rFonts w:ascii="宋体" w:hAnsi="宋体" w:eastAsia="宋体" w:cs="宋体"/>
          <w:sz w:val="22"/>
          <w:szCs w:val="22"/>
          <w:highlight w:val="none"/>
        </w:rPr>
      </w:pPr>
      <w:r>
        <w:rPr>
          <w:rFonts w:ascii="Times New Roman" w:hAnsi="Times New Roman" w:eastAsia="Times New Roman" w:cs="Times New Roman"/>
          <w:spacing w:val="-6"/>
          <w:sz w:val="22"/>
          <w:szCs w:val="22"/>
          <w:highlight w:val="none"/>
        </w:rPr>
        <w:t>8.</w:t>
      </w:r>
      <w:r>
        <w:rPr>
          <w:rFonts w:ascii="Times New Roman" w:hAnsi="Times New Roman" w:eastAsia="Times New Roman" w:cs="Times New Roman"/>
          <w:spacing w:val="16"/>
          <w:w w:val="101"/>
          <w:sz w:val="22"/>
          <w:szCs w:val="22"/>
          <w:highlight w:val="none"/>
        </w:rPr>
        <w:t xml:space="preserve">  </w:t>
      </w:r>
      <w:r>
        <w:rPr>
          <w:rFonts w:ascii="宋体" w:hAnsi="宋体" w:eastAsia="宋体" w:cs="宋体"/>
          <w:spacing w:val="-6"/>
          <w:sz w:val="22"/>
          <w:szCs w:val="22"/>
          <w:highlight w:val="none"/>
        </w:rPr>
        <w:t>环境管理要点。</w:t>
      </w:r>
    </w:p>
    <w:p w14:paraId="77C929B3">
      <w:pPr>
        <w:spacing w:before="129" w:line="219" w:lineRule="auto"/>
        <w:ind w:left="393"/>
        <w:rPr>
          <w:rFonts w:ascii="宋体" w:hAnsi="宋体" w:eastAsia="宋体" w:cs="宋体"/>
          <w:sz w:val="22"/>
          <w:szCs w:val="22"/>
          <w:highlight w:val="none"/>
        </w:rPr>
      </w:pPr>
      <w:r>
        <w:rPr>
          <w:rFonts w:ascii="Times New Roman" w:hAnsi="Times New Roman" w:eastAsia="Times New Roman" w:cs="Times New Roman"/>
          <w:spacing w:val="-8"/>
          <w:sz w:val="22"/>
          <w:szCs w:val="22"/>
          <w:highlight w:val="none"/>
        </w:rPr>
        <w:t>9.</w:t>
      </w:r>
      <w:r>
        <w:rPr>
          <w:rFonts w:ascii="Times New Roman" w:hAnsi="Times New Roman" w:eastAsia="Times New Roman" w:cs="Times New Roman"/>
          <w:spacing w:val="14"/>
          <w:sz w:val="22"/>
          <w:szCs w:val="22"/>
          <w:highlight w:val="none"/>
        </w:rPr>
        <w:t xml:space="preserve">  </w:t>
      </w:r>
      <w:r>
        <w:rPr>
          <w:rFonts w:ascii="宋体" w:hAnsi="宋体" w:eastAsia="宋体" w:cs="宋体"/>
          <w:spacing w:val="-8"/>
          <w:sz w:val="22"/>
          <w:szCs w:val="22"/>
          <w:highlight w:val="none"/>
        </w:rPr>
        <w:t>沟通和协调管理要点。</w:t>
      </w:r>
    </w:p>
    <w:p w14:paraId="3A5FF972">
      <w:pPr>
        <w:spacing w:before="149" w:line="219" w:lineRule="auto"/>
        <w:ind w:left="393"/>
        <w:rPr>
          <w:rFonts w:ascii="宋体" w:hAnsi="宋体" w:eastAsia="宋体" w:cs="宋体"/>
          <w:sz w:val="22"/>
          <w:szCs w:val="22"/>
          <w:highlight w:val="none"/>
        </w:rPr>
      </w:pPr>
      <w:r>
        <w:rPr>
          <w:rFonts w:ascii="Times New Roman" w:hAnsi="Times New Roman" w:eastAsia="Times New Roman" w:cs="Times New Roman"/>
          <w:spacing w:val="-11"/>
          <w:sz w:val="22"/>
          <w:szCs w:val="22"/>
          <w:highlight w:val="none"/>
        </w:rPr>
        <w:t>10.</w:t>
      </w:r>
      <w:r>
        <w:rPr>
          <w:rFonts w:ascii="Times New Roman" w:hAnsi="Times New Roman" w:eastAsia="Times New Roman" w:cs="Times New Roman"/>
          <w:spacing w:val="18"/>
          <w:sz w:val="22"/>
          <w:szCs w:val="22"/>
          <w:highlight w:val="none"/>
        </w:rPr>
        <w:t xml:space="preserve">  </w:t>
      </w:r>
      <w:r>
        <w:rPr>
          <w:rFonts w:ascii="宋体" w:hAnsi="宋体" w:eastAsia="宋体" w:cs="宋体"/>
          <w:spacing w:val="-11"/>
          <w:sz w:val="22"/>
          <w:szCs w:val="22"/>
          <w:highlight w:val="none"/>
        </w:rPr>
        <w:t>财务管理要点。</w:t>
      </w:r>
    </w:p>
    <w:p w14:paraId="4F7B5F43">
      <w:pPr>
        <w:spacing w:before="129" w:line="219" w:lineRule="auto"/>
        <w:ind w:left="393"/>
        <w:rPr>
          <w:rFonts w:ascii="宋体" w:hAnsi="宋体" w:eastAsia="宋体" w:cs="宋体"/>
          <w:sz w:val="22"/>
          <w:szCs w:val="22"/>
          <w:highlight w:val="none"/>
        </w:rPr>
      </w:pPr>
      <w:r>
        <w:rPr>
          <w:rFonts w:ascii="Times New Roman" w:hAnsi="Times New Roman" w:eastAsia="Times New Roman" w:cs="Times New Roman"/>
          <w:spacing w:val="-10"/>
          <w:sz w:val="22"/>
          <w:szCs w:val="22"/>
          <w:highlight w:val="none"/>
        </w:rPr>
        <w:t>11.</w:t>
      </w:r>
      <w:r>
        <w:rPr>
          <w:rFonts w:ascii="Times New Roman" w:hAnsi="Times New Roman" w:eastAsia="Times New Roman" w:cs="Times New Roman"/>
          <w:spacing w:val="12"/>
          <w:sz w:val="22"/>
          <w:szCs w:val="22"/>
          <w:highlight w:val="none"/>
        </w:rPr>
        <w:t xml:space="preserve">  </w:t>
      </w:r>
      <w:r>
        <w:rPr>
          <w:rFonts w:ascii="宋体" w:hAnsi="宋体" w:eastAsia="宋体" w:cs="宋体"/>
          <w:spacing w:val="-10"/>
          <w:sz w:val="22"/>
          <w:szCs w:val="22"/>
          <w:highlight w:val="none"/>
        </w:rPr>
        <w:t>风险管理要点。</w:t>
      </w:r>
    </w:p>
    <w:p w14:paraId="225842B8">
      <w:pPr>
        <w:spacing w:line="219" w:lineRule="auto"/>
        <w:rPr>
          <w:rFonts w:ascii="宋体" w:hAnsi="宋体" w:eastAsia="宋体" w:cs="宋体"/>
          <w:sz w:val="22"/>
          <w:szCs w:val="22"/>
          <w:highlight w:val="none"/>
        </w:rPr>
        <w:sectPr>
          <w:footerReference r:id="rId294" w:type="default"/>
          <w:pgSz w:w="11910" w:h="16840"/>
          <w:pgMar w:top="400" w:right="1786" w:bottom="1238" w:left="1786" w:header="0" w:footer="1006" w:gutter="0"/>
          <w:cols w:space="720" w:num="1"/>
        </w:sectPr>
      </w:pPr>
    </w:p>
    <w:p w14:paraId="425BDF20">
      <w:pPr>
        <w:pStyle w:val="2"/>
        <w:spacing w:line="255" w:lineRule="auto"/>
        <w:rPr>
          <w:highlight w:val="none"/>
        </w:rPr>
      </w:pPr>
    </w:p>
    <w:p w14:paraId="1217ED4D">
      <w:pPr>
        <w:pStyle w:val="2"/>
        <w:spacing w:line="255" w:lineRule="auto"/>
        <w:rPr>
          <w:highlight w:val="none"/>
        </w:rPr>
      </w:pPr>
    </w:p>
    <w:p w14:paraId="0CCD7D85">
      <w:pPr>
        <w:pStyle w:val="2"/>
        <w:spacing w:line="255" w:lineRule="auto"/>
        <w:rPr>
          <w:highlight w:val="none"/>
        </w:rPr>
      </w:pPr>
    </w:p>
    <w:p w14:paraId="1F7672CD">
      <w:pPr>
        <w:pStyle w:val="2"/>
        <w:spacing w:line="256" w:lineRule="auto"/>
        <w:rPr>
          <w:highlight w:val="none"/>
        </w:rPr>
      </w:pPr>
    </w:p>
    <w:p w14:paraId="6C8E0469">
      <w:pPr>
        <w:spacing w:before="71" w:line="219" w:lineRule="auto"/>
        <w:ind w:left="423"/>
        <w:rPr>
          <w:rFonts w:ascii="宋体" w:hAnsi="宋体" w:eastAsia="宋体" w:cs="宋体"/>
          <w:sz w:val="22"/>
          <w:szCs w:val="22"/>
          <w:highlight w:val="none"/>
        </w:rPr>
      </w:pPr>
      <w:bookmarkStart w:id="263" w:name="bookmark306"/>
      <w:bookmarkEnd w:id="263"/>
      <w:r>
        <w:rPr>
          <w:rFonts w:ascii="Times New Roman" w:hAnsi="Times New Roman" w:eastAsia="Times New Roman" w:cs="Times New Roman"/>
          <w:spacing w:val="-9"/>
          <w:sz w:val="22"/>
          <w:szCs w:val="22"/>
          <w:highlight w:val="none"/>
        </w:rPr>
        <w:t>12.</w:t>
      </w:r>
      <w:r>
        <w:rPr>
          <w:rFonts w:ascii="Times New Roman" w:hAnsi="Times New Roman" w:eastAsia="Times New Roman" w:cs="Times New Roman"/>
          <w:spacing w:val="19"/>
          <w:w w:val="101"/>
          <w:sz w:val="22"/>
          <w:szCs w:val="22"/>
          <w:highlight w:val="none"/>
        </w:rPr>
        <w:t xml:space="preserve">  </w:t>
      </w:r>
      <w:r>
        <w:rPr>
          <w:rFonts w:ascii="宋体" w:hAnsi="宋体" w:eastAsia="宋体" w:cs="宋体"/>
          <w:spacing w:val="-9"/>
          <w:sz w:val="22"/>
          <w:szCs w:val="22"/>
          <w:highlight w:val="none"/>
        </w:rPr>
        <w:t>文件及信息管理要点。</w:t>
      </w:r>
    </w:p>
    <w:p w14:paraId="3576CA93">
      <w:pPr>
        <w:spacing w:before="176" w:line="218" w:lineRule="auto"/>
        <w:ind w:left="423"/>
        <w:rPr>
          <w:rFonts w:ascii="宋体" w:hAnsi="宋体" w:eastAsia="宋体" w:cs="宋体"/>
          <w:sz w:val="20"/>
          <w:szCs w:val="20"/>
          <w:highlight w:val="none"/>
        </w:rPr>
      </w:pPr>
      <w:r>
        <w:rPr>
          <w:rFonts w:ascii="Times New Roman" w:hAnsi="Times New Roman" w:eastAsia="Times New Roman" w:cs="Times New Roman"/>
          <w:spacing w:val="1"/>
          <w:sz w:val="20"/>
          <w:szCs w:val="20"/>
          <w:highlight w:val="none"/>
        </w:rPr>
        <w:t xml:space="preserve">13.   </w:t>
      </w:r>
      <w:r>
        <w:rPr>
          <w:rFonts w:ascii="宋体" w:hAnsi="宋体" w:eastAsia="宋体" w:cs="宋体"/>
          <w:spacing w:val="1"/>
          <w:sz w:val="20"/>
          <w:szCs w:val="20"/>
          <w:highlight w:val="none"/>
        </w:rPr>
        <w:t>报告制度。</w:t>
      </w:r>
    </w:p>
    <w:p w14:paraId="7D71DD7A">
      <w:pPr>
        <w:spacing w:before="195" w:line="382" w:lineRule="auto"/>
        <w:ind w:left="3" w:firstLine="420"/>
        <w:rPr>
          <w:rFonts w:ascii="宋体" w:hAnsi="宋体" w:eastAsia="宋体" w:cs="宋体"/>
          <w:sz w:val="21"/>
          <w:szCs w:val="21"/>
          <w:highlight w:val="none"/>
        </w:rPr>
      </w:pPr>
      <w:r>
        <w:rPr>
          <w:rFonts w:ascii="宋体" w:hAnsi="宋体" w:eastAsia="宋体" w:cs="宋体"/>
          <w:sz w:val="21"/>
          <w:szCs w:val="21"/>
          <w:highlight w:val="none"/>
        </w:rPr>
        <w:t>二</w:t>
      </w:r>
      <w:r>
        <w:rPr>
          <w:rFonts w:ascii="宋体" w:hAnsi="宋体" w:eastAsia="宋体" w:cs="宋体"/>
          <w:spacing w:val="-48"/>
          <w:sz w:val="21"/>
          <w:szCs w:val="21"/>
          <w:highlight w:val="none"/>
        </w:rPr>
        <w:t xml:space="preserve"> </w:t>
      </w:r>
      <w:r>
        <w:rPr>
          <w:rFonts w:ascii="宋体" w:hAnsi="宋体" w:eastAsia="宋体" w:cs="宋体"/>
          <w:sz w:val="21"/>
          <w:szCs w:val="21"/>
          <w:highlight w:val="none"/>
        </w:rPr>
        <w:t>.实施计划除采用文字表述外可附下列图表，</w:t>
      </w:r>
      <w:r>
        <w:rPr>
          <w:rFonts w:ascii="宋体" w:hAnsi="宋体" w:eastAsia="宋体" w:cs="宋体"/>
          <w:spacing w:val="-1"/>
          <w:sz w:val="21"/>
          <w:szCs w:val="21"/>
          <w:highlight w:val="none"/>
        </w:rPr>
        <w:t>图表及格式要求附后。下述表格应按照</w:t>
      </w:r>
      <w:r>
        <w:rPr>
          <w:rFonts w:ascii="宋体" w:hAnsi="宋体" w:eastAsia="宋体" w:cs="宋体"/>
          <w:sz w:val="21"/>
          <w:szCs w:val="21"/>
          <w:highlight w:val="none"/>
        </w:rPr>
        <w:t xml:space="preserve"> </w:t>
      </w:r>
      <w:r>
        <w:rPr>
          <w:rFonts w:ascii="宋体" w:hAnsi="宋体" w:eastAsia="宋体" w:cs="宋体"/>
          <w:spacing w:val="-2"/>
          <w:sz w:val="21"/>
          <w:szCs w:val="21"/>
          <w:highlight w:val="none"/>
        </w:rPr>
        <w:t>章节内容，严格按给定的格式附在相应的章节中。</w:t>
      </w:r>
    </w:p>
    <w:p w14:paraId="771A37AC">
      <w:pPr>
        <w:spacing w:line="218" w:lineRule="auto"/>
        <w:ind w:left="623"/>
        <w:rPr>
          <w:rFonts w:ascii="宋体" w:hAnsi="宋体" w:eastAsia="宋体" w:cs="宋体"/>
          <w:sz w:val="20"/>
          <w:szCs w:val="20"/>
          <w:highlight w:val="none"/>
        </w:rPr>
      </w:pPr>
      <w:r>
        <w:rPr>
          <w:rFonts w:ascii="宋体" w:hAnsi="宋体" w:eastAsia="宋体" w:cs="宋体"/>
          <w:spacing w:val="14"/>
          <w:sz w:val="20"/>
          <w:szCs w:val="20"/>
          <w:highlight w:val="none"/>
        </w:rPr>
        <w:t>附表一</w:t>
      </w:r>
      <w:r>
        <w:rPr>
          <w:rFonts w:ascii="宋体" w:hAnsi="宋体" w:eastAsia="宋体" w:cs="宋体"/>
          <w:spacing w:val="48"/>
          <w:sz w:val="20"/>
          <w:szCs w:val="20"/>
          <w:highlight w:val="none"/>
        </w:rPr>
        <w:t xml:space="preserve"> </w:t>
      </w:r>
      <w:r>
        <w:rPr>
          <w:rFonts w:ascii="宋体" w:hAnsi="宋体" w:eastAsia="宋体" w:cs="宋体"/>
          <w:spacing w:val="14"/>
          <w:sz w:val="20"/>
          <w:szCs w:val="20"/>
          <w:highlight w:val="none"/>
        </w:rPr>
        <w:t>拟投入本项目的主要设备表</w:t>
      </w:r>
    </w:p>
    <w:p w14:paraId="1BEFBE3E">
      <w:pPr>
        <w:spacing w:before="154" w:line="219" w:lineRule="auto"/>
        <w:ind w:left="623"/>
        <w:rPr>
          <w:rFonts w:ascii="宋体" w:hAnsi="宋体" w:eastAsia="宋体" w:cs="宋体"/>
          <w:sz w:val="22"/>
          <w:szCs w:val="22"/>
          <w:highlight w:val="none"/>
        </w:rPr>
      </w:pPr>
      <w:r>
        <w:rPr>
          <w:rFonts w:ascii="宋体" w:hAnsi="宋体" w:eastAsia="宋体" w:cs="宋体"/>
          <w:spacing w:val="-5"/>
          <w:sz w:val="22"/>
          <w:szCs w:val="22"/>
          <w:highlight w:val="none"/>
        </w:rPr>
        <w:t>附表二 拟配备本工程的试验和检测仪器设</w:t>
      </w:r>
      <w:r>
        <w:rPr>
          <w:rFonts w:ascii="宋体" w:hAnsi="宋体" w:eastAsia="宋体" w:cs="宋体"/>
          <w:spacing w:val="-6"/>
          <w:sz w:val="22"/>
          <w:szCs w:val="22"/>
          <w:highlight w:val="none"/>
        </w:rPr>
        <w:t>备表</w:t>
      </w:r>
    </w:p>
    <w:p w14:paraId="5F7EBA6E">
      <w:pPr>
        <w:spacing w:before="159" w:line="219" w:lineRule="auto"/>
        <w:ind w:left="623"/>
        <w:rPr>
          <w:rFonts w:ascii="宋体" w:hAnsi="宋体" w:eastAsia="宋体" w:cs="宋体"/>
          <w:sz w:val="22"/>
          <w:szCs w:val="22"/>
          <w:highlight w:val="none"/>
        </w:rPr>
      </w:pPr>
      <w:r>
        <w:rPr>
          <w:rFonts w:ascii="宋体" w:hAnsi="宋体" w:eastAsia="宋体" w:cs="宋体"/>
          <w:spacing w:val="-7"/>
          <w:sz w:val="22"/>
          <w:szCs w:val="22"/>
          <w:highlight w:val="none"/>
        </w:rPr>
        <w:t>附表三</w:t>
      </w:r>
      <w:r>
        <w:rPr>
          <w:rFonts w:ascii="宋体" w:hAnsi="宋体" w:eastAsia="宋体" w:cs="宋体"/>
          <w:spacing w:val="78"/>
          <w:sz w:val="22"/>
          <w:szCs w:val="22"/>
          <w:highlight w:val="none"/>
        </w:rPr>
        <w:t xml:space="preserve"> </w:t>
      </w:r>
      <w:r>
        <w:rPr>
          <w:rFonts w:ascii="宋体" w:hAnsi="宋体" w:eastAsia="宋体" w:cs="宋体"/>
          <w:spacing w:val="-7"/>
          <w:sz w:val="22"/>
          <w:szCs w:val="22"/>
          <w:highlight w:val="none"/>
        </w:rPr>
        <w:t>劳动力计划表</w:t>
      </w:r>
    </w:p>
    <w:p w14:paraId="2BE475BD">
      <w:pPr>
        <w:spacing w:before="169" w:line="219" w:lineRule="auto"/>
        <w:ind w:left="623"/>
        <w:rPr>
          <w:rFonts w:ascii="宋体" w:hAnsi="宋体" w:eastAsia="宋体" w:cs="宋体"/>
          <w:sz w:val="22"/>
          <w:szCs w:val="22"/>
          <w:highlight w:val="none"/>
        </w:rPr>
      </w:pPr>
      <w:r>
        <w:rPr>
          <w:rFonts w:ascii="宋体" w:hAnsi="宋体" w:eastAsia="宋体" w:cs="宋体"/>
          <w:spacing w:val="-8"/>
          <w:sz w:val="22"/>
          <w:szCs w:val="22"/>
          <w:highlight w:val="none"/>
        </w:rPr>
        <w:t>附表四</w:t>
      </w:r>
      <w:r>
        <w:rPr>
          <w:rFonts w:ascii="宋体" w:hAnsi="宋体" w:eastAsia="宋体" w:cs="宋体"/>
          <w:spacing w:val="86"/>
          <w:sz w:val="22"/>
          <w:szCs w:val="22"/>
          <w:highlight w:val="none"/>
        </w:rPr>
        <w:t xml:space="preserve"> </w:t>
      </w:r>
      <w:r>
        <w:rPr>
          <w:rFonts w:ascii="宋体" w:hAnsi="宋体" w:eastAsia="宋体" w:cs="宋体"/>
          <w:spacing w:val="-8"/>
          <w:sz w:val="22"/>
          <w:szCs w:val="22"/>
          <w:highlight w:val="none"/>
        </w:rPr>
        <w:t>计划开、竣工日期和施工进度网络图</w:t>
      </w:r>
    </w:p>
    <w:p w14:paraId="104162EB">
      <w:pPr>
        <w:spacing w:before="159" w:line="219" w:lineRule="auto"/>
        <w:ind w:left="623"/>
        <w:rPr>
          <w:rFonts w:ascii="宋体" w:hAnsi="宋体" w:eastAsia="宋体" w:cs="宋体"/>
          <w:sz w:val="22"/>
          <w:szCs w:val="22"/>
          <w:highlight w:val="none"/>
        </w:rPr>
      </w:pPr>
      <w:r>
        <w:rPr>
          <w:rFonts w:ascii="宋体" w:hAnsi="宋体" w:eastAsia="宋体" w:cs="宋体"/>
          <w:spacing w:val="-6"/>
          <w:sz w:val="22"/>
          <w:szCs w:val="22"/>
          <w:highlight w:val="none"/>
        </w:rPr>
        <w:t>附表五</w:t>
      </w:r>
      <w:r>
        <w:rPr>
          <w:rFonts w:ascii="宋体" w:hAnsi="宋体" w:eastAsia="宋体" w:cs="宋体"/>
          <w:spacing w:val="76"/>
          <w:sz w:val="22"/>
          <w:szCs w:val="22"/>
          <w:highlight w:val="none"/>
        </w:rPr>
        <w:t xml:space="preserve"> </w:t>
      </w:r>
      <w:r>
        <w:rPr>
          <w:rFonts w:ascii="宋体" w:hAnsi="宋体" w:eastAsia="宋体" w:cs="宋体"/>
          <w:spacing w:val="-6"/>
          <w:sz w:val="22"/>
          <w:szCs w:val="22"/>
          <w:highlight w:val="none"/>
        </w:rPr>
        <w:t>施工总平面图</w:t>
      </w:r>
    </w:p>
    <w:p w14:paraId="7FF7AD0C">
      <w:pPr>
        <w:spacing w:before="159" w:line="219" w:lineRule="auto"/>
        <w:ind w:left="623"/>
        <w:rPr>
          <w:rFonts w:ascii="宋体" w:hAnsi="宋体" w:eastAsia="宋体" w:cs="宋体"/>
          <w:sz w:val="22"/>
          <w:szCs w:val="22"/>
          <w:highlight w:val="none"/>
        </w:rPr>
      </w:pPr>
      <w:r>
        <w:rPr>
          <w:rFonts w:ascii="宋体" w:hAnsi="宋体" w:eastAsia="宋体" w:cs="宋体"/>
          <w:spacing w:val="-6"/>
          <w:sz w:val="22"/>
          <w:szCs w:val="22"/>
          <w:highlight w:val="none"/>
        </w:rPr>
        <w:t>附表六</w:t>
      </w:r>
      <w:r>
        <w:rPr>
          <w:rFonts w:ascii="宋体" w:hAnsi="宋体" w:eastAsia="宋体" w:cs="宋体"/>
          <w:spacing w:val="90"/>
          <w:sz w:val="22"/>
          <w:szCs w:val="22"/>
          <w:highlight w:val="none"/>
        </w:rPr>
        <w:t xml:space="preserve"> </w:t>
      </w:r>
      <w:r>
        <w:rPr>
          <w:rFonts w:ascii="宋体" w:hAnsi="宋体" w:eastAsia="宋体" w:cs="宋体"/>
          <w:spacing w:val="-6"/>
          <w:sz w:val="22"/>
          <w:szCs w:val="22"/>
          <w:highlight w:val="none"/>
        </w:rPr>
        <w:t>临时用地表</w:t>
      </w:r>
    </w:p>
    <w:p w14:paraId="0B018C91">
      <w:pPr>
        <w:pStyle w:val="2"/>
        <w:spacing w:line="268" w:lineRule="auto"/>
        <w:rPr>
          <w:highlight w:val="none"/>
        </w:rPr>
      </w:pPr>
    </w:p>
    <w:p w14:paraId="4D82A7F0">
      <w:pPr>
        <w:pStyle w:val="2"/>
        <w:spacing w:line="269" w:lineRule="auto"/>
        <w:rPr>
          <w:highlight w:val="none"/>
        </w:rPr>
      </w:pPr>
    </w:p>
    <w:p w14:paraId="4BE4B920">
      <w:pPr>
        <w:pStyle w:val="2"/>
        <w:spacing w:line="269" w:lineRule="auto"/>
        <w:rPr>
          <w:highlight w:val="none"/>
        </w:rPr>
      </w:pPr>
    </w:p>
    <w:p w14:paraId="0D550E44">
      <w:pPr>
        <w:spacing w:before="68" w:line="362" w:lineRule="auto"/>
        <w:ind w:left="3" w:right="16"/>
        <w:rPr>
          <w:rFonts w:ascii="宋体" w:hAnsi="宋体" w:eastAsia="宋体" w:cs="宋体"/>
          <w:sz w:val="21"/>
          <w:szCs w:val="21"/>
          <w:highlight w:val="none"/>
        </w:rPr>
      </w:pPr>
      <w:r>
        <w:rPr>
          <w:rFonts w:ascii="宋体" w:hAnsi="宋体" w:eastAsia="宋体" w:cs="宋体"/>
          <w:spacing w:val="-2"/>
          <w:sz w:val="21"/>
          <w:szCs w:val="21"/>
          <w:highlight w:val="none"/>
        </w:rPr>
        <w:t>说明：发包人认为上述内容应列入承包人建议书的，应在“投标文件格式”中“承包人</w:t>
      </w:r>
      <w:r>
        <w:rPr>
          <w:rFonts w:ascii="宋体" w:hAnsi="宋体" w:eastAsia="宋体" w:cs="宋体"/>
          <w:spacing w:val="-3"/>
          <w:sz w:val="21"/>
          <w:szCs w:val="21"/>
          <w:highlight w:val="none"/>
        </w:rPr>
        <w:t>建议</w:t>
      </w:r>
      <w:r>
        <w:rPr>
          <w:rFonts w:ascii="宋体" w:hAnsi="宋体" w:eastAsia="宋体" w:cs="宋体"/>
          <w:sz w:val="21"/>
          <w:szCs w:val="21"/>
          <w:highlight w:val="none"/>
        </w:rPr>
        <w:t xml:space="preserve"> </w:t>
      </w:r>
      <w:r>
        <w:rPr>
          <w:rFonts w:ascii="宋体" w:hAnsi="宋体" w:eastAsia="宋体" w:cs="宋体"/>
          <w:spacing w:val="-6"/>
          <w:sz w:val="21"/>
          <w:szCs w:val="21"/>
          <w:highlight w:val="none"/>
        </w:rPr>
        <w:t>书”中载明。</w:t>
      </w:r>
    </w:p>
    <w:p w14:paraId="5F8645C0">
      <w:pPr>
        <w:spacing w:line="362" w:lineRule="auto"/>
        <w:rPr>
          <w:rFonts w:ascii="宋体" w:hAnsi="宋体" w:eastAsia="宋体" w:cs="宋体"/>
          <w:sz w:val="21"/>
          <w:szCs w:val="21"/>
          <w:highlight w:val="none"/>
        </w:rPr>
        <w:sectPr>
          <w:footerReference r:id="rId295" w:type="default"/>
          <w:pgSz w:w="11910" w:h="16840"/>
          <w:pgMar w:top="400" w:right="1783" w:bottom="1217" w:left="1786" w:header="0" w:footer="1013" w:gutter="0"/>
          <w:cols w:space="720" w:num="1"/>
        </w:sectPr>
      </w:pPr>
    </w:p>
    <w:p w14:paraId="443D544F">
      <w:pPr>
        <w:pStyle w:val="2"/>
        <w:spacing w:line="264" w:lineRule="auto"/>
        <w:rPr>
          <w:highlight w:val="none"/>
        </w:rPr>
      </w:pPr>
    </w:p>
    <w:p w14:paraId="1BA8F606">
      <w:pPr>
        <w:pStyle w:val="2"/>
        <w:spacing w:line="264" w:lineRule="auto"/>
        <w:rPr>
          <w:highlight w:val="none"/>
        </w:rPr>
      </w:pPr>
    </w:p>
    <w:p w14:paraId="0295E803">
      <w:pPr>
        <w:pStyle w:val="2"/>
        <w:spacing w:line="264" w:lineRule="auto"/>
        <w:rPr>
          <w:highlight w:val="none"/>
        </w:rPr>
      </w:pPr>
    </w:p>
    <w:p w14:paraId="582914BC">
      <w:pPr>
        <w:pStyle w:val="2"/>
        <w:spacing w:line="264" w:lineRule="auto"/>
        <w:rPr>
          <w:highlight w:val="none"/>
        </w:rPr>
      </w:pPr>
    </w:p>
    <w:p w14:paraId="12B10FB3">
      <w:pPr>
        <w:pStyle w:val="2"/>
        <w:spacing w:line="264" w:lineRule="auto"/>
        <w:rPr>
          <w:highlight w:val="none"/>
        </w:rPr>
      </w:pPr>
    </w:p>
    <w:p w14:paraId="5047D37D">
      <w:pPr>
        <w:pStyle w:val="2"/>
        <w:spacing w:line="265" w:lineRule="auto"/>
        <w:rPr>
          <w:highlight w:val="none"/>
        </w:rPr>
      </w:pPr>
    </w:p>
    <w:p w14:paraId="2A1C56A3">
      <w:pPr>
        <w:pStyle w:val="2"/>
        <w:spacing w:line="265" w:lineRule="auto"/>
        <w:rPr>
          <w:highlight w:val="none"/>
        </w:rPr>
      </w:pPr>
    </w:p>
    <w:p w14:paraId="305FED19">
      <w:pPr>
        <w:spacing w:before="65" w:line="219" w:lineRule="auto"/>
        <w:ind w:left="224"/>
        <w:rPr>
          <w:rFonts w:ascii="宋体" w:hAnsi="宋体" w:eastAsia="宋体" w:cs="宋体"/>
          <w:sz w:val="20"/>
          <w:szCs w:val="20"/>
          <w:highlight w:val="none"/>
        </w:rPr>
      </w:pPr>
      <w:bookmarkStart w:id="264" w:name="bookmark307"/>
      <w:bookmarkEnd w:id="264"/>
      <w:r>
        <w:rPr>
          <w:rFonts w:ascii="宋体" w:hAnsi="宋体" w:eastAsia="宋体" w:cs="宋体"/>
          <w:spacing w:val="9"/>
          <w:sz w:val="20"/>
          <w:szCs w:val="20"/>
          <w:highlight w:val="none"/>
        </w:rPr>
        <w:t>附表一：拟投入本项目的主要设备表</w:t>
      </w:r>
    </w:p>
    <w:p w14:paraId="2A3728C8">
      <w:pPr>
        <w:spacing w:line="80" w:lineRule="exact"/>
        <w:rPr>
          <w:highlight w:val="none"/>
        </w:rPr>
      </w:pPr>
    </w:p>
    <w:tbl>
      <w:tblPr>
        <w:tblStyle w:val="5"/>
        <w:tblW w:w="95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1179"/>
        <w:gridCol w:w="829"/>
        <w:gridCol w:w="1079"/>
        <w:gridCol w:w="719"/>
        <w:gridCol w:w="809"/>
        <w:gridCol w:w="1319"/>
        <w:gridCol w:w="959"/>
        <w:gridCol w:w="1159"/>
        <w:gridCol w:w="754"/>
      </w:tblGrid>
      <w:tr w14:paraId="5ADD1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724" w:type="dxa"/>
            <w:vAlign w:val="top"/>
          </w:tcPr>
          <w:p w14:paraId="5A0FE2A5">
            <w:pPr>
              <w:pStyle w:val="6"/>
              <w:spacing w:before="265" w:line="221" w:lineRule="auto"/>
              <w:ind w:left="135"/>
              <w:rPr>
                <w:sz w:val="22"/>
                <w:szCs w:val="22"/>
                <w:highlight w:val="none"/>
              </w:rPr>
            </w:pPr>
            <w:r>
              <w:rPr>
                <w:spacing w:val="6"/>
                <w:sz w:val="22"/>
                <w:szCs w:val="22"/>
                <w:highlight w:val="none"/>
              </w:rPr>
              <w:t>序号</w:t>
            </w:r>
          </w:p>
        </w:tc>
        <w:tc>
          <w:tcPr>
            <w:tcW w:w="1179" w:type="dxa"/>
            <w:vAlign w:val="top"/>
          </w:tcPr>
          <w:p w14:paraId="4E715349">
            <w:pPr>
              <w:pStyle w:val="6"/>
              <w:spacing w:before="265" w:line="221" w:lineRule="auto"/>
              <w:ind w:left="181"/>
              <w:rPr>
                <w:sz w:val="22"/>
                <w:szCs w:val="22"/>
                <w:highlight w:val="none"/>
              </w:rPr>
            </w:pPr>
            <w:r>
              <w:rPr>
                <w:spacing w:val="2"/>
                <w:sz w:val="22"/>
                <w:szCs w:val="22"/>
                <w:highlight w:val="none"/>
              </w:rPr>
              <w:t>设备名称</w:t>
            </w:r>
          </w:p>
        </w:tc>
        <w:tc>
          <w:tcPr>
            <w:tcW w:w="829" w:type="dxa"/>
            <w:vAlign w:val="top"/>
          </w:tcPr>
          <w:p w14:paraId="61EEA54F">
            <w:pPr>
              <w:pStyle w:val="6"/>
              <w:spacing w:before="106" w:line="259" w:lineRule="auto"/>
              <w:ind w:left="181" w:right="183"/>
              <w:rPr>
                <w:sz w:val="22"/>
                <w:szCs w:val="22"/>
                <w:highlight w:val="none"/>
              </w:rPr>
            </w:pPr>
            <w:r>
              <w:rPr>
                <w:spacing w:val="6"/>
                <w:sz w:val="22"/>
                <w:szCs w:val="22"/>
                <w:highlight w:val="none"/>
              </w:rPr>
              <w:t>型号</w:t>
            </w:r>
            <w:r>
              <w:rPr>
                <w:sz w:val="22"/>
                <w:szCs w:val="22"/>
                <w:highlight w:val="none"/>
              </w:rPr>
              <w:t xml:space="preserve"> </w:t>
            </w:r>
            <w:r>
              <w:rPr>
                <w:spacing w:val="-3"/>
                <w:sz w:val="22"/>
                <w:szCs w:val="22"/>
                <w:highlight w:val="none"/>
              </w:rPr>
              <w:t>规格</w:t>
            </w:r>
          </w:p>
        </w:tc>
        <w:tc>
          <w:tcPr>
            <w:tcW w:w="1079" w:type="dxa"/>
            <w:vAlign w:val="top"/>
          </w:tcPr>
          <w:p w14:paraId="1751712B">
            <w:pPr>
              <w:pStyle w:val="6"/>
              <w:spacing w:before="264" w:line="219" w:lineRule="auto"/>
              <w:ind w:left="323"/>
              <w:rPr>
                <w:sz w:val="22"/>
                <w:szCs w:val="22"/>
                <w:highlight w:val="none"/>
              </w:rPr>
            </w:pPr>
            <w:r>
              <w:rPr>
                <w:spacing w:val="-3"/>
                <w:sz w:val="22"/>
                <w:szCs w:val="22"/>
                <w:highlight w:val="none"/>
              </w:rPr>
              <w:t>数量</w:t>
            </w:r>
          </w:p>
        </w:tc>
        <w:tc>
          <w:tcPr>
            <w:tcW w:w="719" w:type="dxa"/>
            <w:vAlign w:val="top"/>
          </w:tcPr>
          <w:p w14:paraId="049B92F4">
            <w:pPr>
              <w:pStyle w:val="6"/>
              <w:spacing w:before="113" w:line="256" w:lineRule="auto"/>
              <w:ind w:left="134" w:right="116"/>
              <w:rPr>
                <w:sz w:val="22"/>
                <w:szCs w:val="22"/>
                <w:highlight w:val="none"/>
              </w:rPr>
            </w:pPr>
            <w:r>
              <w:rPr>
                <w:spacing w:val="9"/>
                <w:sz w:val="22"/>
                <w:szCs w:val="22"/>
                <w:highlight w:val="none"/>
              </w:rPr>
              <w:t>国别</w:t>
            </w:r>
            <w:r>
              <w:rPr>
                <w:sz w:val="22"/>
                <w:szCs w:val="22"/>
                <w:highlight w:val="none"/>
              </w:rPr>
              <w:t xml:space="preserve"> </w:t>
            </w:r>
            <w:r>
              <w:rPr>
                <w:spacing w:val="-3"/>
                <w:sz w:val="22"/>
                <w:szCs w:val="22"/>
                <w:highlight w:val="none"/>
              </w:rPr>
              <w:t>产地</w:t>
            </w:r>
          </w:p>
        </w:tc>
        <w:tc>
          <w:tcPr>
            <w:tcW w:w="809" w:type="dxa"/>
            <w:vAlign w:val="top"/>
          </w:tcPr>
          <w:p w14:paraId="3F1C2DE2">
            <w:pPr>
              <w:pStyle w:val="6"/>
              <w:spacing w:before="114" w:line="220" w:lineRule="auto"/>
              <w:ind w:left="175"/>
              <w:rPr>
                <w:sz w:val="22"/>
                <w:szCs w:val="22"/>
                <w:highlight w:val="none"/>
              </w:rPr>
            </w:pPr>
            <w:r>
              <w:rPr>
                <w:spacing w:val="-3"/>
                <w:sz w:val="22"/>
                <w:szCs w:val="22"/>
                <w:highlight w:val="none"/>
              </w:rPr>
              <w:t>制造</w:t>
            </w:r>
          </w:p>
          <w:p w14:paraId="0F2F5249">
            <w:pPr>
              <w:pStyle w:val="6"/>
              <w:spacing w:before="117" w:line="193" w:lineRule="auto"/>
              <w:ind w:left="175"/>
              <w:rPr>
                <w:sz w:val="22"/>
                <w:szCs w:val="22"/>
                <w:highlight w:val="none"/>
              </w:rPr>
            </w:pPr>
            <w:r>
              <w:rPr>
                <w:spacing w:val="-3"/>
                <w:sz w:val="22"/>
                <w:szCs w:val="22"/>
                <w:highlight w:val="none"/>
              </w:rPr>
              <w:t>年份</w:t>
            </w:r>
          </w:p>
        </w:tc>
        <w:tc>
          <w:tcPr>
            <w:tcW w:w="1319" w:type="dxa"/>
            <w:vAlign w:val="top"/>
          </w:tcPr>
          <w:p w14:paraId="3BF1D5CD">
            <w:pPr>
              <w:pStyle w:val="6"/>
              <w:spacing w:before="124" w:line="219" w:lineRule="auto"/>
              <w:ind w:left="216"/>
              <w:rPr>
                <w:sz w:val="22"/>
                <w:szCs w:val="22"/>
                <w:highlight w:val="none"/>
              </w:rPr>
            </w:pPr>
            <w:r>
              <w:rPr>
                <w:spacing w:val="-2"/>
                <w:sz w:val="22"/>
                <w:szCs w:val="22"/>
                <w:highlight w:val="none"/>
              </w:rPr>
              <w:t>额定功率</w:t>
            </w:r>
          </w:p>
          <w:p w14:paraId="2F2FF4AF">
            <w:pPr>
              <w:pStyle w:val="6"/>
              <w:spacing w:before="112" w:line="190" w:lineRule="auto"/>
              <w:ind w:left="436"/>
              <w:rPr>
                <w:sz w:val="22"/>
                <w:szCs w:val="22"/>
                <w:highlight w:val="none"/>
              </w:rPr>
            </w:pPr>
            <w:r>
              <w:rPr>
                <w:spacing w:val="-9"/>
                <w:sz w:val="22"/>
                <w:szCs w:val="22"/>
                <w:highlight w:val="none"/>
              </w:rPr>
              <w:t>(KW)</w:t>
            </w:r>
          </w:p>
        </w:tc>
        <w:tc>
          <w:tcPr>
            <w:tcW w:w="959" w:type="dxa"/>
            <w:vAlign w:val="top"/>
          </w:tcPr>
          <w:p w14:paraId="0A80F59F">
            <w:pPr>
              <w:pStyle w:val="6"/>
              <w:spacing w:before="114" w:line="219" w:lineRule="auto"/>
              <w:ind w:left="257"/>
              <w:rPr>
                <w:sz w:val="22"/>
                <w:szCs w:val="22"/>
                <w:highlight w:val="none"/>
              </w:rPr>
            </w:pPr>
            <w:r>
              <w:rPr>
                <w:spacing w:val="6"/>
                <w:sz w:val="22"/>
                <w:szCs w:val="22"/>
                <w:highlight w:val="none"/>
              </w:rPr>
              <w:t>生产</w:t>
            </w:r>
          </w:p>
          <w:p w14:paraId="31E5852D">
            <w:pPr>
              <w:pStyle w:val="6"/>
              <w:spacing w:before="118" w:line="193" w:lineRule="auto"/>
              <w:ind w:left="257"/>
              <w:rPr>
                <w:sz w:val="22"/>
                <w:szCs w:val="22"/>
                <w:highlight w:val="none"/>
              </w:rPr>
            </w:pPr>
            <w:r>
              <w:rPr>
                <w:spacing w:val="9"/>
                <w:sz w:val="22"/>
                <w:szCs w:val="22"/>
                <w:highlight w:val="none"/>
              </w:rPr>
              <w:t>能力</w:t>
            </w:r>
          </w:p>
        </w:tc>
        <w:tc>
          <w:tcPr>
            <w:tcW w:w="1159" w:type="dxa"/>
            <w:vAlign w:val="top"/>
          </w:tcPr>
          <w:p w14:paraId="162A8D3F">
            <w:pPr>
              <w:pStyle w:val="6"/>
              <w:spacing w:before="106" w:line="259" w:lineRule="auto"/>
              <w:ind w:left="357" w:right="118" w:hanging="219"/>
              <w:rPr>
                <w:sz w:val="22"/>
                <w:szCs w:val="22"/>
                <w:highlight w:val="none"/>
              </w:rPr>
            </w:pPr>
            <w:r>
              <w:rPr>
                <w:spacing w:val="3"/>
                <w:sz w:val="22"/>
                <w:szCs w:val="22"/>
                <w:highlight w:val="none"/>
              </w:rPr>
              <w:t>用于施工</w:t>
            </w:r>
            <w:r>
              <w:rPr>
                <w:sz w:val="22"/>
                <w:szCs w:val="22"/>
                <w:highlight w:val="none"/>
              </w:rPr>
              <w:t xml:space="preserve"> </w:t>
            </w:r>
            <w:r>
              <w:rPr>
                <w:spacing w:val="-3"/>
                <w:sz w:val="22"/>
                <w:szCs w:val="22"/>
                <w:highlight w:val="none"/>
              </w:rPr>
              <w:t>部位</w:t>
            </w:r>
          </w:p>
        </w:tc>
        <w:tc>
          <w:tcPr>
            <w:tcW w:w="754" w:type="dxa"/>
            <w:vAlign w:val="top"/>
          </w:tcPr>
          <w:p w14:paraId="60FB13D1">
            <w:pPr>
              <w:pStyle w:val="6"/>
              <w:spacing w:before="265" w:line="221" w:lineRule="auto"/>
              <w:ind w:left="179"/>
              <w:rPr>
                <w:sz w:val="22"/>
                <w:szCs w:val="22"/>
                <w:highlight w:val="none"/>
              </w:rPr>
            </w:pPr>
            <w:r>
              <w:rPr>
                <w:spacing w:val="5"/>
                <w:sz w:val="22"/>
                <w:szCs w:val="22"/>
                <w:highlight w:val="none"/>
              </w:rPr>
              <w:t>备注</w:t>
            </w:r>
          </w:p>
        </w:tc>
      </w:tr>
      <w:tr w14:paraId="16A0D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24" w:type="dxa"/>
            <w:vAlign w:val="top"/>
          </w:tcPr>
          <w:p w14:paraId="0863D8FE">
            <w:pPr>
              <w:rPr>
                <w:rFonts w:ascii="Arial"/>
                <w:sz w:val="21"/>
                <w:highlight w:val="none"/>
              </w:rPr>
            </w:pPr>
          </w:p>
        </w:tc>
        <w:tc>
          <w:tcPr>
            <w:tcW w:w="1179" w:type="dxa"/>
            <w:vAlign w:val="top"/>
          </w:tcPr>
          <w:p w14:paraId="79A77C78">
            <w:pPr>
              <w:rPr>
                <w:rFonts w:ascii="Arial"/>
                <w:sz w:val="21"/>
                <w:highlight w:val="none"/>
              </w:rPr>
            </w:pPr>
          </w:p>
        </w:tc>
        <w:tc>
          <w:tcPr>
            <w:tcW w:w="829" w:type="dxa"/>
            <w:vAlign w:val="top"/>
          </w:tcPr>
          <w:p w14:paraId="10E33B99">
            <w:pPr>
              <w:rPr>
                <w:rFonts w:ascii="Arial"/>
                <w:sz w:val="21"/>
                <w:highlight w:val="none"/>
              </w:rPr>
            </w:pPr>
          </w:p>
        </w:tc>
        <w:tc>
          <w:tcPr>
            <w:tcW w:w="1079" w:type="dxa"/>
            <w:vAlign w:val="top"/>
          </w:tcPr>
          <w:p w14:paraId="0C18BF8D">
            <w:pPr>
              <w:rPr>
                <w:rFonts w:ascii="Arial"/>
                <w:sz w:val="21"/>
                <w:highlight w:val="none"/>
              </w:rPr>
            </w:pPr>
          </w:p>
        </w:tc>
        <w:tc>
          <w:tcPr>
            <w:tcW w:w="719" w:type="dxa"/>
            <w:vAlign w:val="top"/>
          </w:tcPr>
          <w:p w14:paraId="44CD76AB">
            <w:pPr>
              <w:rPr>
                <w:rFonts w:ascii="Arial"/>
                <w:sz w:val="21"/>
                <w:highlight w:val="none"/>
              </w:rPr>
            </w:pPr>
          </w:p>
        </w:tc>
        <w:tc>
          <w:tcPr>
            <w:tcW w:w="809" w:type="dxa"/>
            <w:vAlign w:val="top"/>
          </w:tcPr>
          <w:p w14:paraId="798AAF47">
            <w:pPr>
              <w:rPr>
                <w:rFonts w:ascii="Arial"/>
                <w:sz w:val="21"/>
                <w:highlight w:val="none"/>
              </w:rPr>
            </w:pPr>
          </w:p>
        </w:tc>
        <w:tc>
          <w:tcPr>
            <w:tcW w:w="1319" w:type="dxa"/>
            <w:vAlign w:val="top"/>
          </w:tcPr>
          <w:p w14:paraId="7BB5C053">
            <w:pPr>
              <w:rPr>
                <w:rFonts w:ascii="Arial"/>
                <w:sz w:val="21"/>
                <w:highlight w:val="none"/>
              </w:rPr>
            </w:pPr>
          </w:p>
        </w:tc>
        <w:tc>
          <w:tcPr>
            <w:tcW w:w="959" w:type="dxa"/>
            <w:vAlign w:val="top"/>
          </w:tcPr>
          <w:p w14:paraId="69D2696C">
            <w:pPr>
              <w:rPr>
                <w:rFonts w:ascii="Arial"/>
                <w:sz w:val="21"/>
                <w:highlight w:val="none"/>
              </w:rPr>
            </w:pPr>
          </w:p>
        </w:tc>
        <w:tc>
          <w:tcPr>
            <w:tcW w:w="1159" w:type="dxa"/>
            <w:vAlign w:val="top"/>
          </w:tcPr>
          <w:p w14:paraId="3E21BB59">
            <w:pPr>
              <w:rPr>
                <w:rFonts w:ascii="Arial"/>
                <w:sz w:val="21"/>
                <w:highlight w:val="none"/>
              </w:rPr>
            </w:pPr>
          </w:p>
        </w:tc>
        <w:tc>
          <w:tcPr>
            <w:tcW w:w="754" w:type="dxa"/>
            <w:vAlign w:val="top"/>
          </w:tcPr>
          <w:p w14:paraId="3C60C80A">
            <w:pPr>
              <w:rPr>
                <w:rFonts w:ascii="Arial"/>
                <w:sz w:val="21"/>
                <w:highlight w:val="none"/>
              </w:rPr>
            </w:pPr>
          </w:p>
        </w:tc>
      </w:tr>
      <w:tr w14:paraId="1D891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24" w:type="dxa"/>
            <w:vAlign w:val="top"/>
          </w:tcPr>
          <w:p w14:paraId="6E04407A">
            <w:pPr>
              <w:rPr>
                <w:rFonts w:ascii="Arial"/>
                <w:sz w:val="21"/>
                <w:highlight w:val="none"/>
              </w:rPr>
            </w:pPr>
          </w:p>
        </w:tc>
        <w:tc>
          <w:tcPr>
            <w:tcW w:w="1179" w:type="dxa"/>
            <w:vAlign w:val="top"/>
          </w:tcPr>
          <w:p w14:paraId="313460CF">
            <w:pPr>
              <w:rPr>
                <w:rFonts w:ascii="Arial"/>
                <w:sz w:val="21"/>
                <w:highlight w:val="none"/>
              </w:rPr>
            </w:pPr>
          </w:p>
        </w:tc>
        <w:tc>
          <w:tcPr>
            <w:tcW w:w="829" w:type="dxa"/>
            <w:vAlign w:val="top"/>
          </w:tcPr>
          <w:p w14:paraId="277A3E72">
            <w:pPr>
              <w:rPr>
                <w:rFonts w:ascii="Arial"/>
                <w:sz w:val="21"/>
                <w:highlight w:val="none"/>
              </w:rPr>
            </w:pPr>
          </w:p>
        </w:tc>
        <w:tc>
          <w:tcPr>
            <w:tcW w:w="1079" w:type="dxa"/>
            <w:vAlign w:val="top"/>
          </w:tcPr>
          <w:p w14:paraId="3CD4E251">
            <w:pPr>
              <w:rPr>
                <w:rFonts w:ascii="Arial"/>
                <w:sz w:val="21"/>
                <w:highlight w:val="none"/>
              </w:rPr>
            </w:pPr>
          </w:p>
        </w:tc>
        <w:tc>
          <w:tcPr>
            <w:tcW w:w="719" w:type="dxa"/>
            <w:vAlign w:val="top"/>
          </w:tcPr>
          <w:p w14:paraId="783D63F6">
            <w:pPr>
              <w:rPr>
                <w:rFonts w:ascii="Arial"/>
                <w:sz w:val="21"/>
                <w:highlight w:val="none"/>
              </w:rPr>
            </w:pPr>
          </w:p>
        </w:tc>
        <w:tc>
          <w:tcPr>
            <w:tcW w:w="809" w:type="dxa"/>
            <w:vAlign w:val="top"/>
          </w:tcPr>
          <w:p w14:paraId="4FA73E0A">
            <w:pPr>
              <w:rPr>
                <w:rFonts w:ascii="Arial"/>
                <w:sz w:val="21"/>
                <w:highlight w:val="none"/>
              </w:rPr>
            </w:pPr>
          </w:p>
        </w:tc>
        <w:tc>
          <w:tcPr>
            <w:tcW w:w="1319" w:type="dxa"/>
            <w:vAlign w:val="top"/>
          </w:tcPr>
          <w:p w14:paraId="1CF2DBFD">
            <w:pPr>
              <w:rPr>
                <w:rFonts w:ascii="Arial"/>
                <w:sz w:val="21"/>
                <w:highlight w:val="none"/>
              </w:rPr>
            </w:pPr>
          </w:p>
        </w:tc>
        <w:tc>
          <w:tcPr>
            <w:tcW w:w="959" w:type="dxa"/>
            <w:vAlign w:val="top"/>
          </w:tcPr>
          <w:p w14:paraId="1D804486">
            <w:pPr>
              <w:rPr>
                <w:rFonts w:ascii="Arial"/>
                <w:sz w:val="21"/>
                <w:highlight w:val="none"/>
              </w:rPr>
            </w:pPr>
          </w:p>
        </w:tc>
        <w:tc>
          <w:tcPr>
            <w:tcW w:w="1159" w:type="dxa"/>
            <w:vAlign w:val="top"/>
          </w:tcPr>
          <w:p w14:paraId="32474479">
            <w:pPr>
              <w:rPr>
                <w:rFonts w:ascii="Arial"/>
                <w:sz w:val="21"/>
                <w:highlight w:val="none"/>
              </w:rPr>
            </w:pPr>
          </w:p>
        </w:tc>
        <w:tc>
          <w:tcPr>
            <w:tcW w:w="754" w:type="dxa"/>
            <w:vAlign w:val="top"/>
          </w:tcPr>
          <w:p w14:paraId="79D93637">
            <w:pPr>
              <w:rPr>
                <w:rFonts w:ascii="Arial"/>
                <w:sz w:val="21"/>
                <w:highlight w:val="none"/>
              </w:rPr>
            </w:pPr>
          </w:p>
        </w:tc>
      </w:tr>
      <w:tr w14:paraId="40862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3EA285E5">
            <w:pPr>
              <w:rPr>
                <w:rFonts w:ascii="Arial"/>
                <w:sz w:val="21"/>
                <w:highlight w:val="none"/>
              </w:rPr>
            </w:pPr>
          </w:p>
        </w:tc>
        <w:tc>
          <w:tcPr>
            <w:tcW w:w="1179" w:type="dxa"/>
            <w:vAlign w:val="top"/>
          </w:tcPr>
          <w:p w14:paraId="3B5135CE">
            <w:pPr>
              <w:rPr>
                <w:rFonts w:ascii="Arial"/>
                <w:sz w:val="21"/>
                <w:highlight w:val="none"/>
              </w:rPr>
            </w:pPr>
          </w:p>
        </w:tc>
        <w:tc>
          <w:tcPr>
            <w:tcW w:w="829" w:type="dxa"/>
            <w:vAlign w:val="top"/>
          </w:tcPr>
          <w:p w14:paraId="3C36ABEB">
            <w:pPr>
              <w:rPr>
                <w:rFonts w:ascii="Arial"/>
                <w:sz w:val="21"/>
                <w:highlight w:val="none"/>
              </w:rPr>
            </w:pPr>
          </w:p>
        </w:tc>
        <w:tc>
          <w:tcPr>
            <w:tcW w:w="1079" w:type="dxa"/>
            <w:vAlign w:val="top"/>
          </w:tcPr>
          <w:p w14:paraId="1283385A">
            <w:pPr>
              <w:rPr>
                <w:rFonts w:ascii="Arial"/>
                <w:sz w:val="21"/>
                <w:highlight w:val="none"/>
              </w:rPr>
            </w:pPr>
          </w:p>
        </w:tc>
        <w:tc>
          <w:tcPr>
            <w:tcW w:w="719" w:type="dxa"/>
            <w:vAlign w:val="top"/>
          </w:tcPr>
          <w:p w14:paraId="3EA888BA">
            <w:pPr>
              <w:rPr>
                <w:rFonts w:ascii="Arial"/>
                <w:sz w:val="21"/>
                <w:highlight w:val="none"/>
              </w:rPr>
            </w:pPr>
          </w:p>
        </w:tc>
        <w:tc>
          <w:tcPr>
            <w:tcW w:w="809" w:type="dxa"/>
            <w:vAlign w:val="top"/>
          </w:tcPr>
          <w:p w14:paraId="6E3F74ED">
            <w:pPr>
              <w:rPr>
                <w:rFonts w:ascii="Arial"/>
                <w:sz w:val="21"/>
                <w:highlight w:val="none"/>
              </w:rPr>
            </w:pPr>
          </w:p>
        </w:tc>
        <w:tc>
          <w:tcPr>
            <w:tcW w:w="1319" w:type="dxa"/>
            <w:vAlign w:val="top"/>
          </w:tcPr>
          <w:p w14:paraId="60907F60">
            <w:pPr>
              <w:rPr>
                <w:rFonts w:ascii="Arial"/>
                <w:sz w:val="21"/>
                <w:highlight w:val="none"/>
              </w:rPr>
            </w:pPr>
          </w:p>
        </w:tc>
        <w:tc>
          <w:tcPr>
            <w:tcW w:w="959" w:type="dxa"/>
            <w:vAlign w:val="top"/>
          </w:tcPr>
          <w:p w14:paraId="60A8D4D1">
            <w:pPr>
              <w:rPr>
                <w:rFonts w:ascii="Arial"/>
                <w:sz w:val="21"/>
                <w:highlight w:val="none"/>
              </w:rPr>
            </w:pPr>
          </w:p>
        </w:tc>
        <w:tc>
          <w:tcPr>
            <w:tcW w:w="1159" w:type="dxa"/>
            <w:vAlign w:val="top"/>
          </w:tcPr>
          <w:p w14:paraId="74E4561A">
            <w:pPr>
              <w:rPr>
                <w:rFonts w:ascii="Arial"/>
                <w:sz w:val="21"/>
                <w:highlight w:val="none"/>
              </w:rPr>
            </w:pPr>
          </w:p>
        </w:tc>
        <w:tc>
          <w:tcPr>
            <w:tcW w:w="754" w:type="dxa"/>
            <w:vAlign w:val="top"/>
          </w:tcPr>
          <w:p w14:paraId="23181506">
            <w:pPr>
              <w:rPr>
                <w:rFonts w:ascii="Arial"/>
                <w:sz w:val="21"/>
                <w:highlight w:val="none"/>
              </w:rPr>
            </w:pPr>
          </w:p>
        </w:tc>
      </w:tr>
      <w:tr w14:paraId="15B31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24" w:type="dxa"/>
            <w:vAlign w:val="top"/>
          </w:tcPr>
          <w:p w14:paraId="48401CE4">
            <w:pPr>
              <w:rPr>
                <w:rFonts w:ascii="Arial"/>
                <w:sz w:val="21"/>
                <w:highlight w:val="none"/>
              </w:rPr>
            </w:pPr>
          </w:p>
        </w:tc>
        <w:tc>
          <w:tcPr>
            <w:tcW w:w="1179" w:type="dxa"/>
            <w:vAlign w:val="top"/>
          </w:tcPr>
          <w:p w14:paraId="0507EB45">
            <w:pPr>
              <w:rPr>
                <w:rFonts w:ascii="Arial"/>
                <w:sz w:val="21"/>
                <w:highlight w:val="none"/>
              </w:rPr>
            </w:pPr>
          </w:p>
        </w:tc>
        <w:tc>
          <w:tcPr>
            <w:tcW w:w="829" w:type="dxa"/>
            <w:vAlign w:val="top"/>
          </w:tcPr>
          <w:p w14:paraId="1D6B0869">
            <w:pPr>
              <w:rPr>
                <w:rFonts w:ascii="Arial"/>
                <w:sz w:val="21"/>
                <w:highlight w:val="none"/>
              </w:rPr>
            </w:pPr>
          </w:p>
        </w:tc>
        <w:tc>
          <w:tcPr>
            <w:tcW w:w="1079" w:type="dxa"/>
            <w:vAlign w:val="top"/>
          </w:tcPr>
          <w:p w14:paraId="1D321E7A">
            <w:pPr>
              <w:rPr>
                <w:rFonts w:ascii="Arial"/>
                <w:sz w:val="21"/>
                <w:highlight w:val="none"/>
              </w:rPr>
            </w:pPr>
          </w:p>
        </w:tc>
        <w:tc>
          <w:tcPr>
            <w:tcW w:w="719" w:type="dxa"/>
            <w:vAlign w:val="top"/>
          </w:tcPr>
          <w:p w14:paraId="0B8D4634">
            <w:pPr>
              <w:rPr>
                <w:rFonts w:ascii="Arial"/>
                <w:sz w:val="21"/>
                <w:highlight w:val="none"/>
              </w:rPr>
            </w:pPr>
          </w:p>
        </w:tc>
        <w:tc>
          <w:tcPr>
            <w:tcW w:w="809" w:type="dxa"/>
            <w:vAlign w:val="top"/>
          </w:tcPr>
          <w:p w14:paraId="13CE00AF">
            <w:pPr>
              <w:rPr>
                <w:rFonts w:ascii="Arial"/>
                <w:sz w:val="21"/>
                <w:highlight w:val="none"/>
              </w:rPr>
            </w:pPr>
          </w:p>
        </w:tc>
        <w:tc>
          <w:tcPr>
            <w:tcW w:w="1319" w:type="dxa"/>
            <w:vAlign w:val="top"/>
          </w:tcPr>
          <w:p w14:paraId="3C996901">
            <w:pPr>
              <w:rPr>
                <w:rFonts w:ascii="Arial"/>
                <w:sz w:val="21"/>
                <w:highlight w:val="none"/>
              </w:rPr>
            </w:pPr>
          </w:p>
        </w:tc>
        <w:tc>
          <w:tcPr>
            <w:tcW w:w="959" w:type="dxa"/>
            <w:vAlign w:val="top"/>
          </w:tcPr>
          <w:p w14:paraId="07D5E900">
            <w:pPr>
              <w:rPr>
                <w:rFonts w:ascii="Arial"/>
                <w:sz w:val="21"/>
                <w:highlight w:val="none"/>
              </w:rPr>
            </w:pPr>
          </w:p>
        </w:tc>
        <w:tc>
          <w:tcPr>
            <w:tcW w:w="1159" w:type="dxa"/>
            <w:vAlign w:val="top"/>
          </w:tcPr>
          <w:p w14:paraId="7F4097CF">
            <w:pPr>
              <w:rPr>
                <w:rFonts w:ascii="Arial"/>
                <w:sz w:val="21"/>
                <w:highlight w:val="none"/>
              </w:rPr>
            </w:pPr>
          </w:p>
        </w:tc>
        <w:tc>
          <w:tcPr>
            <w:tcW w:w="754" w:type="dxa"/>
            <w:vAlign w:val="top"/>
          </w:tcPr>
          <w:p w14:paraId="47B81243">
            <w:pPr>
              <w:rPr>
                <w:rFonts w:ascii="Arial"/>
                <w:sz w:val="21"/>
                <w:highlight w:val="none"/>
              </w:rPr>
            </w:pPr>
          </w:p>
        </w:tc>
      </w:tr>
      <w:tr w14:paraId="2BB40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2CC54CEF">
            <w:pPr>
              <w:rPr>
                <w:rFonts w:ascii="Arial"/>
                <w:sz w:val="21"/>
                <w:highlight w:val="none"/>
              </w:rPr>
            </w:pPr>
          </w:p>
        </w:tc>
        <w:tc>
          <w:tcPr>
            <w:tcW w:w="1179" w:type="dxa"/>
            <w:vAlign w:val="top"/>
          </w:tcPr>
          <w:p w14:paraId="5CD7488D">
            <w:pPr>
              <w:rPr>
                <w:rFonts w:ascii="Arial"/>
                <w:sz w:val="21"/>
                <w:highlight w:val="none"/>
              </w:rPr>
            </w:pPr>
          </w:p>
        </w:tc>
        <w:tc>
          <w:tcPr>
            <w:tcW w:w="829" w:type="dxa"/>
            <w:vAlign w:val="top"/>
          </w:tcPr>
          <w:p w14:paraId="7649BD27">
            <w:pPr>
              <w:rPr>
                <w:rFonts w:ascii="Arial"/>
                <w:sz w:val="21"/>
                <w:highlight w:val="none"/>
              </w:rPr>
            </w:pPr>
          </w:p>
        </w:tc>
        <w:tc>
          <w:tcPr>
            <w:tcW w:w="1079" w:type="dxa"/>
            <w:vAlign w:val="top"/>
          </w:tcPr>
          <w:p w14:paraId="6BCC859E">
            <w:pPr>
              <w:rPr>
                <w:rFonts w:ascii="Arial"/>
                <w:sz w:val="21"/>
                <w:highlight w:val="none"/>
              </w:rPr>
            </w:pPr>
          </w:p>
        </w:tc>
        <w:tc>
          <w:tcPr>
            <w:tcW w:w="719" w:type="dxa"/>
            <w:vAlign w:val="top"/>
          </w:tcPr>
          <w:p w14:paraId="7EB8F134">
            <w:pPr>
              <w:rPr>
                <w:rFonts w:ascii="Arial"/>
                <w:sz w:val="21"/>
                <w:highlight w:val="none"/>
              </w:rPr>
            </w:pPr>
          </w:p>
        </w:tc>
        <w:tc>
          <w:tcPr>
            <w:tcW w:w="809" w:type="dxa"/>
            <w:vAlign w:val="top"/>
          </w:tcPr>
          <w:p w14:paraId="7A2B436C">
            <w:pPr>
              <w:rPr>
                <w:rFonts w:ascii="Arial"/>
                <w:sz w:val="21"/>
                <w:highlight w:val="none"/>
              </w:rPr>
            </w:pPr>
          </w:p>
        </w:tc>
        <w:tc>
          <w:tcPr>
            <w:tcW w:w="1319" w:type="dxa"/>
            <w:vAlign w:val="top"/>
          </w:tcPr>
          <w:p w14:paraId="742F2E80">
            <w:pPr>
              <w:rPr>
                <w:rFonts w:ascii="Arial"/>
                <w:sz w:val="21"/>
                <w:highlight w:val="none"/>
              </w:rPr>
            </w:pPr>
          </w:p>
        </w:tc>
        <w:tc>
          <w:tcPr>
            <w:tcW w:w="959" w:type="dxa"/>
            <w:vAlign w:val="top"/>
          </w:tcPr>
          <w:p w14:paraId="4BA033FF">
            <w:pPr>
              <w:rPr>
                <w:rFonts w:ascii="Arial"/>
                <w:sz w:val="21"/>
                <w:highlight w:val="none"/>
              </w:rPr>
            </w:pPr>
          </w:p>
        </w:tc>
        <w:tc>
          <w:tcPr>
            <w:tcW w:w="1159" w:type="dxa"/>
            <w:vAlign w:val="top"/>
          </w:tcPr>
          <w:p w14:paraId="03CA5EC9">
            <w:pPr>
              <w:rPr>
                <w:rFonts w:ascii="Arial"/>
                <w:sz w:val="21"/>
                <w:highlight w:val="none"/>
              </w:rPr>
            </w:pPr>
          </w:p>
        </w:tc>
        <w:tc>
          <w:tcPr>
            <w:tcW w:w="754" w:type="dxa"/>
            <w:vAlign w:val="top"/>
          </w:tcPr>
          <w:p w14:paraId="41E840CA">
            <w:pPr>
              <w:rPr>
                <w:rFonts w:ascii="Arial"/>
                <w:sz w:val="21"/>
                <w:highlight w:val="none"/>
              </w:rPr>
            </w:pPr>
          </w:p>
        </w:tc>
      </w:tr>
      <w:tr w14:paraId="7A6D1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24" w:type="dxa"/>
            <w:vAlign w:val="top"/>
          </w:tcPr>
          <w:p w14:paraId="5E0F094F">
            <w:pPr>
              <w:rPr>
                <w:rFonts w:ascii="Arial"/>
                <w:sz w:val="21"/>
                <w:highlight w:val="none"/>
              </w:rPr>
            </w:pPr>
          </w:p>
        </w:tc>
        <w:tc>
          <w:tcPr>
            <w:tcW w:w="1179" w:type="dxa"/>
            <w:vAlign w:val="top"/>
          </w:tcPr>
          <w:p w14:paraId="15067E70">
            <w:pPr>
              <w:rPr>
                <w:rFonts w:ascii="Arial"/>
                <w:sz w:val="21"/>
                <w:highlight w:val="none"/>
              </w:rPr>
            </w:pPr>
          </w:p>
        </w:tc>
        <w:tc>
          <w:tcPr>
            <w:tcW w:w="829" w:type="dxa"/>
            <w:vAlign w:val="top"/>
          </w:tcPr>
          <w:p w14:paraId="6522EE2D">
            <w:pPr>
              <w:rPr>
                <w:rFonts w:ascii="Arial"/>
                <w:sz w:val="21"/>
                <w:highlight w:val="none"/>
              </w:rPr>
            </w:pPr>
          </w:p>
        </w:tc>
        <w:tc>
          <w:tcPr>
            <w:tcW w:w="1079" w:type="dxa"/>
            <w:vAlign w:val="top"/>
          </w:tcPr>
          <w:p w14:paraId="76DCDB39">
            <w:pPr>
              <w:rPr>
                <w:rFonts w:ascii="Arial"/>
                <w:sz w:val="21"/>
                <w:highlight w:val="none"/>
              </w:rPr>
            </w:pPr>
          </w:p>
        </w:tc>
        <w:tc>
          <w:tcPr>
            <w:tcW w:w="719" w:type="dxa"/>
            <w:vAlign w:val="top"/>
          </w:tcPr>
          <w:p w14:paraId="58675B0C">
            <w:pPr>
              <w:rPr>
                <w:rFonts w:ascii="Arial"/>
                <w:sz w:val="21"/>
                <w:highlight w:val="none"/>
              </w:rPr>
            </w:pPr>
          </w:p>
        </w:tc>
        <w:tc>
          <w:tcPr>
            <w:tcW w:w="809" w:type="dxa"/>
            <w:vAlign w:val="top"/>
          </w:tcPr>
          <w:p w14:paraId="2263C380">
            <w:pPr>
              <w:rPr>
                <w:rFonts w:ascii="Arial"/>
                <w:sz w:val="21"/>
                <w:highlight w:val="none"/>
              </w:rPr>
            </w:pPr>
          </w:p>
        </w:tc>
        <w:tc>
          <w:tcPr>
            <w:tcW w:w="1319" w:type="dxa"/>
            <w:vAlign w:val="top"/>
          </w:tcPr>
          <w:p w14:paraId="62519537">
            <w:pPr>
              <w:rPr>
                <w:rFonts w:ascii="Arial"/>
                <w:sz w:val="21"/>
                <w:highlight w:val="none"/>
              </w:rPr>
            </w:pPr>
          </w:p>
        </w:tc>
        <w:tc>
          <w:tcPr>
            <w:tcW w:w="959" w:type="dxa"/>
            <w:vAlign w:val="top"/>
          </w:tcPr>
          <w:p w14:paraId="4BF94933">
            <w:pPr>
              <w:rPr>
                <w:rFonts w:ascii="Arial"/>
                <w:sz w:val="21"/>
                <w:highlight w:val="none"/>
              </w:rPr>
            </w:pPr>
          </w:p>
        </w:tc>
        <w:tc>
          <w:tcPr>
            <w:tcW w:w="1159" w:type="dxa"/>
            <w:vAlign w:val="top"/>
          </w:tcPr>
          <w:p w14:paraId="08ED0926">
            <w:pPr>
              <w:rPr>
                <w:rFonts w:ascii="Arial"/>
                <w:sz w:val="21"/>
                <w:highlight w:val="none"/>
              </w:rPr>
            </w:pPr>
          </w:p>
        </w:tc>
        <w:tc>
          <w:tcPr>
            <w:tcW w:w="754" w:type="dxa"/>
            <w:vAlign w:val="top"/>
          </w:tcPr>
          <w:p w14:paraId="05BE440E">
            <w:pPr>
              <w:rPr>
                <w:rFonts w:ascii="Arial"/>
                <w:sz w:val="21"/>
                <w:highlight w:val="none"/>
              </w:rPr>
            </w:pPr>
          </w:p>
        </w:tc>
      </w:tr>
      <w:tr w14:paraId="7D2DE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24" w:type="dxa"/>
            <w:vAlign w:val="top"/>
          </w:tcPr>
          <w:p w14:paraId="2D1F9FED">
            <w:pPr>
              <w:rPr>
                <w:rFonts w:ascii="Arial"/>
                <w:sz w:val="21"/>
                <w:highlight w:val="none"/>
              </w:rPr>
            </w:pPr>
          </w:p>
        </w:tc>
        <w:tc>
          <w:tcPr>
            <w:tcW w:w="1179" w:type="dxa"/>
            <w:vAlign w:val="top"/>
          </w:tcPr>
          <w:p w14:paraId="72E9AF10">
            <w:pPr>
              <w:rPr>
                <w:rFonts w:ascii="Arial"/>
                <w:sz w:val="21"/>
                <w:highlight w:val="none"/>
              </w:rPr>
            </w:pPr>
          </w:p>
        </w:tc>
        <w:tc>
          <w:tcPr>
            <w:tcW w:w="829" w:type="dxa"/>
            <w:vAlign w:val="top"/>
          </w:tcPr>
          <w:p w14:paraId="53FA0C47">
            <w:pPr>
              <w:rPr>
                <w:rFonts w:ascii="Arial"/>
                <w:sz w:val="21"/>
                <w:highlight w:val="none"/>
              </w:rPr>
            </w:pPr>
          </w:p>
        </w:tc>
        <w:tc>
          <w:tcPr>
            <w:tcW w:w="1079" w:type="dxa"/>
            <w:vAlign w:val="top"/>
          </w:tcPr>
          <w:p w14:paraId="3A3D89E6">
            <w:pPr>
              <w:rPr>
                <w:rFonts w:ascii="Arial"/>
                <w:sz w:val="21"/>
                <w:highlight w:val="none"/>
              </w:rPr>
            </w:pPr>
          </w:p>
        </w:tc>
        <w:tc>
          <w:tcPr>
            <w:tcW w:w="719" w:type="dxa"/>
            <w:vAlign w:val="top"/>
          </w:tcPr>
          <w:p w14:paraId="0ABD6E76">
            <w:pPr>
              <w:rPr>
                <w:rFonts w:ascii="Arial"/>
                <w:sz w:val="21"/>
                <w:highlight w:val="none"/>
              </w:rPr>
            </w:pPr>
          </w:p>
        </w:tc>
        <w:tc>
          <w:tcPr>
            <w:tcW w:w="809" w:type="dxa"/>
            <w:vAlign w:val="top"/>
          </w:tcPr>
          <w:p w14:paraId="2F64A815">
            <w:pPr>
              <w:rPr>
                <w:rFonts w:ascii="Arial"/>
                <w:sz w:val="21"/>
                <w:highlight w:val="none"/>
              </w:rPr>
            </w:pPr>
          </w:p>
        </w:tc>
        <w:tc>
          <w:tcPr>
            <w:tcW w:w="1319" w:type="dxa"/>
            <w:vAlign w:val="top"/>
          </w:tcPr>
          <w:p w14:paraId="4D42151F">
            <w:pPr>
              <w:rPr>
                <w:rFonts w:ascii="Arial"/>
                <w:sz w:val="21"/>
                <w:highlight w:val="none"/>
              </w:rPr>
            </w:pPr>
          </w:p>
        </w:tc>
        <w:tc>
          <w:tcPr>
            <w:tcW w:w="959" w:type="dxa"/>
            <w:vAlign w:val="top"/>
          </w:tcPr>
          <w:p w14:paraId="286C70CA">
            <w:pPr>
              <w:rPr>
                <w:rFonts w:ascii="Arial"/>
                <w:sz w:val="21"/>
                <w:highlight w:val="none"/>
              </w:rPr>
            </w:pPr>
          </w:p>
        </w:tc>
        <w:tc>
          <w:tcPr>
            <w:tcW w:w="1159" w:type="dxa"/>
            <w:vAlign w:val="top"/>
          </w:tcPr>
          <w:p w14:paraId="76BF6A03">
            <w:pPr>
              <w:rPr>
                <w:rFonts w:ascii="Arial"/>
                <w:sz w:val="21"/>
                <w:highlight w:val="none"/>
              </w:rPr>
            </w:pPr>
          </w:p>
        </w:tc>
        <w:tc>
          <w:tcPr>
            <w:tcW w:w="754" w:type="dxa"/>
            <w:vAlign w:val="top"/>
          </w:tcPr>
          <w:p w14:paraId="044F5613">
            <w:pPr>
              <w:rPr>
                <w:rFonts w:ascii="Arial"/>
                <w:sz w:val="21"/>
                <w:highlight w:val="none"/>
              </w:rPr>
            </w:pPr>
          </w:p>
        </w:tc>
      </w:tr>
      <w:tr w14:paraId="1B372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6D559DDE">
            <w:pPr>
              <w:rPr>
                <w:rFonts w:ascii="Arial"/>
                <w:sz w:val="21"/>
                <w:highlight w:val="none"/>
              </w:rPr>
            </w:pPr>
          </w:p>
        </w:tc>
        <w:tc>
          <w:tcPr>
            <w:tcW w:w="1179" w:type="dxa"/>
            <w:vAlign w:val="top"/>
          </w:tcPr>
          <w:p w14:paraId="12CD242C">
            <w:pPr>
              <w:rPr>
                <w:rFonts w:ascii="Arial"/>
                <w:sz w:val="21"/>
                <w:highlight w:val="none"/>
              </w:rPr>
            </w:pPr>
          </w:p>
        </w:tc>
        <w:tc>
          <w:tcPr>
            <w:tcW w:w="829" w:type="dxa"/>
            <w:vAlign w:val="top"/>
          </w:tcPr>
          <w:p w14:paraId="2B658F79">
            <w:pPr>
              <w:rPr>
                <w:rFonts w:ascii="Arial"/>
                <w:sz w:val="21"/>
                <w:highlight w:val="none"/>
              </w:rPr>
            </w:pPr>
          </w:p>
        </w:tc>
        <w:tc>
          <w:tcPr>
            <w:tcW w:w="1079" w:type="dxa"/>
            <w:vAlign w:val="top"/>
          </w:tcPr>
          <w:p w14:paraId="6399CE06">
            <w:pPr>
              <w:rPr>
                <w:rFonts w:ascii="Arial"/>
                <w:sz w:val="21"/>
                <w:highlight w:val="none"/>
              </w:rPr>
            </w:pPr>
          </w:p>
        </w:tc>
        <w:tc>
          <w:tcPr>
            <w:tcW w:w="719" w:type="dxa"/>
            <w:vAlign w:val="top"/>
          </w:tcPr>
          <w:p w14:paraId="6983E3F9">
            <w:pPr>
              <w:rPr>
                <w:rFonts w:ascii="Arial"/>
                <w:sz w:val="21"/>
                <w:highlight w:val="none"/>
              </w:rPr>
            </w:pPr>
          </w:p>
        </w:tc>
        <w:tc>
          <w:tcPr>
            <w:tcW w:w="809" w:type="dxa"/>
            <w:vAlign w:val="top"/>
          </w:tcPr>
          <w:p w14:paraId="52EF292E">
            <w:pPr>
              <w:rPr>
                <w:rFonts w:ascii="Arial"/>
                <w:sz w:val="21"/>
                <w:highlight w:val="none"/>
              </w:rPr>
            </w:pPr>
          </w:p>
        </w:tc>
        <w:tc>
          <w:tcPr>
            <w:tcW w:w="1319" w:type="dxa"/>
            <w:vAlign w:val="top"/>
          </w:tcPr>
          <w:p w14:paraId="05842A94">
            <w:pPr>
              <w:rPr>
                <w:rFonts w:ascii="Arial"/>
                <w:sz w:val="21"/>
                <w:highlight w:val="none"/>
              </w:rPr>
            </w:pPr>
          </w:p>
        </w:tc>
        <w:tc>
          <w:tcPr>
            <w:tcW w:w="959" w:type="dxa"/>
            <w:vAlign w:val="top"/>
          </w:tcPr>
          <w:p w14:paraId="05F581C7">
            <w:pPr>
              <w:rPr>
                <w:rFonts w:ascii="Arial"/>
                <w:sz w:val="21"/>
                <w:highlight w:val="none"/>
              </w:rPr>
            </w:pPr>
          </w:p>
        </w:tc>
        <w:tc>
          <w:tcPr>
            <w:tcW w:w="1159" w:type="dxa"/>
            <w:vAlign w:val="top"/>
          </w:tcPr>
          <w:p w14:paraId="2B9F93DE">
            <w:pPr>
              <w:rPr>
                <w:rFonts w:ascii="Arial"/>
                <w:sz w:val="21"/>
                <w:highlight w:val="none"/>
              </w:rPr>
            </w:pPr>
          </w:p>
        </w:tc>
        <w:tc>
          <w:tcPr>
            <w:tcW w:w="754" w:type="dxa"/>
            <w:vAlign w:val="top"/>
          </w:tcPr>
          <w:p w14:paraId="338361F5">
            <w:pPr>
              <w:rPr>
                <w:rFonts w:ascii="Arial"/>
                <w:sz w:val="21"/>
                <w:highlight w:val="none"/>
              </w:rPr>
            </w:pPr>
          </w:p>
        </w:tc>
      </w:tr>
      <w:tr w14:paraId="65D6D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37BA43F5">
            <w:pPr>
              <w:rPr>
                <w:rFonts w:ascii="Arial"/>
                <w:sz w:val="21"/>
                <w:highlight w:val="none"/>
              </w:rPr>
            </w:pPr>
          </w:p>
        </w:tc>
        <w:tc>
          <w:tcPr>
            <w:tcW w:w="1179" w:type="dxa"/>
            <w:vAlign w:val="top"/>
          </w:tcPr>
          <w:p w14:paraId="765877B8">
            <w:pPr>
              <w:rPr>
                <w:rFonts w:ascii="Arial"/>
                <w:sz w:val="21"/>
                <w:highlight w:val="none"/>
              </w:rPr>
            </w:pPr>
          </w:p>
        </w:tc>
        <w:tc>
          <w:tcPr>
            <w:tcW w:w="829" w:type="dxa"/>
            <w:vAlign w:val="top"/>
          </w:tcPr>
          <w:p w14:paraId="5A523D9D">
            <w:pPr>
              <w:rPr>
                <w:rFonts w:ascii="Arial"/>
                <w:sz w:val="21"/>
                <w:highlight w:val="none"/>
              </w:rPr>
            </w:pPr>
          </w:p>
        </w:tc>
        <w:tc>
          <w:tcPr>
            <w:tcW w:w="1079" w:type="dxa"/>
            <w:vAlign w:val="top"/>
          </w:tcPr>
          <w:p w14:paraId="59076A55">
            <w:pPr>
              <w:rPr>
                <w:rFonts w:ascii="Arial"/>
                <w:sz w:val="21"/>
                <w:highlight w:val="none"/>
              </w:rPr>
            </w:pPr>
          </w:p>
        </w:tc>
        <w:tc>
          <w:tcPr>
            <w:tcW w:w="719" w:type="dxa"/>
            <w:vAlign w:val="top"/>
          </w:tcPr>
          <w:p w14:paraId="362F1D2C">
            <w:pPr>
              <w:rPr>
                <w:rFonts w:ascii="Arial"/>
                <w:sz w:val="21"/>
                <w:highlight w:val="none"/>
              </w:rPr>
            </w:pPr>
          </w:p>
        </w:tc>
        <w:tc>
          <w:tcPr>
            <w:tcW w:w="809" w:type="dxa"/>
            <w:vAlign w:val="top"/>
          </w:tcPr>
          <w:p w14:paraId="65B73625">
            <w:pPr>
              <w:rPr>
                <w:rFonts w:ascii="Arial"/>
                <w:sz w:val="21"/>
                <w:highlight w:val="none"/>
              </w:rPr>
            </w:pPr>
          </w:p>
        </w:tc>
        <w:tc>
          <w:tcPr>
            <w:tcW w:w="1319" w:type="dxa"/>
            <w:vAlign w:val="top"/>
          </w:tcPr>
          <w:p w14:paraId="226588F8">
            <w:pPr>
              <w:rPr>
                <w:rFonts w:ascii="Arial"/>
                <w:sz w:val="21"/>
                <w:highlight w:val="none"/>
              </w:rPr>
            </w:pPr>
          </w:p>
        </w:tc>
        <w:tc>
          <w:tcPr>
            <w:tcW w:w="959" w:type="dxa"/>
            <w:vAlign w:val="top"/>
          </w:tcPr>
          <w:p w14:paraId="037303D0">
            <w:pPr>
              <w:rPr>
                <w:rFonts w:ascii="Arial"/>
                <w:sz w:val="21"/>
                <w:highlight w:val="none"/>
              </w:rPr>
            </w:pPr>
          </w:p>
        </w:tc>
        <w:tc>
          <w:tcPr>
            <w:tcW w:w="1159" w:type="dxa"/>
            <w:vAlign w:val="top"/>
          </w:tcPr>
          <w:p w14:paraId="4B78D602">
            <w:pPr>
              <w:rPr>
                <w:rFonts w:ascii="Arial"/>
                <w:sz w:val="21"/>
                <w:highlight w:val="none"/>
              </w:rPr>
            </w:pPr>
          </w:p>
        </w:tc>
        <w:tc>
          <w:tcPr>
            <w:tcW w:w="754" w:type="dxa"/>
            <w:vAlign w:val="top"/>
          </w:tcPr>
          <w:p w14:paraId="0431A518">
            <w:pPr>
              <w:rPr>
                <w:rFonts w:ascii="Arial"/>
                <w:sz w:val="21"/>
                <w:highlight w:val="none"/>
              </w:rPr>
            </w:pPr>
          </w:p>
        </w:tc>
      </w:tr>
      <w:tr w14:paraId="5C8EC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24" w:type="dxa"/>
            <w:vAlign w:val="top"/>
          </w:tcPr>
          <w:p w14:paraId="722FE1FF">
            <w:pPr>
              <w:rPr>
                <w:rFonts w:ascii="Arial"/>
                <w:sz w:val="21"/>
                <w:highlight w:val="none"/>
              </w:rPr>
            </w:pPr>
          </w:p>
        </w:tc>
        <w:tc>
          <w:tcPr>
            <w:tcW w:w="1179" w:type="dxa"/>
            <w:vAlign w:val="top"/>
          </w:tcPr>
          <w:p w14:paraId="44CBFE8F">
            <w:pPr>
              <w:rPr>
                <w:rFonts w:ascii="Arial"/>
                <w:sz w:val="21"/>
                <w:highlight w:val="none"/>
              </w:rPr>
            </w:pPr>
          </w:p>
        </w:tc>
        <w:tc>
          <w:tcPr>
            <w:tcW w:w="829" w:type="dxa"/>
            <w:vAlign w:val="top"/>
          </w:tcPr>
          <w:p w14:paraId="537ED11F">
            <w:pPr>
              <w:rPr>
                <w:rFonts w:ascii="Arial"/>
                <w:sz w:val="21"/>
                <w:highlight w:val="none"/>
              </w:rPr>
            </w:pPr>
          </w:p>
        </w:tc>
        <w:tc>
          <w:tcPr>
            <w:tcW w:w="1079" w:type="dxa"/>
            <w:vAlign w:val="top"/>
          </w:tcPr>
          <w:p w14:paraId="7D92C9F0">
            <w:pPr>
              <w:rPr>
                <w:rFonts w:ascii="Arial"/>
                <w:sz w:val="21"/>
                <w:highlight w:val="none"/>
              </w:rPr>
            </w:pPr>
          </w:p>
        </w:tc>
        <w:tc>
          <w:tcPr>
            <w:tcW w:w="719" w:type="dxa"/>
            <w:vAlign w:val="top"/>
          </w:tcPr>
          <w:p w14:paraId="4554FF24">
            <w:pPr>
              <w:rPr>
                <w:rFonts w:ascii="Arial"/>
                <w:sz w:val="21"/>
                <w:highlight w:val="none"/>
              </w:rPr>
            </w:pPr>
          </w:p>
        </w:tc>
        <w:tc>
          <w:tcPr>
            <w:tcW w:w="809" w:type="dxa"/>
            <w:vAlign w:val="top"/>
          </w:tcPr>
          <w:p w14:paraId="51D25F37">
            <w:pPr>
              <w:rPr>
                <w:rFonts w:ascii="Arial"/>
                <w:sz w:val="21"/>
                <w:highlight w:val="none"/>
              </w:rPr>
            </w:pPr>
          </w:p>
        </w:tc>
        <w:tc>
          <w:tcPr>
            <w:tcW w:w="1319" w:type="dxa"/>
            <w:vAlign w:val="top"/>
          </w:tcPr>
          <w:p w14:paraId="081BC5F4">
            <w:pPr>
              <w:rPr>
                <w:rFonts w:ascii="Arial"/>
                <w:sz w:val="21"/>
                <w:highlight w:val="none"/>
              </w:rPr>
            </w:pPr>
          </w:p>
        </w:tc>
        <w:tc>
          <w:tcPr>
            <w:tcW w:w="959" w:type="dxa"/>
            <w:vAlign w:val="top"/>
          </w:tcPr>
          <w:p w14:paraId="2AE6A4A8">
            <w:pPr>
              <w:rPr>
                <w:rFonts w:ascii="Arial"/>
                <w:sz w:val="21"/>
                <w:highlight w:val="none"/>
              </w:rPr>
            </w:pPr>
          </w:p>
        </w:tc>
        <w:tc>
          <w:tcPr>
            <w:tcW w:w="1159" w:type="dxa"/>
            <w:vAlign w:val="top"/>
          </w:tcPr>
          <w:p w14:paraId="6B1F138C">
            <w:pPr>
              <w:rPr>
                <w:rFonts w:ascii="Arial"/>
                <w:sz w:val="21"/>
                <w:highlight w:val="none"/>
              </w:rPr>
            </w:pPr>
          </w:p>
        </w:tc>
        <w:tc>
          <w:tcPr>
            <w:tcW w:w="754" w:type="dxa"/>
            <w:vAlign w:val="top"/>
          </w:tcPr>
          <w:p w14:paraId="1F165B47">
            <w:pPr>
              <w:rPr>
                <w:rFonts w:ascii="Arial"/>
                <w:sz w:val="21"/>
                <w:highlight w:val="none"/>
              </w:rPr>
            </w:pPr>
          </w:p>
        </w:tc>
      </w:tr>
      <w:tr w14:paraId="3D076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24" w:type="dxa"/>
            <w:vAlign w:val="top"/>
          </w:tcPr>
          <w:p w14:paraId="0D2109EB">
            <w:pPr>
              <w:rPr>
                <w:rFonts w:ascii="Arial"/>
                <w:sz w:val="21"/>
                <w:highlight w:val="none"/>
              </w:rPr>
            </w:pPr>
          </w:p>
        </w:tc>
        <w:tc>
          <w:tcPr>
            <w:tcW w:w="1179" w:type="dxa"/>
            <w:vAlign w:val="top"/>
          </w:tcPr>
          <w:p w14:paraId="36BC5B75">
            <w:pPr>
              <w:rPr>
                <w:rFonts w:ascii="Arial"/>
                <w:sz w:val="21"/>
                <w:highlight w:val="none"/>
              </w:rPr>
            </w:pPr>
          </w:p>
        </w:tc>
        <w:tc>
          <w:tcPr>
            <w:tcW w:w="829" w:type="dxa"/>
            <w:vAlign w:val="top"/>
          </w:tcPr>
          <w:p w14:paraId="3B8FC877">
            <w:pPr>
              <w:rPr>
                <w:rFonts w:ascii="Arial"/>
                <w:sz w:val="21"/>
                <w:highlight w:val="none"/>
              </w:rPr>
            </w:pPr>
          </w:p>
        </w:tc>
        <w:tc>
          <w:tcPr>
            <w:tcW w:w="1079" w:type="dxa"/>
            <w:vAlign w:val="top"/>
          </w:tcPr>
          <w:p w14:paraId="0EA8003C">
            <w:pPr>
              <w:rPr>
                <w:rFonts w:ascii="Arial"/>
                <w:sz w:val="21"/>
                <w:highlight w:val="none"/>
              </w:rPr>
            </w:pPr>
          </w:p>
        </w:tc>
        <w:tc>
          <w:tcPr>
            <w:tcW w:w="719" w:type="dxa"/>
            <w:vAlign w:val="top"/>
          </w:tcPr>
          <w:p w14:paraId="643E1DC7">
            <w:pPr>
              <w:rPr>
                <w:rFonts w:ascii="Arial"/>
                <w:sz w:val="21"/>
                <w:highlight w:val="none"/>
              </w:rPr>
            </w:pPr>
          </w:p>
        </w:tc>
        <w:tc>
          <w:tcPr>
            <w:tcW w:w="809" w:type="dxa"/>
            <w:vAlign w:val="top"/>
          </w:tcPr>
          <w:p w14:paraId="7A020FEE">
            <w:pPr>
              <w:rPr>
                <w:rFonts w:ascii="Arial"/>
                <w:sz w:val="21"/>
                <w:highlight w:val="none"/>
              </w:rPr>
            </w:pPr>
          </w:p>
        </w:tc>
        <w:tc>
          <w:tcPr>
            <w:tcW w:w="1319" w:type="dxa"/>
            <w:vAlign w:val="top"/>
          </w:tcPr>
          <w:p w14:paraId="63F88DC4">
            <w:pPr>
              <w:rPr>
                <w:rFonts w:ascii="Arial"/>
                <w:sz w:val="21"/>
                <w:highlight w:val="none"/>
              </w:rPr>
            </w:pPr>
          </w:p>
        </w:tc>
        <w:tc>
          <w:tcPr>
            <w:tcW w:w="959" w:type="dxa"/>
            <w:vAlign w:val="top"/>
          </w:tcPr>
          <w:p w14:paraId="460AEA86">
            <w:pPr>
              <w:rPr>
                <w:rFonts w:ascii="Arial"/>
                <w:sz w:val="21"/>
                <w:highlight w:val="none"/>
              </w:rPr>
            </w:pPr>
          </w:p>
        </w:tc>
        <w:tc>
          <w:tcPr>
            <w:tcW w:w="1159" w:type="dxa"/>
            <w:vAlign w:val="top"/>
          </w:tcPr>
          <w:p w14:paraId="081B326A">
            <w:pPr>
              <w:rPr>
                <w:rFonts w:ascii="Arial"/>
                <w:sz w:val="21"/>
                <w:highlight w:val="none"/>
              </w:rPr>
            </w:pPr>
          </w:p>
        </w:tc>
        <w:tc>
          <w:tcPr>
            <w:tcW w:w="754" w:type="dxa"/>
            <w:vAlign w:val="top"/>
          </w:tcPr>
          <w:p w14:paraId="26951B21">
            <w:pPr>
              <w:rPr>
                <w:rFonts w:ascii="Arial"/>
                <w:sz w:val="21"/>
                <w:highlight w:val="none"/>
              </w:rPr>
            </w:pPr>
          </w:p>
        </w:tc>
      </w:tr>
      <w:tr w14:paraId="77306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498F19EF">
            <w:pPr>
              <w:rPr>
                <w:rFonts w:ascii="Arial"/>
                <w:sz w:val="21"/>
                <w:highlight w:val="none"/>
              </w:rPr>
            </w:pPr>
          </w:p>
        </w:tc>
        <w:tc>
          <w:tcPr>
            <w:tcW w:w="1179" w:type="dxa"/>
            <w:vAlign w:val="top"/>
          </w:tcPr>
          <w:p w14:paraId="56DD0B9A">
            <w:pPr>
              <w:rPr>
                <w:rFonts w:ascii="Arial"/>
                <w:sz w:val="21"/>
                <w:highlight w:val="none"/>
              </w:rPr>
            </w:pPr>
          </w:p>
        </w:tc>
        <w:tc>
          <w:tcPr>
            <w:tcW w:w="829" w:type="dxa"/>
            <w:vAlign w:val="top"/>
          </w:tcPr>
          <w:p w14:paraId="763D0858">
            <w:pPr>
              <w:rPr>
                <w:rFonts w:ascii="Arial"/>
                <w:sz w:val="21"/>
                <w:highlight w:val="none"/>
              </w:rPr>
            </w:pPr>
          </w:p>
        </w:tc>
        <w:tc>
          <w:tcPr>
            <w:tcW w:w="1079" w:type="dxa"/>
            <w:vAlign w:val="top"/>
          </w:tcPr>
          <w:p w14:paraId="62C2338B">
            <w:pPr>
              <w:rPr>
                <w:rFonts w:ascii="Arial"/>
                <w:sz w:val="21"/>
                <w:highlight w:val="none"/>
              </w:rPr>
            </w:pPr>
          </w:p>
        </w:tc>
        <w:tc>
          <w:tcPr>
            <w:tcW w:w="719" w:type="dxa"/>
            <w:vAlign w:val="top"/>
          </w:tcPr>
          <w:p w14:paraId="6C94DA06">
            <w:pPr>
              <w:rPr>
                <w:rFonts w:ascii="Arial"/>
                <w:sz w:val="21"/>
                <w:highlight w:val="none"/>
              </w:rPr>
            </w:pPr>
          </w:p>
        </w:tc>
        <w:tc>
          <w:tcPr>
            <w:tcW w:w="809" w:type="dxa"/>
            <w:vAlign w:val="top"/>
          </w:tcPr>
          <w:p w14:paraId="57394E82">
            <w:pPr>
              <w:rPr>
                <w:rFonts w:ascii="Arial"/>
                <w:sz w:val="21"/>
                <w:highlight w:val="none"/>
              </w:rPr>
            </w:pPr>
          </w:p>
        </w:tc>
        <w:tc>
          <w:tcPr>
            <w:tcW w:w="1319" w:type="dxa"/>
            <w:vAlign w:val="top"/>
          </w:tcPr>
          <w:p w14:paraId="7F0A2F55">
            <w:pPr>
              <w:rPr>
                <w:rFonts w:ascii="Arial"/>
                <w:sz w:val="21"/>
                <w:highlight w:val="none"/>
              </w:rPr>
            </w:pPr>
          </w:p>
        </w:tc>
        <w:tc>
          <w:tcPr>
            <w:tcW w:w="959" w:type="dxa"/>
            <w:vAlign w:val="top"/>
          </w:tcPr>
          <w:p w14:paraId="79064697">
            <w:pPr>
              <w:rPr>
                <w:rFonts w:ascii="Arial"/>
                <w:sz w:val="21"/>
                <w:highlight w:val="none"/>
              </w:rPr>
            </w:pPr>
          </w:p>
        </w:tc>
        <w:tc>
          <w:tcPr>
            <w:tcW w:w="1159" w:type="dxa"/>
            <w:vAlign w:val="top"/>
          </w:tcPr>
          <w:p w14:paraId="30AA3F2D">
            <w:pPr>
              <w:rPr>
                <w:rFonts w:ascii="Arial"/>
                <w:sz w:val="21"/>
                <w:highlight w:val="none"/>
              </w:rPr>
            </w:pPr>
          </w:p>
        </w:tc>
        <w:tc>
          <w:tcPr>
            <w:tcW w:w="754" w:type="dxa"/>
            <w:vAlign w:val="top"/>
          </w:tcPr>
          <w:p w14:paraId="2F5602BA">
            <w:pPr>
              <w:rPr>
                <w:rFonts w:ascii="Arial"/>
                <w:sz w:val="21"/>
                <w:highlight w:val="none"/>
              </w:rPr>
            </w:pPr>
          </w:p>
        </w:tc>
      </w:tr>
      <w:tr w14:paraId="745EC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24" w:type="dxa"/>
            <w:vAlign w:val="top"/>
          </w:tcPr>
          <w:p w14:paraId="6235C8C7">
            <w:pPr>
              <w:rPr>
                <w:rFonts w:ascii="Arial"/>
                <w:sz w:val="21"/>
                <w:highlight w:val="none"/>
              </w:rPr>
            </w:pPr>
          </w:p>
        </w:tc>
        <w:tc>
          <w:tcPr>
            <w:tcW w:w="1179" w:type="dxa"/>
            <w:vAlign w:val="top"/>
          </w:tcPr>
          <w:p w14:paraId="6B5CF817">
            <w:pPr>
              <w:rPr>
                <w:rFonts w:ascii="Arial"/>
                <w:sz w:val="21"/>
                <w:highlight w:val="none"/>
              </w:rPr>
            </w:pPr>
          </w:p>
        </w:tc>
        <w:tc>
          <w:tcPr>
            <w:tcW w:w="829" w:type="dxa"/>
            <w:vAlign w:val="top"/>
          </w:tcPr>
          <w:p w14:paraId="351B3605">
            <w:pPr>
              <w:rPr>
                <w:rFonts w:ascii="Arial"/>
                <w:sz w:val="21"/>
                <w:highlight w:val="none"/>
              </w:rPr>
            </w:pPr>
          </w:p>
        </w:tc>
        <w:tc>
          <w:tcPr>
            <w:tcW w:w="1079" w:type="dxa"/>
            <w:vAlign w:val="top"/>
          </w:tcPr>
          <w:p w14:paraId="723113E6">
            <w:pPr>
              <w:rPr>
                <w:rFonts w:ascii="Arial"/>
                <w:sz w:val="21"/>
                <w:highlight w:val="none"/>
              </w:rPr>
            </w:pPr>
          </w:p>
        </w:tc>
        <w:tc>
          <w:tcPr>
            <w:tcW w:w="719" w:type="dxa"/>
            <w:vAlign w:val="top"/>
          </w:tcPr>
          <w:p w14:paraId="7A115EA9">
            <w:pPr>
              <w:rPr>
                <w:rFonts w:ascii="Arial"/>
                <w:sz w:val="21"/>
                <w:highlight w:val="none"/>
              </w:rPr>
            </w:pPr>
          </w:p>
        </w:tc>
        <w:tc>
          <w:tcPr>
            <w:tcW w:w="809" w:type="dxa"/>
            <w:vAlign w:val="top"/>
          </w:tcPr>
          <w:p w14:paraId="1A89E120">
            <w:pPr>
              <w:rPr>
                <w:rFonts w:ascii="Arial"/>
                <w:sz w:val="21"/>
                <w:highlight w:val="none"/>
              </w:rPr>
            </w:pPr>
          </w:p>
        </w:tc>
        <w:tc>
          <w:tcPr>
            <w:tcW w:w="1319" w:type="dxa"/>
            <w:vAlign w:val="top"/>
          </w:tcPr>
          <w:p w14:paraId="481C2A24">
            <w:pPr>
              <w:rPr>
                <w:rFonts w:ascii="Arial"/>
                <w:sz w:val="21"/>
                <w:highlight w:val="none"/>
              </w:rPr>
            </w:pPr>
          </w:p>
        </w:tc>
        <w:tc>
          <w:tcPr>
            <w:tcW w:w="959" w:type="dxa"/>
            <w:vAlign w:val="top"/>
          </w:tcPr>
          <w:p w14:paraId="4B77A6CC">
            <w:pPr>
              <w:rPr>
                <w:rFonts w:ascii="Arial"/>
                <w:sz w:val="21"/>
                <w:highlight w:val="none"/>
              </w:rPr>
            </w:pPr>
          </w:p>
        </w:tc>
        <w:tc>
          <w:tcPr>
            <w:tcW w:w="1159" w:type="dxa"/>
            <w:vAlign w:val="top"/>
          </w:tcPr>
          <w:p w14:paraId="4B94A6E4">
            <w:pPr>
              <w:rPr>
                <w:rFonts w:ascii="Arial"/>
                <w:sz w:val="21"/>
                <w:highlight w:val="none"/>
              </w:rPr>
            </w:pPr>
          </w:p>
        </w:tc>
        <w:tc>
          <w:tcPr>
            <w:tcW w:w="754" w:type="dxa"/>
            <w:vAlign w:val="top"/>
          </w:tcPr>
          <w:p w14:paraId="61A92F81">
            <w:pPr>
              <w:rPr>
                <w:rFonts w:ascii="Arial"/>
                <w:sz w:val="21"/>
                <w:highlight w:val="none"/>
              </w:rPr>
            </w:pPr>
          </w:p>
        </w:tc>
      </w:tr>
      <w:tr w14:paraId="3AFFF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4AB5B973">
            <w:pPr>
              <w:rPr>
                <w:rFonts w:ascii="Arial"/>
                <w:sz w:val="21"/>
                <w:highlight w:val="none"/>
              </w:rPr>
            </w:pPr>
          </w:p>
        </w:tc>
        <w:tc>
          <w:tcPr>
            <w:tcW w:w="1179" w:type="dxa"/>
            <w:vAlign w:val="top"/>
          </w:tcPr>
          <w:p w14:paraId="268F83AF">
            <w:pPr>
              <w:rPr>
                <w:rFonts w:ascii="Arial"/>
                <w:sz w:val="21"/>
                <w:highlight w:val="none"/>
              </w:rPr>
            </w:pPr>
          </w:p>
        </w:tc>
        <w:tc>
          <w:tcPr>
            <w:tcW w:w="829" w:type="dxa"/>
            <w:vAlign w:val="top"/>
          </w:tcPr>
          <w:p w14:paraId="6B589CC9">
            <w:pPr>
              <w:rPr>
                <w:rFonts w:ascii="Arial"/>
                <w:sz w:val="21"/>
                <w:highlight w:val="none"/>
              </w:rPr>
            </w:pPr>
          </w:p>
        </w:tc>
        <w:tc>
          <w:tcPr>
            <w:tcW w:w="1079" w:type="dxa"/>
            <w:vAlign w:val="top"/>
          </w:tcPr>
          <w:p w14:paraId="672A5FC6">
            <w:pPr>
              <w:rPr>
                <w:rFonts w:ascii="Arial"/>
                <w:sz w:val="21"/>
                <w:highlight w:val="none"/>
              </w:rPr>
            </w:pPr>
          </w:p>
        </w:tc>
        <w:tc>
          <w:tcPr>
            <w:tcW w:w="719" w:type="dxa"/>
            <w:vAlign w:val="top"/>
          </w:tcPr>
          <w:p w14:paraId="1715866C">
            <w:pPr>
              <w:rPr>
                <w:rFonts w:ascii="Arial"/>
                <w:sz w:val="21"/>
                <w:highlight w:val="none"/>
              </w:rPr>
            </w:pPr>
          </w:p>
        </w:tc>
        <w:tc>
          <w:tcPr>
            <w:tcW w:w="809" w:type="dxa"/>
            <w:vAlign w:val="top"/>
          </w:tcPr>
          <w:p w14:paraId="7350EAD1">
            <w:pPr>
              <w:rPr>
                <w:rFonts w:ascii="Arial"/>
                <w:sz w:val="21"/>
                <w:highlight w:val="none"/>
              </w:rPr>
            </w:pPr>
          </w:p>
        </w:tc>
        <w:tc>
          <w:tcPr>
            <w:tcW w:w="1319" w:type="dxa"/>
            <w:vAlign w:val="top"/>
          </w:tcPr>
          <w:p w14:paraId="6E82DAC7">
            <w:pPr>
              <w:rPr>
                <w:rFonts w:ascii="Arial"/>
                <w:sz w:val="21"/>
                <w:highlight w:val="none"/>
              </w:rPr>
            </w:pPr>
          </w:p>
        </w:tc>
        <w:tc>
          <w:tcPr>
            <w:tcW w:w="959" w:type="dxa"/>
            <w:vAlign w:val="top"/>
          </w:tcPr>
          <w:p w14:paraId="0B290C24">
            <w:pPr>
              <w:rPr>
                <w:rFonts w:ascii="Arial"/>
                <w:sz w:val="21"/>
                <w:highlight w:val="none"/>
              </w:rPr>
            </w:pPr>
          </w:p>
        </w:tc>
        <w:tc>
          <w:tcPr>
            <w:tcW w:w="1159" w:type="dxa"/>
            <w:vAlign w:val="top"/>
          </w:tcPr>
          <w:p w14:paraId="240A2927">
            <w:pPr>
              <w:rPr>
                <w:rFonts w:ascii="Arial"/>
                <w:sz w:val="21"/>
                <w:highlight w:val="none"/>
              </w:rPr>
            </w:pPr>
          </w:p>
        </w:tc>
        <w:tc>
          <w:tcPr>
            <w:tcW w:w="754" w:type="dxa"/>
            <w:vAlign w:val="top"/>
          </w:tcPr>
          <w:p w14:paraId="56C961EE">
            <w:pPr>
              <w:rPr>
                <w:rFonts w:ascii="Arial"/>
                <w:sz w:val="21"/>
                <w:highlight w:val="none"/>
              </w:rPr>
            </w:pPr>
          </w:p>
        </w:tc>
      </w:tr>
      <w:tr w14:paraId="50F64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3ACD47A7">
            <w:pPr>
              <w:rPr>
                <w:rFonts w:ascii="Arial"/>
                <w:sz w:val="21"/>
                <w:highlight w:val="none"/>
              </w:rPr>
            </w:pPr>
          </w:p>
        </w:tc>
        <w:tc>
          <w:tcPr>
            <w:tcW w:w="1179" w:type="dxa"/>
            <w:vAlign w:val="top"/>
          </w:tcPr>
          <w:p w14:paraId="03065AC8">
            <w:pPr>
              <w:rPr>
                <w:rFonts w:ascii="Arial"/>
                <w:sz w:val="21"/>
                <w:highlight w:val="none"/>
              </w:rPr>
            </w:pPr>
          </w:p>
        </w:tc>
        <w:tc>
          <w:tcPr>
            <w:tcW w:w="829" w:type="dxa"/>
            <w:vAlign w:val="top"/>
          </w:tcPr>
          <w:p w14:paraId="14F112BA">
            <w:pPr>
              <w:rPr>
                <w:rFonts w:ascii="Arial"/>
                <w:sz w:val="21"/>
                <w:highlight w:val="none"/>
              </w:rPr>
            </w:pPr>
          </w:p>
        </w:tc>
        <w:tc>
          <w:tcPr>
            <w:tcW w:w="1079" w:type="dxa"/>
            <w:vAlign w:val="top"/>
          </w:tcPr>
          <w:p w14:paraId="2AAEE38E">
            <w:pPr>
              <w:rPr>
                <w:rFonts w:ascii="Arial"/>
                <w:sz w:val="21"/>
                <w:highlight w:val="none"/>
              </w:rPr>
            </w:pPr>
          </w:p>
        </w:tc>
        <w:tc>
          <w:tcPr>
            <w:tcW w:w="719" w:type="dxa"/>
            <w:vAlign w:val="top"/>
          </w:tcPr>
          <w:p w14:paraId="23F1E27F">
            <w:pPr>
              <w:rPr>
                <w:rFonts w:ascii="Arial"/>
                <w:sz w:val="21"/>
                <w:highlight w:val="none"/>
              </w:rPr>
            </w:pPr>
          </w:p>
        </w:tc>
        <w:tc>
          <w:tcPr>
            <w:tcW w:w="809" w:type="dxa"/>
            <w:vAlign w:val="top"/>
          </w:tcPr>
          <w:p w14:paraId="665A4B32">
            <w:pPr>
              <w:rPr>
                <w:rFonts w:ascii="Arial"/>
                <w:sz w:val="21"/>
                <w:highlight w:val="none"/>
              </w:rPr>
            </w:pPr>
          </w:p>
        </w:tc>
        <w:tc>
          <w:tcPr>
            <w:tcW w:w="1319" w:type="dxa"/>
            <w:vAlign w:val="top"/>
          </w:tcPr>
          <w:p w14:paraId="7EA84DE6">
            <w:pPr>
              <w:rPr>
                <w:rFonts w:ascii="Arial"/>
                <w:sz w:val="21"/>
                <w:highlight w:val="none"/>
              </w:rPr>
            </w:pPr>
          </w:p>
        </w:tc>
        <w:tc>
          <w:tcPr>
            <w:tcW w:w="959" w:type="dxa"/>
            <w:vAlign w:val="top"/>
          </w:tcPr>
          <w:p w14:paraId="6A69BAF3">
            <w:pPr>
              <w:rPr>
                <w:rFonts w:ascii="Arial"/>
                <w:sz w:val="21"/>
                <w:highlight w:val="none"/>
              </w:rPr>
            </w:pPr>
          </w:p>
        </w:tc>
        <w:tc>
          <w:tcPr>
            <w:tcW w:w="1159" w:type="dxa"/>
            <w:vAlign w:val="top"/>
          </w:tcPr>
          <w:p w14:paraId="4536381C">
            <w:pPr>
              <w:rPr>
                <w:rFonts w:ascii="Arial"/>
                <w:sz w:val="21"/>
                <w:highlight w:val="none"/>
              </w:rPr>
            </w:pPr>
          </w:p>
        </w:tc>
        <w:tc>
          <w:tcPr>
            <w:tcW w:w="754" w:type="dxa"/>
            <w:vAlign w:val="top"/>
          </w:tcPr>
          <w:p w14:paraId="587D696B">
            <w:pPr>
              <w:rPr>
                <w:rFonts w:ascii="Arial"/>
                <w:sz w:val="21"/>
                <w:highlight w:val="none"/>
              </w:rPr>
            </w:pPr>
          </w:p>
        </w:tc>
      </w:tr>
      <w:tr w14:paraId="3EE13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24" w:type="dxa"/>
            <w:vAlign w:val="top"/>
          </w:tcPr>
          <w:p w14:paraId="42FD37D5">
            <w:pPr>
              <w:rPr>
                <w:rFonts w:ascii="Arial"/>
                <w:sz w:val="21"/>
                <w:highlight w:val="none"/>
              </w:rPr>
            </w:pPr>
          </w:p>
        </w:tc>
        <w:tc>
          <w:tcPr>
            <w:tcW w:w="1179" w:type="dxa"/>
            <w:vAlign w:val="top"/>
          </w:tcPr>
          <w:p w14:paraId="1915A93D">
            <w:pPr>
              <w:rPr>
                <w:rFonts w:ascii="Arial"/>
                <w:sz w:val="21"/>
                <w:highlight w:val="none"/>
              </w:rPr>
            </w:pPr>
          </w:p>
        </w:tc>
        <w:tc>
          <w:tcPr>
            <w:tcW w:w="829" w:type="dxa"/>
            <w:vAlign w:val="top"/>
          </w:tcPr>
          <w:p w14:paraId="7C5E940A">
            <w:pPr>
              <w:rPr>
                <w:rFonts w:ascii="Arial"/>
                <w:sz w:val="21"/>
                <w:highlight w:val="none"/>
              </w:rPr>
            </w:pPr>
          </w:p>
        </w:tc>
        <w:tc>
          <w:tcPr>
            <w:tcW w:w="1079" w:type="dxa"/>
            <w:vAlign w:val="top"/>
          </w:tcPr>
          <w:p w14:paraId="5218ECCF">
            <w:pPr>
              <w:rPr>
                <w:rFonts w:ascii="Arial"/>
                <w:sz w:val="21"/>
                <w:highlight w:val="none"/>
              </w:rPr>
            </w:pPr>
          </w:p>
        </w:tc>
        <w:tc>
          <w:tcPr>
            <w:tcW w:w="719" w:type="dxa"/>
            <w:vAlign w:val="top"/>
          </w:tcPr>
          <w:p w14:paraId="4CBF5562">
            <w:pPr>
              <w:rPr>
                <w:rFonts w:ascii="Arial"/>
                <w:sz w:val="21"/>
                <w:highlight w:val="none"/>
              </w:rPr>
            </w:pPr>
          </w:p>
        </w:tc>
        <w:tc>
          <w:tcPr>
            <w:tcW w:w="809" w:type="dxa"/>
            <w:vAlign w:val="top"/>
          </w:tcPr>
          <w:p w14:paraId="7ECD0762">
            <w:pPr>
              <w:rPr>
                <w:rFonts w:ascii="Arial"/>
                <w:sz w:val="21"/>
                <w:highlight w:val="none"/>
              </w:rPr>
            </w:pPr>
          </w:p>
        </w:tc>
        <w:tc>
          <w:tcPr>
            <w:tcW w:w="1319" w:type="dxa"/>
            <w:vAlign w:val="top"/>
          </w:tcPr>
          <w:p w14:paraId="3C743BE8">
            <w:pPr>
              <w:rPr>
                <w:rFonts w:ascii="Arial"/>
                <w:sz w:val="21"/>
                <w:highlight w:val="none"/>
              </w:rPr>
            </w:pPr>
          </w:p>
        </w:tc>
        <w:tc>
          <w:tcPr>
            <w:tcW w:w="959" w:type="dxa"/>
            <w:vAlign w:val="top"/>
          </w:tcPr>
          <w:p w14:paraId="0E3ABD0E">
            <w:pPr>
              <w:rPr>
                <w:rFonts w:ascii="Arial"/>
                <w:sz w:val="21"/>
                <w:highlight w:val="none"/>
              </w:rPr>
            </w:pPr>
          </w:p>
        </w:tc>
        <w:tc>
          <w:tcPr>
            <w:tcW w:w="1159" w:type="dxa"/>
            <w:vAlign w:val="top"/>
          </w:tcPr>
          <w:p w14:paraId="5211E988">
            <w:pPr>
              <w:rPr>
                <w:rFonts w:ascii="Arial"/>
                <w:sz w:val="21"/>
                <w:highlight w:val="none"/>
              </w:rPr>
            </w:pPr>
          </w:p>
        </w:tc>
        <w:tc>
          <w:tcPr>
            <w:tcW w:w="754" w:type="dxa"/>
            <w:vAlign w:val="top"/>
          </w:tcPr>
          <w:p w14:paraId="581CE094">
            <w:pPr>
              <w:rPr>
                <w:rFonts w:ascii="Arial"/>
                <w:sz w:val="21"/>
                <w:highlight w:val="none"/>
              </w:rPr>
            </w:pPr>
          </w:p>
        </w:tc>
      </w:tr>
      <w:tr w14:paraId="37EDD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0CE4F143">
            <w:pPr>
              <w:rPr>
                <w:rFonts w:ascii="Arial"/>
                <w:sz w:val="21"/>
                <w:highlight w:val="none"/>
              </w:rPr>
            </w:pPr>
          </w:p>
        </w:tc>
        <w:tc>
          <w:tcPr>
            <w:tcW w:w="1179" w:type="dxa"/>
            <w:vAlign w:val="top"/>
          </w:tcPr>
          <w:p w14:paraId="7F254E71">
            <w:pPr>
              <w:rPr>
                <w:rFonts w:ascii="Arial"/>
                <w:sz w:val="21"/>
                <w:highlight w:val="none"/>
              </w:rPr>
            </w:pPr>
          </w:p>
        </w:tc>
        <w:tc>
          <w:tcPr>
            <w:tcW w:w="829" w:type="dxa"/>
            <w:vAlign w:val="top"/>
          </w:tcPr>
          <w:p w14:paraId="0F468DFF">
            <w:pPr>
              <w:rPr>
                <w:rFonts w:ascii="Arial"/>
                <w:sz w:val="21"/>
                <w:highlight w:val="none"/>
              </w:rPr>
            </w:pPr>
          </w:p>
        </w:tc>
        <w:tc>
          <w:tcPr>
            <w:tcW w:w="1079" w:type="dxa"/>
            <w:vAlign w:val="top"/>
          </w:tcPr>
          <w:p w14:paraId="202B4A9B">
            <w:pPr>
              <w:rPr>
                <w:rFonts w:ascii="Arial"/>
                <w:sz w:val="21"/>
                <w:highlight w:val="none"/>
              </w:rPr>
            </w:pPr>
          </w:p>
        </w:tc>
        <w:tc>
          <w:tcPr>
            <w:tcW w:w="719" w:type="dxa"/>
            <w:vAlign w:val="top"/>
          </w:tcPr>
          <w:p w14:paraId="7F2632E6">
            <w:pPr>
              <w:rPr>
                <w:rFonts w:ascii="Arial"/>
                <w:sz w:val="21"/>
                <w:highlight w:val="none"/>
              </w:rPr>
            </w:pPr>
          </w:p>
        </w:tc>
        <w:tc>
          <w:tcPr>
            <w:tcW w:w="809" w:type="dxa"/>
            <w:vAlign w:val="top"/>
          </w:tcPr>
          <w:p w14:paraId="10152A53">
            <w:pPr>
              <w:rPr>
                <w:rFonts w:ascii="Arial"/>
                <w:sz w:val="21"/>
                <w:highlight w:val="none"/>
              </w:rPr>
            </w:pPr>
          </w:p>
        </w:tc>
        <w:tc>
          <w:tcPr>
            <w:tcW w:w="1319" w:type="dxa"/>
            <w:vAlign w:val="top"/>
          </w:tcPr>
          <w:p w14:paraId="43933170">
            <w:pPr>
              <w:rPr>
                <w:rFonts w:ascii="Arial"/>
                <w:sz w:val="21"/>
                <w:highlight w:val="none"/>
              </w:rPr>
            </w:pPr>
          </w:p>
        </w:tc>
        <w:tc>
          <w:tcPr>
            <w:tcW w:w="959" w:type="dxa"/>
            <w:vAlign w:val="top"/>
          </w:tcPr>
          <w:p w14:paraId="421BE83D">
            <w:pPr>
              <w:rPr>
                <w:rFonts w:ascii="Arial"/>
                <w:sz w:val="21"/>
                <w:highlight w:val="none"/>
              </w:rPr>
            </w:pPr>
          </w:p>
        </w:tc>
        <w:tc>
          <w:tcPr>
            <w:tcW w:w="1159" w:type="dxa"/>
            <w:vAlign w:val="top"/>
          </w:tcPr>
          <w:p w14:paraId="1D7CC473">
            <w:pPr>
              <w:rPr>
                <w:rFonts w:ascii="Arial"/>
                <w:sz w:val="21"/>
                <w:highlight w:val="none"/>
              </w:rPr>
            </w:pPr>
          </w:p>
        </w:tc>
        <w:tc>
          <w:tcPr>
            <w:tcW w:w="754" w:type="dxa"/>
            <w:vAlign w:val="top"/>
          </w:tcPr>
          <w:p w14:paraId="6A8B9500">
            <w:pPr>
              <w:rPr>
                <w:rFonts w:ascii="Arial"/>
                <w:sz w:val="21"/>
                <w:highlight w:val="none"/>
              </w:rPr>
            </w:pPr>
          </w:p>
        </w:tc>
      </w:tr>
      <w:tr w14:paraId="534FC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74D4236B">
            <w:pPr>
              <w:rPr>
                <w:rFonts w:ascii="Arial"/>
                <w:sz w:val="21"/>
                <w:highlight w:val="none"/>
              </w:rPr>
            </w:pPr>
          </w:p>
        </w:tc>
        <w:tc>
          <w:tcPr>
            <w:tcW w:w="1179" w:type="dxa"/>
            <w:vAlign w:val="top"/>
          </w:tcPr>
          <w:p w14:paraId="0CF8CB19">
            <w:pPr>
              <w:rPr>
                <w:rFonts w:ascii="Arial"/>
                <w:sz w:val="21"/>
                <w:highlight w:val="none"/>
              </w:rPr>
            </w:pPr>
          </w:p>
        </w:tc>
        <w:tc>
          <w:tcPr>
            <w:tcW w:w="829" w:type="dxa"/>
            <w:vAlign w:val="top"/>
          </w:tcPr>
          <w:p w14:paraId="27A6CF78">
            <w:pPr>
              <w:rPr>
                <w:rFonts w:ascii="Arial"/>
                <w:sz w:val="21"/>
                <w:highlight w:val="none"/>
              </w:rPr>
            </w:pPr>
          </w:p>
        </w:tc>
        <w:tc>
          <w:tcPr>
            <w:tcW w:w="1079" w:type="dxa"/>
            <w:vAlign w:val="top"/>
          </w:tcPr>
          <w:p w14:paraId="2CB586AD">
            <w:pPr>
              <w:rPr>
                <w:rFonts w:ascii="Arial"/>
                <w:sz w:val="21"/>
                <w:highlight w:val="none"/>
              </w:rPr>
            </w:pPr>
          </w:p>
        </w:tc>
        <w:tc>
          <w:tcPr>
            <w:tcW w:w="719" w:type="dxa"/>
            <w:vAlign w:val="top"/>
          </w:tcPr>
          <w:p w14:paraId="719C1161">
            <w:pPr>
              <w:rPr>
                <w:rFonts w:ascii="Arial"/>
                <w:sz w:val="21"/>
                <w:highlight w:val="none"/>
              </w:rPr>
            </w:pPr>
          </w:p>
        </w:tc>
        <w:tc>
          <w:tcPr>
            <w:tcW w:w="809" w:type="dxa"/>
            <w:vAlign w:val="top"/>
          </w:tcPr>
          <w:p w14:paraId="2111F66C">
            <w:pPr>
              <w:rPr>
                <w:rFonts w:ascii="Arial"/>
                <w:sz w:val="21"/>
                <w:highlight w:val="none"/>
              </w:rPr>
            </w:pPr>
          </w:p>
        </w:tc>
        <w:tc>
          <w:tcPr>
            <w:tcW w:w="1319" w:type="dxa"/>
            <w:vAlign w:val="top"/>
          </w:tcPr>
          <w:p w14:paraId="4E7604D5">
            <w:pPr>
              <w:rPr>
                <w:rFonts w:ascii="Arial"/>
                <w:sz w:val="21"/>
                <w:highlight w:val="none"/>
              </w:rPr>
            </w:pPr>
          </w:p>
        </w:tc>
        <w:tc>
          <w:tcPr>
            <w:tcW w:w="959" w:type="dxa"/>
            <w:vAlign w:val="top"/>
          </w:tcPr>
          <w:p w14:paraId="5331FED8">
            <w:pPr>
              <w:rPr>
                <w:rFonts w:ascii="Arial"/>
                <w:sz w:val="21"/>
                <w:highlight w:val="none"/>
              </w:rPr>
            </w:pPr>
          </w:p>
        </w:tc>
        <w:tc>
          <w:tcPr>
            <w:tcW w:w="1159" w:type="dxa"/>
            <w:vAlign w:val="top"/>
          </w:tcPr>
          <w:p w14:paraId="7DE07B10">
            <w:pPr>
              <w:rPr>
                <w:rFonts w:ascii="Arial"/>
                <w:sz w:val="21"/>
                <w:highlight w:val="none"/>
              </w:rPr>
            </w:pPr>
          </w:p>
        </w:tc>
        <w:tc>
          <w:tcPr>
            <w:tcW w:w="754" w:type="dxa"/>
            <w:vAlign w:val="top"/>
          </w:tcPr>
          <w:p w14:paraId="091A6D7A">
            <w:pPr>
              <w:rPr>
                <w:rFonts w:ascii="Arial"/>
                <w:sz w:val="21"/>
                <w:highlight w:val="none"/>
              </w:rPr>
            </w:pPr>
          </w:p>
        </w:tc>
      </w:tr>
      <w:tr w14:paraId="07639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126534A2">
            <w:pPr>
              <w:rPr>
                <w:rFonts w:ascii="Arial"/>
                <w:sz w:val="21"/>
                <w:highlight w:val="none"/>
              </w:rPr>
            </w:pPr>
          </w:p>
        </w:tc>
        <w:tc>
          <w:tcPr>
            <w:tcW w:w="1179" w:type="dxa"/>
            <w:vAlign w:val="top"/>
          </w:tcPr>
          <w:p w14:paraId="6BB8203D">
            <w:pPr>
              <w:rPr>
                <w:rFonts w:ascii="Arial"/>
                <w:sz w:val="21"/>
                <w:highlight w:val="none"/>
              </w:rPr>
            </w:pPr>
          </w:p>
        </w:tc>
        <w:tc>
          <w:tcPr>
            <w:tcW w:w="829" w:type="dxa"/>
            <w:vAlign w:val="top"/>
          </w:tcPr>
          <w:p w14:paraId="3C4651EC">
            <w:pPr>
              <w:rPr>
                <w:rFonts w:ascii="Arial"/>
                <w:sz w:val="21"/>
                <w:highlight w:val="none"/>
              </w:rPr>
            </w:pPr>
          </w:p>
        </w:tc>
        <w:tc>
          <w:tcPr>
            <w:tcW w:w="1079" w:type="dxa"/>
            <w:vAlign w:val="top"/>
          </w:tcPr>
          <w:p w14:paraId="1D0817ED">
            <w:pPr>
              <w:rPr>
                <w:rFonts w:ascii="Arial"/>
                <w:sz w:val="21"/>
                <w:highlight w:val="none"/>
              </w:rPr>
            </w:pPr>
          </w:p>
        </w:tc>
        <w:tc>
          <w:tcPr>
            <w:tcW w:w="719" w:type="dxa"/>
            <w:vAlign w:val="top"/>
          </w:tcPr>
          <w:p w14:paraId="6B871D32">
            <w:pPr>
              <w:rPr>
                <w:rFonts w:ascii="Arial"/>
                <w:sz w:val="21"/>
                <w:highlight w:val="none"/>
              </w:rPr>
            </w:pPr>
          </w:p>
        </w:tc>
        <w:tc>
          <w:tcPr>
            <w:tcW w:w="809" w:type="dxa"/>
            <w:vAlign w:val="top"/>
          </w:tcPr>
          <w:p w14:paraId="7070FD90">
            <w:pPr>
              <w:rPr>
                <w:rFonts w:ascii="Arial"/>
                <w:sz w:val="21"/>
                <w:highlight w:val="none"/>
              </w:rPr>
            </w:pPr>
          </w:p>
        </w:tc>
        <w:tc>
          <w:tcPr>
            <w:tcW w:w="1319" w:type="dxa"/>
            <w:vAlign w:val="top"/>
          </w:tcPr>
          <w:p w14:paraId="2CD6D9D0">
            <w:pPr>
              <w:rPr>
                <w:rFonts w:ascii="Arial"/>
                <w:sz w:val="21"/>
                <w:highlight w:val="none"/>
              </w:rPr>
            </w:pPr>
          </w:p>
        </w:tc>
        <w:tc>
          <w:tcPr>
            <w:tcW w:w="959" w:type="dxa"/>
            <w:vAlign w:val="top"/>
          </w:tcPr>
          <w:p w14:paraId="7CE16ED5">
            <w:pPr>
              <w:rPr>
                <w:rFonts w:ascii="Arial"/>
                <w:sz w:val="21"/>
                <w:highlight w:val="none"/>
              </w:rPr>
            </w:pPr>
          </w:p>
        </w:tc>
        <w:tc>
          <w:tcPr>
            <w:tcW w:w="1159" w:type="dxa"/>
            <w:vAlign w:val="top"/>
          </w:tcPr>
          <w:p w14:paraId="0299B9D1">
            <w:pPr>
              <w:rPr>
                <w:rFonts w:ascii="Arial"/>
                <w:sz w:val="21"/>
                <w:highlight w:val="none"/>
              </w:rPr>
            </w:pPr>
          </w:p>
        </w:tc>
        <w:tc>
          <w:tcPr>
            <w:tcW w:w="754" w:type="dxa"/>
            <w:vAlign w:val="top"/>
          </w:tcPr>
          <w:p w14:paraId="537D9038">
            <w:pPr>
              <w:rPr>
                <w:rFonts w:ascii="Arial"/>
                <w:sz w:val="21"/>
                <w:highlight w:val="none"/>
              </w:rPr>
            </w:pPr>
          </w:p>
        </w:tc>
      </w:tr>
      <w:tr w14:paraId="6E925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2E0D1123">
            <w:pPr>
              <w:rPr>
                <w:rFonts w:ascii="Arial"/>
                <w:sz w:val="21"/>
                <w:highlight w:val="none"/>
              </w:rPr>
            </w:pPr>
          </w:p>
        </w:tc>
        <w:tc>
          <w:tcPr>
            <w:tcW w:w="1179" w:type="dxa"/>
            <w:vAlign w:val="top"/>
          </w:tcPr>
          <w:p w14:paraId="354AEFB3">
            <w:pPr>
              <w:rPr>
                <w:rFonts w:ascii="Arial"/>
                <w:sz w:val="21"/>
                <w:highlight w:val="none"/>
              </w:rPr>
            </w:pPr>
          </w:p>
        </w:tc>
        <w:tc>
          <w:tcPr>
            <w:tcW w:w="829" w:type="dxa"/>
            <w:vAlign w:val="top"/>
          </w:tcPr>
          <w:p w14:paraId="1B1A6E7F">
            <w:pPr>
              <w:rPr>
                <w:rFonts w:ascii="Arial"/>
                <w:sz w:val="21"/>
                <w:highlight w:val="none"/>
              </w:rPr>
            </w:pPr>
          </w:p>
        </w:tc>
        <w:tc>
          <w:tcPr>
            <w:tcW w:w="1079" w:type="dxa"/>
            <w:vAlign w:val="top"/>
          </w:tcPr>
          <w:p w14:paraId="19DE2CCC">
            <w:pPr>
              <w:rPr>
                <w:rFonts w:ascii="Arial"/>
                <w:sz w:val="21"/>
                <w:highlight w:val="none"/>
              </w:rPr>
            </w:pPr>
          </w:p>
        </w:tc>
        <w:tc>
          <w:tcPr>
            <w:tcW w:w="719" w:type="dxa"/>
            <w:vAlign w:val="top"/>
          </w:tcPr>
          <w:p w14:paraId="65B7ECCC">
            <w:pPr>
              <w:rPr>
                <w:rFonts w:ascii="Arial"/>
                <w:sz w:val="21"/>
                <w:highlight w:val="none"/>
              </w:rPr>
            </w:pPr>
          </w:p>
        </w:tc>
        <w:tc>
          <w:tcPr>
            <w:tcW w:w="809" w:type="dxa"/>
            <w:vAlign w:val="top"/>
          </w:tcPr>
          <w:p w14:paraId="0D1F0C17">
            <w:pPr>
              <w:rPr>
                <w:rFonts w:ascii="Arial"/>
                <w:sz w:val="21"/>
                <w:highlight w:val="none"/>
              </w:rPr>
            </w:pPr>
          </w:p>
        </w:tc>
        <w:tc>
          <w:tcPr>
            <w:tcW w:w="1319" w:type="dxa"/>
            <w:vAlign w:val="top"/>
          </w:tcPr>
          <w:p w14:paraId="156ED3A0">
            <w:pPr>
              <w:rPr>
                <w:rFonts w:ascii="Arial"/>
                <w:sz w:val="21"/>
                <w:highlight w:val="none"/>
              </w:rPr>
            </w:pPr>
          </w:p>
        </w:tc>
        <w:tc>
          <w:tcPr>
            <w:tcW w:w="959" w:type="dxa"/>
            <w:vAlign w:val="top"/>
          </w:tcPr>
          <w:p w14:paraId="29236FDB">
            <w:pPr>
              <w:rPr>
                <w:rFonts w:ascii="Arial"/>
                <w:sz w:val="21"/>
                <w:highlight w:val="none"/>
              </w:rPr>
            </w:pPr>
          </w:p>
        </w:tc>
        <w:tc>
          <w:tcPr>
            <w:tcW w:w="1159" w:type="dxa"/>
            <w:vAlign w:val="top"/>
          </w:tcPr>
          <w:p w14:paraId="409F8A1D">
            <w:pPr>
              <w:rPr>
                <w:rFonts w:ascii="Arial"/>
                <w:sz w:val="21"/>
                <w:highlight w:val="none"/>
              </w:rPr>
            </w:pPr>
          </w:p>
        </w:tc>
        <w:tc>
          <w:tcPr>
            <w:tcW w:w="754" w:type="dxa"/>
            <w:vAlign w:val="top"/>
          </w:tcPr>
          <w:p w14:paraId="64BF1916">
            <w:pPr>
              <w:rPr>
                <w:rFonts w:ascii="Arial"/>
                <w:sz w:val="21"/>
                <w:highlight w:val="none"/>
              </w:rPr>
            </w:pPr>
          </w:p>
        </w:tc>
      </w:tr>
      <w:tr w14:paraId="5B5CA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0F72C229">
            <w:pPr>
              <w:rPr>
                <w:rFonts w:ascii="Arial"/>
                <w:sz w:val="21"/>
                <w:highlight w:val="none"/>
              </w:rPr>
            </w:pPr>
          </w:p>
        </w:tc>
        <w:tc>
          <w:tcPr>
            <w:tcW w:w="1179" w:type="dxa"/>
            <w:vAlign w:val="top"/>
          </w:tcPr>
          <w:p w14:paraId="52B906D3">
            <w:pPr>
              <w:rPr>
                <w:rFonts w:ascii="Arial"/>
                <w:sz w:val="21"/>
                <w:highlight w:val="none"/>
              </w:rPr>
            </w:pPr>
          </w:p>
        </w:tc>
        <w:tc>
          <w:tcPr>
            <w:tcW w:w="829" w:type="dxa"/>
            <w:vAlign w:val="top"/>
          </w:tcPr>
          <w:p w14:paraId="7502C1BB">
            <w:pPr>
              <w:rPr>
                <w:rFonts w:ascii="Arial"/>
                <w:sz w:val="21"/>
                <w:highlight w:val="none"/>
              </w:rPr>
            </w:pPr>
          </w:p>
        </w:tc>
        <w:tc>
          <w:tcPr>
            <w:tcW w:w="1079" w:type="dxa"/>
            <w:vAlign w:val="top"/>
          </w:tcPr>
          <w:p w14:paraId="68DCDF5D">
            <w:pPr>
              <w:rPr>
                <w:rFonts w:ascii="Arial"/>
                <w:sz w:val="21"/>
                <w:highlight w:val="none"/>
              </w:rPr>
            </w:pPr>
          </w:p>
        </w:tc>
        <w:tc>
          <w:tcPr>
            <w:tcW w:w="719" w:type="dxa"/>
            <w:vAlign w:val="top"/>
          </w:tcPr>
          <w:p w14:paraId="34DB37A2">
            <w:pPr>
              <w:rPr>
                <w:rFonts w:ascii="Arial"/>
                <w:sz w:val="21"/>
                <w:highlight w:val="none"/>
              </w:rPr>
            </w:pPr>
          </w:p>
        </w:tc>
        <w:tc>
          <w:tcPr>
            <w:tcW w:w="809" w:type="dxa"/>
            <w:vAlign w:val="top"/>
          </w:tcPr>
          <w:p w14:paraId="40E4B09D">
            <w:pPr>
              <w:rPr>
                <w:rFonts w:ascii="Arial"/>
                <w:sz w:val="21"/>
                <w:highlight w:val="none"/>
              </w:rPr>
            </w:pPr>
          </w:p>
        </w:tc>
        <w:tc>
          <w:tcPr>
            <w:tcW w:w="1319" w:type="dxa"/>
            <w:vAlign w:val="top"/>
          </w:tcPr>
          <w:p w14:paraId="633C9BD5">
            <w:pPr>
              <w:rPr>
                <w:rFonts w:ascii="Arial"/>
                <w:sz w:val="21"/>
                <w:highlight w:val="none"/>
              </w:rPr>
            </w:pPr>
          </w:p>
        </w:tc>
        <w:tc>
          <w:tcPr>
            <w:tcW w:w="959" w:type="dxa"/>
            <w:vAlign w:val="top"/>
          </w:tcPr>
          <w:p w14:paraId="213F3FFD">
            <w:pPr>
              <w:rPr>
                <w:rFonts w:ascii="Arial"/>
                <w:sz w:val="21"/>
                <w:highlight w:val="none"/>
              </w:rPr>
            </w:pPr>
          </w:p>
        </w:tc>
        <w:tc>
          <w:tcPr>
            <w:tcW w:w="1159" w:type="dxa"/>
            <w:vAlign w:val="top"/>
          </w:tcPr>
          <w:p w14:paraId="46660581">
            <w:pPr>
              <w:rPr>
                <w:rFonts w:ascii="Arial"/>
                <w:sz w:val="21"/>
                <w:highlight w:val="none"/>
              </w:rPr>
            </w:pPr>
          </w:p>
        </w:tc>
        <w:tc>
          <w:tcPr>
            <w:tcW w:w="754" w:type="dxa"/>
            <w:vAlign w:val="top"/>
          </w:tcPr>
          <w:p w14:paraId="7B5108AE">
            <w:pPr>
              <w:rPr>
                <w:rFonts w:ascii="Arial"/>
                <w:sz w:val="21"/>
                <w:highlight w:val="none"/>
              </w:rPr>
            </w:pPr>
          </w:p>
        </w:tc>
      </w:tr>
      <w:tr w14:paraId="0A160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24" w:type="dxa"/>
            <w:vAlign w:val="top"/>
          </w:tcPr>
          <w:p w14:paraId="539A9262">
            <w:pPr>
              <w:rPr>
                <w:rFonts w:ascii="Arial"/>
                <w:sz w:val="21"/>
                <w:highlight w:val="none"/>
              </w:rPr>
            </w:pPr>
          </w:p>
        </w:tc>
        <w:tc>
          <w:tcPr>
            <w:tcW w:w="1179" w:type="dxa"/>
            <w:vAlign w:val="top"/>
          </w:tcPr>
          <w:p w14:paraId="74083318">
            <w:pPr>
              <w:rPr>
                <w:rFonts w:ascii="Arial"/>
                <w:sz w:val="21"/>
                <w:highlight w:val="none"/>
              </w:rPr>
            </w:pPr>
          </w:p>
        </w:tc>
        <w:tc>
          <w:tcPr>
            <w:tcW w:w="829" w:type="dxa"/>
            <w:vAlign w:val="top"/>
          </w:tcPr>
          <w:p w14:paraId="508874F4">
            <w:pPr>
              <w:rPr>
                <w:rFonts w:ascii="Arial"/>
                <w:sz w:val="21"/>
                <w:highlight w:val="none"/>
              </w:rPr>
            </w:pPr>
          </w:p>
        </w:tc>
        <w:tc>
          <w:tcPr>
            <w:tcW w:w="1079" w:type="dxa"/>
            <w:vAlign w:val="top"/>
          </w:tcPr>
          <w:p w14:paraId="01C72BCD">
            <w:pPr>
              <w:rPr>
                <w:rFonts w:ascii="Arial"/>
                <w:sz w:val="21"/>
                <w:highlight w:val="none"/>
              </w:rPr>
            </w:pPr>
          </w:p>
        </w:tc>
        <w:tc>
          <w:tcPr>
            <w:tcW w:w="719" w:type="dxa"/>
            <w:vAlign w:val="top"/>
          </w:tcPr>
          <w:p w14:paraId="6ECDCFFB">
            <w:pPr>
              <w:rPr>
                <w:rFonts w:ascii="Arial"/>
                <w:sz w:val="21"/>
                <w:highlight w:val="none"/>
              </w:rPr>
            </w:pPr>
          </w:p>
        </w:tc>
        <w:tc>
          <w:tcPr>
            <w:tcW w:w="809" w:type="dxa"/>
            <w:vAlign w:val="top"/>
          </w:tcPr>
          <w:p w14:paraId="48DCBCC3">
            <w:pPr>
              <w:rPr>
                <w:rFonts w:ascii="Arial"/>
                <w:sz w:val="21"/>
                <w:highlight w:val="none"/>
              </w:rPr>
            </w:pPr>
          </w:p>
        </w:tc>
        <w:tc>
          <w:tcPr>
            <w:tcW w:w="1319" w:type="dxa"/>
            <w:vAlign w:val="top"/>
          </w:tcPr>
          <w:p w14:paraId="6BF86BBA">
            <w:pPr>
              <w:rPr>
                <w:rFonts w:ascii="Arial"/>
                <w:sz w:val="21"/>
                <w:highlight w:val="none"/>
              </w:rPr>
            </w:pPr>
          </w:p>
        </w:tc>
        <w:tc>
          <w:tcPr>
            <w:tcW w:w="959" w:type="dxa"/>
            <w:vAlign w:val="top"/>
          </w:tcPr>
          <w:p w14:paraId="251B2EC5">
            <w:pPr>
              <w:rPr>
                <w:rFonts w:ascii="Arial"/>
                <w:sz w:val="21"/>
                <w:highlight w:val="none"/>
              </w:rPr>
            </w:pPr>
          </w:p>
        </w:tc>
        <w:tc>
          <w:tcPr>
            <w:tcW w:w="1159" w:type="dxa"/>
            <w:vAlign w:val="top"/>
          </w:tcPr>
          <w:p w14:paraId="28968CD8">
            <w:pPr>
              <w:rPr>
                <w:rFonts w:ascii="Arial"/>
                <w:sz w:val="21"/>
                <w:highlight w:val="none"/>
              </w:rPr>
            </w:pPr>
          </w:p>
        </w:tc>
        <w:tc>
          <w:tcPr>
            <w:tcW w:w="754" w:type="dxa"/>
            <w:vAlign w:val="top"/>
          </w:tcPr>
          <w:p w14:paraId="510CC5E6">
            <w:pPr>
              <w:rPr>
                <w:rFonts w:ascii="Arial"/>
                <w:sz w:val="21"/>
                <w:highlight w:val="none"/>
              </w:rPr>
            </w:pPr>
          </w:p>
        </w:tc>
      </w:tr>
      <w:tr w14:paraId="7A98C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724" w:type="dxa"/>
            <w:vAlign w:val="top"/>
          </w:tcPr>
          <w:p w14:paraId="26C4AEDA">
            <w:pPr>
              <w:rPr>
                <w:rFonts w:ascii="Arial"/>
                <w:sz w:val="21"/>
                <w:highlight w:val="none"/>
              </w:rPr>
            </w:pPr>
          </w:p>
        </w:tc>
        <w:tc>
          <w:tcPr>
            <w:tcW w:w="1179" w:type="dxa"/>
            <w:vAlign w:val="top"/>
          </w:tcPr>
          <w:p w14:paraId="1CF54535">
            <w:pPr>
              <w:rPr>
                <w:rFonts w:ascii="Arial"/>
                <w:sz w:val="21"/>
                <w:highlight w:val="none"/>
              </w:rPr>
            </w:pPr>
          </w:p>
        </w:tc>
        <w:tc>
          <w:tcPr>
            <w:tcW w:w="829" w:type="dxa"/>
            <w:vAlign w:val="top"/>
          </w:tcPr>
          <w:p w14:paraId="47BCD6B3">
            <w:pPr>
              <w:rPr>
                <w:rFonts w:ascii="Arial"/>
                <w:sz w:val="21"/>
                <w:highlight w:val="none"/>
              </w:rPr>
            </w:pPr>
          </w:p>
        </w:tc>
        <w:tc>
          <w:tcPr>
            <w:tcW w:w="1079" w:type="dxa"/>
            <w:vAlign w:val="top"/>
          </w:tcPr>
          <w:p w14:paraId="29834B04">
            <w:pPr>
              <w:rPr>
                <w:rFonts w:ascii="Arial"/>
                <w:sz w:val="21"/>
                <w:highlight w:val="none"/>
              </w:rPr>
            </w:pPr>
          </w:p>
        </w:tc>
        <w:tc>
          <w:tcPr>
            <w:tcW w:w="719" w:type="dxa"/>
            <w:vAlign w:val="top"/>
          </w:tcPr>
          <w:p w14:paraId="6B3AFD87">
            <w:pPr>
              <w:rPr>
                <w:rFonts w:ascii="Arial"/>
                <w:sz w:val="21"/>
                <w:highlight w:val="none"/>
              </w:rPr>
            </w:pPr>
          </w:p>
        </w:tc>
        <w:tc>
          <w:tcPr>
            <w:tcW w:w="809" w:type="dxa"/>
            <w:vAlign w:val="top"/>
          </w:tcPr>
          <w:p w14:paraId="6B0B6390">
            <w:pPr>
              <w:rPr>
                <w:rFonts w:ascii="Arial"/>
                <w:sz w:val="21"/>
                <w:highlight w:val="none"/>
              </w:rPr>
            </w:pPr>
          </w:p>
        </w:tc>
        <w:tc>
          <w:tcPr>
            <w:tcW w:w="1319" w:type="dxa"/>
            <w:vAlign w:val="top"/>
          </w:tcPr>
          <w:p w14:paraId="0BB430BB">
            <w:pPr>
              <w:rPr>
                <w:rFonts w:ascii="Arial"/>
                <w:sz w:val="21"/>
                <w:highlight w:val="none"/>
              </w:rPr>
            </w:pPr>
          </w:p>
        </w:tc>
        <w:tc>
          <w:tcPr>
            <w:tcW w:w="959" w:type="dxa"/>
            <w:vAlign w:val="top"/>
          </w:tcPr>
          <w:p w14:paraId="3715D2F1">
            <w:pPr>
              <w:rPr>
                <w:rFonts w:ascii="Arial"/>
                <w:sz w:val="21"/>
                <w:highlight w:val="none"/>
              </w:rPr>
            </w:pPr>
          </w:p>
        </w:tc>
        <w:tc>
          <w:tcPr>
            <w:tcW w:w="1159" w:type="dxa"/>
            <w:vAlign w:val="top"/>
          </w:tcPr>
          <w:p w14:paraId="4705BF97">
            <w:pPr>
              <w:rPr>
                <w:rFonts w:ascii="Arial"/>
                <w:sz w:val="21"/>
                <w:highlight w:val="none"/>
              </w:rPr>
            </w:pPr>
          </w:p>
        </w:tc>
        <w:tc>
          <w:tcPr>
            <w:tcW w:w="754" w:type="dxa"/>
            <w:vAlign w:val="top"/>
          </w:tcPr>
          <w:p w14:paraId="046FE6C9">
            <w:pPr>
              <w:rPr>
                <w:rFonts w:ascii="Arial"/>
                <w:sz w:val="21"/>
                <w:highlight w:val="none"/>
              </w:rPr>
            </w:pPr>
          </w:p>
        </w:tc>
      </w:tr>
    </w:tbl>
    <w:p w14:paraId="4968829F">
      <w:pPr>
        <w:pStyle w:val="2"/>
        <w:rPr>
          <w:highlight w:val="none"/>
        </w:rPr>
      </w:pPr>
    </w:p>
    <w:p w14:paraId="1501B2E3">
      <w:pPr>
        <w:rPr>
          <w:highlight w:val="none"/>
        </w:rPr>
        <w:sectPr>
          <w:footerReference r:id="rId296" w:type="default"/>
          <w:pgSz w:w="11910" w:h="16840"/>
          <w:pgMar w:top="400" w:right="804" w:bottom="1238" w:left="1564" w:header="0" w:footer="1006" w:gutter="0"/>
          <w:cols w:space="720" w:num="1"/>
        </w:sectPr>
      </w:pPr>
    </w:p>
    <w:p w14:paraId="197DB4EF">
      <w:pPr>
        <w:pStyle w:val="2"/>
        <w:spacing w:line="248" w:lineRule="auto"/>
        <w:rPr>
          <w:highlight w:val="none"/>
        </w:rPr>
      </w:pPr>
    </w:p>
    <w:p w14:paraId="1C7DFDED">
      <w:pPr>
        <w:pStyle w:val="2"/>
        <w:spacing w:line="248" w:lineRule="auto"/>
        <w:rPr>
          <w:highlight w:val="none"/>
        </w:rPr>
      </w:pPr>
    </w:p>
    <w:p w14:paraId="22BF0A6C">
      <w:pPr>
        <w:pStyle w:val="2"/>
        <w:spacing w:line="249" w:lineRule="auto"/>
        <w:rPr>
          <w:highlight w:val="none"/>
        </w:rPr>
      </w:pPr>
    </w:p>
    <w:p w14:paraId="793D63FA">
      <w:pPr>
        <w:pStyle w:val="2"/>
        <w:spacing w:line="249" w:lineRule="auto"/>
        <w:rPr>
          <w:highlight w:val="none"/>
        </w:rPr>
      </w:pPr>
    </w:p>
    <w:p w14:paraId="710E6A6C">
      <w:pPr>
        <w:pStyle w:val="2"/>
        <w:spacing w:line="249" w:lineRule="auto"/>
        <w:rPr>
          <w:highlight w:val="none"/>
        </w:rPr>
      </w:pPr>
    </w:p>
    <w:p w14:paraId="08F2B1A8">
      <w:pPr>
        <w:pStyle w:val="2"/>
        <w:spacing w:line="249" w:lineRule="auto"/>
        <w:rPr>
          <w:highlight w:val="none"/>
        </w:rPr>
      </w:pPr>
    </w:p>
    <w:p w14:paraId="74854979">
      <w:pPr>
        <w:spacing w:before="65" w:line="219" w:lineRule="auto"/>
        <w:ind w:left="234"/>
        <w:rPr>
          <w:rFonts w:ascii="宋体" w:hAnsi="宋体" w:eastAsia="宋体" w:cs="宋体"/>
          <w:sz w:val="20"/>
          <w:szCs w:val="20"/>
          <w:highlight w:val="none"/>
        </w:rPr>
      </w:pPr>
      <w:bookmarkStart w:id="265" w:name="bookmark308"/>
      <w:bookmarkEnd w:id="265"/>
      <w:r>
        <w:rPr>
          <w:rFonts w:ascii="宋体" w:hAnsi="宋体" w:eastAsia="宋体" w:cs="宋体"/>
          <w:spacing w:val="9"/>
          <w:sz w:val="20"/>
          <w:szCs w:val="20"/>
          <w:highlight w:val="none"/>
        </w:rPr>
        <w:t>附表二：拟投入本项目的试验和检测仪器设备表</w:t>
      </w:r>
    </w:p>
    <w:p w14:paraId="1F27CFC9">
      <w:pPr>
        <w:spacing w:line="80" w:lineRule="exact"/>
        <w:rPr>
          <w:highlight w:val="none"/>
        </w:rPr>
      </w:pPr>
    </w:p>
    <w:tbl>
      <w:tblPr>
        <w:tblStyle w:val="5"/>
        <w:tblW w:w="92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1169"/>
        <w:gridCol w:w="849"/>
        <w:gridCol w:w="1079"/>
        <w:gridCol w:w="719"/>
        <w:gridCol w:w="809"/>
        <w:gridCol w:w="1329"/>
        <w:gridCol w:w="1788"/>
        <w:gridCol w:w="764"/>
      </w:tblGrid>
      <w:tr w14:paraId="3D706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724" w:type="dxa"/>
            <w:vAlign w:val="top"/>
          </w:tcPr>
          <w:p w14:paraId="05B66C3A">
            <w:pPr>
              <w:pStyle w:val="6"/>
              <w:spacing w:before="304" w:line="221" w:lineRule="auto"/>
              <w:ind w:left="155"/>
              <w:rPr>
                <w:highlight w:val="none"/>
              </w:rPr>
            </w:pPr>
            <w:r>
              <w:rPr>
                <w:spacing w:val="6"/>
                <w:highlight w:val="none"/>
              </w:rPr>
              <w:t>序号</w:t>
            </w:r>
          </w:p>
        </w:tc>
        <w:tc>
          <w:tcPr>
            <w:tcW w:w="1169" w:type="dxa"/>
            <w:vAlign w:val="top"/>
          </w:tcPr>
          <w:p w14:paraId="7AC20EA2">
            <w:pPr>
              <w:pStyle w:val="6"/>
              <w:spacing w:before="123" w:line="219" w:lineRule="auto"/>
              <w:ind w:left="151"/>
              <w:rPr>
                <w:highlight w:val="none"/>
              </w:rPr>
            </w:pPr>
            <w:r>
              <w:rPr>
                <w:spacing w:val="-2"/>
                <w:highlight w:val="none"/>
              </w:rPr>
              <w:t>仪器设备</w:t>
            </w:r>
          </w:p>
          <w:p w14:paraId="365EA0FA">
            <w:pPr>
              <w:pStyle w:val="6"/>
              <w:spacing w:before="122" w:line="201" w:lineRule="auto"/>
              <w:ind w:left="361"/>
              <w:rPr>
                <w:highlight w:val="none"/>
              </w:rPr>
            </w:pPr>
            <w:r>
              <w:rPr>
                <w:spacing w:val="5"/>
                <w:highlight w:val="none"/>
              </w:rPr>
              <w:t>名称</w:t>
            </w:r>
          </w:p>
        </w:tc>
        <w:tc>
          <w:tcPr>
            <w:tcW w:w="849" w:type="dxa"/>
            <w:vAlign w:val="top"/>
          </w:tcPr>
          <w:p w14:paraId="6D4A5914">
            <w:pPr>
              <w:pStyle w:val="6"/>
              <w:spacing w:before="125" w:line="263" w:lineRule="auto"/>
              <w:ind w:left="201" w:right="203"/>
              <w:rPr>
                <w:highlight w:val="none"/>
              </w:rPr>
            </w:pPr>
            <w:r>
              <w:rPr>
                <w:spacing w:val="6"/>
                <w:highlight w:val="none"/>
              </w:rPr>
              <w:t>型号</w:t>
            </w:r>
            <w:r>
              <w:rPr>
                <w:highlight w:val="none"/>
              </w:rPr>
              <w:t xml:space="preserve"> </w:t>
            </w:r>
            <w:r>
              <w:rPr>
                <w:spacing w:val="-3"/>
                <w:highlight w:val="none"/>
              </w:rPr>
              <w:t>规格</w:t>
            </w:r>
          </w:p>
        </w:tc>
        <w:tc>
          <w:tcPr>
            <w:tcW w:w="1079" w:type="dxa"/>
            <w:vAlign w:val="top"/>
          </w:tcPr>
          <w:p w14:paraId="5B5A16C3">
            <w:pPr>
              <w:pStyle w:val="6"/>
              <w:spacing w:before="263" w:line="219" w:lineRule="auto"/>
              <w:ind w:left="333"/>
              <w:rPr>
                <w:highlight w:val="none"/>
              </w:rPr>
            </w:pPr>
            <w:r>
              <w:rPr>
                <w:spacing w:val="-3"/>
                <w:highlight w:val="none"/>
              </w:rPr>
              <w:t>数量</w:t>
            </w:r>
          </w:p>
        </w:tc>
        <w:tc>
          <w:tcPr>
            <w:tcW w:w="719" w:type="dxa"/>
            <w:vAlign w:val="top"/>
          </w:tcPr>
          <w:p w14:paraId="63352CA7">
            <w:pPr>
              <w:pStyle w:val="6"/>
              <w:spacing w:before="123" w:line="264" w:lineRule="auto"/>
              <w:ind w:left="144" w:right="127"/>
              <w:rPr>
                <w:highlight w:val="none"/>
              </w:rPr>
            </w:pPr>
            <w:r>
              <w:rPr>
                <w:spacing w:val="8"/>
                <w:highlight w:val="none"/>
              </w:rPr>
              <w:t>国别</w:t>
            </w:r>
            <w:r>
              <w:rPr>
                <w:highlight w:val="none"/>
              </w:rPr>
              <w:t xml:space="preserve"> </w:t>
            </w:r>
            <w:r>
              <w:rPr>
                <w:spacing w:val="-3"/>
                <w:highlight w:val="none"/>
              </w:rPr>
              <w:t>产地</w:t>
            </w:r>
          </w:p>
        </w:tc>
        <w:tc>
          <w:tcPr>
            <w:tcW w:w="809" w:type="dxa"/>
            <w:vAlign w:val="top"/>
          </w:tcPr>
          <w:p w14:paraId="565BE406">
            <w:pPr>
              <w:pStyle w:val="6"/>
              <w:spacing w:before="124" w:line="220" w:lineRule="auto"/>
              <w:ind w:left="185"/>
              <w:rPr>
                <w:highlight w:val="none"/>
              </w:rPr>
            </w:pPr>
            <w:r>
              <w:rPr>
                <w:spacing w:val="-3"/>
                <w:highlight w:val="none"/>
              </w:rPr>
              <w:t>制造</w:t>
            </w:r>
          </w:p>
          <w:p w14:paraId="13D471E8">
            <w:pPr>
              <w:pStyle w:val="6"/>
              <w:spacing w:before="118" w:line="203" w:lineRule="auto"/>
              <w:ind w:left="185"/>
              <w:rPr>
                <w:highlight w:val="none"/>
              </w:rPr>
            </w:pPr>
            <w:r>
              <w:rPr>
                <w:spacing w:val="-3"/>
                <w:highlight w:val="none"/>
              </w:rPr>
              <w:t>年份</w:t>
            </w:r>
          </w:p>
        </w:tc>
        <w:tc>
          <w:tcPr>
            <w:tcW w:w="1329" w:type="dxa"/>
            <w:vAlign w:val="top"/>
          </w:tcPr>
          <w:p w14:paraId="7140D97D">
            <w:pPr>
              <w:pStyle w:val="6"/>
              <w:spacing w:before="123" w:line="219" w:lineRule="auto"/>
              <w:ind w:left="346"/>
              <w:rPr>
                <w:highlight w:val="none"/>
              </w:rPr>
            </w:pPr>
            <w:r>
              <w:rPr>
                <w:spacing w:val="8"/>
                <w:highlight w:val="none"/>
              </w:rPr>
              <w:t>已使用</w:t>
            </w:r>
          </w:p>
          <w:p w14:paraId="72D7BE28">
            <w:pPr>
              <w:pStyle w:val="6"/>
              <w:spacing w:before="120" w:line="203" w:lineRule="auto"/>
              <w:ind w:left="346"/>
              <w:rPr>
                <w:highlight w:val="none"/>
              </w:rPr>
            </w:pPr>
            <w:r>
              <w:rPr>
                <w:spacing w:val="3"/>
                <w:highlight w:val="none"/>
              </w:rPr>
              <w:t>台时数</w:t>
            </w:r>
          </w:p>
        </w:tc>
        <w:tc>
          <w:tcPr>
            <w:tcW w:w="1788" w:type="dxa"/>
            <w:vAlign w:val="top"/>
          </w:tcPr>
          <w:p w14:paraId="4BBA2B9E">
            <w:pPr>
              <w:pStyle w:val="6"/>
              <w:spacing w:before="264" w:line="221" w:lineRule="auto"/>
              <w:ind w:left="677"/>
              <w:rPr>
                <w:highlight w:val="none"/>
              </w:rPr>
            </w:pPr>
            <w:r>
              <w:rPr>
                <w:spacing w:val="-3"/>
                <w:highlight w:val="none"/>
              </w:rPr>
              <w:t>用途</w:t>
            </w:r>
          </w:p>
        </w:tc>
        <w:tc>
          <w:tcPr>
            <w:tcW w:w="764" w:type="dxa"/>
            <w:vAlign w:val="top"/>
          </w:tcPr>
          <w:p w14:paraId="720FC26C">
            <w:pPr>
              <w:spacing w:line="244" w:lineRule="auto"/>
              <w:rPr>
                <w:rFonts w:ascii="Arial"/>
                <w:sz w:val="21"/>
                <w:highlight w:val="none"/>
              </w:rPr>
            </w:pPr>
          </w:p>
          <w:p w14:paraId="76E6445C">
            <w:pPr>
              <w:pStyle w:val="6"/>
              <w:spacing w:before="69" w:line="221" w:lineRule="auto"/>
              <w:ind w:left="178"/>
              <w:rPr>
                <w:highlight w:val="none"/>
              </w:rPr>
            </w:pPr>
            <w:r>
              <w:rPr>
                <w:spacing w:val="5"/>
                <w:highlight w:val="none"/>
              </w:rPr>
              <w:t>备注</w:t>
            </w:r>
          </w:p>
        </w:tc>
      </w:tr>
      <w:tr w14:paraId="658C0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04E7DBC3">
            <w:pPr>
              <w:rPr>
                <w:rFonts w:ascii="Arial"/>
                <w:sz w:val="21"/>
                <w:highlight w:val="none"/>
              </w:rPr>
            </w:pPr>
          </w:p>
        </w:tc>
        <w:tc>
          <w:tcPr>
            <w:tcW w:w="1169" w:type="dxa"/>
            <w:vAlign w:val="top"/>
          </w:tcPr>
          <w:p w14:paraId="0659681B">
            <w:pPr>
              <w:rPr>
                <w:rFonts w:ascii="Arial"/>
                <w:sz w:val="21"/>
                <w:highlight w:val="none"/>
              </w:rPr>
            </w:pPr>
          </w:p>
        </w:tc>
        <w:tc>
          <w:tcPr>
            <w:tcW w:w="849" w:type="dxa"/>
            <w:vAlign w:val="top"/>
          </w:tcPr>
          <w:p w14:paraId="7A6B82D0">
            <w:pPr>
              <w:rPr>
                <w:rFonts w:ascii="Arial"/>
                <w:sz w:val="21"/>
                <w:highlight w:val="none"/>
              </w:rPr>
            </w:pPr>
          </w:p>
        </w:tc>
        <w:tc>
          <w:tcPr>
            <w:tcW w:w="1079" w:type="dxa"/>
            <w:vAlign w:val="top"/>
          </w:tcPr>
          <w:p w14:paraId="78F93023">
            <w:pPr>
              <w:rPr>
                <w:rFonts w:ascii="Arial"/>
                <w:sz w:val="21"/>
                <w:highlight w:val="none"/>
              </w:rPr>
            </w:pPr>
          </w:p>
        </w:tc>
        <w:tc>
          <w:tcPr>
            <w:tcW w:w="719" w:type="dxa"/>
            <w:vAlign w:val="top"/>
          </w:tcPr>
          <w:p w14:paraId="29629321">
            <w:pPr>
              <w:rPr>
                <w:rFonts w:ascii="Arial"/>
                <w:sz w:val="21"/>
                <w:highlight w:val="none"/>
              </w:rPr>
            </w:pPr>
          </w:p>
        </w:tc>
        <w:tc>
          <w:tcPr>
            <w:tcW w:w="809" w:type="dxa"/>
            <w:vAlign w:val="top"/>
          </w:tcPr>
          <w:p w14:paraId="58029559">
            <w:pPr>
              <w:rPr>
                <w:rFonts w:ascii="Arial"/>
                <w:sz w:val="21"/>
                <w:highlight w:val="none"/>
              </w:rPr>
            </w:pPr>
          </w:p>
        </w:tc>
        <w:tc>
          <w:tcPr>
            <w:tcW w:w="1329" w:type="dxa"/>
            <w:vAlign w:val="top"/>
          </w:tcPr>
          <w:p w14:paraId="220B42AC">
            <w:pPr>
              <w:rPr>
                <w:rFonts w:ascii="Arial"/>
                <w:sz w:val="21"/>
                <w:highlight w:val="none"/>
              </w:rPr>
            </w:pPr>
          </w:p>
        </w:tc>
        <w:tc>
          <w:tcPr>
            <w:tcW w:w="1788" w:type="dxa"/>
            <w:vAlign w:val="top"/>
          </w:tcPr>
          <w:p w14:paraId="137AF4B8">
            <w:pPr>
              <w:rPr>
                <w:rFonts w:ascii="Arial"/>
                <w:sz w:val="21"/>
                <w:highlight w:val="none"/>
              </w:rPr>
            </w:pPr>
          </w:p>
        </w:tc>
        <w:tc>
          <w:tcPr>
            <w:tcW w:w="764" w:type="dxa"/>
            <w:vAlign w:val="top"/>
          </w:tcPr>
          <w:p w14:paraId="10B5D172">
            <w:pPr>
              <w:rPr>
                <w:rFonts w:ascii="Arial"/>
                <w:sz w:val="21"/>
                <w:highlight w:val="none"/>
              </w:rPr>
            </w:pPr>
          </w:p>
        </w:tc>
      </w:tr>
      <w:tr w14:paraId="5A4D7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24" w:type="dxa"/>
            <w:vAlign w:val="top"/>
          </w:tcPr>
          <w:p w14:paraId="5D339576">
            <w:pPr>
              <w:rPr>
                <w:rFonts w:ascii="Arial"/>
                <w:sz w:val="21"/>
                <w:highlight w:val="none"/>
              </w:rPr>
            </w:pPr>
          </w:p>
        </w:tc>
        <w:tc>
          <w:tcPr>
            <w:tcW w:w="1169" w:type="dxa"/>
            <w:vAlign w:val="top"/>
          </w:tcPr>
          <w:p w14:paraId="044840A8">
            <w:pPr>
              <w:rPr>
                <w:rFonts w:ascii="Arial"/>
                <w:sz w:val="21"/>
                <w:highlight w:val="none"/>
              </w:rPr>
            </w:pPr>
          </w:p>
        </w:tc>
        <w:tc>
          <w:tcPr>
            <w:tcW w:w="849" w:type="dxa"/>
            <w:vAlign w:val="top"/>
          </w:tcPr>
          <w:p w14:paraId="720ACD5E">
            <w:pPr>
              <w:rPr>
                <w:rFonts w:ascii="Arial"/>
                <w:sz w:val="21"/>
                <w:highlight w:val="none"/>
              </w:rPr>
            </w:pPr>
          </w:p>
        </w:tc>
        <w:tc>
          <w:tcPr>
            <w:tcW w:w="1079" w:type="dxa"/>
            <w:vAlign w:val="top"/>
          </w:tcPr>
          <w:p w14:paraId="5C67CD4E">
            <w:pPr>
              <w:rPr>
                <w:rFonts w:ascii="Arial"/>
                <w:sz w:val="21"/>
                <w:highlight w:val="none"/>
              </w:rPr>
            </w:pPr>
          </w:p>
        </w:tc>
        <w:tc>
          <w:tcPr>
            <w:tcW w:w="719" w:type="dxa"/>
            <w:vAlign w:val="top"/>
          </w:tcPr>
          <w:p w14:paraId="2C04B4BA">
            <w:pPr>
              <w:rPr>
                <w:rFonts w:ascii="Arial"/>
                <w:sz w:val="21"/>
                <w:highlight w:val="none"/>
              </w:rPr>
            </w:pPr>
          </w:p>
        </w:tc>
        <w:tc>
          <w:tcPr>
            <w:tcW w:w="809" w:type="dxa"/>
            <w:vAlign w:val="top"/>
          </w:tcPr>
          <w:p w14:paraId="327FEECD">
            <w:pPr>
              <w:rPr>
                <w:rFonts w:ascii="Arial"/>
                <w:sz w:val="21"/>
                <w:highlight w:val="none"/>
              </w:rPr>
            </w:pPr>
          </w:p>
        </w:tc>
        <w:tc>
          <w:tcPr>
            <w:tcW w:w="1329" w:type="dxa"/>
            <w:vAlign w:val="top"/>
          </w:tcPr>
          <w:p w14:paraId="7EADBDD4">
            <w:pPr>
              <w:rPr>
                <w:rFonts w:ascii="Arial"/>
                <w:sz w:val="21"/>
                <w:highlight w:val="none"/>
              </w:rPr>
            </w:pPr>
          </w:p>
        </w:tc>
        <w:tc>
          <w:tcPr>
            <w:tcW w:w="1788" w:type="dxa"/>
            <w:vAlign w:val="top"/>
          </w:tcPr>
          <w:p w14:paraId="3CDEACC9">
            <w:pPr>
              <w:rPr>
                <w:rFonts w:ascii="Arial"/>
                <w:sz w:val="21"/>
                <w:highlight w:val="none"/>
              </w:rPr>
            </w:pPr>
          </w:p>
        </w:tc>
        <w:tc>
          <w:tcPr>
            <w:tcW w:w="764" w:type="dxa"/>
            <w:vAlign w:val="top"/>
          </w:tcPr>
          <w:p w14:paraId="7BE79A93">
            <w:pPr>
              <w:rPr>
                <w:rFonts w:ascii="Arial"/>
                <w:sz w:val="21"/>
                <w:highlight w:val="none"/>
              </w:rPr>
            </w:pPr>
          </w:p>
        </w:tc>
      </w:tr>
      <w:tr w14:paraId="5BD83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39B3EE36">
            <w:pPr>
              <w:rPr>
                <w:rFonts w:ascii="Arial"/>
                <w:sz w:val="21"/>
                <w:highlight w:val="none"/>
              </w:rPr>
            </w:pPr>
          </w:p>
        </w:tc>
        <w:tc>
          <w:tcPr>
            <w:tcW w:w="1169" w:type="dxa"/>
            <w:vAlign w:val="top"/>
          </w:tcPr>
          <w:p w14:paraId="5AD84D5E">
            <w:pPr>
              <w:rPr>
                <w:rFonts w:ascii="Arial"/>
                <w:sz w:val="21"/>
                <w:highlight w:val="none"/>
              </w:rPr>
            </w:pPr>
          </w:p>
        </w:tc>
        <w:tc>
          <w:tcPr>
            <w:tcW w:w="849" w:type="dxa"/>
            <w:vAlign w:val="top"/>
          </w:tcPr>
          <w:p w14:paraId="26F65138">
            <w:pPr>
              <w:rPr>
                <w:rFonts w:ascii="Arial"/>
                <w:sz w:val="21"/>
                <w:highlight w:val="none"/>
              </w:rPr>
            </w:pPr>
          </w:p>
        </w:tc>
        <w:tc>
          <w:tcPr>
            <w:tcW w:w="1079" w:type="dxa"/>
            <w:vAlign w:val="top"/>
          </w:tcPr>
          <w:p w14:paraId="7C8C982A">
            <w:pPr>
              <w:rPr>
                <w:rFonts w:ascii="Arial"/>
                <w:sz w:val="21"/>
                <w:highlight w:val="none"/>
              </w:rPr>
            </w:pPr>
          </w:p>
        </w:tc>
        <w:tc>
          <w:tcPr>
            <w:tcW w:w="719" w:type="dxa"/>
            <w:vAlign w:val="top"/>
          </w:tcPr>
          <w:p w14:paraId="79F1D30E">
            <w:pPr>
              <w:rPr>
                <w:rFonts w:ascii="Arial"/>
                <w:sz w:val="21"/>
                <w:highlight w:val="none"/>
              </w:rPr>
            </w:pPr>
          </w:p>
        </w:tc>
        <w:tc>
          <w:tcPr>
            <w:tcW w:w="809" w:type="dxa"/>
            <w:vAlign w:val="top"/>
          </w:tcPr>
          <w:p w14:paraId="07C57AEB">
            <w:pPr>
              <w:rPr>
                <w:rFonts w:ascii="Arial"/>
                <w:sz w:val="21"/>
                <w:highlight w:val="none"/>
              </w:rPr>
            </w:pPr>
          </w:p>
        </w:tc>
        <w:tc>
          <w:tcPr>
            <w:tcW w:w="1329" w:type="dxa"/>
            <w:vAlign w:val="top"/>
          </w:tcPr>
          <w:p w14:paraId="001D7C9E">
            <w:pPr>
              <w:rPr>
                <w:rFonts w:ascii="Arial"/>
                <w:sz w:val="21"/>
                <w:highlight w:val="none"/>
              </w:rPr>
            </w:pPr>
          </w:p>
        </w:tc>
        <w:tc>
          <w:tcPr>
            <w:tcW w:w="1788" w:type="dxa"/>
            <w:vAlign w:val="top"/>
          </w:tcPr>
          <w:p w14:paraId="5ED2BF80">
            <w:pPr>
              <w:rPr>
                <w:rFonts w:ascii="Arial"/>
                <w:sz w:val="21"/>
                <w:highlight w:val="none"/>
              </w:rPr>
            </w:pPr>
          </w:p>
        </w:tc>
        <w:tc>
          <w:tcPr>
            <w:tcW w:w="764" w:type="dxa"/>
            <w:vAlign w:val="top"/>
          </w:tcPr>
          <w:p w14:paraId="0B877C79">
            <w:pPr>
              <w:rPr>
                <w:rFonts w:ascii="Arial"/>
                <w:sz w:val="21"/>
                <w:highlight w:val="none"/>
              </w:rPr>
            </w:pPr>
          </w:p>
        </w:tc>
      </w:tr>
      <w:tr w14:paraId="11D4B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24" w:type="dxa"/>
            <w:vAlign w:val="top"/>
          </w:tcPr>
          <w:p w14:paraId="58B4316E">
            <w:pPr>
              <w:rPr>
                <w:rFonts w:ascii="Arial"/>
                <w:sz w:val="21"/>
                <w:highlight w:val="none"/>
              </w:rPr>
            </w:pPr>
          </w:p>
        </w:tc>
        <w:tc>
          <w:tcPr>
            <w:tcW w:w="1169" w:type="dxa"/>
            <w:vAlign w:val="top"/>
          </w:tcPr>
          <w:p w14:paraId="586B294B">
            <w:pPr>
              <w:rPr>
                <w:rFonts w:ascii="Arial"/>
                <w:sz w:val="21"/>
                <w:highlight w:val="none"/>
              </w:rPr>
            </w:pPr>
          </w:p>
        </w:tc>
        <w:tc>
          <w:tcPr>
            <w:tcW w:w="849" w:type="dxa"/>
            <w:vAlign w:val="top"/>
          </w:tcPr>
          <w:p w14:paraId="4D72FB65">
            <w:pPr>
              <w:rPr>
                <w:rFonts w:ascii="Arial"/>
                <w:sz w:val="21"/>
                <w:highlight w:val="none"/>
              </w:rPr>
            </w:pPr>
          </w:p>
        </w:tc>
        <w:tc>
          <w:tcPr>
            <w:tcW w:w="1079" w:type="dxa"/>
            <w:vAlign w:val="top"/>
          </w:tcPr>
          <w:p w14:paraId="6F257BB6">
            <w:pPr>
              <w:rPr>
                <w:rFonts w:ascii="Arial"/>
                <w:sz w:val="21"/>
                <w:highlight w:val="none"/>
              </w:rPr>
            </w:pPr>
          </w:p>
        </w:tc>
        <w:tc>
          <w:tcPr>
            <w:tcW w:w="719" w:type="dxa"/>
            <w:vAlign w:val="top"/>
          </w:tcPr>
          <w:p w14:paraId="0487D3DF">
            <w:pPr>
              <w:rPr>
                <w:rFonts w:ascii="Arial"/>
                <w:sz w:val="21"/>
                <w:highlight w:val="none"/>
              </w:rPr>
            </w:pPr>
          </w:p>
        </w:tc>
        <w:tc>
          <w:tcPr>
            <w:tcW w:w="809" w:type="dxa"/>
            <w:vAlign w:val="top"/>
          </w:tcPr>
          <w:p w14:paraId="777DE6A5">
            <w:pPr>
              <w:rPr>
                <w:rFonts w:ascii="Arial"/>
                <w:sz w:val="21"/>
                <w:highlight w:val="none"/>
              </w:rPr>
            </w:pPr>
          </w:p>
        </w:tc>
        <w:tc>
          <w:tcPr>
            <w:tcW w:w="1329" w:type="dxa"/>
            <w:vAlign w:val="top"/>
          </w:tcPr>
          <w:p w14:paraId="1179005C">
            <w:pPr>
              <w:rPr>
                <w:rFonts w:ascii="Arial"/>
                <w:sz w:val="21"/>
                <w:highlight w:val="none"/>
              </w:rPr>
            </w:pPr>
          </w:p>
        </w:tc>
        <w:tc>
          <w:tcPr>
            <w:tcW w:w="1788" w:type="dxa"/>
            <w:vAlign w:val="top"/>
          </w:tcPr>
          <w:p w14:paraId="5FADA071">
            <w:pPr>
              <w:rPr>
                <w:rFonts w:ascii="Arial"/>
                <w:sz w:val="21"/>
                <w:highlight w:val="none"/>
              </w:rPr>
            </w:pPr>
          </w:p>
        </w:tc>
        <w:tc>
          <w:tcPr>
            <w:tcW w:w="764" w:type="dxa"/>
            <w:vAlign w:val="top"/>
          </w:tcPr>
          <w:p w14:paraId="7FD17A00">
            <w:pPr>
              <w:rPr>
                <w:rFonts w:ascii="Arial"/>
                <w:sz w:val="21"/>
                <w:highlight w:val="none"/>
              </w:rPr>
            </w:pPr>
          </w:p>
        </w:tc>
      </w:tr>
      <w:tr w14:paraId="64C10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1683599D">
            <w:pPr>
              <w:rPr>
                <w:rFonts w:ascii="Arial"/>
                <w:sz w:val="21"/>
                <w:highlight w:val="none"/>
              </w:rPr>
            </w:pPr>
          </w:p>
        </w:tc>
        <w:tc>
          <w:tcPr>
            <w:tcW w:w="1169" w:type="dxa"/>
            <w:vAlign w:val="top"/>
          </w:tcPr>
          <w:p w14:paraId="3154DD18">
            <w:pPr>
              <w:rPr>
                <w:rFonts w:ascii="Arial"/>
                <w:sz w:val="21"/>
                <w:highlight w:val="none"/>
              </w:rPr>
            </w:pPr>
          </w:p>
        </w:tc>
        <w:tc>
          <w:tcPr>
            <w:tcW w:w="849" w:type="dxa"/>
            <w:vAlign w:val="top"/>
          </w:tcPr>
          <w:p w14:paraId="4DD4F3D1">
            <w:pPr>
              <w:rPr>
                <w:rFonts w:ascii="Arial"/>
                <w:sz w:val="21"/>
                <w:highlight w:val="none"/>
              </w:rPr>
            </w:pPr>
          </w:p>
        </w:tc>
        <w:tc>
          <w:tcPr>
            <w:tcW w:w="1079" w:type="dxa"/>
            <w:vAlign w:val="top"/>
          </w:tcPr>
          <w:p w14:paraId="4EB08062">
            <w:pPr>
              <w:rPr>
                <w:rFonts w:ascii="Arial"/>
                <w:sz w:val="21"/>
                <w:highlight w:val="none"/>
              </w:rPr>
            </w:pPr>
          </w:p>
        </w:tc>
        <w:tc>
          <w:tcPr>
            <w:tcW w:w="719" w:type="dxa"/>
            <w:vAlign w:val="top"/>
          </w:tcPr>
          <w:p w14:paraId="4F79E75F">
            <w:pPr>
              <w:rPr>
                <w:rFonts w:ascii="Arial"/>
                <w:sz w:val="21"/>
                <w:highlight w:val="none"/>
              </w:rPr>
            </w:pPr>
          </w:p>
        </w:tc>
        <w:tc>
          <w:tcPr>
            <w:tcW w:w="809" w:type="dxa"/>
            <w:vAlign w:val="top"/>
          </w:tcPr>
          <w:p w14:paraId="1B7B83F0">
            <w:pPr>
              <w:rPr>
                <w:rFonts w:ascii="Arial"/>
                <w:sz w:val="21"/>
                <w:highlight w:val="none"/>
              </w:rPr>
            </w:pPr>
          </w:p>
        </w:tc>
        <w:tc>
          <w:tcPr>
            <w:tcW w:w="1329" w:type="dxa"/>
            <w:vAlign w:val="top"/>
          </w:tcPr>
          <w:p w14:paraId="757B67D9">
            <w:pPr>
              <w:rPr>
                <w:rFonts w:ascii="Arial"/>
                <w:sz w:val="21"/>
                <w:highlight w:val="none"/>
              </w:rPr>
            </w:pPr>
          </w:p>
        </w:tc>
        <w:tc>
          <w:tcPr>
            <w:tcW w:w="1788" w:type="dxa"/>
            <w:vAlign w:val="top"/>
          </w:tcPr>
          <w:p w14:paraId="3B405545">
            <w:pPr>
              <w:rPr>
                <w:rFonts w:ascii="Arial"/>
                <w:sz w:val="21"/>
                <w:highlight w:val="none"/>
              </w:rPr>
            </w:pPr>
          </w:p>
        </w:tc>
        <w:tc>
          <w:tcPr>
            <w:tcW w:w="764" w:type="dxa"/>
            <w:vAlign w:val="top"/>
          </w:tcPr>
          <w:p w14:paraId="0CF26BF5">
            <w:pPr>
              <w:rPr>
                <w:rFonts w:ascii="Arial"/>
                <w:sz w:val="21"/>
                <w:highlight w:val="none"/>
              </w:rPr>
            </w:pPr>
          </w:p>
        </w:tc>
      </w:tr>
      <w:tr w14:paraId="47B21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24" w:type="dxa"/>
            <w:vAlign w:val="top"/>
          </w:tcPr>
          <w:p w14:paraId="5D6F3912">
            <w:pPr>
              <w:rPr>
                <w:rFonts w:ascii="Arial"/>
                <w:sz w:val="21"/>
                <w:highlight w:val="none"/>
              </w:rPr>
            </w:pPr>
          </w:p>
        </w:tc>
        <w:tc>
          <w:tcPr>
            <w:tcW w:w="1169" w:type="dxa"/>
            <w:vAlign w:val="top"/>
          </w:tcPr>
          <w:p w14:paraId="57E2DBE3">
            <w:pPr>
              <w:rPr>
                <w:rFonts w:ascii="Arial"/>
                <w:sz w:val="21"/>
                <w:highlight w:val="none"/>
              </w:rPr>
            </w:pPr>
          </w:p>
        </w:tc>
        <w:tc>
          <w:tcPr>
            <w:tcW w:w="849" w:type="dxa"/>
            <w:vAlign w:val="top"/>
          </w:tcPr>
          <w:p w14:paraId="1FDCD960">
            <w:pPr>
              <w:rPr>
                <w:rFonts w:ascii="Arial"/>
                <w:sz w:val="21"/>
                <w:highlight w:val="none"/>
              </w:rPr>
            </w:pPr>
          </w:p>
        </w:tc>
        <w:tc>
          <w:tcPr>
            <w:tcW w:w="1079" w:type="dxa"/>
            <w:vAlign w:val="top"/>
          </w:tcPr>
          <w:p w14:paraId="12769C53">
            <w:pPr>
              <w:rPr>
                <w:rFonts w:ascii="Arial"/>
                <w:sz w:val="21"/>
                <w:highlight w:val="none"/>
              </w:rPr>
            </w:pPr>
          </w:p>
        </w:tc>
        <w:tc>
          <w:tcPr>
            <w:tcW w:w="719" w:type="dxa"/>
            <w:vAlign w:val="top"/>
          </w:tcPr>
          <w:p w14:paraId="18978950">
            <w:pPr>
              <w:rPr>
                <w:rFonts w:ascii="Arial"/>
                <w:sz w:val="21"/>
                <w:highlight w:val="none"/>
              </w:rPr>
            </w:pPr>
          </w:p>
        </w:tc>
        <w:tc>
          <w:tcPr>
            <w:tcW w:w="809" w:type="dxa"/>
            <w:vAlign w:val="top"/>
          </w:tcPr>
          <w:p w14:paraId="5CCF87B6">
            <w:pPr>
              <w:rPr>
                <w:rFonts w:ascii="Arial"/>
                <w:sz w:val="21"/>
                <w:highlight w:val="none"/>
              </w:rPr>
            </w:pPr>
          </w:p>
        </w:tc>
        <w:tc>
          <w:tcPr>
            <w:tcW w:w="1329" w:type="dxa"/>
            <w:vAlign w:val="top"/>
          </w:tcPr>
          <w:p w14:paraId="73337516">
            <w:pPr>
              <w:rPr>
                <w:rFonts w:ascii="Arial"/>
                <w:sz w:val="21"/>
                <w:highlight w:val="none"/>
              </w:rPr>
            </w:pPr>
          </w:p>
        </w:tc>
        <w:tc>
          <w:tcPr>
            <w:tcW w:w="1788" w:type="dxa"/>
            <w:vAlign w:val="top"/>
          </w:tcPr>
          <w:p w14:paraId="0126E00A">
            <w:pPr>
              <w:rPr>
                <w:rFonts w:ascii="Arial"/>
                <w:sz w:val="21"/>
                <w:highlight w:val="none"/>
              </w:rPr>
            </w:pPr>
          </w:p>
        </w:tc>
        <w:tc>
          <w:tcPr>
            <w:tcW w:w="764" w:type="dxa"/>
            <w:vAlign w:val="top"/>
          </w:tcPr>
          <w:p w14:paraId="437AB001">
            <w:pPr>
              <w:rPr>
                <w:rFonts w:ascii="Arial"/>
                <w:sz w:val="21"/>
                <w:highlight w:val="none"/>
              </w:rPr>
            </w:pPr>
          </w:p>
        </w:tc>
      </w:tr>
      <w:tr w14:paraId="2075F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4105D254">
            <w:pPr>
              <w:rPr>
                <w:rFonts w:ascii="Arial"/>
                <w:sz w:val="21"/>
                <w:highlight w:val="none"/>
              </w:rPr>
            </w:pPr>
          </w:p>
        </w:tc>
        <w:tc>
          <w:tcPr>
            <w:tcW w:w="1169" w:type="dxa"/>
            <w:vAlign w:val="top"/>
          </w:tcPr>
          <w:p w14:paraId="6492FE8E">
            <w:pPr>
              <w:rPr>
                <w:rFonts w:ascii="Arial"/>
                <w:sz w:val="21"/>
                <w:highlight w:val="none"/>
              </w:rPr>
            </w:pPr>
          </w:p>
        </w:tc>
        <w:tc>
          <w:tcPr>
            <w:tcW w:w="849" w:type="dxa"/>
            <w:vAlign w:val="top"/>
          </w:tcPr>
          <w:p w14:paraId="2E176E28">
            <w:pPr>
              <w:rPr>
                <w:rFonts w:ascii="Arial"/>
                <w:sz w:val="21"/>
                <w:highlight w:val="none"/>
              </w:rPr>
            </w:pPr>
          </w:p>
        </w:tc>
        <w:tc>
          <w:tcPr>
            <w:tcW w:w="1079" w:type="dxa"/>
            <w:vAlign w:val="top"/>
          </w:tcPr>
          <w:p w14:paraId="4BBF5685">
            <w:pPr>
              <w:rPr>
                <w:rFonts w:ascii="Arial"/>
                <w:sz w:val="21"/>
                <w:highlight w:val="none"/>
              </w:rPr>
            </w:pPr>
          </w:p>
        </w:tc>
        <w:tc>
          <w:tcPr>
            <w:tcW w:w="719" w:type="dxa"/>
            <w:vAlign w:val="top"/>
          </w:tcPr>
          <w:p w14:paraId="5B7C151F">
            <w:pPr>
              <w:rPr>
                <w:rFonts w:ascii="Arial"/>
                <w:sz w:val="21"/>
                <w:highlight w:val="none"/>
              </w:rPr>
            </w:pPr>
          </w:p>
        </w:tc>
        <w:tc>
          <w:tcPr>
            <w:tcW w:w="809" w:type="dxa"/>
            <w:vAlign w:val="top"/>
          </w:tcPr>
          <w:p w14:paraId="7025B8C6">
            <w:pPr>
              <w:rPr>
                <w:rFonts w:ascii="Arial"/>
                <w:sz w:val="21"/>
                <w:highlight w:val="none"/>
              </w:rPr>
            </w:pPr>
          </w:p>
        </w:tc>
        <w:tc>
          <w:tcPr>
            <w:tcW w:w="1329" w:type="dxa"/>
            <w:vAlign w:val="top"/>
          </w:tcPr>
          <w:p w14:paraId="6846FA18">
            <w:pPr>
              <w:rPr>
                <w:rFonts w:ascii="Arial"/>
                <w:sz w:val="21"/>
                <w:highlight w:val="none"/>
              </w:rPr>
            </w:pPr>
          </w:p>
        </w:tc>
        <w:tc>
          <w:tcPr>
            <w:tcW w:w="1788" w:type="dxa"/>
            <w:vAlign w:val="top"/>
          </w:tcPr>
          <w:p w14:paraId="538D423D">
            <w:pPr>
              <w:rPr>
                <w:rFonts w:ascii="Arial"/>
                <w:sz w:val="21"/>
                <w:highlight w:val="none"/>
              </w:rPr>
            </w:pPr>
          </w:p>
        </w:tc>
        <w:tc>
          <w:tcPr>
            <w:tcW w:w="764" w:type="dxa"/>
            <w:vAlign w:val="top"/>
          </w:tcPr>
          <w:p w14:paraId="2D98BC7A">
            <w:pPr>
              <w:rPr>
                <w:rFonts w:ascii="Arial"/>
                <w:sz w:val="21"/>
                <w:highlight w:val="none"/>
              </w:rPr>
            </w:pPr>
          </w:p>
        </w:tc>
      </w:tr>
      <w:tr w14:paraId="4CD26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4EC0C861">
            <w:pPr>
              <w:rPr>
                <w:rFonts w:ascii="Arial"/>
                <w:sz w:val="21"/>
                <w:highlight w:val="none"/>
              </w:rPr>
            </w:pPr>
          </w:p>
        </w:tc>
        <w:tc>
          <w:tcPr>
            <w:tcW w:w="1169" w:type="dxa"/>
            <w:vAlign w:val="top"/>
          </w:tcPr>
          <w:p w14:paraId="4F057A34">
            <w:pPr>
              <w:rPr>
                <w:rFonts w:ascii="Arial"/>
                <w:sz w:val="21"/>
                <w:highlight w:val="none"/>
              </w:rPr>
            </w:pPr>
          </w:p>
        </w:tc>
        <w:tc>
          <w:tcPr>
            <w:tcW w:w="849" w:type="dxa"/>
            <w:vAlign w:val="top"/>
          </w:tcPr>
          <w:p w14:paraId="395B6693">
            <w:pPr>
              <w:rPr>
                <w:rFonts w:ascii="Arial"/>
                <w:sz w:val="21"/>
                <w:highlight w:val="none"/>
              </w:rPr>
            </w:pPr>
          </w:p>
        </w:tc>
        <w:tc>
          <w:tcPr>
            <w:tcW w:w="1079" w:type="dxa"/>
            <w:vAlign w:val="top"/>
          </w:tcPr>
          <w:p w14:paraId="057A2394">
            <w:pPr>
              <w:rPr>
                <w:rFonts w:ascii="Arial"/>
                <w:sz w:val="21"/>
                <w:highlight w:val="none"/>
              </w:rPr>
            </w:pPr>
          </w:p>
        </w:tc>
        <w:tc>
          <w:tcPr>
            <w:tcW w:w="719" w:type="dxa"/>
            <w:vAlign w:val="top"/>
          </w:tcPr>
          <w:p w14:paraId="73A5A30E">
            <w:pPr>
              <w:rPr>
                <w:rFonts w:ascii="Arial"/>
                <w:sz w:val="21"/>
                <w:highlight w:val="none"/>
              </w:rPr>
            </w:pPr>
          </w:p>
        </w:tc>
        <w:tc>
          <w:tcPr>
            <w:tcW w:w="809" w:type="dxa"/>
            <w:vAlign w:val="top"/>
          </w:tcPr>
          <w:p w14:paraId="4A0A7145">
            <w:pPr>
              <w:rPr>
                <w:rFonts w:ascii="Arial"/>
                <w:sz w:val="21"/>
                <w:highlight w:val="none"/>
              </w:rPr>
            </w:pPr>
          </w:p>
        </w:tc>
        <w:tc>
          <w:tcPr>
            <w:tcW w:w="1329" w:type="dxa"/>
            <w:vAlign w:val="top"/>
          </w:tcPr>
          <w:p w14:paraId="0A95567A">
            <w:pPr>
              <w:rPr>
                <w:rFonts w:ascii="Arial"/>
                <w:sz w:val="21"/>
                <w:highlight w:val="none"/>
              </w:rPr>
            </w:pPr>
          </w:p>
        </w:tc>
        <w:tc>
          <w:tcPr>
            <w:tcW w:w="1788" w:type="dxa"/>
            <w:vAlign w:val="top"/>
          </w:tcPr>
          <w:p w14:paraId="25BD1DB5">
            <w:pPr>
              <w:rPr>
                <w:rFonts w:ascii="Arial"/>
                <w:sz w:val="21"/>
                <w:highlight w:val="none"/>
              </w:rPr>
            </w:pPr>
          </w:p>
        </w:tc>
        <w:tc>
          <w:tcPr>
            <w:tcW w:w="764" w:type="dxa"/>
            <w:vAlign w:val="top"/>
          </w:tcPr>
          <w:p w14:paraId="4311B677">
            <w:pPr>
              <w:rPr>
                <w:rFonts w:ascii="Arial"/>
                <w:sz w:val="21"/>
                <w:highlight w:val="none"/>
              </w:rPr>
            </w:pPr>
          </w:p>
        </w:tc>
      </w:tr>
      <w:tr w14:paraId="70409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724" w:type="dxa"/>
            <w:vAlign w:val="top"/>
          </w:tcPr>
          <w:p w14:paraId="5CD81F00">
            <w:pPr>
              <w:rPr>
                <w:rFonts w:ascii="Arial"/>
                <w:sz w:val="21"/>
                <w:highlight w:val="none"/>
              </w:rPr>
            </w:pPr>
          </w:p>
        </w:tc>
        <w:tc>
          <w:tcPr>
            <w:tcW w:w="1169" w:type="dxa"/>
            <w:vAlign w:val="top"/>
          </w:tcPr>
          <w:p w14:paraId="5EA7F62C">
            <w:pPr>
              <w:rPr>
                <w:rFonts w:ascii="Arial"/>
                <w:sz w:val="21"/>
                <w:highlight w:val="none"/>
              </w:rPr>
            </w:pPr>
          </w:p>
        </w:tc>
        <w:tc>
          <w:tcPr>
            <w:tcW w:w="849" w:type="dxa"/>
            <w:vAlign w:val="top"/>
          </w:tcPr>
          <w:p w14:paraId="654AC075">
            <w:pPr>
              <w:rPr>
                <w:rFonts w:ascii="Arial"/>
                <w:sz w:val="21"/>
                <w:highlight w:val="none"/>
              </w:rPr>
            </w:pPr>
          </w:p>
        </w:tc>
        <w:tc>
          <w:tcPr>
            <w:tcW w:w="1079" w:type="dxa"/>
            <w:vAlign w:val="top"/>
          </w:tcPr>
          <w:p w14:paraId="2267489F">
            <w:pPr>
              <w:rPr>
                <w:rFonts w:ascii="Arial"/>
                <w:sz w:val="21"/>
                <w:highlight w:val="none"/>
              </w:rPr>
            </w:pPr>
          </w:p>
        </w:tc>
        <w:tc>
          <w:tcPr>
            <w:tcW w:w="719" w:type="dxa"/>
            <w:vAlign w:val="top"/>
          </w:tcPr>
          <w:p w14:paraId="6298301A">
            <w:pPr>
              <w:rPr>
                <w:rFonts w:ascii="Arial"/>
                <w:sz w:val="21"/>
                <w:highlight w:val="none"/>
              </w:rPr>
            </w:pPr>
          </w:p>
        </w:tc>
        <w:tc>
          <w:tcPr>
            <w:tcW w:w="809" w:type="dxa"/>
            <w:vAlign w:val="top"/>
          </w:tcPr>
          <w:p w14:paraId="6AB6E54F">
            <w:pPr>
              <w:rPr>
                <w:rFonts w:ascii="Arial"/>
                <w:sz w:val="21"/>
                <w:highlight w:val="none"/>
              </w:rPr>
            </w:pPr>
          </w:p>
        </w:tc>
        <w:tc>
          <w:tcPr>
            <w:tcW w:w="1329" w:type="dxa"/>
            <w:vAlign w:val="top"/>
          </w:tcPr>
          <w:p w14:paraId="65AF28F9">
            <w:pPr>
              <w:rPr>
                <w:rFonts w:ascii="Arial"/>
                <w:sz w:val="21"/>
                <w:highlight w:val="none"/>
              </w:rPr>
            </w:pPr>
          </w:p>
        </w:tc>
        <w:tc>
          <w:tcPr>
            <w:tcW w:w="1788" w:type="dxa"/>
            <w:vAlign w:val="top"/>
          </w:tcPr>
          <w:p w14:paraId="53B75520">
            <w:pPr>
              <w:rPr>
                <w:rFonts w:ascii="Arial"/>
                <w:sz w:val="21"/>
                <w:highlight w:val="none"/>
              </w:rPr>
            </w:pPr>
          </w:p>
        </w:tc>
        <w:tc>
          <w:tcPr>
            <w:tcW w:w="764" w:type="dxa"/>
            <w:vAlign w:val="top"/>
          </w:tcPr>
          <w:p w14:paraId="08DB30C8">
            <w:pPr>
              <w:rPr>
                <w:rFonts w:ascii="Arial"/>
                <w:sz w:val="21"/>
                <w:highlight w:val="none"/>
              </w:rPr>
            </w:pPr>
          </w:p>
        </w:tc>
      </w:tr>
      <w:tr w14:paraId="2499C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0050E609">
            <w:pPr>
              <w:rPr>
                <w:rFonts w:ascii="Arial"/>
                <w:sz w:val="21"/>
                <w:highlight w:val="none"/>
              </w:rPr>
            </w:pPr>
          </w:p>
        </w:tc>
        <w:tc>
          <w:tcPr>
            <w:tcW w:w="1169" w:type="dxa"/>
            <w:vAlign w:val="top"/>
          </w:tcPr>
          <w:p w14:paraId="6D0A94B6">
            <w:pPr>
              <w:rPr>
                <w:rFonts w:ascii="Arial"/>
                <w:sz w:val="21"/>
                <w:highlight w:val="none"/>
              </w:rPr>
            </w:pPr>
          </w:p>
        </w:tc>
        <w:tc>
          <w:tcPr>
            <w:tcW w:w="849" w:type="dxa"/>
            <w:vAlign w:val="top"/>
          </w:tcPr>
          <w:p w14:paraId="79199C90">
            <w:pPr>
              <w:rPr>
                <w:rFonts w:ascii="Arial"/>
                <w:sz w:val="21"/>
                <w:highlight w:val="none"/>
              </w:rPr>
            </w:pPr>
          </w:p>
        </w:tc>
        <w:tc>
          <w:tcPr>
            <w:tcW w:w="1079" w:type="dxa"/>
            <w:vAlign w:val="top"/>
          </w:tcPr>
          <w:p w14:paraId="73F826B0">
            <w:pPr>
              <w:rPr>
                <w:rFonts w:ascii="Arial"/>
                <w:sz w:val="21"/>
                <w:highlight w:val="none"/>
              </w:rPr>
            </w:pPr>
          </w:p>
        </w:tc>
        <w:tc>
          <w:tcPr>
            <w:tcW w:w="719" w:type="dxa"/>
            <w:vAlign w:val="top"/>
          </w:tcPr>
          <w:p w14:paraId="6B37CD9A">
            <w:pPr>
              <w:rPr>
                <w:rFonts w:ascii="Arial"/>
                <w:sz w:val="21"/>
                <w:highlight w:val="none"/>
              </w:rPr>
            </w:pPr>
          </w:p>
        </w:tc>
        <w:tc>
          <w:tcPr>
            <w:tcW w:w="809" w:type="dxa"/>
            <w:vAlign w:val="top"/>
          </w:tcPr>
          <w:p w14:paraId="7DF56948">
            <w:pPr>
              <w:rPr>
                <w:rFonts w:ascii="Arial"/>
                <w:sz w:val="21"/>
                <w:highlight w:val="none"/>
              </w:rPr>
            </w:pPr>
          </w:p>
        </w:tc>
        <w:tc>
          <w:tcPr>
            <w:tcW w:w="1329" w:type="dxa"/>
            <w:vAlign w:val="top"/>
          </w:tcPr>
          <w:p w14:paraId="365281ED">
            <w:pPr>
              <w:rPr>
                <w:rFonts w:ascii="Arial"/>
                <w:sz w:val="21"/>
                <w:highlight w:val="none"/>
              </w:rPr>
            </w:pPr>
          </w:p>
        </w:tc>
        <w:tc>
          <w:tcPr>
            <w:tcW w:w="1788" w:type="dxa"/>
            <w:vAlign w:val="top"/>
          </w:tcPr>
          <w:p w14:paraId="1AD44A6B">
            <w:pPr>
              <w:rPr>
                <w:rFonts w:ascii="Arial"/>
                <w:sz w:val="21"/>
                <w:highlight w:val="none"/>
              </w:rPr>
            </w:pPr>
          </w:p>
        </w:tc>
        <w:tc>
          <w:tcPr>
            <w:tcW w:w="764" w:type="dxa"/>
            <w:vAlign w:val="top"/>
          </w:tcPr>
          <w:p w14:paraId="2608E200">
            <w:pPr>
              <w:rPr>
                <w:rFonts w:ascii="Arial"/>
                <w:sz w:val="21"/>
                <w:highlight w:val="none"/>
              </w:rPr>
            </w:pPr>
          </w:p>
        </w:tc>
      </w:tr>
      <w:tr w14:paraId="2E9D3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24" w:type="dxa"/>
            <w:vAlign w:val="top"/>
          </w:tcPr>
          <w:p w14:paraId="7B141031">
            <w:pPr>
              <w:rPr>
                <w:rFonts w:ascii="Arial"/>
                <w:sz w:val="21"/>
                <w:highlight w:val="none"/>
              </w:rPr>
            </w:pPr>
          </w:p>
        </w:tc>
        <w:tc>
          <w:tcPr>
            <w:tcW w:w="1169" w:type="dxa"/>
            <w:vAlign w:val="top"/>
          </w:tcPr>
          <w:p w14:paraId="3C7747DF">
            <w:pPr>
              <w:rPr>
                <w:rFonts w:ascii="Arial"/>
                <w:sz w:val="21"/>
                <w:highlight w:val="none"/>
              </w:rPr>
            </w:pPr>
          </w:p>
        </w:tc>
        <w:tc>
          <w:tcPr>
            <w:tcW w:w="849" w:type="dxa"/>
            <w:vAlign w:val="top"/>
          </w:tcPr>
          <w:p w14:paraId="6D61821C">
            <w:pPr>
              <w:rPr>
                <w:rFonts w:ascii="Arial"/>
                <w:sz w:val="21"/>
                <w:highlight w:val="none"/>
              </w:rPr>
            </w:pPr>
          </w:p>
        </w:tc>
        <w:tc>
          <w:tcPr>
            <w:tcW w:w="1079" w:type="dxa"/>
            <w:vAlign w:val="top"/>
          </w:tcPr>
          <w:p w14:paraId="774C595D">
            <w:pPr>
              <w:rPr>
                <w:rFonts w:ascii="Arial"/>
                <w:sz w:val="21"/>
                <w:highlight w:val="none"/>
              </w:rPr>
            </w:pPr>
          </w:p>
        </w:tc>
        <w:tc>
          <w:tcPr>
            <w:tcW w:w="719" w:type="dxa"/>
            <w:vAlign w:val="top"/>
          </w:tcPr>
          <w:p w14:paraId="6C553BB0">
            <w:pPr>
              <w:rPr>
                <w:rFonts w:ascii="Arial"/>
                <w:sz w:val="21"/>
                <w:highlight w:val="none"/>
              </w:rPr>
            </w:pPr>
          </w:p>
        </w:tc>
        <w:tc>
          <w:tcPr>
            <w:tcW w:w="809" w:type="dxa"/>
            <w:vAlign w:val="top"/>
          </w:tcPr>
          <w:p w14:paraId="3F796AED">
            <w:pPr>
              <w:rPr>
                <w:rFonts w:ascii="Arial"/>
                <w:sz w:val="21"/>
                <w:highlight w:val="none"/>
              </w:rPr>
            </w:pPr>
          </w:p>
        </w:tc>
        <w:tc>
          <w:tcPr>
            <w:tcW w:w="1329" w:type="dxa"/>
            <w:vAlign w:val="top"/>
          </w:tcPr>
          <w:p w14:paraId="0AB3E371">
            <w:pPr>
              <w:rPr>
                <w:rFonts w:ascii="Arial"/>
                <w:sz w:val="21"/>
                <w:highlight w:val="none"/>
              </w:rPr>
            </w:pPr>
          </w:p>
        </w:tc>
        <w:tc>
          <w:tcPr>
            <w:tcW w:w="1788" w:type="dxa"/>
            <w:vAlign w:val="top"/>
          </w:tcPr>
          <w:p w14:paraId="6539B3A4">
            <w:pPr>
              <w:rPr>
                <w:rFonts w:ascii="Arial"/>
                <w:sz w:val="21"/>
                <w:highlight w:val="none"/>
              </w:rPr>
            </w:pPr>
          </w:p>
        </w:tc>
        <w:tc>
          <w:tcPr>
            <w:tcW w:w="764" w:type="dxa"/>
            <w:vAlign w:val="top"/>
          </w:tcPr>
          <w:p w14:paraId="38962225">
            <w:pPr>
              <w:rPr>
                <w:rFonts w:ascii="Arial"/>
                <w:sz w:val="21"/>
                <w:highlight w:val="none"/>
              </w:rPr>
            </w:pPr>
          </w:p>
        </w:tc>
      </w:tr>
      <w:tr w14:paraId="1108E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24" w:type="dxa"/>
            <w:vAlign w:val="top"/>
          </w:tcPr>
          <w:p w14:paraId="58B64D33">
            <w:pPr>
              <w:rPr>
                <w:rFonts w:ascii="Arial"/>
                <w:sz w:val="21"/>
                <w:highlight w:val="none"/>
              </w:rPr>
            </w:pPr>
          </w:p>
        </w:tc>
        <w:tc>
          <w:tcPr>
            <w:tcW w:w="1169" w:type="dxa"/>
            <w:vAlign w:val="top"/>
          </w:tcPr>
          <w:p w14:paraId="05F2A969">
            <w:pPr>
              <w:rPr>
                <w:rFonts w:ascii="Arial"/>
                <w:sz w:val="21"/>
                <w:highlight w:val="none"/>
              </w:rPr>
            </w:pPr>
          </w:p>
        </w:tc>
        <w:tc>
          <w:tcPr>
            <w:tcW w:w="849" w:type="dxa"/>
            <w:vAlign w:val="top"/>
          </w:tcPr>
          <w:p w14:paraId="75581967">
            <w:pPr>
              <w:rPr>
                <w:rFonts w:ascii="Arial"/>
                <w:sz w:val="21"/>
                <w:highlight w:val="none"/>
              </w:rPr>
            </w:pPr>
          </w:p>
        </w:tc>
        <w:tc>
          <w:tcPr>
            <w:tcW w:w="1079" w:type="dxa"/>
            <w:vAlign w:val="top"/>
          </w:tcPr>
          <w:p w14:paraId="654A0E81">
            <w:pPr>
              <w:rPr>
                <w:rFonts w:ascii="Arial"/>
                <w:sz w:val="21"/>
                <w:highlight w:val="none"/>
              </w:rPr>
            </w:pPr>
          </w:p>
        </w:tc>
        <w:tc>
          <w:tcPr>
            <w:tcW w:w="719" w:type="dxa"/>
            <w:vAlign w:val="top"/>
          </w:tcPr>
          <w:p w14:paraId="74F7CE2A">
            <w:pPr>
              <w:rPr>
                <w:rFonts w:ascii="Arial"/>
                <w:sz w:val="21"/>
                <w:highlight w:val="none"/>
              </w:rPr>
            </w:pPr>
          </w:p>
        </w:tc>
        <w:tc>
          <w:tcPr>
            <w:tcW w:w="809" w:type="dxa"/>
            <w:vAlign w:val="top"/>
          </w:tcPr>
          <w:p w14:paraId="39D91001">
            <w:pPr>
              <w:rPr>
                <w:rFonts w:ascii="Arial"/>
                <w:sz w:val="21"/>
                <w:highlight w:val="none"/>
              </w:rPr>
            </w:pPr>
          </w:p>
        </w:tc>
        <w:tc>
          <w:tcPr>
            <w:tcW w:w="1329" w:type="dxa"/>
            <w:vAlign w:val="top"/>
          </w:tcPr>
          <w:p w14:paraId="52C10ED6">
            <w:pPr>
              <w:rPr>
                <w:rFonts w:ascii="Arial"/>
                <w:sz w:val="21"/>
                <w:highlight w:val="none"/>
              </w:rPr>
            </w:pPr>
          </w:p>
        </w:tc>
        <w:tc>
          <w:tcPr>
            <w:tcW w:w="1788" w:type="dxa"/>
            <w:vAlign w:val="top"/>
          </w:tcPr>
          <w:p w14:paraId="73CE9DA2">
            <w:pPr>
              <w:rPr>
                <w:rFonts w:ascii="Arial"/>
                <w:sz w:val="21"/>
                <w:highlight w:val="none"/>
              </w:rPr>
            </w:pPr>
          </w:p>
        </w:tc>
        <w:tc>
          <w:tcPr>
            <w:tcW w:w="764" w:type="dxa"/>
            <w:vAlign w:val="top"/>
          </w:tcPr>
          <w:p w14:paraId="30E99685">
            <w:pPr>
              <w:rPr>
                <w:rFonts w:ascii="Arial"/>
                <w:sz w:val="21"/>
                <w:highlight w:val="none"/>
              </w:rPr>
            </w:pPr>
          </w:p>
        </w:tc>
      </w:tr>
      <w:tr w14:paraId="021F1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7E702FFE">
            <w:pPr>
              <w:rPr>
                <w:rFonts w:ascii="Arial"/>
                <w:sz w:val="21"/>
                <w:highlight w:val="none"/>
              </w:rPr>
            </w:pPr>
          </w:p>
        </w:tc>
        <w:tc>
          <w:tcPr>
            <w:tcW w:w="1169" w:type="dxa"/>
            <w:vAlign w:val="top"/>
          </w:tcPr>
          <w:p w14:paraId="553AF147">
            <w:pPr>
              <w:rPr>
                <w:rFonts w:ascii="Arial"/>
                <w:sz w:val="21"/>
                <w:highlight w:val="none"/>
              </w:rPr>
            </w:pPr>
          </w:p>
        </w:tc>
        <w:tc>
          <w:tcPr>
            <w:tcW w:w="849" w:type="dxa"/>
            <w:vAlign w:val="top"/>
          </w:tcPr>
          <w:p w14:paraId="27C8CAA6">
            <w:pPr>
              <w:rPr>
                <w:rFonts w:ascii="Arial"/>
                <w:sz w:val="21"/>
                <w:highlight w:val="none"/>
              </w:rPr>
            </w:pPr>
          </w:p>
        </w:tc>
        <w:tc>
          <w:tcPr>
            <w:tcW w:w="1079" w:type="dxa"/>
            <w:vAlign w:val="top"/>
          </w:tcPr>
          <w:p w14:paraId="44890CF6">
            <w:pPr>
              <w:rPr>
                <w:rFonts w:ascii="Arial"/>
                <w:sz w:val="21"/>
                <w:highlight w:val="none"/>
              </w:rPr>
            </w:pPr>
          </w:p>
        </w:tc>
        <w:tc>
          <w:tcPr>
            <w:tcW w:w="719" w:type="dxa"/>
            <w:vAlign w:val="top"/>
          </w:tcPr>
          <w:p w14:paraId="2A4B4EAC">
            <w:pPr>
              <w:rPr>
                <w:rFonts w:ascii="Arial"/>
                <w:sz w:val="21"/>
                <w:highlight w:val="none"/>
              </w:rPr>
            </w:pPr>
          </w:p>
        </w:tc>
        <w:tc>
          <w:tcPr>
            <w:tcW w:w="809" w:type="dxa"/>
            <w:vAlign w:val="top"/>
          </w:tcPr>
          <w:p w14:paraId="06B0F5BD">
            <w:pPr>
              <w:rPr>
                <w:rFonts w:ascii="Arial"/>
                <w:sz w:val="21"/>
                <w:highlight w:val="none"/>
              </w:rPr>
            </w:pPr>
          </w:p>
        </w:tc>
        <w:tc>
          <w:tcPr>
            <w:tcW w:w="1329" w:type="dxa"/>
            <w:vAlign w:val="top"/>
          </w:tcPr>
          <w:p w14:paraId="1BDD4309">
            <w:pPr>
              <w:rPr>
                <w:rFonts w:ascii="Arial"/>
                <w:sz w:val="21"/>
                <w:highlight w:val="none"/>
              </w:rPr>
            </w:pPr>
          </w:p>
        </w:tc>
        <w:tc>
          <w:tcPr>
            <w:tcW w:w="1788" w:type="dxa"/>
            <w:vAlign w:val="top"/>
          </w:tcPr>
          <w:p w14:paraId="3F953C3B">
            <w:pPr>
              <w:rPr>
                <w:rFonts w:ascii="Arial"/>
                <w:sz w:val="21"/>
                <w:highlight w:val="none"/>
              </w:rPr>
            </w:pPr>
          </w:p>
        </w:tc>
        <w:tc>
          <w:tcPr>
            <w:tcW w:w="764" w:type="dxa"/>
            <w:vAlign w:val="top"/>
          </w:tcPr>
          <w:p w14:paraId="4828A303">
            <w:pPr>
              <w:rPr>
                <w:rFonts w:ascii="Arial"/>
                <w:sz w:val="21"/>
                <w:highlight w:val="none"/>
              </w:rPr>
            </w:pPr>
          </w:p>
        </w:tc>
      </w:tr>
      <w:tr w14:paraId="097E9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3E56AD9C">
            <w:pPr>
              <w:rPr>
                <w:rFonts w:ascii="Arial"/>
                <w:sz w:val="21"/>
                <w:highlight w:val="none"/>
              </w:rPr>
            </w:pPr>
          </w:p>
        </w:tc>
        <w:tc>
          <w:tcPr>
            <w:tcW w:w="1169" w:type="dxa"/>
            <w:vAlign w:val="top"/>
          </w:tcPr>
          <w:p w14:paraId="4C70323B">
            <w:pPr>
              <w:rPr>
                <w:rFonts w:ascii="Arial"/>
                <w:sz w:val="21"/>
                <w:highlight w:val="none"/>
              </w:rPr>
            </w:pPr>
          </w:p>
        </w:tc>
        <w:tc>
          <w:tcPr>
            <w:tcW w:w="849" w:type="dxa"/>
            <w:vAlign w:val="top"/>
          </w:tcPr>
          <w:p w14:paraId="3E33A1C8">
            <w:pPr>
              <w:rPr>
                <w:rFonts w:ascii="Arial"/>
                <w:sz w:val="21"/>
                <w:highlight w:val="none"/>
              </w:rPr>
            </w:pPr>
          </w:p>
        </w:tc>
        <w:tc>
          <w:tcPr>
            <w:tcW w:w="1079" w:type="dxa"/>
            <w:vAlign w:val="top"/>
          </w:tcPr>
          <w:p w14:paraId="75DBF740">
            <w:pPr>
              <w:rPr>
                <w:rFonts w:ascii="Arial"/>
                <w:sz w:val="21"/>
                <w:highlight w:val="none"/>
              </w:rPr>
            </w:pPr>
          </w:p>
        </w:tc>
        <w:tc>
          <w:tcPr>
            <w:tcW w:w="719" w:type="dxa"/>
            <w:vAlign w:val="top"/>
          </w:tcPr>
          <w:p w14:paraId="404846B5">
            <w:pPr>
              <w:rPr>
                <w:rFonts w:ascii="Arial"/>
                <w:sz w:val="21"/>
                <w:highlight w:val="none"/>
              </w:rPr>
            </w:pPr>
          </w:p>
        </w:tc>
        <w:tc>
          <w:tcPr>
            <w:tcW w:w="809" w:type="dxa"/>
            <w:vAlign w:val="top"/>
          </w:tcPr>
          <w:p w14:paraId="43D2E541">
            <w:pPr>
              <w:rPr>
                <w:rFonts w:ascii="Arial"/>
                <w:sz w:val="21"/>
                <w:highlight w:val="none"/>
              </w:rPr>
            </w:pPr>
          </w:p>
        </w:tc>
        <w:tc>
          <w:tcPr>
            <w:tcW w:w="1329" w:type="dxa"/>
            <w:vAlign w:val="top"/>
          </w:tcPr>
          <w:p w14:paraId="1A24477C">
            <w:pPr>
              <w:rPr>
                <w:rFonts w:ascii="Arial"/>
                <w:sz w:val="21"/>
                <w:highlight w:val="none"/>
              </w:rPr>
            </w:pPr>
          </w:p>
        </w:tc>
        <w:tc>
          <w:tcPr>
            <w:tcW w:w="1788" w:type="dxa"/>
            <w:vAlign w:val="top"/>
          </w:tcPr>
          <w:p w14:paraId="27B24478">
            <w:pPr>
              <w:rPr>
                <w:rFonts w:ascii="Arial"/>
                <w:sz w:val="21"/>
                <w:highlight w:val="none"/>
              </w:rPr>
            </w:pPr>
          </w:p>
        </w:tc>
        <w:tc>
          <w:tcPr>
            <w:tcW w:w="764" w:type="dxa"/>
            <w:vAlign w:val="top"/>
          </w:tcPr>
          <w:p w14:paraId="77482C6A">
            <w:pPr>
              <w:rPr>
                <w:rFonts w:ascii="Arial"/>
                <w:sz w:val="21"/>
                <w:highlight w:val="none"/>
              </w:rPr>
            </w:pPr>
          </w:p>
        </w:tc>
      </w:tr>
      <w:tr w14:paraId="1C005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781CD585">
            <w:pPr>
              <w:rPr>
                <w:rFonts w:ascii="Arial"/>
                <w:sz w:val="21"/>
                <w:highlight w:val="none"/>
              </w:rPr>
            </w:pPr>
          </w:p>
        </w:tc>
        <w:tc>
          <w:tcPr>
            <w:tcW w:w="1169" w:type="dxa"/>
            <w:vAlign w:val="top"/>
          </w:tcPr>
          <w:p w14:paraId="4B2A91BF">
            <w:pPr>
              <w:rPr>
                <w:rFonts w:ascii="Arial"/>
                <w:sz w:val="21"/>
                <w:highlight w:val="none"/>
              </w:rPr>
            </w:pPr>
          </w:p>
        </w:tc>
        <w:tc>
          <w:tcPr>
            <w:tcW w:w="849" w:type="dxa"/>
            <w:vAlign w:val="top"/>
          </w:tcPr>
          <w:p w14:paraId="6D3C0D7A">
            <w:pPr>
              <w:rPr>
                <w:rFonts w:ascii="Arial"/>
                <w:sz w:val="21"/>
                <w:highlight w:val="none"/>
              </w:rPr>
            </w:pPr>
          </w:p>
        </w:tc>
        <w:tc>
          <w:tcPr>
            <w:tcW w:w="1079" w:type="dxa"/>
            <w:vAlign w:val="top"/>
          </w:tcPr>
          <w:p w14:paraId="1A53B2D6">
            <w:pPr>
              <w:rPr>
                <w:rFonts w:ascii="Arial"/>
                <w:sz w:val="21"/>
                <w:highlight w:val="none"/>
              </w:rPr>
            </w:pPr>
          </w:p>
        </w:tc>
        <w:tc>
          <w:tcPr>
            <w:tcW w:w="719" w:type="dxa"/>
            <w:vAlign w:val="top"/>
          </w:tcPr>
          <w:p w14:paraId="7D951C95">
            <w:pPr>
              <w:rPr>
                <w:rFonts w:ascii="Arial"/>
                <w:sz w:val="21"/>
                <w:highlight w:val="none"/>
              </w:rPr>
            </w:pPr>
          </w:p>
        </w:tc>
        <w:tc>
          <w:tcPr>
            <w:tcW w:w="809" w:type="dxa"/>
            <w:vAlign w:val="top"/>
          </w:tcPr>
          <w:p w14:paraId="6ABE5ECB">
            <w:pPr>
              <w:rPr>
                <w:rFonts w:ascii="Arial"/>
                <w:sz w:val="21"/>
                <w:highlight w:val="none"/>
              </w:rPr>
            </w:pPr>
          </w:p>
        </w:tc>
        <w:tc>
          <w:tcPr>
            <w:tcW w:w="1329" w:type="dxa"/>
            <w:vAlign w:val="top"/>
          </w:tcPr>
          <w:p w14:paraId="67029FE9">
            <w:pPr>
              <w:rPr>
                <w:rFonts w:ascii="Arial"/>
                <w:sz w:val="21"/>
                <w:highlight w:val="none"/>
              </w:rPr>
            </w:pPr>
          </w:p>
        </w:tc>
        <w:tc>
          <w:tcPr>
            <w:tcW w:w="1788" w:type="dxa"/>
            <w:vAlign w:val="top"/>
          </w:tcPr>
          <w:p w14:paraId="6814C183">
            <w:pPr>
              <w:rPr>
                <w:rFonts w:ascii="Arial"/>
                <w:sz w:val="21"/>
                <w:highlight w:val="none"/>
              </w:rPr>
            </w:pPr>
          </w:p>
        </w:tc>
        <w:tc>
          <w:tcPr>
            <w:tcW w:w="764" w:type="dxa"/>
            <w:vAlign w:val="top"/>
          </w:tcPr>
          <w:p w14:paraId="7AA1B8B0">
            <w:pPr>
              <w:rPr>
                <w:rFonts w:ascii="Arial"/>
                <w:sz w:val="21"/>
                <w:highlight w:val="none"/>
              </w:rPr>
            </w:pPr>
          </w:p>
        </w:tc>
      </w:tr>
      <w:tr w14:paraId="485A5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1E1E14D7">
            <w:pPr>
              <w:rPr>
                <w:rFonts w:ascii="Arial"/>
                <w:sz w:val="21"/>
                <w:highlight w:val="none"/>
              </w:rPr>
            </w:pPr>
          </w:p>
        </w:tc>
        <w:tc>
          <w:tcPr>
            <w:tcW w:w="1169" w:type="dxa"/>
            <w:vAlign w:val="top"/>
          </w:tcPr>
          <w:p w14:paraId="5115F1E0">
            <w:pPr>
              <w:rPr>
                <w:rFonts w:ascii="Arial"/>
                <w:sz w:val="21"/>
                <w:highlight w:val="none"/>
              </w:rPr>
            </w:pPr>
          </w:p>
        </w:tc>
        <w:tc>
          <w:tcPr>
            <w:tcW w:w="849" w:type="dxa"/>
            <w:vAlign w:val="top"/>
          </w:tcPr>
          <w:p w14:paraId="0E881EF1">
            <w:pPr>
              <w:rPr>
                <w:rFonts w:ascii="Arial"/>
                <w:sz w:val="21"/>
                <w:highlight w:val="none"/>
              </w:rPr>
            </w:pPr>
          </w:p>
        </w:tc>
        <w:tc>
          <w:tcPr>
            <w:tcW w:w="1079" w:type="dxa"/>
            <w:vAlign w:val="top"/>
          </w:tcPr>
          <w:p w14:paraId="3E67EFA6">
            <w:pPr>
              <w:rPr>
                <w:rFonts w:ascii="Arial"/>
                <w:sz w:val="21"/>
                <w:highlight w:val="none"/>
              </w:rPr>
            </w:pPr>
          </w:p>
        </w:tc>
        <w:tc>
          <w:tcPr>
            <w:tcW w:w="719" w:type="dxa"/>
            <w:vAlign w:val="top"/>
          </w:tcPr>
          <w:p w14:paraId="28E7838E">
            <w:pPr>
              <w:rPr>
                <w:rFonts w:ascii="Arial"/>
                <w:sz w:val="21"/>
                <w:highlight w:val="none"/>
              </w:rPr>
            </w:pPr>
          </w:p>
        </w:tc>
        <w:tc>
          <w:tcPr>
            <w:tcW w:w="809" w:type="dxa"/>
            <w:vAlign w:val="top"/>
          </w:tcPr>
          <w:p w14:paraId="1096C2E4">
            <w:pPr>
              <w:rPr>
                <w:rFonts w:ascii="Arial"/>
                <w:sz w:val="21"/>
                <w:highlight w:val="none"/>
              </w:rPr>
            </w:pPr>
          </w:p>
        </w:tc>
        <w:tc>
          <w:tcPr>
            <w:tcW w:w="1329" w:type="dxa"/>
            <w:vAlign w:val="top"/>
          </w:tcPr>
          <w:p w14:paraId="4BA9939A">
            <w:pPr>
              <w:rPr>
                <w:rFonts w:ascii="Arial"/>
                <w:sz w:val="21"/>
                <w:highlight w:val="none"/>
              </w:rPr>
            </w:pPr>
          </w:p>
        </w:tc>
        <w:tc>
          <w:tcPr>
            <w:tcW w:w="1788" w:type="dxa"/>
            <w:vAlign w:val="top"/>
          </w:tcPr>
          <w:p w14:paraId="54F2F960">
            <w:pPr>
              <w:rPr>
                <w:rFonts w:ascii="Arial"/>
                <w:sz w:val="21"/>
                <w:highlight w:val="none"/>
              </w:rPr>
            </w:pPr>
          </w:p>
        </w:tc>
        <w:tc>
          <w:tcPr>
            <w:tcW w:w="764" w:type="dxa"/>
            <w:vAlign w:val="top"/>
          </w:tcPr>
          <w:p w14:paraId="469A74B2">
            <w:pPr>
              <w:rPr>
                <w:rFonts w:ascii="Arial"/>
                <w:sz w:val="21"/>
                <w:highlight w:val="none"/>
              </w:rPr>
            </w:pPr>
          </w:p>
        </w:tc>
      </w:tr>
      <w:tr w14:paraId="0969C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054DD9A8">
            <w:pPr>
              <w:rPr>
                <w:rFonts w:ascii="Arial"/>
                <w:sz w:val="21"/>
                <w:highlight w:val="none"/>
              </w:rPr>
            </w:pPr>
          </w:p>
        </w:tc>
        <w:tc>
          <w:tcPr>
            <w:tcW w:w="1169" w:type="dxa"/>
            <w:vAlign w:val="top"/>
          </w:tcPr>
          <w:p w14:paraId="3005E1A4">
            <w:pPr>
              <w:rPr>
                <w:rFonts w:ascii="Arial"/>
                <w:sz w:val="21"/>
                <w:highlight w:val="none"/>
              </w:rPr>
            </w:pPr>
          </w:p>
        </w:tc>
        <w:tc>
          <w:tcPr>
            <w:tcW w:w="849" w:type="dxa"/>
            <w:vAlign w:val="top"/>
          </w:tcPr>
          <w:p w14:paraId="0924530F">
            <w:pPr>
              <w:rPr>
                <w:rFonts w:ascii="Arial"/>
                <w:sz w:val="21"/>
                <w:highlight w:val="none"/>
              </w:rPr>
            </w:pPr>
          </w:p>
        </w:tc>
        <w:tc>
          <w:tcPr>
            <w:tcW w:w="1079" w:type="dxa"/>
            <w:vAlign w:val="top"/>
          </w:tcPr>
          <w:p w14:paraId="3F8F0F66">
            <w:pPr>
              <w:rPr>
                <w:rFonts w:ascii="Arial"/>
                <w:sz w:val="21"/>
                <w:highlight w:val="none"/>
              </w:rPr>
            </w:pPr>
          </w:p>
        </w:tc>
        <w:tc>
          <w:tcPr>
            <w:tcW w:w="719" w:type="dxa"/>
            <w:vAlign w:val="top"/>
          </w:tcPr>
          <w:p w14:paraId="0491317A">
            <w:pPr>
              <w:rPr>
                <w:rFonts w:ascii="Arial"/>
                <w:sz w:val="21"/>
                <w:highlight w:val="none"/>
              </w:rPr>
            </w:pPr>
          </w:p>
        </w:tc>
        <w:tc>
          <w:tcPr>
            <w:tcW w:w="809" w:type="dxa"/>
            <w:vAlign w:val="top"/>
          </w:tcPr>
          <w:p w14:paraId="5C3BF452">
            <w:pPr>
              <w:rPr>
                <w:rFonts w:ascii="Arial"/>
                <w:sz w:val="21"/>
                <w:highlight w:val="none"/>
              </w:rPr>
            </w:pPr>
          </w:p>
        </w:tc>
        <w:tc>
          <w:tcPr>
            <w:tcW w:w="1329" w:type="dxa"/>
            <w:vAlign w:val="top"/>
          </w:tcPr>
          <w:p w14:paraId="077D4AE1">
            <w:pPr>
              <w:rPr>
                <w:rFonts w:ascii="Arial"/>
                <w:sz w:val="21"/>
                <w:highlight w:val="none"/>
              </w:rPr>
            </w:pPr>
          </w:p>
        </w:tc>
        <w:tc>
          <w:tcPr>
            <w:tcW w:w="1788" w:type="dxa"/>
            <w:vAlign w:val="top"/>
          </w:tcPr>
          <w:p w14:paraId="438E1170">
            <w:pPr>
              <w:rPr>
                <w:rFonts w:ascii="Arial"/>
                <w:sz w:val="21"/>
                <w:highlight w:val="none"/>
              </w:rPr>
            </w:pPr>
          </w:p>
        </w:tc>
        <w:tc>
          <w:tcPr>
            <w:tcW w:w="764" w:type="dxa"/>
            <w:vAlign w:val="top"/>
          </w:tcPr>
          <w:p w14:paraId="34940B84">
            <w:pPr>
              <w:rPr>
                <w:rFonts w:ascii="Arial"/>
                <w:sz w:val="21"/>
                <w:highlight w:val="none"/>
              </w:rPr>
            </w:pPr>
          </w:p>
        </w:tc>
      </w:tr>
      <w:tr w14:paraId="72D56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24" w:type="dxa"/>
            <w:vAlign w:val="top"/>
          </w:tcPr>
          <w:p w14:paraId="39360C45">
            <w:pPr>
              <w:rPr>
                <w:rFonts w:ascii="Arial"/>
                <w:sz w:val="21"/>
                <w:highlight w:val="none"/>
              </w:rPr>
            </w:pPr>
          </w:p>
        </w:tc>
        <w:tc>
          <w:tcPr>
            <w:tcW w:w="1169" w:type="dxa"/>
            <w:vAlign w:val="top"/>
          </w:tcPr>
          <w:p w14:paraId="788C6025">
            <w:pPr>
              <w:rPr>
                <w:rFonts w:ascii="Arial"/>
                <w:sz w:val="21"/>
                <w:highlight w:val="none"/>
              </w:rPr>
            </w:pPr>
          </w:p>
        </w:tc>
        <w:tc>
          <w:tcPr>
            <w:tcW w:w="849" w:type="dxa"/>
            <w:vAlign w:val="top"/>
          </w:tcPr>
          <w:p w14:paraId="781FD857">
            <w:pPr>
              <w:rPr>
                <w:rFonts w:ascii="Arial"/>
                <w:sz w:val="21"/>
                <w:highlight w:val="none"/>
              </w:rPr>
            </w:pPr>
          </w:p>
        </w:tc>
        <w:tc>
          <w:tcPr>
            <w:tcW w:w="1079" w:type="dxa"/>
            <w:vAlign w:val="top"/>
          </w:tcPr>
          <w:p w14:paraId="1C214C1A">
            <w:pPr>
              <w:rPr>
                <w:rFonts w:ascii="Arial"/>
                <w:sz w:val="21"/>
                <w:highlight w:val="none"/>
              </w:rPr>
            </w:pPr>
          </w:p>
        </w:tc>
        <w:tc>
          <w:tcPr>
            <w:tcW w:w="719" w:type="dxa"/>
            <w:vAlign w:val="top"/>
          </w:tcPr>
          <w:p w14:paraId="0E29BC60">
            <w:pPr>
              <w:rPr>
                <w:rFonts w:ascii="Arial"/>
                <w:sz w:val="21"/>
                <w:highlight w:val="none"/>
              </w:rPr>
            </w:pPr>
          </w:p>
        </w:tc>
        <w:tc>
          <w:tcPr>
            <w:tcW w:w="809" w:type="dxa"/>
            <w:vAlign w:val="top"/>
          </w:tcPr>
          <w:p w14:paraId="0FC123D5">
            <w:pPr>
              <w:rPr>
                <w:rFonts w:ascii="Arial"/>
                <w:sz w:val="21"/>
                <w:highlight w:val="none"/>
              </w:rPr>
            </w:pPr>
          </w:p>
        </w:tc>
        <w:tc>
          <w:tcPr>
            <w:tcW w:w="1329" w:type="dxa"/>
            <w:vAlign w:val="top"/>
          </w:tcPr>
          <w:p w14:paraId="1633C59B">
            <w:pPr>
              <w:rPr>
                <w:rFonts w:ascii="Arial"/>
                <w:sz w:val="21"/>
                <w:highlight w:val="none"/>
              </w:rPr>
            </w:pPr>
          </w:p>
        </w:tc>
        <w:tc>
          <w:tcPr>
            <w:tcW w:w="1788" w:type="dxa"/>
            <w:vAlign w:val="top"/>
          </w:tcPr>
          <w:p w14:paraId="2A11255A">
            <w:pPr>
              <w:rPr>
                <w:rFonts w:ascii="Arial"/>
                <w:sz w:val="21"/>
                <w:highlight w:val="none"/>
              </w:rPr>
            </w:pPr>
          </w:p>
        </w:tc>
        <w:tc>
          <w:tcPr>
            <w:tcW w:w="764" w:type="dxa"/>
            <w:vAlign w:val="top"/>
          </w:tcPr>
          <w:p w14:paraId="4171C14C">
            <w:pPr>
              <w:rPr>
                <w:rFonts w:ascii="Arial"/>
                <w:sz w:val="21"/>
                <w:highlight w:val="none"/>
              </w:rPr>
            </w:pPr>
          </w:p>
        </w:tc>
      </w:tr>
      <w:tr w14:paraId="03B35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24" w:type="dxa"/>
            <w:vAlign w:val="top"/>
          </w:tcPr>
          <w:p w14:paraId="33BAE563">
            <w:pPr>
              <w:rPr>
                <w:rFonts w:ascii="Arial"/>
                <w:sz w:val="21"/>
                <w:highlight w:val="none"/>
              </w:rPr>
            </w:pPr>
          </w:p>
        </w:tc>
        <w:tc>
          <w:tcPr>
            <w:tcW w:w="1169" w:type="dxa"/>
            <w:vAlign w:val="top"/>
          </w:tcPr>
          <w:p w14:paraId="79E56AA9">
            <w:pPr>
              <w:rPr>
                <w:rFonts w:ascii="Arial"/>
                <w:sz w:val="21"/>
                <w:highlight w:val="none"/>
              </w:rPr>
            </w:pPr>
          </w:p>
        </w:tc>
        <w:tc>
          <w:tcPr>
            <w:tcW w:w="849" w:type="dxa"/>
            <w:vAlign w:val="top"/>
          </w:tcPr>
          <w:p w14:paraId="43F2A0BC">
            <w:pPr>
              <w:rPr>
                <w:rFonts w:ascii="Arial"/>
                <w:sz w:val="21"/>
                <w:highlight w:val="none"/>
              </w:rPr>
            </w:pPr>
          </w:p>
        </w:tc>
        <w:tc>
          <w:tcPr>
            <w:tcW w:w="1079" w:type="dxa"/>
            <w:vAlign w:val="top"/>
          </w:tcPr>
          <w:p w14:paraId="6DA66E08">
            <w:pPr>
              <w:rPr>
                <w:rFonts w:ascii="Arial"/>
                <w:sz w:val="21"/>
                <w:highlight w:val="none"/>
              </w:rPr>
            </w:pPr>
          </w:p>
        </w:tc>
        <w:tc>
          <w:tcPr>
            <w:tcW w:w="719" w:type="dxa"/>
            <w:vAlign w:val="top"/>
          </w:tcPr>
          <w:p w14:paraId="0395DEEC">
            <w:pPr>
              <w:rPr>
                <w:rFonts w:ascii="Arial"/>
                <w:sz w:val="21"/>
                <w:highlight w:val="none"/>
              </w:rPr>
            </w:pPr>
          </w:p>
        </w:tc>
        <w:tc>
          <w:tcPr>
            <w:tcW w:w="809" w:type="dxa"/>
            <w:vAlign w:val="top"/>
          </w:tcPr>
          <w:p w14:paraId="6468E787">
            <w:pPr>
              <w:rPr>
                <w:rFonts w:ascii="Arial"/>
                <w:sz w:val="21"/>
                <w:highlight w:val="none"/>
              </w:rPr>
            </w:pPr>
          </w:p>
        </w:tc>
        <w:tc>
          <w:tcPr>
            <w:tcW w:w="1329" w:type="dxa"/>
            <w:vAlign w:val="top"/>
          </w:tcPr>
          <w:p w14:paraId="3129E9E9">
            <w:pPr>
              <w:rPr>
                <w:rFonts w:ascii="Arial"/>
                <w:sz w:val="21"/>
                <w:highlight w:val="none"/>
              </w:rPr>
            </w:pPr>
          </w:p>
        </w:tc>
        <w:tc>
          <w:tcPr>
            <w:tcW w:w="1788" w:type="dxa"/>
            <w:vAlign w:val="top"/>
          </w:tcPr>
          <w:p w14:paraId="504455C8">
            <w:pPr>
              <w:rPr>
                <w:rFonts w:ascii="Arial"/>
                <w:sz w:val="21"/>
                <w:highlight w:val="none"/>
              </w:rPr>
            </w:pPr>
          </w:p>
        </w:tc>
        <w:tc>
          <w:tcPr>
            <w:tcW w:w="764" w:type="dxa"/>
            <w:vAlign w:val="top"/>
          </w:tcPr>
          <w:p w14:paraId="4FEEC33F">
            <w:pPr>
              <w:rPr>
                <w:rFonts w:ascii="Arial"/>
                <w:sz w:val="21"/>
                <w:highlight w:val="none"/>
              </w:rPr>
            </w:pPr>
          </w:p>
        </w:tc>
      </w:tr>
      <w:tr w14:paraId="10581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24" w:type="dxa"/>
            <w:vAlign w:val="top"/>
          </w:tcPr>
          <w:p w14:paraId="58236B04">
            <w:pPr>
              <w:rPr>
                <w:rFonts w:ascii="Arial"/>
                <w:sz w:val="21"/>
                <w:highlight w:val="none"/>
              </w:rPr>
            </w:pPr>
          </w:p>
        </w:tc>
        <w:tc>
          <w:tcPr>
            <w:tcW w:w="1169" w:type="dxa"/>
            <w:vAlign w:val="top"/>
          </w:tcPr>
          <w:p w14:paraId="69036A34">
            <w:pPr>
              <w:rPr>
                <w:rFonts w:ascii="Arial"/>
                <w:sz w:val="21"/>
                <w:highlight w:val="none"/>
              </w:rPr>
            </w:pPr>
          </w:p>
        </w:tc>
        <w:tc>
          <w:tcPr>
            <w:tcW w:w="849" w:type="dxa"/>
            <w:vAlign w:val="top"/>
          </w:tcPr>
          <w:p w14:paraId="4ABC5ACD">
            <w:pPr>
              <w:rPr>
                <w:rFonts w:ascii="Arial"/>
                <w:sz w:val="21"/>
                <w:highlight w:val="none"/>
              </w:rPr>
            </w:pPr>
          </w:p>
        </w:tc>
        <w:tc>
          <w:tcPr>
            <w:tcW w:w="1079" w:type="dxa"/>
            <w:vAlign w:val="top"/>
          </w:tcPr>
          <w:p w14:paraId="2C745D4D">
            <w:pPr>
              <w:rPr>
                <w:rFonts w:ascii="Arial"/>
                <w:sz w:val="21"/>
                <w:highlight w:val="none"/>
              </w:rPr>
            </w:pPr>
          </w:p>
        </w:tc>
        <w:tc>
          <w:tcPr>
            <w:tcW w:w="719" w:type="dxa"/>
            <w:vAlign w:val="top"/>
          </w:tcPr>
          <w:p w14:paraId="77F124D8">
            <w:pPr>
              <w:rPr>
                <w:rFonts w:ascii="Arial"/>
                <w:sz w:val="21"/>
                <w:highlight w:val="none"/>
              </w:rPr>
            </w:pPr>
          </w:p>
        </w:tc>
        <w:tc>
          <w:tcPr>
            <w:tcW w:w="809" w:type="dxa"/>
            <w:vAlign w:val="top"/>
          </w:tcPr>
          <w:p w14:paraId="50A252F9">
            <w:pPr>
              <w:rPr>
                <w:rFonts w:ascii="Arial"/>
                <w:sz w:val="21"/>
                <w:highlight w:val="none"/>
              </w:rPr>
            </w:pPr>
          </w:p>
        </w:tc>
        <w:tc>
          <w:tcPr>
            <w:tcW w:w="1329" w:type="dxa"/>
            <w:vAlign w:val="top"/>
          </w:tcPr>
          <w:p w14:paraId="4C698FD7">
            <w:pPr>
              <w:rPr>
                <w:rFonts w:ascii="Arial"/>
                <w:sz w:val="21"/>
                <w:highlight w:val="none"/>
              </w:rPr>
            </w:pPr>
          </w:p>
        </w:tc>
        <w:tc>
          <w:tcPr>
            <w:tcW w:w="1788" w:type="dxa"/>
            <w:vAlign w:val="top"/>
          </w:tcPr>
          <w:p w14:paraId="73E443FE">
            <w:pPr>
              <w:rPr>
                <w:rFonts w:ascii="Arial"/>
                <w:sz w:val="21"/>
                <w:highlight w:val="none"/>
              </w:rPr>
            </w:pPr>
          </w:p>
        </w:tc>
        <w:tc>
          <w:tcPr>
            <w:tcW w:w="764" w:type="dxa"/>
            <w:vAlign w:val="top"/>
          </w:tcPr>
          <w:p w14:paraId="7CDF0315">
            <w:pPr>
              <w:rPr>
                <w:rFonts w:ascii="Arial"/>
                <w:sz w:val="21"/>
                <w:highlight w:val="none"/>
              </w:rPr>
            </w:pPr>
          </w:p>
        </w:tc>
      </w:tr>
      <w:tr w14:paraId="44EE3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24" w:type="dxa"/>
            <w:vAlign w:val="top"/>
          </w:tcPr>
          <w:p w14:paraId="584EBF86">
            <w:pPr>
              <w:rPr>
                <w:rFonts w:ascii="Arial"/>
                <w:sz w:val="21"/>
                <w:highlight w:val="none"/>
              </w:rPr>
            </w:pPr>
          </w:p>
        </w:tc>
        <w:tc>
          <w:tcPr>
            <w:tcW w:w="1169" w:type="dxa"/>
            <w:vAlign w:val="top"/>
          </w:tcPr>
          <w:p w14:paraId="16CEF9F6">
            <w:pPr>
              <w:rPr>
                <w:rFonts w:ascii="Arial"/>
                <w:sz w:val="21"/>
                <w:highlight w:val="none"/>
              </w:rPr>
            </w:pPr>
          </w:p>
        </w:tc>
        <w:tc>
          <w:tcPr>
            <w:tcW w:w="849" w:type="dxa"/>
            <w:vAlign w:val="top"/>
          </w:tcPr>
          <w:p w14:paraId="15B4C159">
            <w:pPr>
              <w:rPr>
                <w:rFonts w:ascii="Arial"/>
                <w:sz w:val="21"/>
                <w:highlight w:val="none"/>
              </w:rPr>
            </w:pPr>
          </w:p>
        </w:tc>
        <w:tc>
          <w:tcPr>
            <w:tcW w:w="1079" w:type="dxa"/>
            <w:vAlign w:val="top"/>
          </w:tcPr>
          <w:p w14:paraId="7652D687">
            <w:pPr>
              <w:rPr>
                <w:rFonts w:ascii="Arial"/>
                <w:sz w:val="21"/>
                <w:highlight w:val="none"/>
              </w:rPr>
            </w:pPr>
          </w:p>
        </w:tc>
        <w:tc>
          <w:tcPr>
            <w:tcW w:w="719" w:type="dxa"/>
            <w:vAlign w:val="top"/>
          </w:tcPr>
          <w:p w14:paraId="09FD3B39">
            <w:pPr>
              <w:rPr>
                <w:rFonts w:ascii="Arial"/>
                <w:sz w:val="21"/>
                <w:highlight w:val="none"/>
              </w:rPr>
            </w:pPr>
          </w:p>
        </w:tc>
        <w:tc>
          <w:tcPr>
            <w:tcW w:w="809" w:type="dxa"/>
            <w:vAlign w:val="top"/>
          </w:tcPr>
          <w:p w14:paraId="047B5645">
            <w:pPr>
              <w:rPr>
                <w:rFonts w:ascii="Arial"/>
                <w:sz w:val="21"/>
                <w:highlight w:val="none"/>
              </w:rPr>
            </w:pPr>
          </w:p>
        </w:tc>
        <w:tc>
          <w:tcPr>
            <w:tcW w:w="1329" w:type="dxa"/>
            <w:vAlign w:val="top"/>
          </w:tcPr>
          <w:p w14:paraId="3D23EF36">
            <w:pPr>
              <w:rPr>
                <w:rFonts w:ascii="Arial"/>
                <w:sz w:val="21"/>
                <w:highlight w:val="none"/>
              </w:rPr>
            </w:pPr>
          </w:p>
        </w:tc>
        <w:tc>
          <w:tcPr>
            <w:tcW w:w="1788" w:type="dxa"/>
            <w:vAlign w:val="top"/>
          </w:tcPr>
          <w:p w14:paraId="29B71A22">
            <w:pPr>
              <w:rPr>
                <w:rFonts w:ascii="Arial"/>
                <w:sz w:val="21"/>
                <w:highlight w:val="none"/>
              </w:rPr>
            </w:pPr>
          </w:p>
        </w:tc>
        <w:tc>
          <w:tcPr>
            <w:tcW w:w="764" w:type="dxa"/>
            <w:vAlign w:val="top"/>
          </w:tcPr>
          <w:p w14:paraId="552B51F4">
            <w:pPr>
              <w:rPr>
                <w:rFonts w:ascii="Arial"/>
                <w:sz w:val="21"/>
                <w:highlight w:val="none"/>
              </w:rPr>
            </w:pPr>
          </w:p>
        </w:tc>
      </w:tr>
      <w:tr w14:paraId="4384E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24" w:type="dxa"/>
            <w:vAlign w:val="top"/>
          </w:tcPr>
          <w:p w14:paraId="70EFE218">
            <w:pPr>
              <w:rPr>
                <w:rFonts w:ascii="Arial"/>
                <w:sz w:val="21"/>
                <w:highlight w:val="none"/>
              </w:rPr>
            </w:pPr>
          </w:p>
        </w:tc>
        <w:tc>
          <w:tcPr>
            <w:tcW w:w="1169" w:type="dxa"/>
            <w:vAlign w:val="top"/>
          </w:tcPr>
          <w:p w14:paraId="214F882E">
            <w:pPr>
              <w:rPr>
                <w:rFonts w:ascii="Arial"/>
                <w:sz w:val="21"/>
                <w:highlight w:val="none"/>
              </w:rPr>
            </w:pPr>
          </w:p>
        </w:tc>
        <w:tc>
          <w:tcPr>
            <w:tcW w:w="849" w:type="dxa"/>
            <w:vAlign w:val="top"/>
          </w:tcPr>
          <w:p w14:paraId="46562111">
            <w:pPr>
              <w:rPr>
                <w:rFonts w:ascii="Arial"/>
                <w:sz w:val="21"/>
                <w:highlight w:val="none"/>
              </w:rPr>
            </w:pPr>
          </w:p>
        </w:tc>
        <w:tc>
          <w:tcPr>
            <w:tcW w:w="1079" w:type="dxa"/>
            <w:vAlign w:val="top"/>
          </w:tcPr>
          <w:p w14:paraId="308EC640">
            <w:pPr>
              <w:rPr>
                <w:rFonts w:ascii="Arial"/>
                <w:sz w:val="21"/>
                <w:highlight w:val="none"/>
              </w:rPr>
            </w:pPr>
          </w:p>
        </w:tc>
        <w:tc>
          <w:tcPr>
            <w:tcW w:w="719" w:type="dxa"/>
            <w:vAlign w:val="top"/>
          </w:tcPr>
          <w:p w14:paraId="59083A8F">
            <w:pPr>
              <w:rPr>
                <w:rFonts w:ascii="Arial"/>
                <w:sz w:val="21"/>
                <w:highlight w:val="none"/>
              </w:rPr>
            </w:pPr>
          </w:p>
        </w:tc>
        <w:tc>
          <w:tcPr>
            <w:tcW w:w="809" w:type="dxa"/>
            <w:vAlign w:val="top"/>
          </w:tcPr>
          <w:p w14:paraId="4357F317">
            <w:pPr>
              <w:rPr>
                <w:rFonts w:ascii="Arial"/>
                <w:sz w:val="21"/>
                <w:highlight w:val="none"/>
              </w:rPr>
            </w:pPr>
          </w:p>
        </w:tc>
        <w:tc>
          <w:tcPr>
            <w:tcW w:w="1329" w:type="dxa"/>
            <w:vAlign w:val="top"/>
          </w:tcPr>
          <w:p w14:paraId="7F46B10D">
            <w:pPr>
              <w:rPr>
                <w:rFonts w:ascii="Arial"/>
                <w:sz w:val="21"/>
                <w:highlight w:val="none"/>
              </w:rPr>
            </w:pPr>
          </w:p>
        </w:tc>
        <w:tc>
          <w:tcPr>
            <w:tcW w:w="1788" w:type="dxa"/>
            <w:vAlign w:val="top"/>
          </w:tcPr>
          <w:p w14:paraId="55FBF499">
            <w:pPr>
              <w:rPr>
                <w:rFonts w:ascii="Arial"/>
                <w:sz w:val="21"/>
                <w:highlight w:val="none"/>
              </w:rPr>
            </w:pPr>
          </w:p>
        </w:tc>
        <w:tc>
          <w:tcPr>
            <w:tcW w:w="764" w:type="dxa"/>
            <w:vAlign w:val="top"/>
          </w:tcPr>
          <w:p w14:paraId="7AB116E8">
            <w:pPr>
              <w:rPr>
                <w:rFonts w:ascii="Arial"/>
                <w:sz w:val="21"/>
                <w:highlight w:val="none"/>
              </w:rPr>
            </w:pPr>
          </w:p>
        </w:tc>
      </w:tr>
      <w:tr w14:paraId="3C5E0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724" w:type="dxa"/>
            <w:vAlign w:val="top"/>
          </w:tcPr>
          <w:p w14:paraId="4117F123">
            <w:pPr>
              <w:rPr>
                <w:rFonts w:ascii="Arial"/>
                <w:sz w:val="21"/>
                <w:highlight w:val="none"/>
              </w:rPr>
            </w:pPr>
          </w:p>
        </w:tc>
        <w:tc>
          <w:tcPr>
            <w:tcW w:w="1169" w:type="dxa"/>
            <w:vAlign w:val="top"/>
          </w:tcPr>
          <w:p w14:paraId="3FFE0F47">
            <w:pPr>
              <w:rPr>
                <w:rFonts w:ascii="Arial"/>
                <w:sz w:val="21"/>
                <w:highlight w:val="none"/>
              </w:rPr>
            </w:pPr>
          </w:p>
        </w:tc>
        <w:tc>
          <w:tcPr>
            <w:tcW w:w="849" w:type="dxa"/>
            <w:vAlign w:val="top"/>
          </w:tcPr>
          <w:p w14:paraId="0ADE3E28">
            <w:pPr>
              <w:rPr>
                <w:rFonts w:ascii="Arial"/>
                <w:sz w:val="21"/>
                <w:highlight w:val="none"/>
              </w:rPr>
            </w:pPr>
          </w:p>
        </w:tc>
        <w:tc>
          <w:tcPr>
            <w:tcW w:w="1079" w:type="dxa"/>
            <w:vAlign w:val="top"/>
          </w:tcPr>
          <w:p w14:paraId="29075F1B">
            <w:pPr>
              <w:rPr>
                <w:rFonts w:ascii="Arial"/>
                <w:sz w:val="21"/>
                <w:highlight w:val="none"/>
              </w:rPr>
            </w:pPr>
          </w:p>
        </w:tc>
        <w:tc>
          <w:tcPr>
            <w:tcW w:w="719" w:type="dxa"/>
            <w:vAlign w:val="top"/>
          </w:tcPr>
          <w:p w14:paraId="4D50B8C0">
            <w:pPr>
              <w:rPr>
                <w:rFonts w:ascii="Arial"/>
                <w:sz w:val="21"/>
                <w:highlight w:val="none"/>
              </w:rPr>
            </w:pPr>
          </w:p>
        </w:tc>
        <w:tc>
          <w:tcPr>
            <w:tcW w:w="809" w:type="dxa"/>
            <w:vAlign w:val="top"/>
          </w:tcPr>
          <w:p w14:paraId="0D5EFD8E">
            <w:pPr>
              <w:rPr>
                <w:rFonts w:ascii="Arial"/>
                <w:sz w:val="21"/>
                <w:highlight w:val="none"/>
              </w:rPr>
            </w:pPr>
          </w:p>
        </w:tc>
        <w:tc>
          <w:tcPr>
            <w:tcW w:w="1329" w:type="dxa"/>
            <w:vAlign w:val="top"/>
          </w:tcPr>
          <w:p w14:paraId="161006D3">
            <w:pPr>
              <w:rPr>
                <w:rFonts w:ascii="Arial"/>
                <w:sz w:val="21"/>
                <w:highlight w:val="none"/>
              </w:rPr>
            </w:pPr>
          </w:p>
        </w:tc>
        <w:tc>
          <w:tcPr>
            <w:tcW w:w="1788" w:type="dxa"/>
            <w:vAlign w:val="top"/>
          </w:tcPr>
          <w:p w14:paraId="71C2A02B">
            <w:pPr>
              <w:rPr>
                <w:rFonts w:ascii="Arial"/>
                <w:sz w:val="21"/>
                <w:highlight w:val="none"/>
              </w:rPr>
            </w:pPr>
          </w:p>
        </w:tc>
        <w:tc>
          <w:tcPr>
            <w:tcW w:w="764" w:type="dxa"/>
            <w:vAlign w:val="top"/>
          </w:tcPr>
          <w:p w14:paraId="0303DD5F">
            <w:pPr>
              <w:rPr>
                <w:rFonts w:ascii="Arial"/>
                <w:sz w:val="21"/>
                <w:highlight w:val="none"/>
              </w:rPr>
            </w:pPr>
          </w:p>
        </w:tc>
      </w:tr>
    </w:tbl>
    <w:p w14:paraId="0708F155">
      <w:pPr>
        <w:pStyle w:val="2"/>
        <w:rPr>
          <w:highlight w:val="none"/>
        </w:rPr>
      </w:pPr>
    </w:p>
    <w:p w14:paraId="16494742">
      <w:pPr>
        <w:rPr>
          <w:highlight w:val="none"/>
        </w:rPr>
        <w:sectPr>
          <w:footerReference r:id="rId297" w:type="default"/>
          <w:pgSz w:w="11910" w:h="16840"/>
          <w:pgMar w:top="400" w:right="1105" w:bottom="1238" w:left="1564" w:header="0" w:footer="1006" w:gutter="0"/>
          <w:cols w:space="720" w:num="1"/>
        </w:sectPr>
      </w:pPr>
    </w:p>
    <w:p w14:paraId="29FDFA86">
      <w:pPr>
        <w:pStyle w:val="2"/>
        <w:spacing w:line="261" w:lineRule="auto"/>
        <w:rPr>
          <w:highlight w:val="none"/>
        </w:rPr>
      </w:pPr>
    </w:p>
    <w:p w14:paraId="2992E0BA">
      <w:pPr>
        <w:pStyle w:val="2"/>
        <w:spacing w:line="261" w:lineRule="auto"/>
        <w:rPr>
          <w:highlight w:val="none"/>
        </w:rPr>
      </w:pPr>
    </w:p>
    <w:p w14:paraId="582D1200">
      <w:pPr>
        <w:pStyle w:val="2"/>
        <w:spacing w:line="261" w:lineRule="auto"/>
        <w:rPr>
          <w:highlight w:val="none"/>
        </w:rPr>
      </w:pPr>
    </w:p>
    <w:p w14:paraId="3309B5B7">
      <w:pPr>
        <w:pStyle w:val="2"/>
        <w:spacing w:line="262" w:lineRule="auto"/>
        <w:rPr>
          <w:highlight w:val="none"/>
        </w:rPr>
      </w:pPr>
    </w:p>
    <w:p w14:paraId="662850A6">
      <w:pPr>
        <w:spacing w:before="65" w:line="219" w:lineRule="auto"/>
        <w:ind w:left="124"/>
        <w:rPr>
          <w:rFonts w:ascii="宋体" w:hAnsi="宋体" w:eastAsia="宋体" w:cs="宋体"/>
          <w:sz w:val="20"/>
          <w:szCs w:val="20"/>
          <w:highlight w:val="none"/>
        </w:rPr>
      </w:pPr>
      <w:r>
        <w:rPr>
          <w:rFonts w:ascii="宋体" w:hAnsi="宋体" w:eastAsia="宋体" w:cs="宋体"/>
          <w:spacing w:val="9"/>
          <w:sz w:val="20"/>
          <w:szCs w:val="20"/>
          <w:highlight w:val="none"/>
        </w:rPr>
        <w:t>附表三：拟投入本项目的劳动力计划表</w:t>
      </w:r>
    </w:p>
    <w:p w14:paraId="4CD1D867">
      <w:pPr>
        <w:spacing w:before="252" w:line="220" w:lineRule="auto"/>
        <w:ind w:left="7388"/>
        <w:rPr>
          <w:rFonts w:ascii="宋体" w:hAnsi="宋体" w:eastAsia="宋体" w:cs="宋体"/>
          <w:sz w:val="21"/>
          <w:szCs w:val="21"/>
          <w:highlight w:val="none"/>
        </w:rPr>
      </w:pPr>
      <w:r>
        <w:rPr>
          <w:rFonts w:ascii="宋体" w:hAnsi="宋体" w:eastAsia="宋体" w:cs="宋体"/>
          <w:b/>
          <w:bCs/>
          <w:spacing w:val="-5"/>
          <w:sz w:val="21"/>
          <w:szCs w:val="21"/>
          <w:highlight w:val="none"/>
        </w:rPr>
        <w:t>单位：人</w:t>
      </w:r>
    </w:p>
    <w:p w14:paraId="63D5C566">
      <w:pPr>
        <w:spacing w:line="87" w:lineRule="auto"/>
        <w:rPr>
          <w:rFonts w:ascii="Arial"/>
          <w:sz w:val="2"/>
          <w:highlight w:val="none"/>
        </w:rPr>
      </w:pPr>
    </w:p>
    <w:tbl>
      <w:tblPr>
        <w:tblStyle w:val="5"/>
        <w:tblW w:w="92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4"/>
        <w:gridCol w:w="1438"/>
        <w:gridCol w:w="1139"/>
        <w:gridCol w:w="1149"/>
        <w:gridCol w:w="1178"/>
        <w:gridCol w:w="1149"/>
        <w:gridCol w:w="1169"/>
        <w:gridCol w:w="1164"/>
      </w:tblGrid>
      <w:tr w14:paraId="6ABEE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894" w:type="dxa"/>
            <w:vAlign w:val="top"/>
          </w:tcPr>
          <w:p w14:paraId="4C6772DC">
            <w:pPr>
              <w:pStyle w:val="6"/>
              <w:spacing w:before="154" w:line="202" w:lineRule="auto"/>
              <w:ind w:left="234"/>
              <w:rPr>
                <w:highlight w:val="none"/>
              </w:rPr>
            </w:pPr>
            <w:r>
              <w:rPr>
                <w:spacing w:val="7"/>
                <w:highlight w:val="none"/>
              </w:rPr>
              <w:t>工种</w:t>
            </w:r>
          </w:p>
        </w:tc>
        <w:tc>
          <w:tcPr>
            <w:tcW w:w="8386" w:type="dxa"/>
            <w:gridSpan w:val="7"/>
            <w:vAlign w:val="top"/>
          </w:tcPr>
          <w:p w14:paraId="54D32894">
            <w:pPr>
              <w:pStyle w:val="6"/>
              <w:spacing w:before="153" w:line="203" w:lineRule="auto"/>
              <w:ind w:left="2941"/>
              <w:rPr>
                <w:highlight w:val="none"/>
              </w:rPr>
            </w:pPr>
            <w:r>
              <w:rPr>
                <w:spacing w:val="-1"/>
                <w:highlight w:val="none"/>
              </w:rPr>
              <w:t>按工程阶段投入劳动力情况</w:t>
            </w:r>
          </w:p>
        </w:tc>
      </w:tr>
      <w:tr w14:paraId="5F1C5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94" w:type="dxa"/>
            <w:vAlign w:val="top"/>
          </w:tcPr>
          <w:p w14:paraId="70BAC74D">
            <w:pPr>
              <w:rPr>
                <w:rFonts w:ascii="Arial"/>
                <w:sz w:val="21"/>
                <w:highlight w:val="none"/>
              </w:rPr>
            </w:pPr>
          </w:p>
        </w:tc>
        <w:tc>
          <w:tcPr>
            <w:tcW w:w="1438" w:type="dxa"/>
            <w:vAlign w:val="top"/>
          </w:tcPr>
          <w:p w14:paraId="48567F36">
            <w:pPr>
              <w:rPr>
                <w:rFonts w:ascii="Arial"/>
                <w:sz w:val="21"/>
                <w:highlight w:val="none"/>
              </w:rPr>
            </w:pPr>
          </w:p>
        </w:tc>
        <w:tc>
          <w:tcPr>
            <w:tcW w:w="1139" w:type="dxa"/>
            <w:vAlign w:val="top"/>
          </w:tcPr>
          <w:p w14:paraId="5B023DA8">
            <w:pPr>
              <w:rPr>
                <w:rFonts w:ascii="Arial"/>
                <w:sz w:val="21"/>
                <w:highlight w:val="none"/>
              </w:rPr>
            </w:pPr>
          </w:p>
        </w:tc>
        <w:tc>
          <w:tcPr>
            <w:tcW w:w="1149" w:type="dxa"/>
            <w:vAlign w:val="top"/>
          </w:tcPr>
          <w:p w14:paraId="02AF13B3">
            <w:pPr>
              <w:rPr>
                <w:rFonts w:ascii="Arial"/>
                <w:sz w:val="21"/>
                <w:highlight w:val="none"/>
              </w:rPr>
            </w:pPr>
          </w:p>
        </w:tc>
        <w:tc>
          <w:tcPr>
            <w:tcW w:w="1178" w:type="dxa"/>
            <w:vAlign w:val="top"/>
          </w:tcPr>
          <w:p w14:paraId="43B51D9D">
            <w:pPr>
              <w:rPr>
                <w:rFonts w:ascii="Arial"/>
                <w:sz w:val="21"/>
                <w:highlight w:val="none"/>
              </w:rPr>
            </w:pPr>
          </w:p>
        </w:tc>
        <w:tc>
          <w:tcPr>
            <w:tcW w:w="1149" w:type="dxa"/>
            <w:vAlign w:val="top"/>
          </w:tcPr>
          <w:p w14:paraId="7511F64C">
            <w:pPr>
              <w:rPr>
                <w:rFonts w:ascii="Arial"/>
                <w:sz w:val="21"/>
                <w:highlight w:val="none"/>
              </w:rPr>
            </w:pPr>
          </w:p>
        </w:tc>
        <w:tc>
          <w:tcPr>
            <w:tcW w:w="1169" w:type="dxa"/>
            <w:vAlign w:val="top"/>
          </w:tcPr>
          <w:p w14:paraId="2178686E">
            <w:pPr>
              <w:rPr>
                <w:rFonts w:ascii="Arial"/>
                <w:sz w:val="21"/>
                <w:highlight w:val="none"/>
              </w:rPr>
            </w:pPr>
          </w:p>
        </w:tc>
        <w:tc>
          <w:tcPr>
            <w:tcW w:w="1164" w:type="dxa"/>
            <w:vAlign w:val="top"/>
          </w:tcPr>
          <w:p w14:paraId="106ABD7A">
            <w:pPr>
              <w:rPr>
                <w:rFonts w:ascii="Arial"/>
                <w:sz w:val="21"/>
                <w:highlight w:val="none"/>
              </w:rPr>
            </w:pPr>
          </w:p>
        </w:tc>
      </w:tr>
      <w:tr w14:paraId="28CB6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94" w:type="dxa"/>
            <w:vAlign w:val="top"/>
          </w:tcPr>
          <w:p w14:paraId="307BD6D1">
            <w:pPr>
              <w:rPr>
                <w:rFonts w:ascii="Arial"/>
                <w:sz w:val="21"/>
                <w:highlight w:val="none"/>
              </w:rPr>
            </w:pPr>
          </w:p>
        </w:tc>
        <w:tc>
          <w:tcPr>
            <w:tcW w:w="1438" w:type="dxa"/>
            <w:vAlign w:val="top"/>
          </w:tcPr>
          <w:p w14:paraId="40AA3CB6">
            <w:pPr>
              <w:rPr>
                <w:rFonts w:ascii="Arial"/>
                <w:sz w:val="21"/>
                <w:highlight w:val="none"/>
              </w:rPr>
            </w:pPr>
          </w:p>
        </w:tc>
        <w:tc>
          <w:tcPr>
            <w:tcW w:w="1139" w:type="dxa"/>
            <w:vAlign w:val="top"/>
          </w:tcPr>
          <w:p w14:paraId="2F7CA298">
            <w:pPr>
              <w:rPr>
                <w:rFonts w:ascii="Arial"/>
                <w:sz w:val="21"/>
                <w:highlight w:val="none"/>
              </w:rPr>
            </w:pPr>
          </w:p>
        </w:tc>
        <w:tc>
          <w:tcPr>
            <w:tcW w:w="1149" w:type="dxa"/>
            <w:vAlign w:val="top"/>
          </w:tcPr>
          <w:p w14:paraId="5DE16DBA">
            <w:pPr>
              <w:rPr>
                <w:rFonts w:ascii="Arial"/>
                <w:sz w:val="21"/>
                <w:highlight w:val="none"/>
              </w:rPr>
            </w:pPr>
          </w:p>
        </w:tc>
        <w:tc>
          <w:tcPr>
            <w:tcW w:w="1178" w:type="dxa"/>
            <w:vAlign w:val="top"/>
          </w:tcPr>
          <w:p w14:paraId="25D2CAF6">
            <w:pPr>
              <w:rPr>
                <w:rFonts w:ascii="Arial"/>
                <w:sz w:val="21"/>
                <w:highlight w:val="none"/>
              </w:rPr>
            </w:pPr>
          </w:p>
        </w:tc>
        <w:tc>
          <w:tcPr>
            <w:tcW w:w="1149" w:type="dxa"/>
            <w:vAlign w:val="top"/>
          </w:tcPr>
          <w:p w14:paraId="72F533DD">
            <w:pPr>
              <w:rPr>
                <w:rFonts w:ascii="Arial"/>
                <w:sz w:val="21"/>
                <w:highlight w:val="none"/>
              </w:rPr>
            </w:pPr>
          </w:p>
        </w:tc>
        <w:tc>
          <w:tcPr>
            <w:tcW w:w="1169" w:type="dxa"/>
            <w:vAlign w:val="top"/>
          </w:tcPr>
          <w:p w14:paraId="64993761">
            <w:pPr>
              <w:rPr>
                <w:rFonts w:ascii="Arial"/>
                <w:sz w:val="21"/>
                <w:highlight w:val="none"/>
              </w:rPr>
            </w:pPr>
          </w:p>
        </w:tc>
        <w:tc>
          <w:tcPr>
            <w:tcW w:w="1164" w:type="dxa"/>
            <w:vAlign w:val="top"/>
          </w:tcPr>
          <w:p w14:paraId="3939EB30">
            <w:pPr>
              <w:rPr>
                <w:rFonts w:ascii="Arial"/>
                <w:sz w:val="21"/>
                <w:highlight w:val="none"/>
              </w:rPr>
            </w:pPr>
          </w:p>
        </w:tc>
      </w:tr>
      <w:tr w14:paraId="54854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94" w:type="dxa"/>
            <w:vAlign w:val="top"/>
          </w:tcPr>
          <w:p w14:paraId="70722885">
            <w:pPr>
              <w:rPr>
                <w:rFonts w:ascii="Arial"/>
                <w:sz w:val="21"/>
                <w:highlight w:val="none"/>
              </w:rPr>
            </w:pPr>
          </w:p>
        </w:tc>
        <w:tc>
          <w:tcPr>
            <w:tcW w:w="1438" w:type="dxa"/>
            <w:vAlign w:val="top"/>
          </w:tcPr>
          <w:p w14:paraId="3B99EA37">
            <w:pPr>
              <w:rPr>
                <w:rFonts w:ascii="Arial"/>
                <w:sz w:val="21"/>
                <w:highlight w:val="none"/>
              </w:rPr>
            </w:pPr>
          </w:p>
        </w:tc>
        <w:tc>
          <w:tcPr>
            <w:tcW w:w="1139" w:type="dxa"/>
            <w:vAlign w:val="top"/>
          </w:tcPr>
          <w:p w14:paraId="7DB79352">
            <w:pPr>
              <w:rPr>
                <w:rFonts w:ascii="Arial"/>
                <w:sz w:val="21"/>
                <w:highlight w:val="none"/>
              </w:rPr>
            </w:pPr>
          </w:p>
        </w:tc>
        <w:tc>
          <w:tcPr>
            <w:tcW w:w="1149" w:type="dxa"/>
            <w:vAlign w:val="top"/>
          </w:tcPr>
          <w:p w14:paraId="1C8FCD8B">
            <w:pPr>
              <w:rPr>
                <w:rFonts w:ascii="Arial"/>
                <w:sz w:val="21"/>
                <w:highlight w:val="none"/>
              </w:rPr>
            </w:pPr>
          </w:p>
        </w:tc>
        <w:tc>
          <w:tcPr>
            <w:tcW w:w="1178" w:type="dxa"/>
            <w:vAlign w:val="top"/>
          </w:tcPr>
          <w:p w14:paraId="3CF7FDA7">
            <w:pPr>
              <w:rPr>
                <w:rFonts w:ascii="Arial"/>
                <w:sz w:val="21"/>
                <w:highlight w:val="none"/>
              </w:rPr>
            </w:pPr>
          </w:p>
        </w:tc>
        <w:tc>
          <w:tcPr>
            <w:tcW w:w="1149" w:type="dxa"/>
            <w:vAlign w:val="top"/>
          </w:tcPr>
          <w:p w14:paraId="45B07143">
            <w:pPr>
              <w:rPr>
                <w:rFonts w:ascii="Arial"/>
                <w:sz w:val="21"/>
                <w:highlight w:val="none"/>
              </w:rPr>
            </w:pPr>
          </w:p>
        </w:tc>
        <w:tc>
          <w:tcPr>
            <w:tcW w:w="1169" w:type="dxa"/>
            <w:vAlign w:val="top"/>
          </w:tcPr>
          <w:p w14:paraId="5CDCDD6D">
            <w:pPr>
              <w:rPr>
                <w:rFonts w:ascii="Arial"/>
                <w:sz w:val="21"/>
                <w:highlight w:val="none"/>
              </w:rPr>
            </w:pPr>
          </w:p>
        </w:tc>
        <w:tc>
          <w:tcPr>
            <w:tcW w:w="1164" w:type="dxa"/>
            <w:vAlign w:val="top"/>
          </w:tcPr>
          <w:p w14:paraId="629FB6EF">
            <w:pPr>
              <w:rPr>
                <w:rFonts w:ascii="Arial"/>
                <w:sz w:val="21"/>
                <w:highlight w:val="none"/>
              </w:rPr>
            </w:pPr>
          </w:p>
        </w:tc>
      </w:tr>
      <w:tr w14:paraId="0DCDC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94" w:type="dxa"/>
            <w:vAlign w:val="top"/>
          </w:tcPr>
          <w:p w14:paraId="1E7A11E8">
            <w:pPr>
              <w:rPr>
                <w:rFonts w:ascii="Arial"/>
                <w:sz w:val="21"/>
                <w:highlight w:val="none"/>
              </w:rPr>
            </w:pPr>
          </w:p>
        </w:tc>
        <w:tc>
          <w:tcPr>
            <w:tcW w:w="1438" w:type="dxa"/>
            <w:vAlign w:val="top"/>
          </w:tcPr>
          <w:p w14:paraId="2B641B06">
            <w:pPr>
              <w:rPr>
                <w:rFonts w:ascii="Arial"/>
                <w:sz w:val="21"/>
                <w:highlight w:val="none"/>
              </w:rPr>
            </w:pPr>
          </w:p>
        </w:tc>
        <w:tc>
          <w:tcPr>
            <w:tcW w:w="1139" w:type="dxa"/>
            <w:vAlign w:val="top"/>
          </w:tcPr>
          <w:p w14:paraId="7A00E771">
            <w:pPr>
              <w:rPr>
                <w:rFonts w:ascii="Arial"/>
                <w:sz w:val="21"/>
                <w:highlight w:val="none"/>
              </w:rPr>
            </w:pPr>
          </w:p>
        </w:tc>
        <w:tc>
          <w:tcPr>
            <w:tcW w:w="1149" w:type="dxa"/>
            <w:vAlign w:val="top"/>
          </w:tcPr>
          <w:p w14:paraId="0A637544">
            <w:pPr>
              <w:rPr>
                <w:rFonts w:ascii="Arial"/>
                <w:sz w:val="21"/>
                <w:highlight w:val="none"/>
              </w:rPr>
            </w:pPr>
          </w:p>
        </w:tc>
        <w:tc>
          <w:tcPr>
            <w:tcW w:w="1178" w:type="dxa"/>
            <w:vAlign w:val="top"/>
          </w:tcPr>
          <w:p w14:paraId="3B343A24">
            <w:pPr>
              <w:rPr>
                <w:rFonts w:ascii="Arial"/>
                <w:sz w:val="21"/>
                <w:highlight w:val="none"/>
              </w:rPr>
            </w:pPr>
          </w:p>
        </w:tc>
        <w:tc>
          <w:tcPr>
            <w:tcW w:w="1149" w:type="dxa"/>
            <w:vAlign w:val="top"/>
          </w:tcPr>
          <w:p w14:paraId="74B7673F">
            <w:pPr>
              <w:rPr>
                <w:rFonts w:ascii="Arial"/>
                <w:sz w:val="21"/>
                <w:highlight w:val="none"/>
              </w:rPr>
            </w:pPr>
          </w:p>
        </w:tc>
        <w:tc>
          <w:tcPr>
            <w:tcW w:w="1169" w:type="dxa"/>
            <w:vAlign w:val="top"/>
          </w:tcPr>
          <w:p w14:paraId="2FE38C55">
            <w:pPr>
              <w:rPr>
                <w:rFonts w:ascii="Arial"/>
                <w:sz w:val="21"/>
                <w:highlight w:val="none"/>
              </w:rPr>
            </w:pPr>
          </w:p>
        </w:tc>
        <w:tc>
          <w:tcPr>
            <w:tcW w:w="1164" w:type="dxa"/>
            <w:vAlign w:val="top"/>
          </w:tcPr>
          <w:p w14:paraId="4FCDF060">
            <w:pPr>
              <w:rPr>
                <w:rFonts w:ascii="Arial"/>
                <w:sz w:val="21"/>
                <w:highlight w:val="none"/>
              </w:rPr>
            </w:pPr>
          </w:p>
        </w:tc>
      </w:tr>
      <w:tr w14:paraId="25730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94" w:type="dxa"/>
            <w:vAlign w:val="top"/>
          </w:tcPr>
          <w:p w14:paraId="193AE590">
            <w:pPr>
              <w:rPr>
                <w:rFonts w:ascii="Arial"/>
                <w:sz w:val="21"/>
                <w:highlight w:val="none"/>
              </w:rPr>
            </w:pPr>
          </w:p>
        </w:tc>
        <w:tc>
          <w:tcPr>
            <w:tcW w:w="1438" w:type="dxa"/>
            <w:vAlign w:val="top"/>
          </w:tcPr>
          <w:p w14:paraId="6145C6C8">
            <w:pPr>
              <w:rPr>
                <w:rFonts w:ascii="Arial"/>
                <w:sz w:val="21"/>
                <w:highlight w:val="none"/>
              </w:rPr>
            </w:pPr>
          </w:p>
        </w:tc>
        <w:tc>
          <w:tcPr>
            <w:tcW w:w="1139" w:type="dxa"/>
            <w:vAlign w:val="top"/>
          </w:tcPr>
          <w:p w14:paraId="291421D4">
            <w:pPr>
              <w:rPr>
                <w:rFonts w:ascii="Arial"/>
                <w:sz w:val="21"/>
                <w:highlight w:val="none"/>
              </w:rPr>
            </w:pPr>
          </w:p>
        </w:tc>
        <w:tc>
          <w:tcPr>
            <w:tcW w:w="1149" w:type="dxa"/>
            <w:vAlign w:val="top"/>
          </w:tcPr>
          <w:p w14:paraId="359BBD40">
            <w:pPr>
              <w:rPr>
                <w:rFonts w:ascii="Arial"/>
                <w:sz w:val="21"/>
                <w:highlight w:val="none"/>
              </w:rPr>
            </w:pPr>
          </w:p>
        </w:tc>
        <w:tc>
          <w:tcPr>
            <w:tcW w:w="1178" w:type="dxa"/>
            <w:vAlign w:val="top"/>
          </w:tcPr>
          <w:p w14:paraId="7534BE68">
            <w:pPr>
              <w:rPr>
                <w:rFonts w:ascii="Arial"/>
                <w:sz w:val="21"/>
                <w:highlight w:val="none"/>
              </w:rPr>
            </w:pPr>
          </w:p>
        </w:tc>
        <w:tc>
          <w:tcPr>
            <w:tcW w:w="1149" w:type="dxa"/>
            <w:vAlign w:val="top"/>
          </w:tcPr>
          <w:p w14:paraId="0A6A6652">
            <w:pPr>
              <w:rPr>
                <w:rFonts w:ascii="Arial"/>
                <w:sz w:val="21"/>
                <w:highlight w:val="none"/>
              </w:rPr>
            </w:pPr>
          </w:p>
        </w:tc>
        <w:tc>
          <w:tcPr>
            <w:tcW w:w="1169" w:type="dxa"/>
            <w:vAlign w:val="top"/>
          </w:tcPr>
          <w:p w14:paraId="3A41B25D">
            <w:pPr>
              <w:rPr>
                <w:rFonts w:ascii="Arial"/>
                <w:sz w:val="21"/>
                <w:highlight w:val="none"/>
              </w:rPr>
            </w:pPr>
          </w:p>
        </w:tc>
        <w:tc>
          <w:tcPr>
            <w:tcW w:w="1164" w:type="dxa"/>
            <w:vAlign w:val="top"/>
          </w:tcPr>
          <w:p w14:paraId="42CAF918">
            <w:pPr>
              <w:rPr>
                <w:rFonts w:ascii="Arial"/>
                <w:sz w:val="21"/>
                <w:highlight w:val="none"/>
              </w:rPr>
            </w:pPr>
          </w:p>
        </w:tc>
      </w:tr>
      <w:tr w14:paraId="2D29C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94" w:type="dxa"/>
            <w:vAlign w:val="top"/>
          </w:tcPr>
          <w:p w14:paraId="365F57DF">
            <w:pPr>
              <w:rPr>
                <w:rFonts w:ascii="Arial"/>
                <w:sz w:val="21"/>
                <w:highlight w:val="none"/>
              </w:rPr>
            </w:pPr>
          </w:p>
        </w:tc>
        <w:tc>
          <w:tcPr>
            <w:tcW w:w="1438" w:type="dxa"/>
            <w:vAlign w:val="top"/>
          </w:tcPr>
          <w:p w14:paraId="00FE0FB2">
            <w:pPr>
              <w:rPr>
                <w:rFonts w:ascii="Arial"/>
                <w:sz w:val="21"/>
                <w:highlight w:val="none"/>
              </w:rPr>
            </w:pPr>
          </w:p>
        </w:tc>
        <w:tc>
          <w:tcPr>
            <w:tcW w:w="1139" w:type="dxa"/>
            <w:vAlign w:val="top"/>
          </w:tcPr>
          <w:p w14:paraId="5A27820A">
            <w:pPr>
              <w:rPr>
                <w:rFonts w:ascii="Arial"/>
                <w:sz w:val="21"/>
                <w:highlight w:val="none"/>
              </w:rPr>
            </w:pPr>
          </w:p>
        </w:tc>
        <w:tc>
          <w:tcPr>
            <w:tcW w:w="1149" w:type="dxa"/>
            <w:vAlign w:val="top"/>
          </w:tcPr>
          <w:p w14:paraId="5F6E0FEC">
            <w:pPr>
              <w:rPr>
                <w:rFonts w:ascii="Arial"/>
                <w:sz w:val="21"/>
                <w:highlight w:val="none"/>
              </w:rPr>
            </w:pPr>
          </w:p>
        </w:tc>
        <w:tc>
          <w:tcPr>
            <w:tcW w:w="1178" w:type="dxa"/>
            <w:vAlign w:val="top"/>
          </w:tcPr>
          <w:p w14:paraId="264F4AA9">
            <w:pPr>
              <w:rPr>
                <w:rFonts w:ascii="Arial"/>
                <w:sz w:val="21"/>
                <w:highlight w:val="none"/>
              </w:rPr>
            </w:pPr>
          </w:p>
        </w:tc>
        <w:tc>
          <w:tcPr>
            <w:tcW w:w="1149" w:type="dxa"/>
            <w:vAlign w:val="top"/>
          </w:tcPr>
          <w:p w14:paraId="1843F5E4">
            <w:pPr>
              <w:rPr>
                <w:rFonts w:ascii="Arial"/>
                <w:sz w:val="21"/>
                <w:highlight w:val="none"/>
              </w:rPr>
            </w:pPr>
          </w:p>
        </w:tc>
        <w:tc>
          <w:tcPr>
            <w:tcW w:w="1169" w:type="dxa"/>
            <w:vAlign w:val="top"/>
          </w:tcPr>
          <w:p w14:paraId="7372A5D6">
            <w:pPr>
              <w:rPr>
                <w:rFonts w:ascii="Arial"/>
                <w:sz w:val="21"/>
                <w:highlight w:val="none"/>
              </w:rPr>
            </w:pPr>
          </w:p>
        </w:tc>
        <w:tc>
          <w:tcPr>
            <w:tcW w:w="1164" w:type="dxa"/>
            <w:vAlign w:val="top"/>
          </w:tcPr>
          <w:p w14:paraId="19DE8568">
            <w:pPr>
              <w:rPr>
                <w:rFonts w:ascii="Arial"/>
                <w:sz w:val="21"/>
                <w:highlight w:val="none"/>
              </w:rPr>
            </w:pPr>
          </w:p>
        </w:tc>
      </w:tr>
      <w:tr w14:paraId="6E6C4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94" w:type="dxa"/>
            <w:vAlign w:val="top"/>
          </w:tcPr>
          <w:p w14:paraId="760741A0">
            <w:pPr>
              <w:rPr>
                <w:rFonts w:ascii="Arial"/>
                <w:sz w:val="21"/>
                <w:highlight w:val="none"/>
              </w:rPr>
            </w:pPr>
          </w:p>
        </w:tc>
        <w:tc>
          <w:tcPr>
            <w:tcW w:w="1438" w:type="dxa"/>
            <w:vAlign w:val="top"/>
          </w:tcPr>
          <w:p w14:paraId="19173EBB">
            <w:pPr>
              <w:rPr>
                <w:rFonts w:ascii="Arial"/>
                <w:sz w:val="21"/>
                <w:highlight w:val="none"/>
              </w:rPr>
            </w:pPr>
          </w:p>
        </w:tc>
        <w:tc>
          <w:tcPr>
            <w:tcW w:w="1139" w:type="dxa"/>
            <w:vAlign w:val="top"/>
          </w:tcPr>
          <w:p w14:paraId="3466E584">
            <w:pPr>
              <w:rPr>
                <w:rFonts w:ascii="Arial"/>
                <w:sz w:val="21"/>
                <w:highlight w:val="none"/>
              </w:rPr>
            </w:pPr>
          </w:p>
        </w:tc>
        <w:tc>
          <w:tcPr>
            <w:tcW w:w="1149" w:type="dxa"/>
            <w:vAlign w:val="top"/>
          </w:tcPr>
          <w:p w14:paraId="52915B96">
            <w:pPr>
              <w:rPr>
                <w:rFonts w:ascii="Arial"/>
                <w:sz w:val="21"/>
                <w:highlight w:val="none"/>
              </w:rPr>
            </w:pPr>
          </w:p>
        </w:tc>
        <w:tc>
          <w:tcPr>
            <w:tcW w:w="1178" w:type="dxa"/>
            <w:vAlign w:val="top"/>
          </w:tcPr>
          <w:p w14:paraId="1DDE6326">
            <w:pPr>
              <w:rPr>
                <w:rFonts w:ascii="Arial"/>
                <w:sz w:val="21"/>
                <w:highlight w:val="none"/>
              </w:rPr>
            </w:pPr>
          </w:p>
        </w:tc>
        <w:tc>
          <w:tcPr>
            <w:tcW w:w="1149" w:type="dxa"/>
            <w:vAlign w:val="top"/>
          </w:tcPr>
          <w:p w14:paraId="3B13E413">
            <w:pPr>
              <w:rPr>
                <w:rFonts w:ascii="Arial"/>
                <w:sz w:val="21"/>
                <w:highlight w:val="none"/>
              </w:rPr>
            </w:pPr>
          </w:p>
        </w:tc>
        <w:tc>
          <w:tcPr>
            <w:tcW w:w="1169" w:type="dxa"/>
            <w:vAlign w:val="top"/>
          </w:tcPr>
          <w:p w14:paraId="3440660A">
            <w:pPr>
              <w:rPr>
                <w:rFonts w:ascii="Arial"/>
                <w:sz w:val="21"/>
                <w:highlight w:val="none"/>
              </w:rPr>
            </w:pPr>
          </w:p>
        </w:tc>
        <w:tc>
          <w:tcPr>
            <w:tcW w:w="1164" w:type="dxa"/>
            <w:vAlign w:val="top"/>
          </w:tcPr>
          <w:p w14:paraId="3B2ACAF1">
            <w:pPr>
              <w:rPr>
                <w:rFonts w:ascii="Arial"/>
                <w:sz w:val="21"/>
                <w:highlight w:val="none"/>
              </w:rPr>
            </w:pPr>
          </w:p>
        </w:tc>
      </w:tr>
      <w:tr w14:paraId="06187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94" w:type="dxa"/>
            <w:vAlign w:val="top"/>
          </w:tcPr>
          <w:p w14:paraId="24A73656">
            <w:pPr>
              <w:rPr>
                <w:rFonts w:ascii="Arial"/>
                <w:sz w:val="21"/>
                <w:highlight w:val="none"/>
              </w:rPr>
            </w:pPr>
          </w:p>
        </w:tc>
        <w:tc>
          <w:tcPr>
            <w:tcW w:w="1438" w:type="dxa"/>
            <w:vAlign w:val="top"/>
          </w:tcPr>
          <w:p w14:paraId="4E75FF9D">
            <w:pPr>
              <w:rPr>
                <w:rFonts w:ascii="Arial"/>
                <w:sz w:val="21"/>
                <w:highlight w:val="none"/>
              </w:rPr>
            </w:pPr>
          </w:p>
        </w:tc>
        <w:tc>
          <w:tcPr>
            <w:tcW w:w="1139" w:type="dxa"/>
            <w:vAlign w:val="top"/>
          </w:tcPr>
          <w:p w14:paraId="112619AA">
            <w:pPr>
              <w:rPr>
                <w:rFonts w:ascii="Arial"/>
                <w:sz w:val="21"/>
                <w:highlight w:val="none"/>
              </w:rPr>
            </w:pPr>
          </w:p>
        </w:tc>
        <w:tc>
          <w:tcPr>
            <w:tcW w:w="1149" w:type="dxa"/>
            <w:vAlign w:val="top"/>
          </w:tcPr>
          <w:p w14:paraId="485EE2F1">
            <w:pPr>
              <w:rPr>
                <w:rFonts w:ascii="Arial"/>
                <w:sz w:val="21"/>
                <w:highlight w:val="none"/>
              </w:rPr>
            </w:pPr>
          </w:p>
        </w:tc>
        <w:tc>
          <w:tcPr>
            <w:tcW w:w="1178" w:type="dxa"/>
            <w:vAlign w:val="top"/>
          </w:tcPr>
          <w:p w14:paraId="3C827126">
            <w:pPr>
              <w:rPr>
                <w:rFonts w:ascii="Arial"/>
                <w:sz w:val="21"/>
                <w:highlight w:val="none"/>
              </w:rPr>
            </w:pPr>
          </w:p>
        </w:tc>
        <w:tc>
          <w:tcPr>
            <w:tcW w:w="1149" w:type="dxa"/>
            <w:vAlign w:val="top"/>
          </w:tcPr>
          <w:p w14:paraId="261167F8">
            <w:pPr>
              <w:rPr>
                <w:rFonts w:ascii="Arial"/>
                <w:sz w:val="21"/>
                <w:highlight w:val="none"/>
              </w:rPr>
            </w:pPr>
          </w:p>
        </w:tc>
        <w:tc>
          <w:tcPr>
            <w:tcW w:w="1169" w:type="dxa"/>
            <w:vAlign w:val="top"/>
          </w:tcPr>
          <w:p w14:paraId="00CC3F8F">
            <w:pPr>
              <w:rPr>
                <w:rFonts w:ascii="Arial"/>
                <w:sz w:val="21"/>
                <w:highlight w:val="none"/>
              </w:rPr>
            </w:pPr>
          </w:p>
        </w:tc>
        <w:tc>
          <w:tcPr>
            <w:tcW w:w="1164" w:type="dxa"/>
            <w:vAlign w:val="top"/>
          </w:tcPr>
          <w:p w14:paraId="7976CBE3">
            <w:pPr>
              <w:rPr>
                <w:rFonts w:ascii="Arial"/>
                <w:sz w:val="21"/>
                <w:highlight w:val="none"/>
              </w:rPr>
            </w:pPr>
          </w:p>
        </w:tc>
      </w:tr>
      <w:tr w14:paraId="2DB5A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94" w:type="dxa"/>
            <w:vAlign w:val="top"/>
          </w:tcPr>
          <w:p w14:paraId="237B4E58">
            <w:pPr>
              <w:rPr>
                <w:rFonts w:ascii="Arial"/>
                <w:sz w:val="21"/>
                <w:highlight w:val="none"/>
              </w:rPr>
            </w:pPr>
          </w:p>
        </w:tc>
        <w:tc>
          <w:tcPr>
            <w:tcW w:w="1438" w:type="dxa"/>
            <w:vAlign w:val="top"/>
          </w:tcPr>
          <w:p w14:paraId="6089C580">
            <w:pPr>
              <w:rPr>
                <w:rFonts w:ascii="Arial"/>
                <w:sz w:val="21"/>
                <w:highlight w:val="none"/>
              </w:rPr>
            </w:pPr>
          </w:p>
        </w:tc>
        <w:tc>
          <w:tcPr>
            <w:tcW w:w="1139" w:type="dxa"/>
            <w:vAlign w:val="top"/>
          </w:tcPr>
          <w:p w14:paraId="52B8C39F">
            <w:pPr>
              <w:rPr>
                <w:rFonts w:ascii="Arial"/>
                <w:sz w:val="21"/>
                <w:highlight w:val="none"/>
              </w:rPr>
            </w:pPr>
          </w:p>
        </w:tc>
        <w:tc>
          <w:tcPr>
            <w:tcW w:w="1149" w:type="dxa"/>
            <w:vAlign w:val="top"/>
          </w:tcPr>
          <w:p w14:paraId="15E666AF">
            <w:pPr>
              <w:rPr>
                <w:rFonts w:ascii="Arial"/>
                <w:sz w:val="21"/>
                <w:highlight w:val="none"/>
              </w:rPr>
            </w:pPr>
          </w:p>
        </w:tc>
        <w:tc>
          <w:tcPr>
            <w:tcW w:w="1178" w:type="dxa"/>
            <w:vAlign w:val="top"/>
          </w:tcPr>
          <w:p w14:paraId="65CAC467">
            <w:pPr>
              <w:rPr>
                <w:rFonts w:ascii="Arial"/>
                <w:sz w:val="21"/>
                <w:highlight w:val="none"/>
              </w:rPr>
            </w:pPr>
          </w:p>
        </w:tc>
        <w:tc>
          <w:tcPr>
            <w:tcW w:w="1149" w:type="dxa"/>
            <w:vAlign w:val="top"/>
          </w:tcPr>
          <w:p w14:paraId="183EF444">
            <w:pPr>
              <w:rPr>
                <w:rFonts w:ascii="Arial"/>
                <w:sz w:val="21"/>
                <w:highlight w:val="none"/>
              </w:rPr>
            </w:pPr>
          </w:p>
        </w:tc>
        <w:tc>
          <w:tcPr>
            <w:tcW w:w="1169" w:type="dxa"/>
            <w:vAlign w:val="top"/>
          </w:tcPr>
          <w:p w14:paraId="1431E286">
            <w:pPr>
              <w:rPr>
                <w:rFonts w:ascii="Arial"/>
                <w:sz w:val="21"/>
                <w:highlight w:val="none"/>
              </w:rPr>
            </w:pPr>
          </w:p>
        </w:tc>
        <w:tc>
          <w:tcPr>
            <w:tcW w:w="1164" w:type="dxa"/>
            <w:vAlign w:val="top"/>
          </w:tcPr>
          <w:p w14:paraId="3DE508EA">
            <w:pPr>
              <w:rPr>
                <w:rFonts w:ascii="Arial"/>
                <w:sz w:val="21"/>
                <w:highlight w:val="none"/>
              </w:rPr>
            </w:pPr>
          </w:p>
        </w:tc>
      </w:tr>
      <w:tr w14:paraId="613BF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94" w:type="dxa"/>
            <w:vAlign w:val="top"/>
          </w:tcPr>
          <w:p w14:paraId="17EC07C4">
            <w:pPr>
              <w:rPr>
                <w:rFonts w:ascii="Arial"/>
                <w:sz w:val="21"/>
                <w:highlight w:val="none"/>
              </w:rPr>
            </w:pPr>
          </w:p>
        </w:tc>
        <w:tc>
          <w:tcPr>
            <w:tcW w:w="1438" w:type="dxa"/>
            <w:vAlign w:val="top"/>
          </w:tcPr>
          <w:p w14:paraId="76E1DCF4">
            <w:pPr>
              <w:rPr>
                <w:rFonts w:ascii="Arial"/>
                <w:sz w:val="21"/>
                <w:highlight w:val="none"/>
              </w:rPr>
            </w:pPr>
          </w:p>
        </w:tc>
        <w:tc>
          <w:tcPr>
            <w:tcW w:w="1139" w:type="dxa"/>
            <w:vAlign w:val="top"/>
          </w:tcPr>
          <w:p w14:paraId="13368773">
            <w:pPr>
              <w:rPr>
                <w:rFonts w:ascii="Arial"/>
                <w:sz w:val="21"/>
                <w:highlight w:val="none"/>
              </w:rPr>
            </w:pPr>
          </w:p>
        </w:tc>
        <w:tc>
          <w:tcPr>
            <w:tcW w:w="1149" w:type="dxa"/>
            <w:vAlign w:val="top"/>
          </w:tcPr>
          <w:p w14:paraId="79E8812C">
            <w:pPr>
              <w:rPr>
                <w:rFonts w:ascii="Arial"/>
                <w:sz w:val="21"/>
                <w:highlight w:val="none"/>
              </w:rPr>
            </w:pPr>
          </w:p>
        </w:tc>
        <w:tc>
          <w:tcPr>
            <w:tcW w:w="1178" w:type="dxa"/>
            <w:vAlign w:val="top"/>
          </w:tcPr>
          <w:p w14:paraId="5C7519DC">
            <w:pPr>
              <w:rPr>
                <w:rFonts w:ascii="Arial"/>
                <w:sz w:val="21"/>
                <w:highlight w:val="none"/>
              </w:rPr>
            </w:pPr>
          </w:p>
        </w:tc>
        <w:tc>
          <w:tcPr>
            <w:tcW w:w="1149" w:type="dxa"/>
            <w:vAlign w:val="top"/>
          </w:tcPr>
          <w:p w14:paraId="3E01083B">
            <w:pPr>
              <w:rPr>
                <w:rFonts w:ascii="Arial"/>
                <w:sz w:val="21"/>
                <w:highlight w:val="none"/>
              </w:rPr>
            </w:pPr>
          </w:p>
        </w:tc>
        <w:tc>
          <w:tcPr>
            <w:tcW w:w="1169" w:type="dxa"/>
            <w:vAlign w:val="top"/>
          </w:tcPr>
          <w:p w14:paraId="7D3FF8AB">
            <w:pPr>
              <w:rPr>
                <w:rFonts w:ascii="Arial"/>
                <w:sz w:val="21"/>
                <w:highlight w:val="none"/>
              </w:rPr>
            </w:pPr>
          </w:p>
        </w:tc>
        <w:tc>
          <w:tcPr>
            <w:tcW w:w="1164" w:type="dxa"/>
            <w:vAlign w:val="top"/>
          </w:tcPr>
          <w:p w14:paraId="65433EE9">
            <w:pPr>
              <w:rPr>
                <w:rFonts w:ascii="Arial"/>
                <w:sz w:val="21"/>
                <w:highlight w:val="none"/>
              </w:rPr>
            </w:pPr>
          </w:p>
        </w:tc>
      </w:tr>
      <w:tr w14:paraId="3C4A7374">
        <w:tblPrEx>
          <w:tblCellMar>
            <w:top w:w="0" w:type="dxa"/>
            <w:left w:w="0" w:type="dxa"/>
            <w:bottom w:w="0" w:type="dxa"/>
            <w:right w:w="0" w:type="dxa"/>
          </w:tblCellMar>
        </w:tblPrEx>
        <w:trPr>
          <w:trHeight w:val="380" w:hRule="atLeast"/>
        </w:trPr>
        <w:tc>
          <w:tcPr>
            <w:tcW w:w="894" w:type="dxa"/>
            <w:vAlign w:val="top"/>
          </w:tcPr>
          <w:p w14:paraId="56810D32">
            <w:pPr>
              <w:rPr>
                <w:rFonts w:ascii="Arial"/>
                <w:sz w:val="21"/>
                <w:highlight w:val="none"/>
              </w:rPr>
            </w:pPr>
          </w:p>
        </w:tc>
        <w:tc>
          <w:tcPr>
            <w:tcW w:w="1438" w:type="dxa"/>
            <w:vAlign w:val="top"/>
          </w:tcPr>
          <w:p w14:paraId="50723F2D">
            <w:pPr>
              <w:rPr>
                <w:rFonts w:ascii="Arial"/>
                <w:sz w:val="21"/>
                <w:highlight w:val="none"/>
              </w:rPr>
            </w:pPr>
          </w:p>
        </w:tc>
        <w:tc>
          <w:tcPr>
            <w:tcW w:w="1139" w:type="dxa"/>
            <w:vAlign w:val="top"/>
          </w:tcPr>
          <w:p w14:paraId="21D9342F">
            <w:pPr>
              <w:rPr>
                <w:rFonts w:ascii="Arial"/>
                <w:sz w:val="21"/>
                <w:highlight w:val="none"/>
              </w:rPr>
            </w:pPr>
          </w:p>
        </w:tc>
        <w:tc>
          <w:tcPr>
            <w:tcW w:w="1149" w:type="dxa"/>
            <w:vAlign w:val="top"/>
          </w:tcPr>
          <w:p w14:paraId="0E1D7A7F">
            <w:pPr>
              <w:rPr>
                <w:rFonts w:ascii="Arial"/>
                <w:sz w:val="21"/>
                <w:highlight w:val="none"/>
              </w:rPr>
            </w:pPr>
          </w:p>
        </w:tc>
        <w:tc>
          <w:tcPr>
            <w:tcW w:w="1178" w:type="dxa"/>
            <w:vAlign w:val="top"/>
          </w:tcPr>
          <w:p w14:paraId="707C7EF9">
            <w:pPr>
              <w:rPr>
                <w:rFonts w:ascii="Arial"/>
                <w:sz w:val="21"/>
                <w:highlight w:val="none"/>
              </w:rPr>
            </w:pPr>
          </w:p>
        </w:tc>
        <w:tc>
          <w:tcPr>
            <w:tcW w:w="1149" w:type="dxa"/>
            <w:vAlign w:val="top"/>
          </w:tcPr>
          <w:p w14:paraId="2D37396F">
            <w:pPr>
              <w:rPr>
                <w:rFonts w:ascii="Arial"/>
                <w:sz w:val="21"/>
                <w:highlight w:val="none"/>
              </w:rPr>
            </w:pPr>
          </w:p>
        </w:tc>
        <w:tc>
          <w:tcPr>
            <w:tcW w:w="1169" w:type="dxa"/>
            <w:vAlign w:val="top"/>
          </w:tcPr>
          <w:p w14:paraId="15FA8A34">
            <w:pPr>
              <w:rPr>
                <w:rFonts w:ascii="Arial"/>
                <w:sz w:val="21"/>
                <w:highlight w:val="none"/>
              </w:rPr>
            </w:pPr>
          </w:p>
        </w:tc>
        <w:tc>
          <w:tcPr>
            <w:tcW w:w="1164" w:type="dxa"/>
            <w:vAlign w:val="top"/>
          </w:tcPr>
          <w:p w14:paraId="43C1A405">
            <w:pPr>
              <w:rPr>
                <w:rFonts w:ascii="Arial"/>
                <w:sz w:val="21"/>
                <w:highlight w:val="none"/>
              </w:rPr>
            </w:pPr>
          </w:p>
        </w:tc>
      </w:tr>
      <w:tr w14:paraId="7C73E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94" w:type="dxa"/>
            <w:vAlign w:val="top"/>
          </w:tcPr>
          <w:p w14:paraId="049A73E2">
            <w:pPr>
              <w:rPr>
                <w:rFonts w:ascii="Arial"/>
                <w:sz w:val="21"/>
                <w:highlight w:val="none"/>
              </w:rPr>
            </w:pPr>
          </w:p>
        </w:tc>
        <w:tc>
          <w:tcPr>
            <w:tcW w:w="1438" w:type="dxa"/>
            <w:vAlign w:val="top"/>
          </w:tcPr>
          <w:p w14:paraId="60C5FEF1">
            <w:pPr>
              <w:rPr>
                <w:rFonts w:ascii="Arial"/>
                <w:sz w:val="21"/>
                <w:highlight w:val="none"/>
              </w:rPr>
            </w:pPr>
          </w:p>
        </w:tc>
        <w:tc>
          <w:tcPr>
            <w:tcW w:w="1139" w:type="dxa"/>
            <w:vAlign w:val="top"/>
          </w:tcPr>
          <w:p w14:paraId="4190089B">
            <w:pPr>
              <w:rPr>
                <w:rFonts w:ascii="Arial"/>
                <w:sz w:val="21"/>
                <w:highlight w:val="none"/>
              </w:rPr>
            </w:pPr>
          </w:p>
        </w:tc>
        <w:tc>
          <w:tcPr>
            <w:tcW w:w="1149" w:type="dxa"/>
            <w:vAlign w:val="top"/>
          </w:tcPr>
          <w:p w14:paraId="69DD9EA7">
            <w:pPr>
              <w:rPr>
                <w:rFonts w:ascii="Arial"/>
                <w:sz w:val="21"/>
                <w:highlight w:val="none"/>
              </w:rPr>
            </w:pPr>
          </w:p>
        </w:tc>
        <w:tc>
          <w:tcPr>
            <w:tcW w:w="1178" w:type="dxa"/>
            <w:vAlign w:val="top"/>
          </w:tcPr>
          <w:p w14:paraId="7026975E">
            <w:pPr>
              <w:rPr>
                <w:rFonts w:ascii="Arial"/>
                <w:sz w:val="21"/>
                <w:highlight w:val="none"/>
              </w:rPr>
            </w:pPr>
          </w:p>
        </w:tc>
        <w:tc>
          <w:tcPr>
            <w:tcW w:w="1149" w:type="dxa"/>
            <w:vAlign w:val="top"/>
          </w:tcPr>
          <w:p w14:paraId="6E2C836F">
            <w:pPr>
              <w:rPr>
                <w:rFonts w:ascii="Arial"/>
                <w:sz w:val="21"/>
                <w:highlight w:val="none"/>
              </w:rPr>
            </w:pPr>
          </w:p>
        </w:tc>
        <w:tc>
          <w:tcPr>
            <w:tcW w:w="1169" w:type="dxa"/>
            <w:vAlign w:val="top"/>
          </w:tcPr>
          <w:p w14:paraId="6F52064A">
            <w:pPr>
              <w:rPr>
                <w:rFonts w:ascii="Arial"/>
                <w:sz w:val="21"/>
                <w:highlight w:val="none"/>
              </w:rPr>
            </w:pPr>
          </w:p>
        </w:tc>
        <w:tc>
          <w:tcPr>
            <w:tcW w:w="1164" w:type="dxa"/>
            <w:vAlign w:val="top"/>
          </w:tcPr>
          <w:p w14:paraId="46748E33">
            <w:pPr>
              <w:rPr>
                <w:rFonts w:ascii="Arial"/>
                <w:sz w:val="21"/>
                <w:highlight w:val="none"/>
              </w:rPr>
            </w:pPr>
          </w:p>
        </w:tc>
      </w:tr>
      <w:tr w14:paraId="7DC6C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94" w:type="dxa"/>
            <w:vAlign w:val="top"/>
          </w:tcPr>
          <w:p w14:paraId="342080FD">
            <w:pPr>
              <w:rPr>
                <w:rFonts w:ascii="Arial"/>
                <w:sz w:val="21"/>
                <w:highlight w:val="none"/>
              </w:rPr>
            </w:pPr>
          </w:p>
        </w:tc>
        <w:tc>
          <w:tcPr>
            <w:tcW w:w="1438" w:type="dxa"/>
            <w:vAlign w:val="top"/>
          </w:tcPr>
          <w:p w14:paraId="0526416C">
            <w:pPr>
              <w:rPr>
                <w:rFonts w:ascii="Arial"/>
                <w:sz w:val="21"/>
                <w:highlight w:val="none"/>
              </w:rPr>
            </w:pPr>
          </w:p>
        </w:tc>
        <w:tc>
          <w:tcPr>
            <w:tcW w:w="1139" w:type="dxa"/>
            <w:vAlign w:val="top"/>
          </w:tcPr>
          <w:p w14:paraId="022679C3">
            <w:pPr>
              <w:rPr>
                <w:rFonts w:ascii="Arial"/>
                <w:sz w:val="21"/>
                <w:highlight w:val="none"/>
              </w:rPr>
            </w:pPr>
          </w:p>
        </w:tc>
        <w:tc>
          <w:tcPr>
            <w:tcW w:w="1149" w:type="dxa"/>
            <w:vAlign w:val="top"/>
          </w:tcPr>
          <w:p w14:paraId="65D1C6E9">
            <w:pPr>
              <w:rPr>
                <w:rFonts w:ascii="Arial"/>
                <w:sz w:val="21"/>
                <w:highlight w:val="none"/>
              </w:rPr>
            </w:pPr>
          </w:p>
        </w:tc>
        <w:tc>
          <w:tcPr>
            <w:tcW w:w="1178" w:type="dxa"/>
            <w:vAlign w:val="top"/>
          </w:tcPr>
          <w:p w14:paraId="6D6E60F7">
            <w:pPr>
              <w:rPr>
                <w:rFonts w:ascii="Arial"/>
                <w:sz w:val="21"/>
                <w:highlight w:val="none"/>
              </w:rPr>
            </w:pPr>
          </w:p>
        </w:tc>
        <w:tc>
          <w:tcPr>
            <w:tcW w:w="1149" w:type="dxa"/>
            <w:vAlign w:val="top"/>
          </w:tcPr>
          <w:p w14:paraId="006D5199">
            <w:pPr>
              <w:rPr>
                <w:rFonts w:ascii="Arial"/>
                <w:sz w:val="21"/>
                <w:highlight w:val="none"/>
              </w:rPr>
            </w:pPr>
          </w:p>
        </w:tc>
        <w:tc>
          <w:tcPr>
            <w:tcW w:w="1169" w:type="dxa"/>
            <w:vAlign w:val="top"/>
          </w:tcPr>
          <w:p w14:paraId="61B3B8FC">
            <w:pPr>
              <w:rPr>
                <w:rFonts w:ascii="Arial"/>
                <w:sz w:val="21"/>
                <w:highlight w:val="none"/>
              </w:rPr>
            </w:pPr>
          </w:p>
        </w:tc>
        <w:tc>
          <w:tcPr>
            <w:tcW w:w="1164" w:type="dxa"/>
            <w:vAlign w:val="top"/>
          </w:tcPr>
          <w:p w14:paraId="54D0F5EC">
            <w:pPr>
              <w:rPr>
                <w:rFonts w:ascii="Arial"/>
                <w:sz w:val="21"/>
                <w:highlight w:val="none"/>
              </w:rPr>
            </w:pPr>
          </w:p>
        </w:tc>
      </w:tr>
      <w:tr w14:paraId="5B82E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894" w:type="dxa"/>
            <w:vAlign w:val="top"/>
          </w:tcPr>
          <w:p w14:paraId="27B88071">
            <w:pPr>
              <w:rPr>
                <w:rFonts w:ascii="Arial"/>
                <w:sz w:val="21"/>
                <w:highlight w:val="none"/>
              </w:rPr>
            </w:pPr>
          </w:p>
        </w:tc>
        <w:tc>
          <w:tcPr>
            <w:tcW w:w="1438" w:type="dxa"/>
            <w:vAlign w:val="top"/>
          </w:tcPr>
          <w:p w14:paraId="6976A8EB">
            <w:pPr>
              <w:rPr>
                <w:rFonts w:ascii="Arial"/>
                <w:sz w:val="21"/>
                <w:highlight w:val="none"/>
              </w:rPr>
            </w:pPr>
          </w:p>
        </w:tc>
        <w:tc>
          <w:tcPr>
            <w:tcW w:w="1139" w:type="dxa"/>
            <w:vAlign w:val="top"/>
          </w:tcPr>
          <w:p w14:paraId="099CC130">
            <w:pPr>
              <w:rPr>
                <w:rFonts w:ascii="Arial"/>
                <w:sz w:val="21"/>
                <w:highlight w:val="none"/>
              </w:rPr>
            </w:pPr>
          </w:p>
        </w:tc>
        <w:tc>
          <w:tcPr>
            <w:tcW w:w="1149" w:type="dxa"/>
            <w:vAlign w:val="top"/>
          </w:tcPr>
          <w:p w14:paraId="480FE754">
            <w:pPr>
              <w:rPr>
                <w:rFonts w:ascii="Arial"/>
                <w:sz w:val="21"/>
                <w:highlight w:val="none"/>
              </w:rPr>
            </w:pPr>
          </w:p>
        </w:tc>
        <w:tc>
          <w:tcPr>
            <w:tcW w:w="1178" w:type="dxa"/>
            <w:vAlign w:val="top"/>
          </w:tcPr>
          <w:p w14:paraId="616674D8">
            <w:pPr>
              <w:rPr>
                <w:rFonts w:ascii="Arial"/>
                <w:sz w:val="21"/>
                <w:highlight w:val="none"/>
              </w:rPr>
            </w:pPr>
          </w:p>
        </w:tc>
        <w:tc>
          <w:tcPr>
            <w:tcW w:w="1149" w:type="dxa"/>
            <w:vAlign w:val="top"/>
          </w:tcPr>
          <w:p w14:paraId="08B49E27">
            <w:pPr>
              <w:rPr>
                <w:rFonts w:ascii="Arial"/>
                <w:sz w:val="21"/>
                <w:highlight w:val="none"/>
              </w:rPr>
            </w:pPr>
          </w:p>
        </w:tc>
        <w:tc>
          <w:tcPr>
            <w:tcW w:w="1169" w:type="dxa"/>
            <w:vAlign w:val="top"/>
          </w:tcPr>
          <w:p w14:paraId="10DE9F98">
            <w:pPr>
              <w:rPr>
                <w:rFonts w:ascii="Arial"/>
                <w:sz w:val="21"/>
                <w:highlight w:val="none"/>
              </w:rPr>
            </w:pPr>
          </w:p>
        </w:tc>
        <w:tc>
          <w:tcPr>
            <w:tcW w:w="1164" w:type="dxa"/>
            <w:vAlign w:val="top"/>
          </w:tcPr>
          <w:p w14:paraId="3334B551">
            <w:pPr>
              <w:rPr>
                <w:rFonts w:ascii="Arial"/>
                <w:sz w:val="21"/>
                <w:highlight w:val="none"/>
              </w:rPr>
            </w:pPr>
          </w:p>
        </w:tc>
      </w:tr>
      <w:tr w14:paraId="1BB76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94" w:type="dxa"/>
            <w:vAlign w:val="top"/>
          </w:tcPr>
          <w:p w14:paraId="3C32CBE0">
            <w:pPr>
              <w:rPr>
                <w:rFonts w:ascii="Arial"/>
                <w:sz w:val="21"/>
                <w:highlight w:val="none"/>
              </w:rPr>
            </w:pPr>
          </w:p>
        </w:tc>
        <w:tc>
          <w:tcPr>
            <w:tcW w:w="1438" w:type="dxa"/>
            <w:vAlign w:val="top"/>
          </w:tcPr>
          <w:p w14:paraId="0C08B793">
            <w:pPr>
              <w:rPr>
                <w:rFonts w:ascii="Arial"/>
                <w:sz w:val="21"/>
                <w:highlight w:val="none"/>
              </w:rPr>
            </w:pPr>
          </w:p>
        </w:tc>
        <w:tc>
          <w:tcPr>
            <w:tcW w:w="1139" w:type="dxa"/>
            <w:vAlign w:val="top"/>
          </w:tcPr>
          <w:p w14:paraId="293038CA">
            <w:pPr>
              <w:rPr>
                <w:rFonts w:ascii="Arial"/>
                <w:sz w:val="21"/>
                <w:highlight w:val="none"/>
              </w:rPr>
            </w:pPr>
          </w:p>
        </w:tc>
        <w:tc>
          <w:tcPr>
            <w:tcW w:w="1149" w:type="dxa"/>
            <w:vAlign w:val="top"/>
          </w:tcPr>
          <w:p w14:paraId="04FD92D5">
            <w:pPr>
              <w:rPr>
                <w:rFonts w:ascii="Arial"/>
                <w:sz w:val="21"/>
                <w:highlight w:val="none"/>
              </w:rPr>
            </w:pPr>
          </w:p>
        </w:tc>
        <w:tc>
          <w:tcPr>
            <w:tcW w:w="1178" w:type="dxa"/>
            <w:vAlign w:val="top"/>
          </w:tcPr>
          <w:p w14:paraId="64FED945">
            <w:pPr>
              <w:rPr>
                <w:rFonts w:ascii="Arial"/>
                <w:sz w:val="21"/>
                <w:highlight w:val="none"/>
              </w:rPr>
            </w:pPr>
          </w:p>
        </w:tc>
        <w:tc>
          <w:tcPr>
            <w:tcW w:w="1149" w:type="dxa"/>
            <w:vAlign w:val="top"/>
          </w:tcPr>
          <w:p w14:paraId="3651A262">
            <w:pPr>
              <w:rPr>
                <w:rFonts w:ascii="Arial"/>
                <w:sz w:val="21"/>
                <w:highlight w:val="none"/>
              </w:rPr>
            </w:pPr>
          </w:p>
        </w:tc>
        <w:tc>
          <w:tcPr>
            <w:tcW w:w="1169" w:type="dxa"/>
            <w:vAlign w:val="top"/>
          </w:tcPr>
          <w:p w14:paraId="2971EB75">
            <w:pPr>
              <w:rPr>
                <w:rFonts w:ascii="Arial"/>
                <w:sz w:val="21"/>
                <w:highlight w:val="none"/>
              </w:rPr>
            </w:pPr>
          </w:p>
        </w:tc>
        <w:tc>
          <w:tcPr>
            <w:tcW w:w="1164" w:type="dxa"/>
            <w:vAlign w:val="top"/>
          </w:tcPr>
          <w:p w14:paraId="237DA1DB">
            <w:pPr>
              <w:rPr>
                <w:rFonts w:ascii="Arial"/>
                <w:sz w:val="21"/>
                <w:highlight w:val="none"/>
              </w:rPr>
            </w:pPr>
          </w:p>
        </w:tc>
      </w:tr>
      <w:tr w14:paraId="4D552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94" w:type="dxa"/>
            <w:vAlign w:val="top"/>
          </w:tcPr>
          <w:p w14:paraId="5C5A186A">
            <w:pPr>
              <w:rPr>
                <w:rFonts w:ascii="Arial"/>
                <w:sz w:val="21"/>
                <w:highlight w:val="none"/>
              </w:rPr>
            </w:pPr>
          </w:p>
        </w:tc>
        <w:tc>
          <w:tcPr>
            <w:tcW w:w="1438" w:type="dxa"/>
            <w:vAlign w:val="top"/>
          </w:tcPr>
          <w:p w14:paraId="37BC7BEA">
            <w:pPr>
              <w:rPr>
                <w:rFonts w:ascii="Arial"/>
                <w:sz w:val="21"/>
                <w:highlight w:val="none"/>
              </w:rPr>
            </w:pPr>
          </w:p>
        </w:tc>
        <w:tc>
          <w:tcPr>
            <w:tcW w:w="1139" w:type="dxa"/>
            <w:vAlign w:val="top"/>
          </w:tcPr>
          <w:p w14:paraId="359AD038">
            <w:pPr>
              <w:rPr>
                <w:rFonts w:ascii="Arial"/>
                <w:sz w:val="21"/>
                <w:highlight w:val="none"/>
              </w:rPr>
            </w:pPr>
          </w:p>
        </w:tc>
        <w:tc>
          <w:tcPr>
            <w:tcW w:w="1149" w:type="dxa"/>
            <w:vAlign w:val="top"/>
          </w:tcPr>
          <w:p w14:paraId="580F7C81">
            <w:pPr>
              <w:rPr>
                <w:rFonts w:ascii="Arial"/>
                <w:sz w:val="21"/>
                <w:highlight w:val="none"/>
              </w:rPr>
            </w:pPr>
          </w:p>
        </w:tc>
        <w:tc>
          <w:tcPr>
            <w:tcW w:w="1178" w:type="dxa"/>
            <w:vAlign w:val="top"/>
          </w:tcPr>
          <w:p w14:paraId="36BF610E">
            <w:pPr>
              <w:rPr>
                <w:rFonts w:ascii="Arial"/>
                <w:sz w:val="21"/>
                <w:highlight w:val="none"/>
              </w:rPr>
            </w:pPr>
          </w:p>
        </w:tc>
        <w:tc>
          <w:tcPr>
            <w:tcW w:w="1149" w:type="dxa"/>
            <w:vAlign w:val="top"/>
          </w:tcPr>
          <w:p w14:paraId="099A65E1">
            <w:pPr>
              <w:rPr>
                <w:rFonts w:ascii="Arial"/>
                <w:sz w:val="21"/>
                <w:highlight w:val="none"/>
              </w:rPr>
            </w:pPr>
          </w:p>
        </w:tc>
        <w:tc>
          <w:tcPr>
            <w:tcW w:w="1169" w:type="dxa"/>
            <w:vAlign w:val="top"/>
          </w:tcPr>
          <w:p w14:paraId="6EB4ED97">
            <w:pPr>
              <w:rPr>
                <w:rFonts w:ascii="Arial"/>
                <w:sz w:val="21"/>
                <w:highlight w:val="none"/>
              </w:rPr>
            </w:pPr>
          </w:p>
        </w:tc>
        <w:tc>
          <w:tcPr>
            <w:tcW w:w="1164" w:type="dxa"/>
            <w:vAlign w:val="top"/>
          </w:tcPr>
          <w:p w14:paraId="21363A43">
            <w:pPr>
              <w:rPr>
                <w:rFonts w:ascii="Arial"/>
                <w:sz w:val="21"/>
                <w:highlight w:val="none"/>
              </w:rPr>
            </w:pPr>
          </w:p>
        </w:tc>
      </w:tr>
      <w:tr w14:paraId="3B52A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94" w:type="dxa"/>
            <w:vAlign w:val="top"/>
          </w:tcPr>
          <w:p w14:paraId="77AC37BA">
            <w:pPr>
              <w:rPr>
                <w:rFonts w:ascii="Arial"/>
                <w:sz w:val="21"/>
                <w:highlight w:val="none"/>
              </w:rPr>
            </w:pPr>
          </w:p>
        </w:tc>
        <w:tc>
          <w:tcPr>
            <w:tcW w:w="1438" w:type="dxa"/>
            <w:vAlign w:val="top"/>
          </w:tcPr>
          <w:p w14:paraId="299C7FF3">
            <w:pPr>
              <w:rPr>
                <w:rFonts w:ascii="Arial"/>
                <w:sz w:val="21"/>
                <w:highlight w:val="none"/>
              </w:rPr>
            </w:pPr>
          </w:p>
        </w:tc>
        <w:tc>
          <w:tcPr>
            <w:tcW w:w="1139" w:type="dxa"/>
            <w:vAlign w:val="top"/>
          </w:tcPr>
          <w:p w14:paraId="25EE01A1">
            <w:pPr>
              <w:rPr>
                <w:rFonts w:ascii="Arial"/>
                <w:sz w:val="21"/>
                <w:highlight w:val="none"/>
              </w:rPr>
            </w:pPr>
          </w:p>
        </w:tc>
        <w:tc>
          <w:tcPr>
            <w:tcW w:w="1149" w:type="dxa"/>
            <w:vAlign w:val="top"/>
          </w:tcPr>
          <w:p w14:paraId="319D7D91">
            <w:pPr>
              <w:rPr>
                <w:rFonts w:ascii="Arial"/>
                <w:sz w:val="21"/>
                <w:highlight w:val="none"/>
              </w:rPr>
            </w:pPr>
          </w:p>
        </w:tc>
        <w:tc>
          <w:tcPr>
            <w:tcW w:w="1178" w:type="dxa"/>
            <w:vAlign w:val="top"/>
          </w:tcPr>
          <w:p w14:paraId="417B2DAF">
            <w:pPr>
              <w:rPr>
                <w:rFonts w:ascii="Arial"/>
                <w:sz w:val="21"/>
                <w:highlight w:val="none"/>
              </w:rPr>
            </w:pPr>
          </w:p>
        </w:tc>
        <w:tc>
          <w:tcPr>
            <w:tcW w:w="1149" w:type="dxa"/>
            <w:vAlign w:val="top"/>
          </w:tcPr>
          <w:p w14:paraId="28E3DEE9">
            <w:pPr>
              <w:rPr>
                <w:rFonts w:ascii="Arial"/>
                <w:sz w:val="21"/>
                <w:highlight w:val="none"/>
              </w:rPr>
            </w:pPr>
          </w:p>
        </w:tc>
        <w:tc>
          <w:tcPr>
            <w:tcW w:w="1169" w:type="dxa"/>
            <w:vAlign w:val="top"/>
          </w:tcPr>
          <w:p w14:paraId="29E20D9B">
            <w:pPr>
              <w:rPr>
                <w:rFonts w:ascii="Arial"/>
                <w:sz w:val="21"/>
                <w:highlight w:val="none"/>
              </w:rPr>
            </w:pPr>
          </w:p>
        </w:tc>
        <w:tc>
          <w:tcPr>
            <w:tcW w:w="1164" w:type="dxa"/>
            <w:vAlign w:val="top"/>
          </w:tcPr>
          <w:p w14:paraId="3A032B9B">
            <w:pPr>
              <w:rPr>
                <w:rFonts w:ascii="Arial"/>
                <w:sz w:val="21"/>
                <w:highlight w:val="none"/>
              </w:rPr>
            </w:pPr>
          </w:p>
        </w:tc>
      </w:tr>
      <w:tr w14:paraId="259D9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94" w:type="dxa"/>
            <w:vAlign w:val="top"/>
          </w:tcPr>
          <w:p w14:paraId="0DDDC28F">
            <w:pPr>
              <w:rPr>
                <w:rFonts w:ascii="Arial"/>
                <w:sz w:val="21"/>
                <w:highlight w:val="none"/>
              </w:rPr>
            </w:pPr>
          </w:p>
        </w:tc>
        <w:tc>
          <w:tcPr>
            <w:tcW w:w="1438" w:type="dxa"/>
            <w:vAlign w:val="top"/>
          </w:tcPr>
          <w:p w14:paraId="32AFBA58">
            <w:pPr>
              <w:rPr>
                <w:rFonts w:ascii="Arial"/>
                <w:sz w:val="21"/>
                <w:highlight w:val="none"/>
              </w:rPr>
            </w:pPr>
          </w:p>
        </w:tc>
        <w:tc>
          <w:tcPr>
            <w:tcW w:w="1139" w:type="dxa"/>
            <w:vAlign w:val="top"/>
          </w:tcPr>
          <w:p w14:paraId="4ECEBB6D">
            <w:pPr>
              <w:rPr>
                <w:rFonts w:ascii="Arial"/>
                <w:sz w:val="21"/>
                <w:highlight w:val="none"/>
              </w:rPr>
            </w:pPr>
          </w:p>
        </w:tc>
        <w:tc>
          <w:tcPr>
            <w:tcW w:w="1149" w:type="dxa"/>
            <w:vAlign w:val="top"/>
          </w:tcPr>
          <w:p w14:paraId="67EDE7D6">
            <w:pPr>
              <w:rPr>
                <w:rFonts w:ascii="Arial"/>
                <w:sz w:val="21"/>
                <w:highlight w:val="none"/>
              </w:rPr>
            </w:pPr>
          </w:p>
        </w:tc>
        <w:tc>
          <w:tcPr>
            <w:tcW w:w="1178" w:type="dxa"/>
            <w:vAlign w:val="top"/>
          </w:tcPr>
          <w:p w14:paraId="3DBE8F61">
            <w:pPr>
              <w:rPr>
                <w:rFonts w:ascii="Arial"/>
                <w:sz w:val="21"/>
                <w:highlight w:val="none"/>
              </w:rPr>
            </w:pPr>
          </w:p>
        </w:tc>
        <w:tc>
          <w:tcPr>
            <w:tcW w:w="1149" w:type="dxa"/>
            <w:vAlign w:val="top"/>
          </w:tcPr>
          <w:p w14:paraId="2291DA80">
            <w:pPr>
              <w:rPr>
                <w:rFonts w:ascii="Arial"/>
                <w:sz w:val="21"/>
                <w:highlight w:val="none"/>
              </w:rPr>
            </w:pPr>
          </w:p>
        </w:tc>
        <w:tc>
          <w:tcPr>
            <w:tcW w:w="1169" w:type="dxa"/>
            <w:vAlign w:val="top"/>
          </w:tcPr>
          <w:p w14:paraId="3B341DD9">
            <w:pPr>
              <w:rPr>
                <w:rFonts w:ascii="Arial"/>
                <w:sz w:val="21"/>
                <w:highlight w:val="none"/>
              </w:rPr>
            </w:pPr>
          </w:p>
        </w:tc>
        <w:tc>
          <w:tcPr>
            <w:tcW w:w="1164" w:type="dxa"/>
            <w:vAlign w:val="top"/>
          </w:tcPr>
          <w:p w14:paraId="03F31365">
            <w:pPr>
              <w:rPr>
                <w:rFonts w:ascii="Arial"/>
                <w:sz w:val="21"/>
                <w:highlight w:val="none"/>
              </w:rPr>
            </w:pPr>
          </w:p>
        </w:tc>
      </w:tr>
      <w:tr w14:paraId="50844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94" w:type="dxa"/>
            <w:vAlign w:val="top"/>
          </w:tcPr>
          <w:p w14:paraId="461622E2">
            <w:pPr>
              <w:rPr>
                <w:rFonts w:ascii="Arial"/>
                <w:sz w:val="21"/>
                <w:highlight w:val="none"/>
              </w:rPr>
            </w:pPr>
          </w:p>
        </w:tc>
        <w:tc>
          <w:tcPr>
            <w:tcW w:w="1438" w:type="dxa"/>
            <w:vAlign w:val="top"/>
          </w:tcPr>
          <w:p w14:paraId="3C117E6B">
            <w:pPr>
              <w:rPr>
                <w:rFonts w:ascii="Arial"/>
                <w:sz w:val="21"/>
                <w:highlight w:val="none"/>
              </w:rPr>
            </w:pPr>
          </w:p>
        </w:tc>
        <w:tc>
          <w:tcPr>
            <w:tcW w:w="1139" w:type="dxa"/>
            <w:vAlign w:val="top"/>
          </w:tcPr>
          <w:p w14:paraId="4F1FC779">
            <w:pPr>
              <w:rPr>
                <w:rFonts w:ascii="Arial"/>
                <w:sz w:val="21"/>
                <w:highlight w:val="none"/>
              </w:rPr>
            </w:pPr>
          </w:p>
        </w:tc>
        <w:tc>
          <w:tcPr>
            <w:tcW w:w="1149" w:type="dxa"/>
            <w:vAlign w:val="top"/>
          </w:tcPr>
          <w:p w14:paraId="33752C5F">
            <w:pPr>
              <w:rPr>
                <w:rFonts w:ascii="Arial"/>
                <w:sz w:val="21"/>
                <w:highlight w:val="none"/>
              </w:rPr>
            </w:pPr>
          </w:p>
        </w:tc>
        <w:tc>
          <w:tcPr>
            <w:tcW w:w="1178" w:type="dxa"/>
            <w:vAlign w:val="top"/>
          </w:tcPr>
          <w:p w14:paraId="1F9480F2">
            <w:pPr>
              <w:rPr>
                <w:rFonts w:ascii="Arial"/>
                <w:sz w:val="21"/>
                <w:highlight w:val="none"/>
              </w:rPr>
            </w:pPr>
          </w:p>
        </w:tc>
        <w:tc>
          <w:tcPr>
            <w:tcW w:w="1149" w:type="dxa"/>
            <w:vAlign w:val="top"/>
          </w:tcPr>
          <w:p w14:paraId="363119EB">
            <w:pPr>
              <w:rPr>
                <w:rFonts w:ascii="Arial"/>
                <w:sz w:val="21"/>
                <w:highlight w:val="none"/>
              </w:rPr>
            </w:pPr>
          </w:p>
        </w:tc>
        <w:tc>
          <w:tcPr>
            <w:tcW w:w="1169" w:type="dxa"/>
            <w:vAlign w:val="top"/>
          </w:tcPr>
          <w:p w14:paraId="7DAE8847">
            <w:pPr>
              <w:rPr>
                <w:rFonts w:ascii="Arial"/>
                <w:sz w:val="21"/>
                <w:highlight w:val="none"/>
              </w:rPr>
            </w:pPr>
          </w:p>
        </w:tc>
        <w:tc>
          <w:tcPr>
            <w:tcW w:w="1164" w:type="dxa"/>
            <w:vAlign w:val="top"/>
          </w:tcPr>
          <w:p w14:paraId="4AE67286">
            <w:pPr>
              <w:rPr>
                <w:rFonts w:ascii="Arial"/>
                <w:sz w:val="21"/>
                <w:highlight w:val="none"/>
              </w:rPr>
            </w:pPr>
          </w:p>
        </w:tc>
      </w:tr>
      <w:tr w14:paraId="72640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94" w:type="dxa"/>
            <w:vAlign w:val="top"/>
          </w:tcPr>
          <w:p w14:paraId="7FD73DD1">
            <w:pPr>
              <w:rPr>
                <w:rFonts w:ascii="Arial"/>
                <w:sz w:val="21"/>
                <w:highlight w:val="none"/>
              </w:rPr>
            </w:pPr>
          </w:p>
        </w:tc>
        <w:tc>
          <w:tcPr>
            <w:tcW w:w="1438" w:type="dxa"/>
            <w:vAlign w:val="top"/>
          </w:tcPr>
          <w:p w14:paraId="2E404FD9">
            <w:pPr>
              <w:rPr>
                <w:rFonts w:ascii="Arial"/>
                <w:sz w:val="21"/>
                <w:highlight w:val="none"/>
              </w:rPr>
            </w:pPr>
          </w:p>
        </w:tc>
        <w:tc>
          <w:tcPr>
            <w:tcW w:w="1139" w:type="dxa"/>
            <w:vAlign w:val="top"/>
          </w:tcPr>
          <w:p w14:paraId="35079A99">
            <w:pPr>
              <w:rPr>
                <w:rFonts w:ascii="Arial"/>
                <w:sz w:val="21"/>
                <w:highlight w:val="none"/>
              </w:rPr>
            </w:pPr>
          </w:p>
        </w:tc>
        <w:tc>
          <w:tcPr>
            <w:tcW w:w="1149" w:type="dxa"/>
            <w:vAlign w:val="top"/>
          </w:tcPr>
          <w:p w14:paraId="6D659DEF">
            <w:pPr>
              <w:rPr>
                <w:rFonts w:ascii="Arial"/>
                <w:sz w:val="21"/>
                <w:highlight w:val="none"/>
              </w:rPr>
            </w:pPr>
          </w:p>
        </w:tc>
        <w:tc>
          <w:tcPr>
            <w:tcW w:w="1178" w:type="dxa"/>
            <w:vAlign w:val="top"/>
          </w:tcPr>
          <w:p w14:paraId="5388B631">
            <w:pPr>
              <w:rPr>
                <w:rFonts w:ascii="Arial"/>
                <w:sz w:val="21"/>
                <w:highlight w:val="none"/>
              </w:rPr>
            </w:pPr>
          </w:p>
        </w:tc>
        <w:tc>
          <w:tcPr>
            <w:tcW w:w="1149" w:type="dxa"/>
            <w:vAlign w:val="top"/>
          </w:tcPr>
          <w:p w14:paraId="2403C3B5">
            <w:pPr>
              <w:rPr>
                <w:rFonts w:ascii="Arial"/>
                <w:sz w:val="21"/>
                <w:highlight w:val="none"/>
              </w:rPr>
            </w:pPr>
          </w:p>
        </w:tc>
        <w:tc>
          <w:tcPr>
            <w:tcW w:w="1169" w:type="dxa"/>
            <w:vAlign w:val="top"/>
          </w:tcPr>
          <w:p w14:paraId="32834516">
            <w:pPr>
              <w:rPr>
                <w:rFonts w:ascii="Arial"/>
                <w:sz w:val="21"/>
                <w:highlight w:val="none"/>
              </w:rPr>
            </w:pPr>
          </w:p>
        </w:tc>
        <w:tc>
          <w:tcPr>
            <w:tcW w:w="1164" w:type="dxa"/>
            <w:vAlign w:val="top"/>
          </w:tcPr>
          <w:p w14:paraId="21B6F5FE">
            <w:pPr>
              <w:rPr>
                <w:rFonts w:ascii="Arial"/>
                <w:sz w:val="21"/>
                <w:highlight w:val="none"/>
              </w:rPr>
            </w:pPr>
          </w:p>
        </w:tc>
      </w:tr>
      <w:tr w14:paraId="705DC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94" w:type="dxa"/>
            <w:vAlign w:val="top"/>
          </w:tcPr>
          <w:p w14:paraId="484991F7">
            <w:pPr>
              <w:rPr>
                <w:rFonts w:ascii="Arial"/>
                <w:sz w:val="21"/>
                <w:highlight w:val="none"/>
              </w:rPr>
            </w:pPr>
          </w:p>
        </w:tc>
        <w:tc>
          <w:tcPr>
            <w:tcW w:w="1438" w:type="dxa"/>
            <w:vAlign w:val="top"/>
          </w:tcPr>
          <w:p w14:paraId="65E5DB51">
            <w:pPr>
              <w:rPr>
                <w:rFonts w:ascii="Arial"/>
                <w:sz w:val="21"/>
                <w:highlight w:val="none"/>
              </w:rPr>
            </w:pPr>
          </w:p>
        </w:tc>
        <w:tc>
          <w:tcPr>
            <w:tcW w:w="1139" w:type="dxa"/>
            <w:vAlign w:val="top"/>
          </w:tcPr>
          <w:p w14:paraId="2EA45A51">
            <w:pPr>
              <w:rPr>
                <w:rFonts w:ascii="Arial"/>
                <w:sz w:val="21"/>
                <w:highlight w:val="none"/>
              </w:rPr>
            </w:pPr>
          </w:p>
        </w:tc>
        <w:tc>
          <w:tcPr>
            <w:tcW w:w="1149" w:type="dxa"/>
            <w:vAlign w:val="top"/>
          </w:tcPr>
          <w:p w14:paraId="06D364F3">
            <w:pPr>
              <w:rPr>
                <w:rFonts w:ascii="Arial"/>
                <w:sz w:val="21"/>
                <w:highlight w:val="none"/>
              </w:rPr>
            </w:pPr>
          </w:p>
        </w:tc>
        <w:tc>
          <w:tcPr>
            <w:tcW w:w="1178" w:type="dxa"/>
            <w:vAlign w:val="top"/>
          </w:tcPr>
          <w:p w14:paraId="32647DAC">
            <w:pPr>
              <w:rPr>
                <w:rFonts w:ascii="Arial"/>
                <w:sz w:val="21"/>
                <w:highlight w:val="none"/>
              </w:rPr>
            </w:pPr>
          </w:p>
        </w:tc>
        <w:tc>
          <w:tcPr>
            <w:tcW w:w="1149" w:type="dxa"/>
            <w:vAlign w:val="top"/>
          </w:tcPr>
          <w:p w14:paraId="42C9815F">
            <w:pPr>
              <w:rPr>
                <w:rFonts w:ascii="Arial"/>
                <w:sz w:val="21"/>
                <w:highlight w:val="none"/>
              </w:rPr>
            </w:pPr>
          </w:p>
        </w:tc>
        <w:tc>
          <w:tcPr>
            <w:tcW w:w="1169" w:type="dxa"/>
            <w:vAlign w:val="top"/>
          </w:tcPr>
          <w:p w14:paraId="07F014D9">
            <w:pPr>
              <w:rPr>
                <w:rFonts w:ascii="Arial"/>
                <w:sz w:val="21"/>
                <w:highlight w:val="none"/>
              </w:rPr>
            </w:pPr>
          </w:p>
        </w:tc>
        <w:tc>
          <w:tcPr>
            <w:tcW w:w="1164" w:type="dxa"/>
            <w:vAlign w:val="top"/>
          </w:tcPr>
          <w:p w14:paraId="021BD656">
            <w:pPr>
              <w:rPr>
                <w:rFonts w:ascii="Arial"/>
                <w:sz w:val="21"/>
                <w:highlight w:val="none"/>
              </w:rPr>
            </w:pPr>
          </w:p>
        </w:tc>
      </w:tr>
      <w:tr w14:paraId="775D8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94" w:type="dxa"/>
            <w:vAlign w:val="top"/>
          </w:tcPr>
          <w:p w14:paraId="085D2ACF">
            <w:pPr>
              <w:rPr>
                <w:rFonts w:ascii="Arial"/>
                <w:sz w:val="21"/>
                <w:highlight w:val="none"/>
              </w:rPr>
            </w:pPr>
          </w:p>
        </w:tc>
        <w:tc>
          <w:tcPr>
            <w:tcW w:w="1438" w:type="dxa"/>
            <w:vAlign w:val="top"/>
          </w:tcPr>
          <w:p w14:paraId="2B0211A0">
            <w:pPr>
              <w:rPr>
                <w:rFonts w:ascii="Arial"/>
                <w:sz w:val="21"/>
                <w:highlight w:val="none"/>
              </w:rPr>
            </w:pPr>
          </w:p>
        </w:tc>
        <w:tc>
          <w:tcPr>
            <w:tcW w:w="1139" w:type="dxa"/>
            <w:vAlign w:val="top"/>
          </w:tcPr>
          <w:p w14:paraId="042F7638">
            <w:pPr>
              <w:rPr>
                <w:rFonts w:ascii="Arial"/>
                <w:sz w:val="21"/>
                <w:highlight w:val="none"/>
              </w:rPr>
            </w:pPr>
          </w:p>
        </w:tc>
        <w:tc>
          <w:tcPr>
            <w:tcW w:w="1149" w:type="dxa"/>
            <w:vAlign w:val="top"/>
          </w:tcPr>
          <w:p w14:paraId="01D81073">
            <w:pPr>
              <w:rPr>
                <w:rFonts w:ascii="Arial"/>
                <w:sz w:val="21"/>
                <w:highlight w:val="none"/>
              </w:rPr>
            </w:pPr>
          </w:p>
        </w:tc>
        <w:tc>
          <w:tcPr>
            <w:tcW w:w="1178" w:type="dxa"/>
            <w:vAlign w:val="top"/>
          </w:tcPr>
          <w:p w14:paraId="45FED435">
            <w:pPr>
              <w:rPr>
                <w:rFonts w:ascii="Arial"/>
                <w:sz w:val="21"/>
                <w:highlight w:val="none"/>
              </w:rPr>
            </w:pPr>
          </w:p>
        </w:tc>
        <w:tc>
          <w:tcPr>
            <w:tcW w:w="1149" w:type="dxa"/>
            <w:vAlign w:val="top"/>
          </w:tcPr>
          <w:p w14:paraId="0FA26505">
            <w:pPr>
              <w:rPr>
                <w:rFonts w:ascii="Arial"/>
                <w:sz w:val="21"/>
                <w:highlight w:val="none"/>
              </w:rPr>
            </w:pPr>
          </w:p>
        </w:tc>
        <w:tc>
          <w:tcPr>
            <w:tcW w:w="1169" w:type="dxa"/>
            <w:vAlign w:val="top"/>
          </w:tcPr>
          <w:p w14:paraId="3D7F1F8D">
            <w:pPr>
              <w:rPr>
                <w:rFonts w:ascii="Arial"/>
                <w:sz w:val="21"/>
                <w:highlight w:val="none"/>
              </w:rPr>
            </w:pPr>
          </w:p>
        </w:tc>
        <w:tc>
          <w:tcPr>
            <w:tcW w:w="1164" w:type="dxa"/>
            <w:vAlign w:val="top"/>
          </w:tcPr>
          <w:p w14:paraId="720B1CD2">
            <w:pPr>
              <w:rPr>
                <w:rFonts w:ascii="Arial"/>
                <w:sz w:val="21"/>
                <w:highlight w:val="none"/>
              </w:rPr>
            </w:pPr>
          </w:p>
        </w:tc>
      </w:tr>
      <w:tr w14:paraId="7CB63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94" w:type="dxa"/>
            <w:vAlign w:val="top"/>
          </w:tcPr>
          <w:p w14:paraId="18D885F2">
            <w:pPr>
              <w:rPr>
                <w:rFonts w:ascii="Arial"/>
                <w:sz w:val="21"/>
                <w:highlight w:val="none"/>
              </w:rPr>
            </w:pPr>
          </w:p>
        </w:tc>
        <w:tc>
          <w:tcPr>
            <w:tcW w:w="1438" w:type="dxa"/>
            <w:vAlign w:val="top"/>
          </w:tcPr>
          <w:p w14:paraId="767D9E05">
            <w:pPr>
              <w:rPr>
                <w:rFonts w:ascii="Arial"/>
                <w:sz w:val="21"/>
                <w:highlight w:val="none"/>
              </w:rPr>
            </w:pPr>
          </w:p>
        </w:tc>
        <w:tc>
          <w:tcPr>
            <w:tcW w:w="1139" w:type="dxa"/>
            <w:vAlign w:val="top"/>
          </w:tcPr>
          <w:p w14:paraId="4835B04C">
            <w:pPr>
              <w:rPr>
                <w:rFonts w:ascii="Arial"/>
                <w:sz w:val="21"/>
                <w:highlight w:val="none"/>
              </w:rPr>
            </w:pPr>
          </w:p>
        </w:tc>
        <w:tc>
          <w:tcPr>
            <w:tcW w:w="1149" w:type="dxa"/>
            <w:vAlign w:val="top"/>
          </w:tcPr>
          <w:p w14:paraId="10C651AC">
            <w:pPr>
              <w:rPr>
                <w:rFonts w:ascii="Arial"/>
                <w:sz w:val="21"/>
                <w:highlight w:val="none"/>
              </w:rPr>
            </w:pPr>
          </w:p>
        </w:tc>
        <w:tc>
          <w:tcPr>
            <w:tcW w:w="1178" w:type="dxa"/>
            <w:vAlign w:val="top"/>
          </w:tcPr>
          <w:p w14:paraId="6CEA38D5">
            <w:pPr>
              <w:rPr>
                <w:rFonts w:ascii="Arial"/>
                <w:sz w:val="21"/>
                <w:highlight w:val="none"/>
              </w:rPr>
            </w:pPr>
          </w:p>
        </w:tc>
        <w:tc>
          <w:tcPr>
            <w:tcW w:w="1149" w:type="dxa"/>
            <w:vAlign w:val="top"/>
          </w:tcPr>
          <w:p w14:paraId="423A0BD2">
            <w:pPr>
              <w:rPr>
                <w:rFonts w:ascii="Arial"/>
                <w:sz w:val="21"/>
                <w:highlight w:val="none"/>
              </w:rPr>
            </w:pPr>
          </w:p>
        </w:tc>
        <w:tc>
          <w:tcPr>
            <w:tcW w:w="1169" w:type="dxa"/>
            <w:vAlign w:val="top"/>
          </w:tcPr>
          <w:p w14:paraId="4F9EA74E">
            <w:pPr>
              <w:rPr>
                <w:rFonts w:ascii="Arial"/>
                <w:sz w:val="21"/>
                <w:highlight w:val="none"/>
              </w:rPr>
            </w:pPr>
          </w:p>
        </w:tc>
        <w:tc>
          <w:tcPr>
            <w:tcW w:w="1164" w:type="dxa"/>
            <w:vAlign w:val="top"/>
          </w:tcPr>
          <w:p w14:paraId="3C2765B5">
            <w:pPr>
              <w:rPr>
                <w:rFonts w:ascii="Arial"/>
                <w:sz w:val="21"/>
                <w:highlight w:val="none"/>
              </w:rPr>
            </w:pPr>
          </w:p>
        </w:tc>
      </w:tr>
      <w:tr w14:paraId="00926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94" w:type="dxa"/>
            <w:vAlign w:val="top"/>
          </w:tcPr>
          <w:p w14:paraId="24A1ED1E">
            <w:pPr>
              <w:rPr>
                <w:rFonts w:ascii="Arial"/>
                <w:sz w:val="21"/>
                <w:highlight w:val="none"/>
              </w:rPr>
            </w:pPr>
          </w:p>
        </w:tc>
        <w:tc>
          <w:tcPr>
            <w:tcW w:w="1438" w:type="dxa"/>
            <w:vAlign w:val="top"/>
          </w:tcPr>
          <w:p w14:paraId="2BCD3A40">
            <w:pPr>
              <w:rPr>
                <w:rFonts w:ascii="Arial"/>
                <w:sz w:val="21"/>
                <w:highlight w:val="none"/>
              </w:rPr>
            </w:pPr>
          </w:p>
        </w:tc>
        <w:tc>
          <w:tcPr>
            <w:tcW w:w="1139" w:type="dxa"/>
            <w:vAlign w:val="top"/>
          </w:tcPr>
          <w:p w14:paraId="7682BED9">
            <w:pPr>
              <w:rPr>
                <w:rFonts w:ascii="Arial"/>
                <w:sz w:val="21"/>
                <w:highlight w:val="none"/>
              </w:rPr>
            </w:pPr>
          </w:p>
        </w:tc>
        <w:tc>
          <w:tcPr>
            <w:tcW w:w="1149" w:type="dxa"/>
            <w:vAlign w:val="top"/>
          </w:tcPr>
          <w:p w14:paraId="285AE485">
            <w:pPr>
              <w:rPr>
                <w:rFonts w:ascii="Arial"/>
                <w:sz w:val="21"/>
                <w:highlight w:val="none"/>
              </w:rPr>
            </w:pPr>
          </w:p>
        </w:tc>
        <w:tc>
          <w:tcPr>
            <w:tcW w:w="1178" w:type="dxa"/>
            <w:vAlign w:val="top"/>
          </w:tcPr>
          <w:p w14:paraId="63E32B33">
            <w:pPr>
              <w:rPr>
                <w:rFonts w:ascii="Arial"/>
                <w:sz w:val="21"/>
                <w:highlight w:val="none"/>
              </w:rPr>
            </w:pPr>
          </w:p>
        </w:tc>
        <w:tc>
          <w:tcPr>
            <w:tcW w:w="1149" w:type="dxa"/>
            <w:vAlign w:val="top"/>
          </w:tcPr>
          <w:p w14:paraId="330A9417">
            <w:pPr>
              <w:rPr>
                <w:rFonts w:ascii="Arial"/>
                <w:sz w:val="21"/>
                <w:highlight w:val="none"/>
              </w:rPr>
            </w:pPr>
          </w:p>
        </w:tc>
        <w:tc>
          <w:tcPr>
            <w:tcW w:w="1169" w:type="dxa"/>
            <w:vAlign w:val="top"/>
          </w:tcPr>
          <w:p w14:paraId="38272ECC">
            <w:pPr>
              <w:rPr>
                <w:rFonts w:ascii="Arial"/>
                <w:sz w:val="21"/>
                <w:highlight w:val="none"/>
              </w:rPr>
            </w:pPr>
          </w:p>
        </w:tc>
        <w:tc>
          <w:tcPr>
            <w:tcW w:w="1164" w:type="dxa"/>
            <w:vAlign w:val="top"/>
          </w:tcPr>
          <w:p w14:paraId="69DE2B5D">
            <w:pPr>
              <w:rPr>
                <w:rFonts w:ascii="Arial"/>
                <w:sz w:val="21"/>
                <w:highlight w:val="none"/>
              </w:rPr>
            </w:pPr>
          </w:p>
        </w:tc>
      </w:tr>
      <w:tr w14:paraId="489A2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894" w:type="dxa"/>
            <w:vAlign w:val="top"/>
          </w:tcPr>
          <w:p w14:paraId="4B53FEA7">
            <w:pPr>
              <w:rPr>
                <w:rFonts w:ascii="Arial"/>
                <w:sz w:val="21"/>
                <w:highlight w:val="none"/>
              </w:rPr>
            </w:pPr>
          </w:p>
        </w:tc>
        <w:tc>
          <w:tcPr>
            <w:tcW w:w="1438" w:type="dxa"/>
            <w:vAlign w:val="top"/>
          </w:tcPr>
          <w:p w14:paraId="4C299BE2">
            <w:pPr>
              <w:rPr>
                <w:rFonts w:ascii="Arial"/>
                <w:sz w:val="21"/>
                <w:highlight w:val="none"/>
              </w:rPr>
            </w:pPr>
          </w:p>
        </w:tc>
        <w:tc>
          <w:tcPr>
            <w:tcW w:w="1139" w:type="dxa"/>
            <w:vAlign w:val="top"/>
          </w:tcPr>
          <w:p w14:paraId="4DAEE757">
            <w:pPr>
              <w:rPr>
                <w:rFonts w:ascii="Arial"/>
                <w:sz w:val="21"/>
                <w:highlight w:val="none"/>
              </w:rPr>
            </w:pPr>
          </w:p>
        </w:tc>
        <w:tc>
          <w:tcPr>
            <w:tcW w:w="1149" w:type="dxa"/>
            <w:vAlign w:val="top"/>
          </w:tcPr>
          <w:p w14:paraId="3A139759">
            <w:pPr>
              <w:rPr>
                <w:rFonts w:ascii="Arial"/>
                <w:sz w:val="21"/>
                <w:highlight w:val="none"/>
              </w:rPr>
            </w:pPr>
          </w:p>
        </w:tc>
        <w:tc>
          <w:tcPr>
            <w:tcW w:w="1178" w:type="dxa"/>
            <w:vAlign w:val="top"/>
          </w:tcPr>
          <w:p w14:paraId="127B050B">
            <w:pPr>
              <w:rPr>
                <w:rFonts w:ascii="Arial"/>
                <w:sz w:val="21"/>
                <w:highlight w:val="none"/>
              </w:rPr>
            </w:pPr>
          </w:p>
        </w:tc>
        <w:tc>
          <w:tcPr>
            <w:tcW w:w="1149" w:type="dxa"/>
            <w:vAlign w:val="top"/>
          </w:tcPr>
          <w:p w14:paraId="4A842C63">
            <w:pPr>
              <w:rPr>
                <w:rFonts w:ascii="Arial"/>
                <w:sz w:val="21"/>
                <w:highlight w:val="none"/>
              </w:rPr>
            </w:pPr>
          </w:p>
        </w:tc>
        <w:tc>
          <w:tcPr>
            <w:tcW w:w="1169" w:type="dxa"/>
            <w:vAlign w:val="top"/>
          </w:tcPr>
          <w:p w14:paraId="56B4A0E7">
            <w:pPr>
              <w:rPr>
                <w:rFonts w:ascii="Arial"/>
                <w:sz w:val="21"/>
                <w:highlight w:val="none"/>
              </w:rPr>
            </w:pPr>
          </w:p>
        </w:tc>
        <w:tc>
          <w:tcPr>
            <w:tcW w:w="1164" w:type="dxa"/>
            <w:vAlign w:val="top"/>
          </w:tcPr>
          <w:p w14:paraId="71E61C10">
            <w:pPr>
              <w:rPr>
                <w:rFonts w:ascii="Arial"/>
                <w:sz w:val="21"/>
                <w:highlight w:val="none"/>
              </w:rPr>
            </w:pPr>
          </w:p>
        </w:tc>
      </w:tr>
    </w:tbl>
    <w:p w14:paraId="05A3B54C">
      <w:pPr>
        <w:pStyle w:val="2"/>
        <w:rPr>
          <w:highlight w:val="none"/>
        </w:rPr>
      </w:pPr>
    </w:p>
    <w:p w14:paraId="180AAD71">
      <w:pPr>
        <w:rPr>
          <w:highlight w:val="none"/>
        </w:rPr>
        <w:sectPr>
          <w:footerReference r:id="rId298" w:type="default"/>
          <w:pgSz w:w="11910" w:h="16840"/>
          <w:pgMar w:top="400" w:right="944" w:bottom="1238" w:left="1675" w:header="0" w:footer="1006" w:gutter="0"/>
          <w:cols w:space="720" w:num="1"/>
        </w:sectPr>
      </w:pPr>
    </w:p>
    <w:p w14:paraId="4D1E622C">
      <w:pPr>
        <w:pStyle w:val="2"/>
        <w:spacing w:line="254" w:lineRule="auto"/>
        <w:rPr>
          <w:highlight w:val="none"/>
        </w:rPr>
      </w:pPr>
    </w:p>
    <w:p w14:paraId="52B28150">
      <w:pPr>
        <w:pStyle w:val="2"/>
        <w:spacing w:line="255" w:lineRule="auto"/>
        <w:rPr>
          <w:highlight w:val="none"/>
        </w:rPr>
      </w:pPr>
    </w:p>
    <w:p w14:paraId="292FF986">
      <w:pPr>
        <w:pStyle w:val="2"/>
        <w:spacing w:line="255" w:lineRule="auto"/>
        <w:rPr>
          <w:highlight w:val="none"/>
        </w:rPr>
      </w:pPr>
    </w:p>
    <w:p w14:paraId="18A738DE">
      <w:pPr>
        <w:pStyle w:val="2"/>
        <w:spacing w:line="255" w:lineRule="auto"/>
        <w:rPr>
          <w:highlight w:val="none"/>
        </w:rPr>
      </w:pPr>
    </w:p>
    <w:p w14:paraId="35B1DAB3">
      <w:pPr>
        <w:spacing w:before="72" w:line="219" w:lineRule="auto"/>
        <w:rPr>
          <w:rFonts w:ascii="宋体" w:hAnsi="宋体" w:eastAsia="宋体" w:cs="宋体"/>
          <w:sz w:val="22"/>
          <w:szCs w:val="22"/>
          <w:highlight w:val="none"/>
        </w:rPr>
      </w:pPr>
      <w:r>
        <w:rPr>
          <w:rFonts w:ascii="宋体" w:hAnsi="宋体" w:eastAsia="宋体" w:cs="宋体"/>
          <w:spacing w:val="-10"/>
          <w:sz w:val="22"/>
          <w:szCs w:val="22"/>
          <w:highlight w:val="none"/>
        </w:rPr>
        <w:t>附表四：计划开工日期、完工日期和施工进度</w:t>
      </w:r>
      <w:r>
        <w:rPr>
          <w:rFonts w:ascii="宋体" w:hAnsi="宋体" w:eastAsia="宋体" w:cs="宋体"/>
          <w:spacing w:val="-11"/>
          <w:sz w:val="22"/>
          <w:szCs w:val="22"/>
          <w:highlight w:val="none"/>
        </w:rPr>
        <w:t>网络图</w:t>
      </w:r>
    </w:p>
    <w:p w14:paraId="799B690B">
      <w:pPr>
        <w:spacing w:before="190" w:line="280" w:lineRule="auto"/>
        <w:ind w:right="55"/>
        <w:rPr>
          <w:rFonts w:ascii="宋体" w:hAnsi="宋体" w:eastAsia="宋体" w:cs="宋体"/>
          <w:sz w:val="20"/>
          <w:szCs w:val="20"/>
          <w:highlight w:val="none"/>
        </w:rPr>
      </w:pPr>
      <w:r>
        <w:rPr>
          <w:rFonts w:ascii="Times New Roman" w:hAnsi="Times New Roman" w:eastAsia="Times New Roman" w:cs="Times New Roman"/>
          <w:spacing w:val="10"/>
          <w:sz w:val="20"/>
          <w:szCs w:val="20"/>
          <w:highlight w:val="none"/>
        </w:rPr>
        <w:t>1.</w:t>
      </w:r>
      <w:r>
        <w:rPr>
          <w:rFonts w:ascii="Times New Roman" w:hAnsi="Times New Roman" w:eastAsia="Times New Roman" w:cs="Times New Roman"/>
          <w:spacing w:val="23"/>
          <w:sz w:val="20"/>
          <w:szCs w:val="20"/>
          <w:highlight w:val="none"/>
        </w:rPr>
        <w:t xml:space="preserve">  </w:t>
      </w:r>
      <w:r>
        <w:rPr>
          <w:rFonts w:ascii="宋体" w:hAnsi="宋体" w:eastAsia="宋体" w:cs="宋体"/>
          <w:spacing w:val="10"/>
          <w:sz w:val="20"/>
          <w:szCs w:val="20"/>
          <w:highlight w:val="none"/>
        </w:rPr>
        <w:t>投标人应递交设计、施工进度网络图或施工进度表，说明按招标文件要求的计划工期进</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行施工的各个关键日期。</w:t>
      </w:r>
    </w:p>
    <w:p w14:paraId="2E334200">
      <w:pPr>
        <w:spacing w:before="155" w:line="213" w:lineRule="auto"/>
        <w:rPr>
          <w:rFonts w:ascii="宋体" w:hAnsi="宋体" w:eastAsia="宋体" w:cs="宋体"/>
          <w:sz w:val="21"/>
          <w:szCs w:val="21"/>
          <w:highlight w:val="none"/>
        </w:rPr>
      </w:pPr>
      <w:r>
        <w:rPr>
          <w:rFonts w:ascii="Times New Roman" w:hAnsi="Times New Roman" w:eastAsia="Times New Roman" w:cs="Times New Roman"/>
          <w:spacing w:val="6"/>
          <w:sz w:val="21"/>
          <w:szCs w:val="21"/>
          <w:highlight w:val="none"/>
        </w:rPr>
        <w:t>2.</w:t>
      </w:r>
      <w:r>
        <w:rPr>
          <w:rFonts w:ascii="Times New Roman" w:hAnsi="Times New Roman" w:eastAsia="Times New Roman" w:cs="Times New Roman"/>
          <w:spacing w:val="9"/>
          <w:sz w:val="21"/>
          <w:szCs w:val="21"/>
          <w:highlight w:val="none"/>
        </w:rPr>
        <w:t xml:space="preserve">  </w:t>
      </w:r>
      <w:r>
        <w:rPr>
          <w:rFonts w:ascii="宋体" w:hAnsi="宋体" w:eastAsia="宋体" w:cs="宋体"/>
          <w:spacing w:val="6"/>
          <w:sz w:val="21"/>
          <w:szCs w:val="21"/>
          <w:highlight w:val="none"/>
        </w:rPr>
        <w:t>施工进度表可采用</w:t>
      </w:r>
      <w:r>
        <w:rPr>
          <w:rFonts w:ascii="宋体" w:hAnsi="宋体" w:eastAsia="宋体" w:cs="宋体"/>
          <w:spacing w:val="6"/>
          <w:sz w:val="21"/>
          <w:szCs w:val="21"/>
          <w:highlight w:val="none"/>
          <w:u w:val="single" w:color="auto"/>
        </w:rPr>
        <w:t xml:space="preserve">                             </w:t>
      </w:r>
      <w:r>
        <w:rPr>
          <w:rFonts w:ascii="宋体" w:hAnsi="宋体" w:eastAsia="宋体" w:cs="宋体"/>
          <w:spacing w:val="6"/>
          <w:sz w:val="21"/>
          <w:szCs w:val="21"/>
          <w:highlight w:val="none"/>
        </w:rPr>
        <w:t>_网络图(或横道图)表示。</w:t>
      </w:r>
    </w:p>
    <w:p w14:paraId="5758031A">
      <w:pPr>
        <w:spacing w:line="213" w:lineRule="auto"/>
        <w:rPr>
          <w:rFonts w:ascii="宋体" w:hAnsi="宋体" w:eastAsia="宋体" w:cs="宋体"/>
          <w:sz w:val="21"/>
          <w:szCs w:val="21"/>
          <w:highlight w:val="none"/>
        </w:rPr>
        <w:sectPr>
          <w:footerReference r:id="rId299" w:type="default"/>
          <w:pgSz w:w="11910" w:h="16840"/>
          <w:pgMar w:top="400" w:right="1786" w:bottom="1238" w:left="1769" w:header="0" w:footer="1006" w:gutter="0"/>
          <w:cols w:space="720" w:num="1"/>
        </w:sectPr>
      </w:pPr>
    </w:p>
    <w:p w14:paraId="380A6207">
      <w:pPr>
        <w:pStyle w:val="2"/>
        <w:spacing w:line="254" w:lineRule="auto"/>
        <w:rPr>
          <w:highlight w:val="none"/>
        </w:rPr>
      </w:pPr>
    </w:p>
    <w:p w14:paraId="701F3422">
      <w:pPr>
        <w:pStyle w:val="2"/>
        <w:spacing w:line="255" w:lineRule="auto"/>
        <w:rPr>
          <w:highlight w:val="none"/>
        </w:rPr>
      </w:pPr>
    </w:p>
    <w:p w14:paraId="5C47C7A5">
      <w:pPr>
        <w:pStyle w:val="2"/>
        <w:spacing w:line="255" w:lineRule="auto"/>
        <w:rPr>
          <w:highlight w:val="none"/>
        </w:rPr>
      </w:pPr>
    </w:p>
    <w:p w14:paraId="260D9AA7">
      <w:pPr>
        <w:pStyle w:val="2"/>
        <w:spacing w:line="255" w:lineRule="auto"/>
        <w:rPr>
          <w:highlight w:val="none"/>
        </w:rPr>
      </w:pPr>
    </w:p>
    <w:p w14:paraId="79D8D02D">
      <w:pPr>
        <w:spacing w:before="72" w:line="219" w:lineRule="auto"/>
        <w:rPr>
          <w:rFonts w:ascii="宋体" w:hAnsi="宋体" w:eastAsia="宋体" w:cs="宋体"/>
          <w:sz w:val="22"/>
          <w:szCs w:val="22"/>
          <w:highlight w:val="none"/>
        </w:rPr>
      </w:pPr>
      <w:r>
        <w:rPr>
          <w:rFonts w:ascii="宋体" w:hAnsi="宋体" w:eastAsia="宋体" w:cs="宋体"/>
          <w:spacing w:val="-11"/>
          <w:sz w:val="22"/>
          <w:szCs w:val="22"/>
          <w:highlight w:val="none"/>
        </w:rPr>
        <w:t>附表五：施工总平面图</w:t>
      </w:r>
    </w:p>
    <w:p w14:paraId="47FBA775">
      <w:pPr>
        <w:spacing w:before="249" w:line="379" w:lineRule="auto"/>
        <w:ind w:right="27" w:firstLine="410"/>
        <w:jc w:val="both"/>
        <w:rPr>
          <w:rFonts w:ascii="宋体" w:hAnsi="宋体" w:eastAsia="宋体" w:cs="宋体"/>
          <w:sz w:val="21"/>
          <w:szCs w:val="21"/>
          <w:highlight w:val="none"/>
        </w:rPr>
      </w:pPr>
      <w:r>
        <w:rPr>
          <w:rFonts w:ascii="宋体" w:hAnsi="宋体" w:eastAsia="宋体" w:cs="宋体"/>
          <w:spacing w:val="-2"/>
          <w:sz w:val="21"/>
          <w:szCs w:val="21"/>
          <w:highlight w:val="none"/>
        </w:rPr>
        <w:t>投标人应递交一份施工总平面图，绘出现场临时设施布置图及表并附文字说明，说明临</w:t>
      </w:r>
      <w:r>
        <w:rPr>
          <w:rFonts w:ascii="宋体" w:hAnsi="宋体" w:eastAsia="宋体" w:cs="宋体"/>
          <w:spacing w:val="1"/>
          <w:sz w:val="21"/>
          <w:szCs w:val="21"/>
          <w:highlight w:val="none"/>
        </w:rPr>
        <w:t xml:space="preserve"> </w:t>
      </w:r>
      <w:r>
        <w:rPr>
          <w:rFonts w:ascii="宋体" w:hAnsi="宋体" w:eastAsia="宋体" w:cs="宋体"/>
          <w:spacing w:val="-2"/>
          <w:sz w:val="21"/>
          <w:szCs w:val="21"/>
          <w:highlight w:val="none"/>
        </w:rPr>
        <w:t>时设施、加工车间、现场办公、设备及仓储、供电、供水、卫生</w:t>
      </w:r>
      <w:r>
        <w:rPr>
          <w:rFonts w:ascii="宋体" w:hAnsi="宋体" w:eastAsia="宋体" w:cs="宋体"/>
          <w:spacing w:val="-3"/>
          <w:sz w:val="21"/>
          <w:szCs w:val="21"/>
          <w:highlight w:val="none"/>
        </w:rPr>
        <w:t>、生活、道路、消防等设施</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的情况和布置。</w:t>
      </w:r>
    </w:p>
    <w:p w14:paraId="555E2877">
      <w:pPr>
        <w:spacing w:line="379" w:lineRule="auto"/>
        <w:rPr>
          <w:rFonts w:ascii="宋体" w:hAnsi="宋体" w:eastAsia="宋体" w:cs="宋体"/>
          <w:sz w:val="21"/>
          <w:szCs w:val="21"/>
          <w:highlight w:val="none"/>
        </w:rPr>
        <w:sectPr>
          <w:footerReference r:id="rId300" w:type="default"/>
          <w:pgSz w:w="11910" w:h="16840"/>
          <w:pgMar w:top="400" w:right="1786" w:bottom="1238" w:left="1779" w:header="0" w:footer="1006" w:gutter="0"/>
          <w:cols w:space="720" w:num="1"/>
        </w:sectPr>
      </w:pPr>
    </w:p>
    <w:p w14:paraId="352CCE0B">
      <w:pPr>
        <w:pStyle w:val="2"/>
        <w:spacing w:line="258" w:lineRule="auto"/>
        <w:rPr>
          <w:highlight w:val="none"/>
        </w:rPr>
      </w:pPr>
    </w:p>
    <w:p w14:paraId="7142F485">
      <w:pPr>
        <w:pStyle w:val="2"/>
        <w:spacing w:line="258" w:lineRule="auto"/>
        <w:rPr>
          <w:highlight w:val="none"/>
        </w:rPr>
      </w:pPr>
    </w:p>
    <w:p w14:paraId="02B7FE9D">
      <w:pPr>
        <w:pStyle w:val="2"/>
        <w:spacing w:line="258" w:lineRule="auto"/>
        <w:rPr>
          <w:highlight w:val="none"/>
        </w:rPr>
      </w:pPr>
    </w:p>
    <w:p w14:paraId="06C34C08">
      <w:pPr>
        <w:pStyle w:val="2"/>
        <w:spacing w:line="258" w:lineRule="auto"/>
        <w:rPr>
          <w:highlight w:val="none"/>
        </w:rPr>
      </w:pPr>
    </w:p>
    <w:p w14:paraId="53D47203">
      <w:pPr>
        <w:spacing w:before="68" w:line="219" w:lineRule="auto"/>
        <w:ind w:left="104"/>
        <w:rPr>
          <w:rFonts w:ascii="宋体" w:hAnsi="宋体" w:eastAsia="宋体" w:cs="宋体"/>
          <w:sz w:val="21"/>
          <w:szCs w:val="21"/>
          <w:highlight w:val="none"/>
        </w:rPr>
      </w:pPr>
      <w:r>
        <w:rPr>
          <w:rFonts w:ascii="宋体" w:hAnsi="宋体" w:eastAsia="宋体" w:cs="宋体"/>
          <w:spacing w:val="-3"/>
          <w:sz w:val="21"/>
          <w:szCs w:val="21"/>
          <w:highlight w:val="none"/>
        </w:rPr>
        <w:t>附表六：临时用地表</w:t>
      </w:r>
    </w:p>
    <w:p w14:paraId="4275EACF">
      <w:pPr>
        <w:spacing w:line="78" w:lineRule="exact"/>
        <w:rPr>
          <w:highlight w:val="none"/>
        </w:rPr>
      </w:pPr>
    </w:p>
    <w:tbl>
      <w:tblPr>
        <w:tblStyle w:val="5"/>
        <w:tblW w:w="92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22"/>
        <w:gridCol w:w="2308"/>
        <w:gridCol w:w="2327"/>
        <w:gridCol w:w="2332"/>
      </w:tblGrid>
      <w:tr w14:paraId="465CD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2322" w:type="dxa"/>
            <w:vAlign w:val="top"/>
          </w:tcPr>
          <w:p w14:paraId="256415E2">
            <w:pPr>
              <w:pStyle w:val="6"/>
              <w:spacing w:before="85" w:line="221" w:lineRule="auto"/>
              <w:ind w:left="794"/>
              <w:rPr>
                <w:sz w:val="22"/>
                <w:szCs w:val="22"/>
                <w:highlight w:val="none"/>
              </w:rPr>
            </w:pPr>
            <w:r>
              <w:rPr>
                <w:spacing w:val="5"/>
                <w:sz w:val="22"/>
                <w:szCs w:val="22"/>
                <w:highlight w:val="none"/>
              </w:rPr>
              <w:t>用途</w:t>
            </w:r>
          </w:p>
        </w:tc>
        <w:tc>
          <w:tcPr>
            <w:tcW w:w="2308" w:type="dxa"/>
            <w:vAlign w:val="top"/>
          </w:tcPr>
          <w:p w14:paraId="0B720A95">
            <w:pPr>
              <w:pStyle w:val="6"/>
              <w:spacing w:before="84" w:line="220" w:lineRule="auto"/>
              <w:ind w:left="552"/>
              <w:rPr>
                <w:sz w:val="22"/>
                <w:szCs w:val="22"/>
                <w:highlight w:val="none"/>
              </w:rPr>
            </w:pPr>
            <w:r>
              <w:rPr>
                <w:spacing w:val="26"/>
                <w:sz w:val="22"/>
                <w:szCs w:val="22"/>
                <w:highlight w:val="none"/>
              </w:rPr>
              <w:t>面积(m²)</w:t>
            </w:r>
          </w:p>
        </w:tc>
        <w:tc>
          <w:tcPr>
            <w:tcW w:w="2327" w:type="dxa"/>
            <w:vAlign w:val="top"/>
          </w:tcPr>
          <w:p w14:paraId="26156AEF">
            <w:pPr>
              <w:pStyle w:val="6"/>
              <w:spacing w:before="85" w:line="221" w:lineRule="auto"/>
              <w:ind w:left="894"/>
              <w:rPr>
                <w:sz w:val="22"/>
                <w:szCs w:val="22"/>
                <w:highlight w:val="none"/>
              </w:rPr>
            </w:pPr>
            <w:r>
              <w:rPr>
                <w:spacing w:val="-5"/>
                <w:sz w:val="22"/>
                <w:szCs w:val="22"/>
                <w:highlight w:val="none"/>
              </w:rPr>
              <w:t>位</w:t>
            </w:r>
            <w:r>
              <w:rPr>
                <w:spacing w:val="33"/>
                <w:sz w:val="22"/>
                <w:szCs w:val="22"/>
                <w:highlight w:val="none"/>
              </w:rPr>
              <w:t xml:space="preserve"> </w:t>
            </w:r>
            <w:r>
              <w:rPr>
                <w:spacing w:val="-5"/>
                <w:sz w:val="22"/>
                <w:szCs w:val="22"/>
                <w:highlight w:val="none"/>
              </w:rPr>
              <w:t>置</w:t>
            </w:r>
          </w:p>
        </w:tc>
        <w:tc>
          <w:tcPr>
            <w:tcW w:w="2332" w:type="dxa"/>
            <w:vAlign w:val="top"/>
          </w:tcPr>
          <w:p w14:paraId="7B693424">
            <w:pPr>
              <w:pStyle w:val="6"/>
              <w:spacing w:before="84" w:line="220" w:lineRule="auto"/>
              <w:ind w:left="747"/>
              <w:rPr>
                <w:sz w:val="22"/>
                <w:szCs w:val="22"/>
                <w:highlight w:val="none"/>
              </w:rPr>
            </w:pPr>
            <w:r>
              <w:rPr>
                <w:spacing w:val="5"/>
                <w:sz w:val="22"/>
                <w:szCs w:val="22"/>
                <w:highlight w:val="none"/>
              </w:rPr>
              <w:t>需用时间</w:t>
            </w:r>
          </w:p>
        </w:tc>
      </w:tr>
      <w:tr w14:paraId="725E7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322" w:type="dxa"/>
            <w:vAlign w:val="top"/>
          </w:tcPr>
          <w:p w14:paraId="65FD2A62">
            <w:pPr>
              <w:rPr>
                <w:rFonts w:ascii="Arial"/>
                <w:sz w:val="21"/>
                <w:highlight w:val="none"/>
              </w:rPr>
            </w:pPr>
          </w:p>
        </w:tc>
        <w:tc>
          <w:tcPr>
            <w:tcW w:w="2308" w:type="dxa"/>
            <w:vAlign w:val="top"/>
          </w:tcPr>
          <w:p w14:paraId="46F37119">
            <w:pPr>
              <w:rPr>
                <w:rFonts w:ascii="Arial"/>
                <w:sz w:val="21"/>
                <w:highlight w:val="none"/>
              </w:rPr>
            </w:pPr>
          </w:p>
        </w:tc>
        <w:tc>
          <w:tcPr>
            <w:tcW w:w="2327" w:type="dxa"/>
            <w:vAlign w:val="top"/>
          </w:tcPr>
          <w:p w14:paraId="19EF2353">
            <w:pPr>
              <w:rPr>
                <w:rFonts w:ascii="Arial"/>
                <w:sz w:val="21"/>
                <w:highlight w:val="none"/>
              </w:rPr>
            </w:pPr>
          </w:p>
        </w:tc>
        <w:tc>
          <w:tcPr>
            <w:tcW w:w="2332" w:type="dxa"/>
            <w:vAlign w:val="top"/>
          </w:tcPr>
          <w:p w14:paraId="5CA2BFCF">
            <w:pPr>
              <w:rPr>
                <w:rFonts w:ascii="Arial"/>
                <w:sz w:val="21"/>
                <w:highlight w:val="none"/>
              </w:rPr>
            </w:pPr>
          </w:p>
        </w:tc>
      </w:tr>
      <w:tr w14:paraId="59FAF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2322" w:type="dxa"/>
            <w:vAlign w:val="top"/>
          </w:tcPr>
          <w:p w14:paraId="3F372DDC">
            <w:pPr>
              <w:rPr>
                <w:rFonts w:ascii="Arial"/>
                <w:sz w:val="21"/>
                <w:highlight w:val="none"/>
              </w:rPr>
            </w:pPr>
          </w:p>
        </w:tc>
        <w:tc>
          <w:tcPr>
            <w:tcW w:w="2308" w:type="dxa"/>
            <w:vAlign w:val="top"/>
          </w:tcPr>
          <w:p w14:paraId="621FE9AB">
            <w:pPr>
              <w:rPr>
                <w:rFonts w:ascii="Arial"/>
                <w:sz w:val="21"/>
                <w:highlight w:val="none"/>
              </w:rPr>
            </w:pPr>
          </w:p>
        </w:tc>
        <w:tc>
          <w:tcPr>
            <w:tcW w:w="2327" w:type="dxa"/>
            <w:vAlign w:val="top"/>
          </w:tcPr>
          <w:p w14:paraId="35B883E4">
            <w:pPr>
              <w:rPr>
                <w:rFonts w:ascii="Arial"/>
                <w:sz w:val="21"/>
                <w:highlight w:val="none"/>
              </w:rPr>
            </w:pPr>
          </w:p>
        </w:tc>
        <w:tc>
          <w:tcPr>
            <w:tcW w:w="2332" w:type="dxa"/>
            <w:vAlign w:val="top"/>
          </w:tcPr>
          <w:p w14:paraId="1937962F">
            <w:pPr>
              <w:rPr>
                <w:rFonts w:ascii="Arial"/>
                <w:sz w:val="21"/>
                <w:highlight w:val="none"/>
              </w:rPr>
            </w:pPr>
          </w:p>
        </w:tc>
      </w:tr>
      <w:tr w14:paraId="4163B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2322" w:type="dxa"/>
            <w:vAlign w:val="top"/>
          </w:tcPr>
          <w:p w14:paraId="6D22353A">
            <w:pPr>
              <w:rPr>
                <w:rFonts w:ascii="Arial"/>
                <w:sz w:val="21"/>
                <w:highlight w:val="none"/>
              </w:rPr>
            </w:pPr>
          </w:p>
        </w:tc>
        <w:tc>
          <w:tcPr>
            <w:tcW w:w="2308" w:type="dxa"/>
            <w:vAlign w:val="top"/>
          </w:tcPr>
          <w:p w14:paraId="3173B7FD">
            <w:pPr>
              <w:rPr>
                <w:rFonts w:ascii="Arial"/>
                <w:sz w:val="21"/>
                <w:highlight w:val="none"/>
              </w:rPr>
            </w:pPr>
          </w:p>
        </w:tc>
        <w:tc>
          <w:tcPr>
            <w:tcW w:w="2327" w:type="dxa"/>
            <w:vAlign w:val="top"/>
          </w:tcPr>
          <w:p w14:paraId="30CC8EC1">
            <w:pPr>
              <w:rPr>
                <w:rFonts w:ascii="Arial"/>
                <w:sz w:val="21"/>
                <w:highlight w:val="none"/>
              </w:rPr>
            </w:pPr>
          </w:p>
        </w:tc>
        <w:tc>
          <w:tcPr>
            <w:tcW w:w="2332" w:type="dxa"/>
            <w:vAlign w:val="top"/>
          </w:tcPr>
          <w:p w14:paraId="5C5FBB40">
            <w:pPr>
              <w:rPr>
                <w:rFonts w:ascii="Arial"/>
                <w:sz w:val="21"/>
                <w:highlight w:val="none"/>
              </w:rPr>
            </w:pPr>
          </w:p>
        </w:tc>
      </w:tr>
      <w:tr w14:paraId="0AE55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2322" w:type="dxa"/>
            <w:vAlign w:val="top"/>
          </w:tcPr>
          <w:p w14:paraId="6987A742">
            <w:pPr>
              <w:rPr>
                <w:rFonts w:ascii="Arial"/>
                <w:sz w:val="21"/>
                <w:highlight w:val="none"/>
              </w:rPr>
            </w:pPr>
          </w:p>
        </w:tc>
        <w:tc>
          <w:tcPr>
            <w:tcW w:w="2308" w:type="dxa"/>
            <w:vAlign w:val="top"/>
          </w:tcPr>
          <w:p w14:paraId="0DD3574C">
            <w:pPr>
              <w:rPr>
                <w:rFonts w:ascii="Arial"/>
                <w:sz w:val="21"/>
                <w:highlight w:val="none"/>
              </w:rPr>
            </w:pPr>
          </w:p>
        </w:tc>
        <w:tc>
          <w:tcPr>
            <w:tcW w:w="2327" w:type="dxa"/>
            <w:vAlign w:val="top"/>
          </w:tcPr>
          <w:p w14:paraId="128D1DD4">
            <w:pPr>
              <w:rPr>
                <w:rFonts w:ascii="Arial"/>
                <w:sz w:val="21"/>
                <w:highlight w:val="none"/>
              </w:rPr>
            </w:pPr>
          </w:p>
        </w:tc>
        <w:tc>
          <w:tcPr>
            <w:tcW w:w="2332" w:type="dxa"/>
            <w:vAlign w:val="top"/>
          </w:tcPr>
          <w:p w14:paraId="55BA256A">
            <w:pPr>
              <w:rPr>
                <w:rFonts w:ascii="Arial"/>
                <w:sz w:val="21"/>
                <w:highlight w:val="none"/>
              </w:rPr>
            </w:pPr>
          </w:p>
        </w:tc>
      </w:tr>
      <w:tr w14:paraId="75143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322" w:type="dxa"/>
            <w:vAlign w:val="top"/>
          </w:tcPr>
          <w:p w14:paraId="390BC645">
            <w:pPr>
              <w:rPr>
                <w:rFonts w:ascii="Arial"/>
                <w:sz w:val="21"/>
                <w:highlight w:val="none"/>
              </w:rPr>
            </w:pPr>
          </w:p>
        </w:tc>
        <w:tc>
          <w:tcPr>
            <w:tcW w:w="2308" w:type="dxa"/>
            <w:vAlign w:val="top"/>
          </w:tcPr>
          <w:p w14:paraId="54C38F15">
            <w:pPr>
              <w:rPr>
                <w:rFonts w:ascii="Arial"/>
                <w:sz w:val="21"/>
                <w:highlight w:val="none"/>
              </w:rPr>
            </w:pPr>
          </w:p>
        </w:tc>
        <w:tc>
          <w:tcPr>
            <w:tcW w:w="2327" w:type="dxa"/>
            <w:vAlign w:val="top"/>
          </w:tcPr>
          <w:p w14:paraId="0ECE2FB7">
            <w:pPr>
              <w:rPr>
                <w:rFonts w:ascii="Arial"/>
                <w:sz w:val="21"/>
                <w:highlight w:val="none"/>
              </w:rPr>
            </w:pPr>
          </w:p>
        </w:tc>
        <w:tc>
          <w:tcPr>
            <w:tcW w:w="2332" w:type="dxa"/>
            <w:vAlign w:val="top"/>
          </w:tcPr>
          <w:p w14:paraId="2DDAA704">
            <w:pPr>
              <w:rPr>
                <w:rFonts w:ascii="Arial"/>
                <w:sz w:val="21"/>
                <w:highlight w:val="none"/>
              </w:rPr>
            </w:pPr>
          </w:p>
        </w:tc>
      </w:tr>
      <w:tr w14:paraId="70D14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2322" w:type="dxa"/>
            <w:vAlign w:val="top"/>
          </w:tcPr>
          <w:p w14:paraId="321367D0">
            <w:pPr>
              <w:rPr>
                <w:rFonts w:ascii="Arial"/>
                <w:sz w:val="21"/>
                <w:highlight w:val="none"/>
              </w:rPr>
            </w:pPr>
          </w:p>
        </w:tc>
        <w:tc>
          <w:tcPr>
            <w:tcW w:w="2308" w:type="dxa"/>
            <w:vAlign w:val="top"/>
          </w:tcPr>
          <w:p w14:paraId="35D2F616">
            <w:pPr>
              <w:rPr>
                <w:rFonts w:ascii="Arial"/>
                <w:sz w:val="21"/>
                <w:highlight w:val="none"/>
              </w:rPr>
            </w:pPr>
          </w:p>
        </w:tc>
        <w:tc>
          <w:tcPr>
            <w:tcW w:w="2327" w:type="dxa"/>
            <w:vAlign w:val="top"/>
          </w:tcPr>
          <w:p w14:paraId="34D22312">
            <w:pPr>
              <w:rPr>
                <w:rFonts w:ascii="Arial"/>
                <w:sz w:val="21"/>
                <w:highlight w:val="none"/>
              </w:rPr>
            </w:pPr>
          </w:p>
        </w:tc>
        <w:tc>
          <w:tcPr>
            <w:tcW w:w="2332" w:type="dxa"/>
            <w:vAlign w:val="top"/>
          </w:tcPr>
          <w:p w14:paraId="5F9FBF8D">
            <w:pPr>
              <w:rPr>
                <w:rFonts w:ascii="Arial"/>
                <w:sz w:val="21"/>
                <w:highlight w:val="none"/>
              </w:rPr>
            </w:pPr>
          </w:p>
        </w:tc>
      </w:tr>
      <w:tr w14:paraId="655DD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322" w:type="dxa"/>
            <w:vAlign w:val="top"/>
          </w:tcPr>
          <w:p w14:paraId="45BED76B">
            <w:pPr>
              <w:rPr>
                <w:rFonts w:ascii="Arial"/>
                <w:sz w:val="21"/>
                <w:highlight w:val="none"/>
              </w:rPr>
            </w:pPr>
          </w:p>
        </w:tc>
        <w:tc>
          <w:tcPr>
            <w:tcW w:w="2308" w:type="dxa"/>
            <w:vAlign w:val="top"/>
          </w:tcPr>
          <w:p w14:paraId="09420B66">
            <w:pPr>
              <w:rPr>
                <w:rFonts w:ascii="Arial"/>
                <w:sz w:val="21"/>
                <w:highlight w:val="none"/>
              </w:rPr>
            </w:pPr>
          </w:p>
        </w:tc>
        <w:tc>
          <w:tcPr>
            <w:tcW w:w="2327" w:type="dxa"/>
            <w:vAlign w:val="top"/>
          </w:tcPr>
          <w:p w14:paraId="1AAF5965">
            <w:pPr>
              <w:rPr>
                <w:rFonts w:ascii="Arial"/>
                <w:sz w:val="21"/>
                <w:highlight w:val="none"/>
              </w:rPr>
            </w:pPr>
          </w:p>
        </w:tc>
        <w:tc>
          <w:tcPr>
            <w:tcW w:w="2332" w:type="dxa"/>
            <w:vAlign w:val="top"/>
          </w:tcPr>
          <w:p w14:paraId="482972F6">
            <w:pPr>
              <w:rPr>
                <w:rFonts w:ascii="Arial"/>
                <w:sz w:val="21"/>
                <w:highlight w:val="none"/>
              </w:rPr>
            </w:pPr>
          </w:p>
        </w:tc>
      </w:tr>
      <w:tr w14:paraId="20F8A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322" w:type="dxa"/>
            <w:vAlign w:val="top"/>
          </w:tcPr>
          <w:p w14:paraId="4E85735B">
            <w:pPr>
              <w:rPr>
                <w:rFonts w:ascii="Arial"/>
                <w:sz w:val="21"/>
                <w:highlight w:val="none"/>
              </w:rPr>
            </w:pPr>
          </w:p>
        </w:tc>
        <w:tc>
          <w:tcPr>
            <w:tcW w:w="2308" w:type="dxa"/>
            <w:vAlign w:val="top"/>
          </w:tcPr>
          <w:p w14:paraId="21B20379">
            <w:pPr>
              <w:rPr>
                <w:rFonts w:ascii="Arial"/>
                <w:sz w:val="21"/>
                <w:highlight w:val="none"/>
              </w:rPr>
            </w:pPr>
          </w:p>
        </w:tc>
        <w:tc>
          <w:tcPr>
            <w:tcW w:w="2327" w:type="dxa"/>
            <w:vAlign w:val="top"/>
          </w:tcPr>
          <w:p w14:paraId="76300822">
            <w:pPr>
              <w:rPr>
                <w:rFonts w:ascii="Arial"/>
                <w:sz w:val="21"/>
                <w:highlight w:val="none"/>
              </w:rPr>
            </w:pPr>
          </w:p>
        </w:tc>
        <w:tc>
          <w:tcPr>
            <w:tcW w:w="2332" w:type="dxa"/>
            <w:vAlign w:val="top"/>
          </w:tcPr>
          <w:p w14:paraId="42205F72">
            <w:pPr>
              <w:rPr>
                <w:rFonts w:ascii="Arial"/>
                <w:sz w:val="21"/>
                <w:highlight w:val="none"/>
              </w:rPr>
            </w:pPr>
          </w:p>
        </w:tc>
      </w:tr>
      <w:tr w14:paraId="4AAA0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322" w:type="dxa"/>
            <w:vAlign w:val="top"/>
          </w:tcPr>
          <w:p w14:paraId="156C9596">
            <w:pPr>
              <w:rPr>
                <w:rFonts w:ascii="Arial"/>
                <w:sz w:val="21"/>
                <w:highlight w:val="none"/>
              </w:rPr>
            </w:pPr>
          </w:p>
        </w:tc>
        <w:tc>
          <w:tcPr>
            <w:tcW w:w="2308" w:type="dxa"/>
            <w:vAlign w:val="top"/>
          </w:tcPr>
          <w:p w14:paraId="11C2C23E">
            <w:pPr>
              <w:rPr>
                <w:rFonts w:ascii="Arial"/>
                <w:sz w:val="21"/>
                <w:highlight w:val="none"/>
              </w:rPr>
            </w:pPr>
          </w:p>
        </w:tc>
        <w:tc>
          <w:tcPr>
            <w:tcW w:w="2327" w:type="dxa"/>
            <w:vAlign w:val="top"/>
          </w:tcPr>
          <w:p w14:paraId="71A73FD5">
            <w:pPr>
              <w:rPr>
                <w:rFonts w:ascii="Arial"/>
                <w:sz w:val="21"/>
                <w:highlight w:val="none"/>
              </w:rPr>
            </w:pPr>
          </w:p>
        </w:tc>
        <w:tc>
          <w:tcPr>
            <w:tcW w:w="2332" w:type="dxa"/>
            <w:vAlign w:val="top"/>
          </w:tcPr>
          <w:p w14:paraId="6FB10EB7">
            <w:pPr>
              <w:rPr>
                <w:rFonts w:ascii="Arial"/>
                <w:sz w:val="21"/>
                <w:highlight w:val="none"/>
              </w:rPr>
            </w:pPr>
          </w:p>
        </w:tc>
      </w:tr>
      <w:tr w14:paraId="7CE02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2322" w:type="dxa"/>
            <w:vAlign w:val="top"/>
          </w:tcPr>
          <w:p w14:paraId="43066398">
            <w:pPr>
              <w:rPr>
                <w:rFonts w:ascii="Arial"/>
                <w:sz w:val="21"/>
                <w:highlight w:val="none"/>
              </w:rPr>
            </w:pPr>
          </w:p>
        </w:tc>
        <w:tc>
          <w:tcPr>
            <w:tcW w:w="2308" w:type="dxa"/>
            <w:vAlign w:val="top"/>
          </w:tcPr>
          <w:p w14:paraId="4268596D">
            <w:pPr>
              <w:rPr>
                <w:rFonts w:ascii="Arial"/>
                <w:sz w:val="21"/>
                <w:highlight w:val="none"/>
              </w:rPr>
            </w:pPr>
          </w:p>
        </w:tc>
        <w:tc>
          <w:tcPr>
            <w:tcW w:w="2327" w:type="dxa"/>
            <w:vAlign w:val="top"/>
          </w:tcPr>
          <w:p w14:paraId="24AF96D2">
            <w:pPr>
              <w:rPr>
                <w:rFonts w:ascii="Arial"/>
                <w:sz w:val="21"/>
                <w:highlight w:val="none"/>
              </w:rPr>
            </w:pPr>
          </w:p>
        </w:tc>
        <w:tc>
          <w:tcPr>
            <w:tcW w:w="2332" w:type="dxa"/>
            <w:vAlign w:val="top"/>
          </w:tcPr>
          <w:p w14:paraId="2E11031E">
            <w:pPr>
              <w:rPr>
                <w:rFonts w:ascii="Arial"/>
                <w:sz w:val="21"/>
                <w:highlight w:val="none"/>
              </w:rPr>
            </w:pPr>
          </w:p>
        </w:tc>
      </w:tr>
      <w:tr w14:paraId="4A56F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2322" w:type="dxa"/>
            <w:vAlign w:val="top"/>
          </w:tcPr>
          <w:p w14:paraId="58A3C739">
            <w:pPr>
              <w:rPr>
                <w:rFonts w:ascii="Arial"/>
                <w:sz w:val="21"/>
                <w:highlight w:val="none"/>
              </w:rPr>
            </w:pPr>
          </w:p>
        </w:tc>
        <w:tc>
          <w:tcPr>
            <w:tcW w:w="2308" w:type="dxa"/>
            <w:vAlign w:val="top"/>
          </w:tcPr>
          <w:p w14:paraId="0C046B08">
            <w:pPr>
              <w:rPr>
                <w:rFonts w:ascii="Arial"/>
                <w:sz w:val="21"/>
                <w:highlight w:val="none"/>
              </w:rPr>
            </w:pPr>
          </w:p>
        </w:tc>
        <w:tc>
          <w:tcPr>
            <w:tcW w:w="2327" w:type="dxa"/>
            <w:vAlign w:val="top"/>
          </w:tcPr>
          <w:p w14:paraId="1AB59645">
            <w:pPr>
              <w:rPr>
                <w:rFonts w:ascii="Arial"/>
                <w:sz w:val="21"/>
                <w:highlight w:val="none"/>
              </w:rPr>
            </w:pPr>
          </w:p>
        </w:tc>
        <w:tc>
          <w:tcPr>
            <w:tcW w:w="2332" w:type="dxa"/>
            <w:vAlign w:val="top"/>
          </w:tcPr>
          <w:p w14:paraId="3B18CA2C">
            <w:pPr>
              <w:rPr>
                <w:rFonts w:ascii="Arial"/>
                <w:sz w:val="21"/>
                <w:highlight w:val="none"/>
              </w:rPr>
            </w:pPr>
          </w:p>
        </w:tc>
      </w:tr>
      <w:tr w14:paraId="3C6BD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2322" w:type="dxa"/>
            <w:vAlign w:val="top"/>
          </w:tcPr>
          <w:p w14:paraId="05513EBC">
            <w:pPr>
              <w:rPr>
                <w:rFonts w:ascii="Arial"/>
                <w:sz w:val="21"/>
                <w:highlight w:val="none"/>
              </w:rPr>
            </w:pPr>
          </w:p>
        </w:tc>
        <w:tc>
          <w:tcPr>
            <w:tcW w:w="2308" w:type="dxa"/>
            <w:vAlign w:val="top"/>
          </w:tcPr>
          <w:p w14:paraId="6D93CEF7">
            <w:pPr>
              <w:rPr>
                <w:rFonts w:ascii="Arial"/>
                <w:sz w:val="21"/>
                <w:highlight w:val="none"/>
              </w:rPr>
            </w:pPr>
          </w:p>
        </w:tc>
        <w:tc>
          <w:tcPr>
            <w:tcW w:w="2327" w:type="dxa"/>
            <w:vAlign w:val="top"/>
          </w:tcPr>
          <w:p w14:paraId="291C0533">
            <w:pPr>
              <w:rPr>
                <w:rFonts w:ascii="Arial"/>
                <w:sz w:val="21"/>
                <w:highlight w:val="none"/>
              </w:rPr>
            </w:pPr>
          </w:p>
        </w:tc>
        <w:tc>
          <w:tcPr>
            <w:tcW w:w="2332" w:type="dxa"/>
            <w:vAlign w:val="top"/>
          </w:tcPr>
          <w:p w14:paraId="10481985">
            <w:pPr>
              <w:rPr>
                <w:rFonts w:ascii="Arial"/>
                <w:sz w:val="21"/>
                <w:highlight w:val="none"/>
              </w:rPr>
            </w:pPr>
          </w:p>
        </w:tc>
      </w:tr>
      <w:tr w14:paraId="49B4A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322" w:type="dxa"/>
            <w:vAlign w:val="top"/>
          </w:tcPr>
          <w:p w14:paraId="73D99A82">
            <w:pPr>
              <w:rPr>
                <w:rFonts w:ascii="Arial"/>
                <w:sz w:val="21"/>
                <w:highlight w:val="none"/>
              </w:rPr>
            </w:pPr>
          </w:p>
        </w:tc>
        <w:tc>
          <w:tcPr>
            <w:tcW w:w="2308" w:type="dxa"/>
            <w:vAlign w:val="top"/>
          </w:tcPr>
          <w:p w14:paraId="001CAE0F">
            <w:pPr>
              <w:rPr>
                <w:rFonts w:ascii="Arial"/>
                <w:sz w:val="21"/>
                <w:highlight w:val="none"/>
              </w:rPr>
            </w:pPr>
          </w:p>
        </w:tc>
        <w:tc>
          <w:tcPr>
            <w:tcW w:w="2327" w:type="dxa"/>
            <w:vAlign w:val="top"/>
          </w:tcPr>
          <w:p w14:paraId="7750FD6A">
            <w:pPr>
              <w:rPr>
                <w:rFonts w:ascii="Arial"/>
                <w:sz w:val="21"/>
                <w:highlight w:val="none"/>
              </w:rPr>
            </w:pPr>
          </w:p>
        </w:tc>
        <w:tc>
          <w:tcPr>
            <w:tcW w:w="2332" w:type="dxa"/>
            <w:vAlign w:val="top"/>
          </w:tcPr>
          <w:p w14:paraId="021FC3CF">
            <w:pPr>
              <w:rPr>
                <w:rFonts w:ascii="Arial"/>
                <w:sz w:val="21"/>
                <w:highlight w:val="none"/>
              </w:rPr>
            </w:pPr>
          </w:p>
        </w:tc>
      </w:tr>
      <w:tr w14:paraId="12D9E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2322" w:type="dxa"/>
            <w:vAlign w:val="top"/>
          </w:tcPr>
          <w:p w14:paraId="622616C5">
            <w:pPr>
              <w:rPr>
                <w:rFonts w:ascii="Arial"/>
                <w:sz w:val="21"/>
                <w:highlight w:val="none"/>
              </w:rPr>
            </w:pPr>
          </w:p>
        </w:tc>
        <w:tc>
          <w:tcPr>
            <w:tcW w:w="2308" w:type="dxa"/>
            <w:vAlign w:val="top"/>
          </w:tcPr>
          <w:p w14:paraId="5F5592EB">
            <w:pPr>
              <w:rPr>
                <w:rFonts w:ascii="Arial"/>
                <w:sz w:val="21"/>
                <w:highlight w:val="none"/>
              </w:rPr>
            </w:pPr>
          </w:p>
        </w:tc>
        <w:tc>
          <w:tcPr>
            <w:tcW w:w="2327" w:type="dxa"/>
            <w:vAlign w:val="top"/>
          </w:tcPr>
          <w:p w14:paraId="2D3E1AB2">
            <w:pPr>
              <w:rPr>
                <w:rFonts w:ascii="Arial"/>
                <w:sz w:val="21"/>
                <w:highlight w:val="none"/>
              </w:rPr>
            </w:pPr>
          </w:p>
        </w:tc>
        <w:tc>
          <w:tcPr>
            <w:tcW w:w="2332" w:type="dxa"/>
            <w:vAlign w:val="top"/>
          </w:tcPr>
          <w:p w14:paraId="600C4744">
            <w:pPr>
              <w:rPr>
                <w:rFonts w:ascii="Arial"/>
                <w:sz w:val="21"/>
                <w:highlight w:val="none"/>
              </w:rPr>
            </w:pPr>
          </w:p>
        </w:tc>
      </w:tr>
      <w:tr w14:paraId="65775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322" w:type="dxa"/>
            <w:vAlign w:val="top"/>
          </w:tcPr>
          <w:p w14:paraId="27821C76">
            <w:pPr>
              <w:rPr>
                <w:rFonts w:ascii="Arial"/>
                <w:sz w:val="21"/>
                <w:highlight w:val="none"/>
              </w:rPr>
            </w:pPr>
          </w:p>
        </w:tc>
        <w:tc>
          <w:tcPr>
            <w:tcW w:w="2308" w:type="dxa"/>
            <w:vAlign w:val="top"/>
          </w:tcPr>
          <w:p w14:paraId="170D4328">
            <w:pPr>
              <w:rPr>
                <w:rFonts w:ascii="Arial"/>
                <w:sz w:val="21"/>
                <w:highlight w:val="none"/>
              </w:rPr>
            </w:pPr>
          </w:p>
        </w:tc>
        <w:tc>
          <w:tcPr>
            <w:tcW w:w="2327" w:type="dxa"/>
            <w:vAlign w:val="top"/>
          </w:tcPr>
          <w:p w14:paraId="7D471455">
            <w:pPr>
              <w:rPr>
                <w:rFonts w:ascii="Arial"/>
                <w:sz w:val="21"/>
                <w:highlight w:val="none"/>
              </w:rPr>
            </w:pPr>
          </w:p>
        </w:tc>
        <w:tc>
          <w:tcPr>
            <w:tcW w:w="2332" w:type="dxa"/>
            <w:vAlign w:val="top"/>
          </w:tcPr>
          <w:p w14:paraId="1E3E8A52">
            <w:pPr>
              <w:rPr>
                <w:rFonts w:ascii="Arial"/>
                <w:sz w:val="21"/>
                <w:highlight w:val="none"/>
              </w:rPr>
            </w:pPr>
          </w:p>
        </w:tc>
      </w:tr>
      <w:tr w14:paraId="50D3F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2322" w:type="dxa"/>
            <w:vAlign w:val="top"/>
          </w:tcPr>
          <w:p w14:paraId="6303BB78">
            <w:pPr>
              <w:rPr>
                <w:rFonts w:ascii="Arial"/>
                <w:sz w:val="21"/>
                <w:highlight w:val="none"/>
              </w:rPr>
            </w:pPr>
          </w:p>
        </w:tc>
        <w:tc>
          <w:tcPr>
            <w:tcW w:w="2308" w:type="dxa"/>
            <w:vAlign w:val="top"/>
          </w:tcPr>
          <w:p w14:paraId="7C24B6EA">
            <w:pPr>
              <w:rPr>
                <w:rFonts w:ascii="Arial"/>
                <w:sz w:val="21"/>
                <w:highlight w:val="none"/>
              </w:rPr>
            </w:pPr>
          </w:p>
        </w:tc>
        <w:tc>
          <w:tcPr>
            <w:tcW w:w="2327" w:type="dxa"/>
            <w:vAlign w:val="top"/>
          </w:tcPr>
          <w:p w14:paraId="44F24444">
            <w:pPr>
              <w:rPr>
                <w:rFonts w:ascii="Arial"/>
                <w:sz w:val="21"/>
                <w:highlight w:val="none"/>
              </w:rPr>
            </w:pPr>
          </w:p>
        </w:tc>
        <w:tc>
          <w:tcPr>
            <w:tcW w:w="2332" w:type="dxa"/>
            <w:vAlign w:val="top"/>
          </w:tcPr>
          <w:p w14:paraId="6262CBF1">
            <w:pPr>
              <w:rPr>
                <w:rFonts w:ascii="Arial"/>
                <w:sz w:val="21"/>
                <w:highlight w:val="none"/>
              </w:rPr>
            </w:pPr>
          </w:p>
        </w:tc>
      </w:tr>
      <w:tr w14:paraId="31C80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322" w:type="dxa"/>
            <w:vAlign w:val="top"/>
          </w:tcPr>
          <w:p w14:paraId="029D4975">
            <w:pPr>
              <w:rPr>
                <w:rFonts w:ascii="Arial"/>
                <w:sz w:val="21"/>
                <w:highlight w:val="none"/>
              </w:rPr>
            </w:pPr>
          </w:p>
        </w:tc>
        <w:tc>
          <w:tcPr>
            <w:tcW w:w="2308" w:type="dxa"/>
            <w:vAlign w:val="top"/>
          </w:tcPr>
          <w:p w14:paraId="74833059">
            <w:pPr>
              <w:rPr>
                <w:rFonts w:ascii="Arial"/>
                <w:sz w:val="21"/>
                <w:highlight w:val="none"/>
              </w:rPr>
            </w:pPr>
          </w:p>
        </w:tc>
        <w:tc>
          <w:tcPr>
            <w:tcW w:w="2327" w:type="dxa"/>
            <w:vAlign w:val="top"/>
          </w:tcPr>
          <w:p w14:paraId="3BC82515">
            <w:pPr>
              <w:rPr>
                <w:rFonts w:ascii="Arial"/>
                <w:sz w:val="21"/>
                <w:highlight w:val="none"/>
              </w:rPr>
            </w:pPr>
          </w:p>
        </w:tc>
        <w:tc>
          <w:tcPr>
            <w:tcW w:w="2332" w:type="dxa"/>
            <w:vAlign w:val="top"/>
          </w:tcPr>
          <w:p w14:paraId="279B74B2">
            <w:pPr>
              <w:rPr>
                <w:rFonts w:ascii="Arial"/>
                <w:sz w:val="21"/>
                <w:highlight w:val="none"/>
              </w:rPr>
            </w:pPr>
          </w:p>
        </w:tc>
      </w:tr>
      <w:tr w14:paraId="0E9D4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322" w:type="dxa"/>
            <w:vAlign w:val="top"/>
          </w:tcPr>
          <w:p w14:paraId="0262B2B8">
            <w:pPr>
              <w:rPr>
                <w:rFonts w:ascii="Arial"/>
                <w:sz w:val="21"/>
                <w:highlight w:val="none"/>
              </w:rPr>
            </w:pPr>
          </w:p>
        </w:tc>
        <w:tc>
          <w:tcPr>
            <w:tcW w:w="2308" w:type="dxa"/>
            <w:vAlign w:val="top"/>
          </w:tcPr>
          <w:p w14:paraId="7D6E87CE">
            <w:pPr>
              <w:rPr>
                <w:rFonts w:ascii="Arial"/>
                <w:sz w:val="21"/>
                <w:highlight w:val="none"/>
              </w:rPr>
            </w:pPr>
          </w:p>
        </w:tc>
        <w:tc>
          <w:tcPr>
            <w:tcW w:w="2327" w:type="dxa"/>
            <w:vAlign w:val="top"/>
          </w:tcPr>
          <w:p w14:paraId="63FEBBFC">
            <w:pPr>
              <w:rPr>
                <w:rFonts w:ascii="Arial"/>
                <w:sz w:val="21"/>
                <w:highlight w:val="none"/>
              </w:rPr>
            </w:pPr>
          </w:p>
        </w:tc>
        <w:tc>
          <w:tcPr>
            <w:tcW w:w="2332" w:type="dxa"/>
            <w:vAlign w:val="top"/>
          </w:tcPr>
          <w:p w14:paraId="52542A95">
            <w:pPr>
              <w:rPr>
                <w:rFonts w:ascii="Arial"/>
                <w:sz w:val="21"/>
                <w:highlight w:val="none"/>
              </w:rPr>
            </w:pPr>
          </w:p>
        </w:tc>
      </w:tr>
      <w:tr w14:paraId="583E0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2322" w:type="dxa"/>
            <w:vAlign w:val="top"/>
          </w:tcPr>
          <w:p w14:paraId="05B77A15">
            <w:pPr>
              <w:rPr>
                <w:rFonts w:ascii="Arial"/>
                <w:sz w:val="21"/>
                <w:highlight w:val="none"/>
              </w:rPr>
            </w:pPr>
          </w:p>
        </w:tc>
        <w:tc>
          <w:tcPr>
            <w:tcW w:w="2308" w:type="dxa"/>
            <w:vAlign w:val="top"/>
          </w:tcPr>
          <w:p w14:paraId="2DDDB19F">
            <w:pPr>
              <w:rPr>
                <w:rFonts w:ascii="Arial"/>
                <w:sz w:val="21"/>
                <w:highlight w:val="none"/>
              </w:rPr>
            </w:pPr>
          </w:p>
        </w:tc>
        <w:tc>
          <w:tcPr>
            <w:tcW w:w="2327" w:type="dxa"/>
            <w:vAlign w:val="top"/>
          </w:tcPr>
          <w:p w14:paraId="10FF5AD2">
            <w:pPr>
              <w:rPr>
                <w:rFonts w:ascii="Arial"/>
                <w:sz w:val="21"/>
                <w:highlight w:val="none"/>
              </w:rPr>
            </w:pPr>
          </w:p>
        </w:tc>
        <w:tc>
          <w:tcPr>
            <w:tcW w:w="2332" w:type="dxa"/>
            <w:vAlign w:val="top"/>
          </w:tcPr>
          <w:p w14:paraId="54ADDADF">
            <w:pPr>
              <w:rPr>
                <w:rFonts w:ascii="Arial"/>
                <w:sz w:val="21"/>
                <w:highlight w:val="none"/>
              </w:rPr>
            </w:pPr>
          </w:p>
        </w:tc>
      </w:tr>
      <w:tr w14:paraId="1D4D4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2322" w:type="dxa"/>
            <w:vAlign w:val="top"/>
          </w:tcPr>
          <w:p w14:paraId="06A93337">
            <w:pPr>
              <w:rPr>
                <w:rFonts w:ascii="Arial"/>
                <w:sz w:val="21"/>
                <w:highlight w:val="none"/>
              </w:rPr>
            </w:pPr>
          </w:p>
        </w:tc>
        <w:tc>
          <w:tcPr>
            <w:tcW w:w="2308" w:type="dxa"/>
            <w:vAlign w:val="top"/>
          </w:tcPr>
          <w:p w14:paraId="5CDED58C">
            <w:pPr>
              <w:rPr>
                <w:rFonts w:ascii="Arial"/>
                <w:sz w:val="21"/>
                <w:highlight w:val="none"/>
              </w:rPr>
            </w:pPr>
          </w:p>
        </w:tc>
        <w:tc>
          <w:tcPr>
            <w:tcW w:w="2327" w:type="dxa"/>
            <w:vAlign w:val="top"/>
          </w:tcPr>
          <w:p w14:paraId="6B032A82">
            <w:pPr>
              <w:rPr>
                <w:rFonts w:ascii="Arial"/>
                <w:sz w:val="21"/>
                <w:highlight w:val="none"/>
              </w:rPr>
            </w:pPr>
          </w:p>
        </w:tc>
        <w:tc>
          <w:tcPr>
            <w:tcW w:w="2332" w:type="dxa"/>
            <w:vAlign w:val="top"/>
          </w:tcPr>
          <w:p w14:paraId="19F2A8CD">
            <w:pPr>
              <w:rPr>
                <w:rFonts w:ascii="Arial"/>
                <w:sz w:val="21"/>
                <w:highlight w:val="none"/>
              </w:rPr>
            </w:pPr>
          </w:p>
        </w:tc>
      </w:tr>
      <w:tr w14:paraId="55A13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2322" w:type="dxa"/>
            <w:vAlign w:val="top"/>
          </w:tcPr>
          <w:p w14:paraId="7FD62EDA">
            <w:pPr>
              <w:rPr>
                <w:rFonts w:ascii="Arial"/>
                <w:sz w:val="21"/>
                <w:highlight w:val="none"/>
              </w:rPr>
            </w:pPr>
          </w:p>
        </w:tc>
        <w:tc>
          <w:tcPr>
            <w:tcW w:w="2308" w:type="dxa"/>
            <w:vAlign w:val="top"/>
          </w:tcPr>
          <w:p w14:paraId="1EF30B3F">
            <w:pPr>
              <w:rPr>
                <w:rFonts w:ascii="Arial"/>
                <w:sz w:val="21"/>
                <w:highlight w:val="none"/>
              </w:rPr>
            </w:pPr>
          </w:p>
        </w:tc>
        <w:tc>
          <w:tcPr>
            <w:tcW w:w="2327" w:type="dxa"/>
            <w:vAlign w:val="top"/>
          </w:tcPr>
          <w:p w14:paraId="70F5AD26">
            <w:pPr>
              <w:rPr>
                <w:rFonts w:ascii="Arial"/>
                <w:sz w:val="21"/>
                <w:highlight w:val="none"/>
              </w:rPr>
            </w:pPr>
          </w:p>
        </w:tc>
        <w:tc>
          <w:tcPr>
            <w:tcW w:w="2332" w:type="dxa"/>
            <w:vAlign w:val="top"/>
          </w:tcPr>
          <w:p w14:paraId="6990823B">
            <w:pPr>
              <w:rPr>
                <w:rFonts w:ascii="Arial"/>
                <w:sz w:val="21"/>
                <w:highlight w:val="none"/>
              </w:rPr>
            </w:pPr>
          </w:p>
        </w:tc>
      </w:tr>
      <w:tr w14:paraId="4E83F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322" w:type="dxa"/>
            <w:vAlign w:val="top"/>
          </w:tcPr>
          <w:p w14:paraId="4E82A071">
            <w:pPr>
              <w:rPr>
                <w:rFonts w:ascii="Arial"/>
                <w:sz w:val="21"/>
                <w:highlight w:val="none"/>
              </w:rPr>
            </w:pPr>
          </w:p>
        </w:tc>
        <w:tc>
          <w:tcPr>
            <w:tcW w:w="2308" w:type="dxa"/>
            <w:vAlign w:val="top"/>
          </w:tcPr>
          <w:p w14:paraId="56A12187">
            <w:pPr>
              <w:rPr>
                <w:rFonts w:ascii="Arial"/>
                <w:sz w:val="21"/>
                <w:highlight w:val="none"/>
              </w:rPr>
            </w:pPr>
          </w:p>
        </w:tc>
        <w:tc>
          <w:tcPr>
            <w:tcW w:w="2327" w:type="dxa"/>
            <w:vAlign w:val="top"/>
          </w:tcPr>
          <w:p w14:paraId="3D51CBD1">
            <w:pPr>
              <w:rPr>
                <w:rFonts w:ascii="Arial"/>
                <w:sz w:val="21"/>
                <w:highlight w:val="none"/>
              </w:rPr>
            </w:pPr>
          </w:p>
        </w:tc>
        <w:tc>
          <w:tcPr>
            <w:tcW w:w="2332" w:type="dxa"/>
            <w:vAlign w:val="top"/>
          </w:tcPr>
          <w:p w14:paraId="50AA991B">
            <w:pPr>
              <w:rPr>
                <w:rFonts w:ascii="Arial"/>
                <w:sz w:val="21"/>
                <w:highlight w:val="none"/>
              </w:rPr>
            </w:pPr>
          </w:p>
        </w:tc>
      </w:tr>
      <w:tr w14:paraId="30F75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2322" w:type="dxa"/>
            <w:vAlign w:val="top"/>
          </w:tcPr>
          <w:p w14:paraId="575413A4">
            <w:pPr>
              <w:rPr>
                <w:rFonts w:ascii="Arial"/>
                <w:sz w:val="21"/>
                <w:highlight w:val="none"/>
              </w:rPr>
            </w:pPr>
          </w:p>
        </w:tc>
        <w:tc>
          <w:tcPr>
            <w:tcW w:w="2308" w:type="dxa"/>
            <w:vAlign w:val="top"/>
          </w:tcPr>
          <w:p w14:paraId="7D908C17">
            <w:pPr>
              <w:rPr>
                <w:rFonts w:ascii="Arial"/>
                <w:sz w:val="21"/>
                <w:highlight w:val="none"/>
              </w:rPr>
            </w:pPr>
          </w:p>
        </w:tc>
        <w:tc>
          <w:tcPr>
            <w:tcW w:w="2327" w:type="dxa"/>
            <w:vAlign w:val="top"/>
          </w:tcPr>
          <w:p w14:paraId="15F4AC9D">
            <w:pPr>
              <w:rPr>
                <w:rFonts w:ascii="Arial"/>
                <w:sz w:val="21"/>
                <w:highlight w:val="none"/>
              </w:rPr>
            </w:pPr>
          </w:p>
        </w:tc>
        <w:tc>
          <w:tcPr>
            <w:tcW w:w="2332" w:type="dxa"/>
            <w:vAlign w:val="top"/>
          </w:tcPr>
          <w:p w14:paraId="437B5591">
            <w:pPr>
              <w:rPr>
                <w:rFonts w:ascii="Arial"/>
                <w:sz w:val="21"/>
                <w:highlight w:val="none"/>
              </w:rPr>
            </w:pPr>
          </w:p>
        </w:tc>
      </w:tr>
    </w:tbl>
    <w:p w14:paraId="613FC816">
      <w:pPr>
        <w:pStyle w:val="2"/>
        <w:rPr>
          <w:highlight w:val="none"/>
        </w:rPr>
      </w:pPr>
    </w:p>
    <w:p w14:paraId="611E7625">
      <w:pPr>
        <w:rPr>
          <w:highlight w:val="none"/>
        </w:rPr>
        <w:sectPr>
          <w:footerReference r:id="rId301" w:type="default"/>
          <w:pgSz w:w="11910" w:h="16840"/>
          <w:pgMar w:top="400" w:right="935" w:bottom="1238" w:left="1675" w:header="0" w:footer="1006" w:gutter="0"/>
          <w:cols w:space="720" w:num="1"/>
        </w:sectPr>
      </w:pPr>
    </w:p>
    <w:p w14:paraId="7442351E">
      <w:pPr>
        <w:pStyle w:val="2"/>
        <w:spacing w:line="267" w:lineRule="auto"/>
        <w:rPr>
          <w:highlight w:val="none"/>
        </w:rPr>
      </w:pPr>
    </w:p>
    <w:p w14:paraId="0C0CD580">
      <w:pPr>
        <w:pStyle w:val="2"/>
        <w:spacing w:line="267" w:lineRule="auto"/>
        <w:rPr>
          <w:highlight w:val="none"/>
        </w:rPr>
      </w:pPr>
    </w:p>
    <w:p w14:paraId="0B7FD9D6">
      <w:pPr>
        <w:pStyle w:val="2"/>
        <w:spacing w:line="268" w:lineRule="auto"/>
        <w:rPr>
          <w:highlight w:val="none"/>
        </w:rPr>
      </w:pPr>
    </w:p>
    <w:p w14:paraId="4BC31874">
      <w:pPr>
        <w:pStyle w:val="2"/>
        <w:spacing w:line="268" w:lineRule="auto"/>
        <w:rPr>
          <w:highlight w:val="none"/>
        </w:rPr>
      </w:pPr>
    </w:p>
    <w:p w14:paraId="2FA2B14B">
      <w:pPr>
        <w:spacing w:before="104" w:line="222" w:lineRule="auto"/>
        <w:ind w:left="13"/>
        <w:outlineLvl w:val="1"/>
        <w:rPr>
          <w:rFonts w:ascii="黑体" w:hAnsi="黑体" w:eastAsia="黑体" w:cs="黑体"/>
          <w:sz w:val="32"/>
          <w:szCs w:val="32"/>
          <w:highlight w:val="none"/>
        </w:rPr>
      </w:pPr>
      <w:bookmarkStart w:id="266" w:name="bookmark170"/>
      <w:bookmarkEnd w:id="266"/>
      <w:r>
        <w:rPr>
          <w:rFonts w:ascii="黑体" w:hAnsi="黑体" w:eastAsia="黑体" w:cs="黑体"/>
          <w:spacing w:val="3"/>
          <w:sz w:val="32"/>
          <w:szCs w:val="32"/>
          <w:highlight w:val="none"/>
        </w:rPr>
        <w:t>十三、其他资料</w:t>
      </w:r>
    </w:p>
    <w:p w14:paraId="7F22EA15">
      <w:pPr>
        <w:pStyle w:val="2"/>
        <w:spacing w:line="261" w:lineRule="auto"/>
        <w:rPr>
          <w:highlight w:val="none"/>
        </w:rPr>
      </w:pPr>
    </w:p>
    <w:p w14:paraId="694BC1AC">
      <w:pPr>
        <w:spacing w:before="68" w:line="219" w:lineRule="auto"/>
        <w:ind w:left="3"/>
        <w:rPr>
          <w:rFonts w:ascii="宋体" w:hAnsi="宋体" w:eastAsia="宋体" w:cs="宋体"/>
          <w:sz w:val="21"/>
          <w:szCs w:val="21"/>
          <w:highlight w:val="none"/>
        </w:rPr>
      </w:pPr>
      <w:r>
        <w:rPr>
          <w:rFonts w:ascii="宋体" w:hAnsi="宋体" w:eastAsia="宋体" w:cs="宋体"/>
          <w:sz w:val="21"/>
          <w:szCs w:val="21"/>
          <w:highlight w:val="none"/>
        </w:rPr>
        <w:t>其他材料的内容将会在评标结果公示时作为公示附件公</w:t>
      </w:r>
      <w:r>
        <w:rPr>
          <w:rFonts w:ascii="宋体" w:hAnsi="宋体" w:eastAsia="宋体" w:cs="宋体"/>
          <w:spacing w:val="-1"/>
          <w:sz w:val="21"/>
          <w:szCs w:val="21"/>
          <w:highlight w:val="none"/>
        </w:rPr>
        <w:t>示在外网，请谨慎上传</w:t>
      </w:r>
    </w:p>
    <w:p w14:paraId="2043F75F">
      <w:pPr>
        <w:spacing w:line="219" w:lineRule="auto"/>
        <w:rPr>
          <w:rFonts w:ascii="宋体" w:hAnsi="宋体" w:eastAsia="宋体" w:cs="宋体"/>
          <w:sz w:val="21"/>
          <w:szCs w:val="21"/>
          <w:highlight w:val="none"/>
        </w:rPr>
        <w:sectPr>
          <w:footerReference r:id="rId302" w:type="default"/>
          <w:pgSz w:w="11910" w:h="16840"/>
          <w:pgMar w:top="400" w:right="1786" w:bottom="1238" w:left="1786" w:header="0" w:footer="1007" w:gutter="0"/>
          <w:cols w:space="720" w:num="1"/>
        </w:sectPr>
      </w:pPr>
    </w:p>
    <w:p w14:paraId="0C177167">
      <w:pPr>
        <w:pStyle w:val="2"/>
        <w:spacing w:line="268" w:lineRule="auto"/>
        <w:rPr>
          <w:highlight w:val="none"/>
        </w:rPr>
      </w:pPr>
    </w:p>
    <w:p w14:paraId="533DFFF3">
      <w:pPr>
        <w:pStyle w:val="2"/>
        <w:spacing w:line="268" w:lineRule="auto"/>
        <w:rPr>
          <w:highlight w:val="none"/>
        </w:rPr>
      </w:pPr>
    </w:p>
    <w:p w14:paraId="343131F9">
      <w:pPr>
        <w:pStyle w:val="2"/>
        <w:spacing w:line="268" w:lineRule="auto"/>
        <w:rPr>
          <w:highlight w:val="none"/>
        </w:rPr>
      </w:pPr>
    </w:p>
    <w:p w14:paraId="63BDE402">
      <w:pPr>
        <w:pStyle w:val="2"/>
        <w:spacing w:line="268" w:lineRule="auto"/>
        <w:rPr>
          <w:highlight w:val="none"/>
        </w:rPr>
      </w:pPr>
    </w:p>
    <w:p w14:paraId="215A953F">
      <w:pPr>
        <w:spacing w:before="104" w:line="222" w:lineRule="auto"/>
        <w:ind w:left="434"/>
        <w:outlineLvl w:val="1"/>
        <w:rPr>
          <w:rFonts w:ascii="黑体" w:hAnsi="黑体" w:eastAsia="黑体" w:cs="黑体"/>
          <w:sz w:val="32"/>
          <w:szCs w:val="32"/>
          <w:highlight w:val="none"/>
        </w:rPr>
      </w:pPr>
      <w:bookmarkStart w:id="267" w:name="bookmark176"/>
      <w:bookmarkEnd w:id="267"/>
      <w:bookmarkStart w:id="268" w:name="bookmark171"/>
      <w:bookmarkEnd w:id="268"/>
      <w:r>
        <w:rPr>
          <w:rFonts w:ascii="黑体" w:hAnsi="黑体" w:eastAsia="黑体" w:cs="黑体"/>
          <w:spacing w:val="12"/>
          <w:sz w:val="32"/>
          <w:szCs w:val="32"/>
          <w:highlight w:val="none"/>
        </w:rPr>
        <w:t>十四、投标函附表2</w:t>
      </w:r>
    </w:p>
    <w:p w14:paraId="2CB3952C">
      <w:pPr>
        <w:spacing w:line="107" w:lineRule="exact"/>
        <w:rPr>
          <w:highlight w:val="none"/>
        </w:rPr>
      </w:pPr>
    </w:p>
    <w:tbl>
      <w:tblPr>
        <w:tblStyle w:val="5"/>
        <w:tblW w:w="91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4"/>
        <w:gridCol w:w="1029"/>
        <w:gridCol w:w="839"/>
        <w:gridCol w:w="869"/>
        <w:gridCol w:w="809"/>
        <w:gridCol w:w="839"/>
        <w:gridCol w:w="829"/>
        <w:gridCol w:w="819"/>
        <w:gridCol w:w="819"/>
        <w:gridCol w:w="829"/>
        <w:gridCol w:w="834"/>
      </w:tblGrid>
      <w:tr w14:paraId="1F5BA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1" w:hRule="atLeast"/>
        </w:trPr>
        <w:tc>
          <w:tcPr>
            <w:tcW w:w="634" w:type="dxa"/>
            <w:textDirection w:val="tbRlV"/>
            <w:vAlign w:val="top"/>
          </w:tcPr>
          <w:p w14:paraId="7F3E1331">
            <w:pPr>
              <w:pStyle w:val="6"/>
              <w:spacing w:before="212" w:line="199" w:lineRule="auto"/>
              <w:ind w:left="503"/>
              <w:outlineLvl w:val="1"/>
              <w:rPr>
                <w:sz w:val="22"/>
                <w:szCs w:val="22"/>
                <w:highlight w:val="none"/>
              </w:rPr>
            </w:pPr>
            <w:bookmarkStart w:id="269" w:name="bookmark172"/>
            <w:bookmarkEnd w:id="269"/>
            <w:r>
              <w:rPr>
                <w:sz w:val="22"/>
                <w:szCs w:val="22"/>
                <w:highlight w:val="none"/>
              </w:rPr>
              <w:t>序</w:t>
            </w:r>
            <w:r>
              <w:rPr>
                <w:spacing w:val="27"/>
                <w:sz w:val="22"/>
                <w:szCs w:val="22"/>
                <w:highlight w:val="none"/>
              </w:rPr>
              <w:t xml:space="preserve"> </w:t>
            </w:r>
            <w:r>
              <w:rPr>
                <w:sz w:val="22"/>
                <w:szCs w:val="22"/>
                <w:highlight w:val="none"/>
              </w:rPr>
              <w:t>号</w:t>
            </w:r>
          </w:p>
        </w:tc>
        <w:tc>
          <w:tcPr>
            <w:tcW w:w="1029" w:type="dxa"/>
            <w:vAlign w:val="top"/>
          </w:tcPr>
          <w:p w14:paraId="1F6C9605">
            <w:pPr>
              <w:spacing w:line="460" w:lineRule="auto"/>
              <w:rPr>
                <w:rFonts w:ascii="Arial"/>
                <w:sz w:val="21"/>
                <w:highlight w:val="none"/>
              </w:rPr>
            </w:pPr>
          </w:p>
          <w:p w14:paraId="4A3123B2">
            <w:pPr>
              <w:pStyle w:val="6"/>
              <w:spacing w:before="71" w:line="245" w:lineRule="auto"/>
              <w:ind w:left="170" w:right="178"/>
              <w:outlineLvl w:val="1"/>
              <w:rPr>
                <w:sz w:val="22"/>
                <w:szCs w:val="22"/>
                <w:highlight w:val="none"/>
              </w:rPr>
            </w:pPr>
            <w:bookmarkStart w:id="270" w:name="bookmark173"/>
            <w:bookmarkEnd w:id="270"/>
            <w:r>
              <w:rPr>
                <w:spacing w:val="3"/>
                <w:sz w:val="22"/>
                <w:szCs w:val="22"/>
                <w:highlight w:val="none"/>
              </w:rPr>
              <w:t>投标单</w:t>
            </w:r>
            <w:r>
              <w:rPr>
                <w:sz w:val="22"/>
                <w:szCs w:val="22"/>
                <w:highlight w:val="none"/>
              </w:rPr>
              <w:t xml:space="preserve"> </w:t>
            </w:r>
            <w:bookmarkStart w:id="271" w:name="bookmark173"/>
            <w:bookmarkEnd w:id="271"/>
            <w:r>
              <w:rPr>
                <w:spacing w:val="-2"/>
                <w:sz w:val="22"/>
                <w:szCs w:val="22"/>
                <w:highlight w:val="none"/>
              </w:rPr>
              <w:t>位名称</w:t>
            </w:r>
          </w:p>
        </w:tc>
        <w:tc>
          <w:tcPr>
            <w:tcW w:w="839" w:type="dxa"/>
            <w:vAlign w:val="top"/>
          </w:tcPr>
          <w:p w14:paraId="49C6F639">
            <w:pPr>
              <w:spacing w:line="470" w:lineRule="auto"/>
              <w:rPr>
                <w:rFonts w:ascii="Arial"/>
                <w:sz w:val="21"/>
                <w:highlight w:val="none"/>
              </w:rPr>
            </w:pPr>
          </w:p>
          <w:p w14:paraId="74FC4908">
            <w:pPr>
              <w:pStyle w:val="6"/>
              <w:spacing w:before="71" w:line="238" w:lineRule="auto"/>
              <w:ind w:left="82" w:right="38"/>
              <w:outlineLvl w:val="1"/>
              <w:rPr>
                <w:sz w:val="22"/>
                <w:szCs w:val="22"/>
                <w:highlight w:val="none"/>
              </w:rPr>
            </w:pPr>
            <w:bookmarkStart w:id="272" w:name="bookmark174"/>
            <w:bookmarkEnd w:id="272"/>
            <w:r>
              <w:rPr>
                <w:spacing w:val="3"/>
                <w:sz w:val="22"/>
                <w:szCs w:val="22"/>
                <w:highlight w:val="none"/>
              </w:rPr>
              <w:t>投标报</w:t>
            </w:r>
            <w:r>
              <w:rPr>
                <w:sz w:val="22"/>
                <w:szCs w:val="22"/>
                <w:highlight w:val="none"/>
              </w:rPr>
              <w:t xml:space="preserve"> </w:t>
            </w:r>
            <w:bookmarkStart w:id="273" w:name="bookmark175"/>
            <w:bookmarkEnd w:id="273"/>
            <w:bookmarkStart w:id="274" w:name="bookmark174"/>
            <w:bookmarkEnd w:id="274"/>
            <w:r>
              <w:rPr>
                <w:spacing w:val="12"/>
                <w:sz w:val="22"/>
                <w:szCs w:val="22"/>
                <w:highlight w:val="none"/>
              </w:rPr>
              <w:t>价(元)</w:t>
            </w:r>
          </w:p>
        </w:tc>
        <w:tc>
          <w:tcPr>
            <w:tcW w:w="869" w:type="dxa"/>
            <w:vAlign w:val="top"/>
          </w:tcPr>
          <w:p w14:paraId="62D9A675">
            <w:pPr>
              <w:spacing w:line="301" w:lineRule="auto"/>
              <w:rPr>
                <w:rFonts w:ascii="Arial"/>
                <w:sz w:val="21"/>
                <w:highlight w:val="none"/>
              </w:rPr>
            </w:pPr>
          </w:p>
          <w:p w14:paraId="22252346">
            <w:pPr>
              <w:pStyle w:val="6"/>
              <w:spacing w:before="71" w:line="220" w:lineRule="auto"/>
              <w:ind w:left="92"/>
              <w:rPr>
                <w:sz w:val="22"/>
                <w:szCs w:val="22"/>
                <w:highlight w:val="none"/>
              </w:rPr>
            </w:pPr>
            <w:r>
              <w:rPr>
                <w:spacing w:val="4"/>
                <w:sz w:val="22"/>
                <w:szCs w:val="22"/>
                <w:highlight w:val="none"/>
              </w:rPr>
              <w:t>设计费</w:t>
            </w:r>
          </w:p>
          <w:p w14:paraId="5D07C457">
            <w:pPr>
              <w:pStyle w:val="6"/>
              <w:spacing w:before="65" w:line="218" w:lineRule="auto"/>
              <w:ind w:left="203"/>
              <w:rPr>
                <w:sz w:val="22"/>
                <w:szCs w:val="22"/>
                <w:highlight w:val="none"/>
              </w:rPr>
            </w:pPr>
            <w:r>
              <w:rPr>
                <w:spacing w:val="-2"/>
                <w:sz w:val="22"/>
                <w:szCs w:val="22"/>
                <w:highlight w:val="none"/>
              </w:rPr>
              <w:t>报价</w:t>
            </w:r>
          </w:p>
          <w:p w14:paraId="543E58FD">
            <w:pPr>
              <w:pStyle w:val="6"/>
              <w:spacing w:before="62" w:line="220" w:lineRule="auto"/>
              <w:ind w:left="203"/>
              <w:rPr>
                <w:sz w:val="22"/>
                <w:szCs w:val="22"/>
                <w:highlight w:val="none"/>
              </w:rPr>
            </w:pPr>
            <w:r>
              <w:rPr>
                <w:spacing w:val="16"/>
                <w:sz w:val="22"/>
                <w:szCs w:val="22"/>
                <w:highlight w:val="none"/>
              </w:rPr>
              <w:t>(元)</w:t>
            </w:r>
          </w:p>
        </w:tc>
        <w:tc>
          <w:tcPr>
            <w:tcW w:w="809" w:type="dxa"/>
            <w:vAlign w:val="top"/>
          </w:tcPr>
          <w:p w14:paraId="6F9EF167">
            <w:pPr>
              <w:pStyle w:val="6"/>
              <w:spacing w:before="63" w:line="262" w:lineRule="auto"/>
              <w:ind w:left="174" w:right="174"/>
              <w:rPr>
                <w:sz w:val="22"/>
                <w:szCs w:val="22"/>
                <w:highlight w:val="none"/>
              </w:rPr>
            </w:pPr>
            <w:r>
              <w:rPr>
                <w:spacing w:val="-6"/>
                <w:sz w:val="22"/>
                <w:szCs w:val="22"/>
                <w:highlight w:val="none"/>
              </w:rPr>
              <w:t>工程</w:t>
            </w:r>
            <w:r>
              <w:rPr>
                <w:sz w:val="22"/>
                <w:szCs w:val="22"/>
                <w:highlight w:val="none"/>
              </w:rPr>
              <w:t xml:space="preserve"> </w:t>
            </w:r>
            <w:r>
              <w:rPr>
                <w:spacing w:val="5"/>
                <w:sz w:val="22"/>
                <w:szCs w:val="22"/>
                <w:highlight w:val="none"/>
              </w:rPr>
              <w:t>费报</w:t>
            </w:r>
          </w:p>
          <w:p w14:paraId="0814A80E">
            <w:pPr>
              <w:pStyle w:val="6"/>
              <w:spacing w:before="4" w:line="218" w:lineRule="auto"/>
              <w:ind w:left="174"/>
              <w:rPr>
                <w:sz w:val="22"/>
                <w:szCs w:val="22"/>
                <w:highlight w:val="none"/>
              </w:rPr>
            </w:pPr>
            <w:r>
              <w:rPr>
                <w:spacing w:val="7"/>
                <w:sz w:val="22"/>
                <w:szCs w:val="22"/>
                <w:highlight w:val="none"/>
              </w:rPr>
              <w:t>价下</w:t>
            </w:r>
          </w:p>
          <w:p w14:paraId="78B22A65">
            <w:pPr>
              <w:pStyle w:val="6"/>
              <w:spacing w:before="62" w:line="219" w:lineRule="auto"/>
              <w:ind w:left="174"/>
              <w:rPr>
                <w:sz w:val="22"/>
                <w:szCs w:val="22"/>
                <w:highlight w:val="none"/>
              </w:rPr>
            </w:pPr>
            <w:r>
              <w:rPr>
                <w:spacing w:val="5"/>
                <w:sz w:val="22"/>
                <w:szCs w:val="22"/>
                <w:highlight w:val="none"/>
              </w:rPr>
              <w:t>浮率</w:t>
            </w:r>
          </w:p>
          <w:p w14:paraId="7787B005">
            <w:pPr>
              <w:pStyle w:val="6"/>
              <w:spacing w:before="81" w:line="188" w:lineRule="auto"/>
              <w:ind w:left="234"/>
              <w:rPr>
                <w:sz w:val="22"/>
                <w:szCs w:val="22"/>
                <w:highlight w:val="none"/>
              </w:rPr>
            </w:pPr>
            <w:r>
              <w:rPr>
                <w:spacing w:val="-11"/>
                <w:sz w:val="22"/>
                <w:szCs w:val="22"/>
                <w:highlight w:val="none"/>
              </w:rPr>
              <w:t>(%)</w:t>
            </w:r>
          </w:p>
        </w:tc>
        <w:tc>
          <w:tcPr>
            <w:tcW w:w="839" w:type="dxa"/>
            <w:vAlign w:val="top"/>
          </w:tcPr>
          <w:p w14:paraId="1AB70023">
            <w:pPr>
              <w:spacing w:line="449" w:lineRule="auto"/>
              <w:rPr>
                <w:rFonts w:ascii="Arial"/>
                <w:sz w:val="21"/>
                <w:highlight w:val="none"/>
              </w:rPr>
            </w:pPr>
          </w:p>
          <w:p w14:paraId="182E75E5">
            <w:pPr>
              <w:pStyle w:val="6"/>
              <w:spacing w:before="72" w:line="258" w:lineRule="auto"/>
              <w:ind w:left="195" w:right="151"/>
              <w:outlineLvl w:val="1"/>
              <w:rPr>
                <w:sz w:val="22"/>
                <w:szCs w:val="22"/>
                <w:highlight w:val="none"/>
              </w:rPr>
            </w:pPr>
            <w:bookmarkStart w:id="275" w:name="bookmark177"/>
            <w:bookmarkEnd w:id="275"/>
            <w:r>
              <w:rPr>
                <w:spacing w:val="-32"/>
                <w:sz w:val="22"/>
                <w:szCs w:val="22"/>
                <w:highlight w:val="none"/>
              </w:rPr>
              <w:t>项</w:t>
            </w:r>
            <w:r>
              <w:rPr>
                <w:spacing w:val="-6"/>
                <w:sz w:val="22"/>
                <w:szCs w:val="22"/>
                <w:highlight w:val="none"/>
              </w:rPr>
              <w:t xml:space="preserve"> </w:t>
            </w:r>
            <w:r>
              <w:rPr>
                <w:spacing w:val="-32"/>
                <w:sz w:val="22"/>
                <w:szCs w:val="22"/>
                <w:highlight w:val="none"/>
              </w:rPr>
              <w:t>目</w:t>
            </w:r>
            <w:r>
              <w:rPr>
                <w:sz w:val="22"/>
                <w:szCs w:val="22"/>
                <w:highlight w:val="none"/>
              </w:rPr>
              <w:t xml:space="preserve"> </w:t>
            </w:r>
            <w:bookmarkStart w:id="276" w:name="bookmark177"/>
            <w:bookmarkEnd w:id="276"/>
            <w:r>
              <w:rPr>
                <w:spacing w:val="-3"/>
                <w:sz w:val="22"/>
                <w:szCs w:val="22"/>
                <w:highlight w:val="none"/>
              </w:rPr>
              <w:t>经理</w:t>
            </w:r>
          </w:p>
        </w:tc>
        <w:tc>
          <w:tcPr>
            <w:tcW w:w="829" w:type="dxa"/>
            <w:vAlign w:val="top"/>
          </w:tcPr>
          <w:p w14:paraId="1B36E524">
            <w:pPr>
              <w:spacing w:line="293" w:lineRule="auto"/>
              <w:rPr>
                <w:rFonts w:ascii="Arial"/>
                <w:sz w:val="21"/>
                <w:highlight w:val="none"/>
              </w:rPr>
            </w:pPr>
          </w:p>
          <w:p w14:paraId="4D670467">
            <w:pPr>
              <w:pStyle w:val="6"/>
              <w:spacing w:before="72" w:line="256" w:lineRule="auto"/>
              <w:ind w:left="186" w:right="178"/>
              <w:outlineLvl w:val="1"/>
              <w:rPr>
                <w:sz w:val="22"/>
                <w:szCs w:val="22"/>
                <w:highlight w:val="none"/>
              </w:rPr>
            </w:pPr>
            <w:bookmarkStart w:id="277" w:name="bookmark178"/>
            <w:bookmarkEnd w:id="277"/>
            <w:r>
              <w:rPr>
                <w:spacing w:val="-4"/>
                <w:sz w:val="22"/>
                <w:szCs w:val="22"/>
                <w:highlight w:val="none"/>
              </w:rPr>
              <w:t>施工</w:t>
            </w:r>
            <w:r>
              <w:rPr>
                <w:sz w:val="22"/>
                <w:szCs w:val="22"/>
                <w:highlight w:val="none"/>
              </w:rPr>
              <w:t xml:space="preserve"> </w:t>
            </w:r>
            <w:bookmarkStart w:id="278" w:name="bookmark178"/>
            <w:bookmarkEnd w:id="278"/>
            <w:bookmarkStart w:id="279" w:name="bookmark179"/>
            <w:bookmarkEnd w:id="279"/>
            <w:r>
              <w:rPr>
                <w:spacing w:val="7"/>
                <w:sz w:val="22"/>
                <w:szCs w:val="22"/>
                <w:highlight w:val="none"/>
              </w:rPr>
              <w:t>负责</w:t>
            </w:r>
            <w:r>
              <w:rPr>
                <w:sz w:val="22"/>
                <w:szCs w:val="22"/>
                <w:highlight w:val="none"/>
              </w:rPr>
              <w:t xml:space="preserve"> </w:t>
            </w:r>
            <w:bookmarkStart w:id="280" w:name="bookmark178"/>
            <w:bookmarkEnd w:id="280"/>
            <w:r>
              <w:rPr>
                <w:spacing w:val="40"/>
                <w:w w:val="127"/>
                <w:sz w:val="22"/>
                <w:szCs w:val="22"/>
                <w:highlight w:val="none"/>
              </w:rPr>
              <w:t>人</w:t>
            </w:r>
          </w:p>
        </w:tc>
        <w:tc>
          <w:tcPr>
            <w:tcW w:w="819" w:type="dxa"/>
            <w:vAlign w:val="top"/>
          </w:tcPr>
          <w:p w14:paraId="28648E02">
            <w:pPr>
              <w:spacing w:line="301" w:lineRule="auto"/>
              <w:rPr>
                <w:rFonts w:ascii="Arial"/>
                <w:sz w:val="21"/>
                <w:highlight w:val="none"/>
              </w:rPr>
            </w:pPr>
          </w:p>
          <w:p w14:paraId="68FFD6E1">
            <w:pPr>
              <w:pStyle w:val="6"/>
              <w:spacing w:before="72" w:line="221" w:lineRule="auto"/>
              <w:ind w:left="187"/>
              <w:rPr>
                <w:sz w:val="22"/>
                <w:szCs w:val="22"/>
                <w:highlight w:val="none"/>
              </w:rPr>
            </w:pPr>
            <w:r>
              <w:rPr>
                <w:spacing w:val="4"/>
                <w:sz w:val="22"/>
                <w:szCs w:val="22"/>
                <w:highlight w:val="none"/>
              </w:rPr>
              <w:t>设计</w:t>
            </w:r>
          </w:p>
          <w:p w14:paraId="3427F5D3">
            <w:pPr>
              <w:pStyle w:val="6"/>
              <w:spacing w:before="46" w:line="283" w:lineRule="auto"/>
              <w:ind w:left="296" w:right="167" w:hanging="109"/>
              <w:rPr>
                <w:sz w:val="22"/>
                <w:szCs w:val="22"/>
                <w:highlight w:val="none"/>
              </w:rPr>
            </w:pPr>
            <w:r>
              <w:rPr>
                <w:spacing w:val="7"/>
                <w:sz w:val="22"/>
                <w:szCs w:val="22"/>
                <w:highlight w:val="none"/>
              </w:rPr>
              <w:t>负责</w:t>
            </w:r>
            <w:r>
              <w:rPr>
                <w:sz w:val="22"/>
                <w:szCs w:val="22"/>
                <w:highlight w:val="none"/>
              </w:rPr>
              <w:t xml:space="preserve"> 人</w:t>
            </w:r>
          </w:p>
        </w:tc>
        <w:tc>
          <w:tcPr>
            <w:tcW w:w="819" w:type="dxa"/>
            <w:vAlign w:val="top"/>
          </w:tcPr>
          <w:p w14:paraId="4A276553">
            <w:pPr>
              <w:spacing w:line="461" w:lineRule="auto"/>
              <w:rPr>
                <w:rFonts w:ascii="Arial"/>
                <w:sz w:val="21"/>
                <w:highlight w:val="none"/>
              </w:rPr>
            </w:pPr>
          </w:p>
          <w:p w14:paraId="0C2DFD84">
            <w:pPr>
              <w:pStyle w:val="6"/>
              <w:spacing w:before="71" w:line="239" w:lineRule="auto"/>
              <w:ind w:left="188" w:right="188"/>
              <w:outlineLvl w:val="1"/>
              <w:rPr>
                <w:sz w:val="22"/>
                <w:szCs w:val="22"/>
                <w:highlight w:val="none"/>
              </w:rPr>
            </w:pPr>
            <w:bookmarkStart w:id="281" w:name="bookmark180"/>
            <w:bookmarkEnd w:id="281"/>
            <w:r>
              <w:rPr>
                <w:spacing w:val="-6"/>
                <w:sz w:val="22"/>
                <w:szCs w:val="22"/>
                <w:highlight w:val="none"/>
              </w:rPr>
              <w:t>投标</w:t>
            </w:r>
            <w:r>
              <w:rPr>
                <w:sz w:val="22"/>
                <w:szCs w:val="22"/>
                <w:highlight w:val="none"/>
              </w:rPr>
              <w:t xml:space="preserve"> </w:t>
            </w:r>
            <w:bookmarkStart w:id="282" w:name="bookmark180"/>
            <w:bookmarkEnd w:id="282"/>
            <w:r>
              <w:rPr>
                <w:spacing w:val="-4"/>
                <w:sz w:val="22"/>
                <w:szCs w:val="22"/>
                <w:highlight w:val="none"/>
              </w:rPr>
              <w:t>代表</w:t>
            </w:r>
          </w:p>
        </w:tc>
        <w:tc>
          <w:tcPr>
            <w:tcW w:w="829" w:type="dxa"/>
            <w:vAlign w:val="top"/>
          </w:tcPr>
          <w:p w14:paraId="4855A078">
            <w:pPr>
              <w:spacing w:line="461" w:lineRule="auto"/>
              <w:rPr>
                <w:rFonts w:ascii="Arial"/>
                <w:sz w:val="21"/>
                <w:highlight w:val="none"/>
              </w:rPr>
            </w:pPr>
          </w:p>
          <w:p w14:paraId="43A9BA20">
            <w:pPr>
              <w:pStyle w:val="6"/>
              <w:spacing w:before="72" w:line="241" w:lineRule="auto"/>
              <w:ind w:left="189" w:right="169"/>
              <w:outlineLvl w:val="1"/>
              <w:rPr>
                <w:sz w:val="22"/>
                <w:szCs w:val="22"/>
                <w:highlight w:val="none"/>
              </w:rPr>
            </w:pPr>
            <w:bookmarkStart w:id="283" w:name="bookmark181"/>
            <w:bookmarkEnd w:id="283"/>
            <w:r>
              <w:rPr>
                <w:spacing w:val="10"/>
                <w:sz w:val="22"/>
                <w:szCs w:val="22"/>
                <w:highlight w:val="none"/>
              </w:rPr>
              <w:t>联系</w:t>
            </w:r>
            <w:r>
              <w:rPr>
                <w:sz w:val="22"/>
                <w:szCs w:val="22"/>
                <w:highlight w:val="none"/>
              </w:rPr>
              <w:t xml:space="preserve"> </w:t>
            </w:r>
            <w:bookmarkStart w:id="284" w:name="bookmark181"/>
            <w:bookmarkEnd w:id="284"/>
            <w:r>
              <w:rPr>
                <w:spacing w:val="4"/>
                <w:sz w:val="22"/>
                <w:szCs w:val="22"/>
                <w:highlight w:val="none"/>
              </w:rPr>
              <w:t>电话</w:t>
            </w:r>
          </w:p>
        </w:tc>
        <w:tc>
          <w:tcPr>
            <w:tcW w:w="834" w:type="dxa"/>
            <w:vAlign w:val="top"/>
          </w:tcPr>
          <w:p w14:paraId="551872F3">
            <w:pPr>
              <w:spacing w:line="309" w:lineRule="auto"/>
              <w:rPr>
                <w:rFonts w:ascii="Arial"/>
                <w:sz w:val="21"/>
                <w:highlight w:val="none"/>
              </w:rPr>
            </w:pPr>
          </w:p>
          <w:p w14:paraId="205A1A38">
            <w:pPr>
              <w:spacing w:line="310" w:lineRule="auto"/>
              <w:rPr>
                <w:rFonts w:ascii="Arial"/>
                <w:sz w:val="21"/>
                <w:highlight w:val="none"/>
              </w:rPr>
            </w:pPr>
          </w:p>
          <w:p w14:paraId="3DBBAB17">
            <w:pPr>
              <w:pStyle w:val="6"/>
              <w:spacing w:before="72" w:line="221" w:lineRule="auto"/>
              <w:ind w:left="219"/>
              <w:outlineLvl w:val="1"/>
              <w:rPr>
                <w:sz w:val="22"/>
                <w:szCs w:val="22"/>
                <w:highlight w:val="none"/>
              </w:rPr>
            </w:pPr>
            <w:bookmarkStart w:id="285" w:name="bookmark182"/>
            <w:bookmarkEnd w:id="285"/>
            <w:r>
              <w:rPr>
                <w:spacing w:val="5"/>
                <w:sz w:val="22"/>
                <w:szCs w:val="22"/>
                <w:highlight w:val="none"/>
              </w:rPr>
              <w:t>备注</w:t>
            </w:r>
          </w:p>
        </w:tc>
      </w:tr>
      <w:tr w14:paraId="136AF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trPr>
        <w:tc>
          <w:tcPr>
            <w:tcW w:w="634" w:type="dxa"/>
            <w:vAlign w:val="top"/>
          </w:tcPr>
          <w:p w14:paraId="11457A0F">
            <w:pPr>
              <w:rPr>
                <w:rFonts w:ascii="Arial"/>
                <w:sz w:val="21"/>
                <w:highlight w:val="none"/>
              </w:rPr>
            </w:pPr>
          </w:p>
        </w:tc>
        <w:tc>
          <w:tcPr>
            <w:tcW w:w="1029" w:type="dxa"/>
            <w:vAlign w:val="top"/>
          </w:tcPr>
          <w:p w14:paraId="02F4B489">
            <w:pPr>
              <w:rPr>
                <w:rFonts w:ascii="Arial"/>
                <w:sz w:val="21"/>
                <w:highlight w:val="none"/>
              </w:rPr>
            </w:pPr>
          </w:p>
        </w:tc>
        <w:tc>
          <w:tcPr>
            <w:tcW w:w="839" w:type="dxa"/>
            <w:vAlign w:val="top"/>
          </w:tcPr>
          <w:p w14:paraId="0A5858AF">
            <w:pPr>
              <w:rPr>
                <w:rFonts w:ascii="Arial"/>
                <w:sz w:val="21"/>
                <w:highlight w:val="none"/>
              </w:rPr>
            </w:pPr>
          </w:p>
        </w:tc>
        <w:tc>
          <w:tcPr>
            <w:tcW w:w="869" w:type="dxa"/>
            <w:vAlign w:val="top"/>
          </w:tcPr>
          <w:p w14:paraId="38C250A7">
            <w:pPr>
              <w:rPr>
                <w:rFonts w:ascii="Arial"/>
                <w:sz w:val="21"/>
                <w:highlight w:val="none"/>
              </w:rPr>
            </w:pPr>
          </w:p>
        </w:tc>
        <w:tc>
          <w:tcPr>
            <w:tcW w:w="809" w:type="dxa"/>
            <w:vAlign w:val="top"/>
          </w:tcPr>
          <w:p w14:paraId="13E26A1B">
            <w:pPr>
              <w:rPr>
                <w:rFonts w:ascii="Arial"/>
                <w:sz w:val="21"/>
                <w:highlight w:val="none"/>
              </w:rPr>
            </w:pPr>
          </w:p>
        </w:tc>
        <w:tc>
          <w:tcPr>
            <w:tcW w:w="839" w:type="dxa"/>
            <w:vAlign w:val="top"/>
          </w:tcPr>
          <w:p w14:paraId="41B4AEF3">
            <w:pPr>
              <w:rPr>
                <w:rFonts w:ascii="Arial"/>
                <w:sz w:val="21"/>
                <w:highlight w:val="none"/>
              </w:rPr>
            </w:pPr>
          </w:p>
        </w:tc>
        <w:tc>
          <w:tcPr>
            <w:tcW w:w="829" w:type="dxa"/>
            <w:vAlign w:val="top"/>
          </w:tcPr>
          <w:p w14:paraId="25457037">
            <w:pPr>
              <w:rPr>
                <w:rFonts w:ascii="Arial"/>
                <w:sz w:val="21"/>
                <w:highlight w:val="none"/>
              </w:rPr>
            </w:pPr>
          </w:p>
        </w:tc>
        <w:tc>
          <w:tcPr>
            <w:tcW w:w="819" w:type="dxa"/>
            <w:vAlign w:val="top"/>
          </w:tcPr>
          <w:p w14:paraId="1BDC9EE9">
            <w:pPr>
              <w:rPr>
                <w:rFonts w:ascii="Arial"/>
                <w:sz w:val="21"/>
                <w:highlight w:val="none"/>
              </w:rPr>
            </w:pPr>
          </w:p>
        </w:tc>
        <w:tc>
          <w:tcPr>
            <w:tcW w:w="819" w:type="dxa"/>
            <w:vAlign w:val="top"/>
          </w:tcPr>
          <w:p w14:paraId="22D28079">
            <w:pPr>
              <w:rPr>
                <w:rFonts w:ascii="Arial"/>
                <w:sz w:val="21"/>
                <w:highlight w:val="none"/>
              </w:rPr>
            </w:pPr>
          </w:p>
        </w:tc>
        <w:tc>
          <w:tcPr>
            <w:tcW w:w="829" w:type="dxa"/>
            <w:vAlign w:val="top"/>
          </w:tcPr>
          <w:p w14:paraId="59BC48D8">
            <w:pPr>
              <w:rPr>
                <w:rFonts w:ascii="Arial"/>
                <w:sz w:val="21"/>
                <w:highlight w:val="none"/>
              </w:rPr>
            </w:pPr>
          </w:p>
        </w:tc>
        <w:tc>
          <w:tcPr>
            <w:tcW w:w="834" w:type="dxa"/>
            <w:vAlign w:val="top"/>
          </w:tcPr>
          <w:p w14:paraId="31FC0BE3">
            <w:pPr>
              <w:rPr>
                <w:rFonts w:ascii="Arial"/>
                <w:sz w:val="21"/>
                <w:highlight w:val="none"/>
              </w:rPr>
            </w:pPr>
          </w:p>
        </w:tc>
      </w:tr>
      <w:tr w14:paraId="07018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634" w:type="dxa"/>
            <w:vAlign w:val="top"/>
          </w:tcPr>
          <w:p w14:paraId="4716759D">
            <w:pPr>
              <w:rPr>
                <w:rFonts w:ascii="Arial"/>
                <w:sz w:val="21"/>
                <w:highlight w:val="none"/>
              </w:rPr>
            </w:pPr>
          </w:p>
        </w:tc>
        <w:tc>
          <w:tcPr>
            <w:tcW w:w="1029" w:type="dxa"/>
            <w:vAlign w:val="top"/>
          </w:tcPr>
          <w:p w14:paraId="37BF4EC5">
            <w:pPr>
              <w:rPr>
                <w:rFonts w:ascii="Arial"/>
                <w:sz w:val="21"/>
                <w:highlight w:val="none"/>
              </w:rPr>
            </w:pPr>
          </w:p>
        </w:tc>
        <w:tc>
          <w:tcPr>
            <w:tcW w:w="839" w:type="dxa"/>
            <w:vAlign w:val="top"/>
          </w:tcPr>
          <w:p w14:paraId="6296FDD5">
            <w:pPr>
              <w:rPr>
                <w:rFonts w:ascii="Arial"/>
                <w:sz w:val="21"/>
                <w:highlight w:val="none"/>
              </w:rPr>
            </w:pPr>
          </w:p>
        </w:tc>
        <w:tc>
          <w:tcPr>
            <w:tcW w:w="869" w:type="dxa"/>
            <w:vAlign w:val="top"/>
          </w:tcPr>
          <w:p w14:paraId="5D67B0DE">
            <w:pPr>
              <w:rPr>
                <w:rFonts w:ascii="Arial"/>
                <w:sz w:val="21"/>
                <w:highlight w:val="none"/>
              </w:rPr>
            </w:pPr>
          </w:p>
        </w:tc>
        <w:tc>
          <w:tcPr>
            <w:tcW w:w="809" w:type="dxa"/>
            <w:vAlign w:val="top"/>
          </w:tcPr>
          <w:p w14:paraId="124D13E2">
            <w:pPr>
              <w:rPr>
                <w:rFonts w:ascii="Arial"/>
                <w:sz w:val="21"/>
                <w:highlight w:val="none"/>
              </w:rPr>
            </w:pPr>
          </w:p>
        </w:tc>
        <w:tc>
          <w:tcPr>
            <w:tcW w:w="839" w:type="dxa"/>
            <w:vAlign w:val="top"/>
          </w:tcPr>
          <w:p w14:paraId="11543BB2">
            <w:pPr>
              <w:rPr>
                <w:rFonts w:ascii="Arial"/>
                <w:sz w:val="21"/>
                <w:highlight w:val="none"/>
              </w:rPr>
            </w:pPr>
          </w:p>
        </w:tc>
        <w:tc>
          <w:tcPr>
            <w:tcW w:w="829" w:type="dxa"/>
            <w:vAlign w:val="top"/>
          </w:tcPr>
          <w:p w14:paraId="08E51C44">
            <w:pPr>
              <w:rPr>
                <w:rFonts w:ascii="Arial"/>
                <w:sz w:val="21"/>
                <w:highlight w:val="none"/>
              </w:rPr>
            </w:pPr>
          </w:p>
        </w:tc>
        <w:tc>
          <w:tcPr>
            <w:tcW w:w="819" w:type="dxa"/>
            <w:vAlign w:val="top"/>
          </w:tcPr>
          <w:p w14:paraId="11E651F8">
            <w:pPr>
              <w:rPr>
                <w:rFonts w:ascii="Arial"/>
                <w:sz w:val="21"/>
                <w:highlight w:val="none"/>
              </w:rPr>
            </w:pPr>
          </w:p>
        </w:tc>
        <w:tc>
          <w:tcPr>
            <w:tcW w:w="819" w:type="dxa"/>
            <w:vAlign w:val="top"/>
          </w:tcPr>
          <w:p w14:paraId="2D6B2DE2">
            <w:pPr>
              <w:rPr>
                <w:rFonts w:ascii="Arial"/>
                <w:sz w:val="21"/>
                <w:highlight w:val="none"/>
              </w:rPr>
            </w:pPr>
          </w:p>
        </w:tc>
        <w:tc>
          <w:tcPr>
            <w:tcW w:w="829" w:type="dxa"/>
            <w:vAlign w:val="top"/>
          </w:tcPr>
          <w:p w14:paraId="28376FDB">
            <w:pPr>
              <w:rPr>
                <w:rFonts w:ascii="Arial"/>
                <w:sz w:val="21"/>
                <w:highlight w:val="none"/>
              </w:rPr>
            </w:pPr>
          </w:p>
        </w:tc>
        <w:tc>
          <w:tcPr>
            <w:tcW w:w="834" w:type="dxa"/>
            <w:vAlign w:val="top"/>
          </w:tcPr>
          <w:p w14:paraId="174FDEBA">
            <w:pPr>
              <w:rPr>
                <w:rFonts w:ascii="Arial"/>
                <w:sz w:val="21"/>
                <w:highlight w:val="none"/>
              </w:rPr>
            </w:pPr>
          </w:p>
        </w:tc>
      </w:tr>
    </w:tbl>
    <w:p w14:paraId="5E1EF163">
      <w:pPr>
        <w:pStyle w:val="2"/>
        <w:spacing w:line="381" w:lineRule="auto"/>
        <w:rPr>
          <w:highlight w:val="none"/>
        </w:rPr>
      </w:pPr>
    </w:p>
    <w:p w14:paraId="184286FF">
      <w:pPr>
        <w:spacing w:before="91" w:line="273" w:lineRule="auto"/>
        <w:ind w:left="434" w:right="384"/>
        <w:rPr>
          <w:rFonts w:ascii="宋体" w:hAnsi="宋体" w:eastAsia="宋体" w:cs="宋体"/>
          <w:sz w:val="28"/>
          <w:szCs w:val="28"/>
          <w:highlight w:val="none"/>
        </w:rPr>
      </w:pPr>
      <w:r>
        <w:rPr>
          <w:rFonts w:ascii="宋体" w:hAnsi="宋体" w:eastAsia="宋体" w:cs="宋体"/>
          <w:spacing w:val="-2"/>
          <w:sz w:val="28"/>
          <w:szCs w:val="28"/>
          <w:highlight w:val="none"/>
        </w:rPr>
        <w:t>注：投标人须认真填写本表，如因未填写本表导致其投标文件无法评</w:t>
      </w:r>
      <w:r>
        <w:rPr>
          <w:rFonts w:ascii="宋体" w:hAnsi="宋体" w:eastAsia="宋体" w:cs="宋体"/>
          <w:sz w:val="28"/>
          <w:szCs w:val="28"/>
          <w:highlight w:val="none"/>
        </w:rPr>
        <w:t xml:space="preserve"> 审，其后果由投标人自行承担。</w:t>
      </w:r>
    </w:p>
    <w:p w14:paraId="5045CA37">
      <w:pPr>
        <w:spacing w:line="273" w:lineRule="auto"/>
        <w:rPr>
          <w:rFonts w:ascii="宋体" w:hAnsi="宋体" w:eastAsia="宋体" w:cs="宋体"/>
          <w:sz w:val="28"/>
          <w:szCs w:val="28"/>
          <w:highlight w:val="none"/>
        </w:rPr>
        <w:sectPr>
          <w:footerReference r:id="rId303" w:type="default"/>
          <w:pgSz w:w="11910" w:h="16840"/>
          <w:pgMar w:top="400" w:right="1395" w:bottom="1238" w:left="1355" w:header="0" w:footer="1006" w:gutter="0"/>
          <w:cols w:space="720" w:num="1"/>
        </w:sectPr>
      </w:pPr>
    </w:p>
    <w:p w14:paraId="0BFD0510">
      <w:pPr>
        <w:pStyle w:val="2"/>
        <w:spacing w:line="270" w:lineRule="auto"/>
        <w:rPr>
          <w:highlight w:val="none"/>
        </w:rPr>
      </w:pPr>
    </w:p>
    <w:p w14:paraId="35D5E836">
      <w:pPr>
        <w:pStyle w:val="2"/>
        <w:spacing w:line="270" w:lineRule="auto"/>
        <w:rPr>
          <w:highlight w:val="none"/>
        </w:rPr>
      </w:pPr>
    </w:p>
    <w:p w14:paraId="0756D3D7">
      <w:pPr>
        <w:pStyle w:val="2"/>
        <w:spacing w:line="271" w:lineRule="auto"/>
        <w:rPr>
          <w:highlight w:val="none"/>
        </w:rPr>
      </w:pPr>
    </w:p>
    <w:p w14:paraId="1EC7B7E9">
      <w:pPr>
        <w:pStyle w:val="2"/>
        <w:spacing w:line="271" w:lineRule="auto"/>
        <w:rPr>
          <w:highlight w:val="none"/>
        </w:rPr>
      </w:pPr>
    </w:p>
    <w:p w14:paraId="2152F61D">
      <w:pPr>
        <w:spacing w:before="104" w:line="222" w:lineRule="auto"/>
        <w:outlineLvl w:val="1"/>
        <w:rPr>
          <w:rFonts w:ascii="黑体" w:hAnsi="黑体" w:eastAsia="黑体" w:cs="黑体"/>
          <w:sz w:val="32"/>
          <w:szCs w:val="32"/>
          <w:highlight w:val="none"/>
        </w:rPr>
      </w:pPr>
      <w:bookmarkStart w:id="286" w:name="bookmark183"/>
      <w:bookmarkEnd w:id="286"/>
      <w:r>
        <w:rPr>
          <w:rFonts w:ascii="黑体" w:hAnsi="黑体" w:eastAsia="黑体" w:cs="黑体"/>
          <w:spacing w:val="3"/>
          <w:sz w:val="32"/>
          <w:szCs w:val="32"/>
          <w:highlight w:val="none"/>
        </w:rPr>
        <w:t>十五、投标人事前信用承诺书</w:t>
      </w:r>
    </w:p>
    <w:p w14:paraId="5A40BF69">
      <w:pPr>
        <w:spacing w:before="230" w:line="219" w:lineRule="auto"/>
        <w:ind w:left="2910"/>
        <w:rPr>
          <w:rFonts w:ascii="宋体" w:hAnsi="宋体" w:eastAsia="宋体" w:cs="宋体"/>
          <w:sz w:val="26"/>
          <w:szCs w:val="26"/>
          <w:highlight w:val="none"/>
        </w:rPr>
      </w:pPr>
      <w:r>
        <w:rPr>
          <w:rFonts w:ascii="宋体" w:hAnsi="宋体" w:eastAsia="宋体" w:cs="宋体"/>
          <w:spacing w:val="-13"/>
          <w:sz w:val="26"/>
          <w:szCs w:val="26"/>
          <w:highlight w:val="none"/>
        </w:rPr>
        <w:t>投标人事前信用承诺书</w:t>
      </w:r>
    </w:p>
    <w:p w14:paraId="060DE001">
      <w:pPr>
        <w:spacing w:before="282" w:line="302" w:lineRule="auto"/>
        <w:ind w:right="68" w:firstLine="480"/>
        <w:jc w:val="both"/>
        <w:rPr>
          <w:rFonts w:ascii="宋体" w:hAnsi="宋体" w:eastAsia="宋体" w:cs="宋体"/>
          <w:sz w:val="24"/>
          <w:szCs w:val="24"/>
          <w:highlight w:val="none"/>
        </w:rPr>
      </w:pPr>
      <w:r>
        <w:rPr>
          <w:rFonts w:ascii="宋体" w:hAnsi="宋体" w:eastAsia="宋体" w:cs="宋体"/>
          <w:spacing w:val="1"/>
          <w:sz w:val="24"/>
          <w:szCs w:val="24"/>
          <w:highlight w:val="none"/>
        </w:rPr>
        <w:t>为贯彻落实《中共黄冈市委办公室关于印发&lt;关于治理工程建设</w:t>
      </w:r>
      <w:r>
        <w:rPr>
          <w:rFonts w:ascii="宋体" w:hAnsi="宋体" w:eastAsia="宋体" w:cs="宋体"/>
          <w:sz w:val="24"/>
          <w:szCs w:val="24"/>
          <w:highlight w:val="none"/>
        </w:rPr>
        <w:t xml:space="preserve">领域招标投 </w:t>
      </w:r>
      <w:r>
        <w:rPr>
          <w:rFonts w:ascii="宋体" w:hAnsi="宋体" w:eastAsia="宋体" w:cs="宋体"/>
          <w:spacing w:val="8"/>
          <w:sz w:val="24"/>
          <w:szCs w:val="24"/>
          <w:highlight w:val="none"/>
        </w:rPr>
        <w:t>标活动中违纪违法问题的意见&gt;的通知》(黄办文〔</w:t>
      </w:r>
      <w:r>
        <w:rPr>
          <w:rFonts w:ascii="宋体" w:hAnsi="宋体" w:eastAsia="宋体" w:cs="宋体"/>
          <w:spacing w:val="7"/>
          <w:sz w:val="24"/>
          <w:szCs w:val="24"/>
          <w:highlight w:val="none"/>
        </w:rPr>
        <w:t>2018〕52号)和《市人民政</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府办公室关于印发黄冈市打击围标串标和转包、违法分包专项行动实施方案的通</w:t>
      </w:r>
      <w:r>
        <w:rPr>
          <w:rFonts w:ascii="宋体" w:hAnsi="宋体" w:eastAsia="宋体" w:cs="宋体"/>
          <w:spacing w:val="13"/>
          <w:sz w:val="24"/>
          <w:szCs w:val="24"/>
          <w:highlight w:val="none"/>
        </w:rPr>
        <w:t xml:space="preserve"> </w:t>
      </w:r>
      <w:r>
        <w:rPr>
          <w:rFonts w:ascii="宋体" w:hAnsi="宋体" w:eastAsia="宋体" w:cs="宋体"/>
          <w:spacing w:val="8"/>
          <w:sz w:val="24"/>
          <w:szCs w:val="24"/>
          <w:highlight w:val="none"/>
        </w:rPr>
        <w:t>知》(黄政办函〔2021〕31</w:t>
      </w:r>
      <w:r>
        <w:rPr>
          <w:rFonts w:ascii="宋体" w:hAnsi="宋体" w:eastAsia="宋体" w:cs="宋体"/>
          <w:spacing w:val="-28"/>
          <w:sz w:val="24"/>
          <w:szCs w:val="24"/>
          <w:highlight w:val="none"/>
        </w:rPr>
        <w:t xml:space="preserve"> </w:t>
      </w:r>
      <w:r>
        <w:rPr>
          <w:rFonts w:ascii="宋体" w:hAnsi="宋体" w:eastAsia="宋体" w:cs="宋体"/>
          <w:spacing w:val="8"/>
          <w:sz w:val="24"/>
          <w:szCs w:val="24"/>
          <w:highlight w:val="none"/>
        </w:rPr>
        <w:t>号)文件精神，进一步规范工程建设领域招标投标</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采购活动，营造公开、公平、公正、诚实守信的公共资源交易环境，树立诚信守</w:t>
      </w:r>
      <w:r>
        <w:rPr>
          <w:rFonts w:ascii="宋体" w:hAnsi="宋体" w:eastAsia="宋体" w:cs="宋体"/>
          <w:spacing w:val="6"/>
          <w:sz w:val="24"/>
          <w:szCs w:val="24"/>
          <w:highlight w:val="none"/>
        </w:rPr>
        <w:t xml:space="preserve"> </w:t>
      </w:r>
      <w:r>
        <w:rPr>
          <w:rFonts w:ascii="宋体" w:hAnsi="宋体" w:eastAsia="宋体" w:cs="宋体"/>
          <w:spacing w:val="-3"/>
          <w:sz w:val="24"/>
          <w:szCs w:val="24"/>
          <w:highlight w:val="none"/>
        </w:rPr>
        <w:t>法的投标人形象，本人代表本单位作出以下承诺：</w:t>
      </w:r>
    </w:p>
    <w:p w14:paraId="03335FF9">
      <w:pPr>
        <w:spacing w:before="42" w:line="286" w:lineRule="auto"/>
        <w:ind w:right="80" w:firstLine="480"/>
        <w:rPr>
          <w:rFonts w:ascii="宋体" w:hAnsi="宋体" w:eastAsia="宋体" w:cs="宋体"/>
          <w:sz w:val="24"/>
          <w:szCs w:val="24"/>
          <w:highlight w:val="none"/>
        </w:rPr>
      </w:pPr>
      <w:r>
        <w:rPr>
          <w:rFonts w:ascii="宋体" w:hAnsi="宋体" w:eastAsia="宋体" w:cs="宋体"/>
          <w:spacing w:val="12"/>
          <w:sz w:val="24"/>
          <w:szCs w:val="24"/>
          <w:highlight w:val="none"/>
        </w:rPr>
        <w:t>一、本单位对所提交的企(事)业单位基本信息、企(事)业负责人、项目</w:t>
      </w:r>
      <w:r>
        <w:rPr>
          <w:rFonts w:ascii="宋体" w:hAnsi="宋体" w:eastAsia="宋体" w:cs="宋体"/>
          <w:spacing w:val="8"/>
          <w:sz w:val="24"/>
          <w:szCs w:val="24"/>
          <w:highlight w:val="none"/>
        </w:rPr>
        <w:t xml:space="preserve"> </w:t>
      </w:r>
      <w:r>
        <w:rPr>
          <w:rFonts w:ascii="宋体" w:hAnsi="宋体" w:eastAsia="宋体" w:cs="宋体"/>
          <w:spacing w:val="-2"/>
          <w:sz w:val="24"/>
          <w:szCs w:val="24"/>
          <w:highlight w:val="none"/>
        </w:rPr>
        <w:t>负责人、技术负责人、从业资质和资格、业</w:t>
      </w:r>
      <w:r>
        <w:rPr>
          <w:rFonts w:ascii="宋体" w:hAnsi="宋体" w:eastAsia="宋体" w:cs="宋体"/>
          <w:spacing w:val="-3"/>
          <w:sz w:val="24"/>
          <w:szCs w:val="24"/>
          <w:highlight w:val="none"/>
        </w:rPr>
        <w:t>绩、财务状况、信誉等所有资料，均</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合法、真实、准确、有效，无任何伪造、修改、虚假成份，并对所提供资料的真</w:t>
      </w:r>
      <w:r>
        <w:rPr>
          <w:rFonts w:ascii="宋体" w:hAnsi="宋体" w:eastAsia="宋体" w:cs="宋体"/>
          <w:spacing w:val="14"/>
          <w:sz w:val="24"/>
          <w:szCs w:val="24"/>
          <w:highlight w:val="none"/>
        </w:rPr>
        <w:t xml:space="preserve"> </w:t>
      </w:r>
      <w:r>
        <w:rPr>
          <w:rFonts w:ascii="宋体" w:hAnsi="宋体" w:eastAsia="宋体" w:cs="宋体"/>
          <w:spacing w:val="-12"/>
          <w:sz w:val="24"/>
          <w:szCs w:val="24"/>
          <w:highlight w:val="none"/>
        </w:rPr>
        <w:t>实性负责；</w:t>
      </w:r>
    </w:p>
    <w:p w14:paraId="49C3843B">
      <w:pPr>
        <w:spacing w:before="93" w:line="271" w:lineRule="auto"/>
        <w:ind w:right="46" w:firstLine="480"/>
        <w:rPr>
          <w:rFonts w:ascii="宋体" w:hAnsi="宋体" w:eastAsia="宋体" w:cs="宋体"/>
          <w:sz w:val="24"/>
          <w:szCs w:val="24"/>
          <w:highlight w:val="none"/>
        </w:rPr>
      </w:pPr>
      <w:r>
        <w:rPr>
          <w:rFonts w:ascii="宋体" w:hAnsi="宋体" w:eastAsia="宋体" w:cs="宋体"/>
          <w:spacing w:val="-8"/>
          <w:sz w:val="24"/>
          <w:szCs w:val="24"/>
          <w:highlight w:val="none"/>
        </w:rPr>
        <w:t>二、严格依照国家和省、市关于招标投标的法律、法规</w:t>
      </w:r>
      <w:r>
        <w:rPr>
          <w:rFonts w:ascii="宋体" w:hAnsi="宋体" w:eastAsia="宋体" w:cs="宋体"/>
          <w:spacing w:val="-9"/>
          <w:sz w:val="24"/>
          <w:szCs w:val="24"/>
          <w:highlight w:val="none"/>
        </w:rPr>
        <w:t>、规章、规范性文件，</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参加公共资源招标投标活动；积极履行社会责</w:t>
      </w:r>
      <w:r>
        <w:rPr>
          <w:rFonts w:ascii="宋体" w:hAnsi="宋体" w:eastAsia="宋体" w:cs="宋体"/>
          <w:spacing w:val="-3"/>
          <w:sz w:val="24"/>
          <w:szCs w:val="24"/>
          <w:highlight w:val="none"/>
        </w:rPr>
        <w:t>任，促进廉政建设；</w:t>
      </w:r>
    </w:p>
    <w:p w14:paraId="4542832F">
      <w:pPr>
        <w:spacing w:before="108" w:line="263" w:lineRule="auto"/>
        <w:ind w:right="96" w:firstLine="480"/>
        <w:rPr>
          <w:rFonts w:ascii="宋体" w:hAnsi="宋体" w:eastAsia="宋体" w:cs="宋体"/>
          <w:sz w:val="24"/>
          <w:szCs w:val="24"/>
          <w:highlight w:val="none"/>
        </w:rPr>
      </w:pPr>
      <w:r>
        <w:rPr>
          <w:rFonts w:ascii="宋体" w:hAnsi="宋体" w:eastAsia="宋体" w:cs="宋体"/>
          <w:spacing w:val="-3"/>
          <w:sz w:val="24"/>
          <w:szCs w:val="24"/>
          <w:highlight w:val="none"/>
        </w:rPr>
        <w:t>三、严格遵守即时信息公示规定，及时维护和更新公共资源交易中心电子交</w:t>
      </w:r>
      <w:r>
        <w:rPr>
          <w:rFonts w:ascii="宋体" w:hAnsi="宋体" w:eastAsia="宋体" w:cs="宋体"/>
          <w:spacing w:val="7"/>
          <w:sz w:val="24"/>
          <w:szCs w:val="24"/>
          <w:highlight w:val="none"/>
        </w:rPr>
        <w:t xml:space="preserve"> </w:t>
      </w:r>
      <w:r>
        <w:rPr>
          <w:rFonts w:ascii="宋体" w:hAnsi="宋体" w:eastAsia="宋体" w:cs="宋体"/>
          <w:spacing w:val="-9"/>
          <w:sz w:val="24"/>
          <w:szCs w:val="24"/>
          <w:highlight w:val="none"/>
        </w:rPr>
        <w:t>易网网员库中信息；</w:t>
      </w:r>
    </w:p>
    <w:p w14:paraId="2B80A758">
      <w:pPr>
        <w:spacing w:before="89" w:line="269" w:lineRule="auto"/>
        <w:ind w:firstLine="480"/>
        <w:rPr>
          <w:rFonts w:ascii="宋体" w:hAnsi="宋体" w:eastAsia="宋体" w:cs="宋体"/>
          <w:sz w:val="26"/>
          <w:szCs w:val="26"/>
          <w:highlight w:val="none"/>
        </w:rPr>
      </w:pPr>
      <w:r>
        <w:rPr>
          <w:rFonts w:ascii="宋体" w:hAnsi="宋体" w:eastAsia="宋体" w:cs="宋体"/>
          <w:spacing w:val="-18"/>
          <w:sz w:val="26"/>
          <w:szCs w:val="26"/>
          <w:highlight w:val="none"/>
        </w:rPr>
        <w:t>四、</w:t>
      </w:r>
      <w:r>
        <w:rPr>
          <w:rFonts w:ascii="宋体" w:hAnsi="宋体" w:eastAsia="宋体" w:cs="宋体"/>
          <w:b/>
          <w:bCs/>
          <w:spacing w:val="-18"/>
          <w:sz w:val="26"/>
          <w:szCs w:val="26"/>
          <w:highlight w:val="none"/>
        </w:rPr>
        <w:t>自我约束、自我管理，守合同、重信用，不借用或出借资质、违法转</w:t>
      </w:r>
      <w:r>
        <w:rPr>
          <w:rFonts w:ascii="宋体" w:hAnsi="宋体" w:eastAsia="宋体" w:cs="宋体"/>
          <w:sz w:val="26"/>
          <w:szCs w:val="26"/>
          <w:highlight w:val="none"/>
        </w:rPr>
        <w:t xml:space="preserve">  </w:t>
      </w:r>
      <w:r>
        <w:rPr>
          <w:rFonts w:ascii="宋体" w:hAnsi="宋体" w:eastAsia="宋体" w:cs="宋体"/>
          <w:b/>
          <w:bCs/>
          <w:spacing w:val="-23"/>
          <w:sz w:val="26"/>
          <w:szCs w:val="26"/>
          <w:highlight w:val="none"/>
        </w:rPr>
        <w:t>包分包，不参与围标串标、弄虚作假、骗取中标、干扰评标、违约毁约等行为；</w:t>
      </w:r>
      <w:r>
        <w:rPr>
          <w:rFonts w:ascii="宋体" w:hAnsi="宋体" w:eastAsia="宋体" w:cs="宋体"/>
          <w:spacing w:val="15"/>
          <w:sz w:val="26"/>
          <w:szCs w:val="26"/>
          <w:highlight w:val="none"/>
        </w:rPr>
        <w:t xml:space="preserve"> </w:t>
      </w:r>
      <w:r>
        <w:rPr>
          <w:rFonts w:ascii="宋体" w:hAnsi="宋体" w:eastAsia="宋体" w:cs="宋体"/>
          <w:spacing w:val="-16"/>
          <w:sz w:val="26"/>
          <w:szCs w:val="26"/>
          <w:highlight w:val="none"/>
        </w:rPr>
        <w:t>在中标后不转包和违法分包，自觉维护公共资源招标投标的良好秩序；如有违</w:t>
      </w:r>
      <w:r>
        <w:rPr>
          <w:rFonts w:ascii="宋体" w:hAnsi="宋体" w:eastAsia="宋体" w:cs="宋体"/>
          <w:spacing w:val="13"/>
          <w:sz w:val="26"/>
          <w:szCs w:val="26"/>
          <w:highlight w:val="none"/>
        </w:rPr>
        <w:t xml:space="preserve"> </w:t>
      </w:r>
      <w:r>
        <w:rPr>
          <w:rFonts w:ascii="宋体" w:hAnsi="宋体" w:eastAsia="宋体" w:cs="宋体"/>
          <w:spacing w:val="-15"/>
          <w:sz w:val="26"/>
          <w:szCs w:val="26"/>
          <w:highlight w:val="none"/>
        </w:rPr>
        <w:t>反一律纳入“黑名单”管理。</w:t>
      </w:r>
    </w:p>
    <w:p w14:paraId="47EB4F18">
      <w:pPr>
        <w:spacing w:before="109" w:line="219" w:lineRule="auto"/>
        <w:ind w:left="480"/>
        <w:rPr>
          <w:rFonts w:ascii="宋体" w:hAnsi="宋体" w:eastAsia="宋体" w:cs="宋体"/>
          <w:sz w:val="24"/>
          <w:szCs w:val="24"/>
          <w:highlight w:val="none"/>
        </w:rPr>
      </w:pPr>
      <w:r>
        <w:rPr>
          <w:rFonts w:ascii="宋体" w:hAnsi="宋体" w:eastAsia="宋体" w:cs="宋体"/>
          <w:spacing w:val="-2"/>
          <w:sz w:val="24"/>
          <w:szCs w:val="24"/>
          <w:highlight w:val="none"/>
        </w:rPr>
        <w:t>五、自觉接受政府、行业组织、社会公众、新闻舆论的监督；</w:t>
      </w:r>
    </w:p>
    <w:p w14:paraId="39470DFB">
      <w:pPr>
        <w:spacing w:before="104" w:line="277" w:lineRule="auto"/>
        <w:ind w:right="46" w:firstLine="480"/>
        <w:rPr>
          <w:rFonts w:ascii="宋体" w:hAnsi="宋体" w:eastAsia="宋体" w:cs="宋体"/>
          <w:sz w:val="24"/>
          <w:szCs w:val="24"/>
          <w:highlight w:val="none"/>
        </w:rPr>
      </w:pPr>
      <w:r>
        <w:rPr>
          <w:rFonts w:ascii="宋体" w:hAnsi="宋体" w:eastAsia="宋体" w:cs="宋体"/>
          <w:spacing w:val="-3"/>
          <w:sz w:val="24"/>
          <w:szCs w:val="24"/>
          <w:highlight w:val="none"/>
        </w:rPr>
        <w:t>六、本单位自愿接受招标投标综合监督管理机构和有关行政监督部门的依法</w:t>
      </w:r>
      <w:r>
        <w:rPr>
          <w:rFonts w:ascii="宋体" w:hAnsi="宋体" w:eastAsia="宋体" w:cs="宋体"/>
          <w:spacing w:val="6"/>
          <w:sz w:val="24"/>
          <w:szCs w:val="24"/>
          <w:highlight w:val="none"/>
        </w:rPr>
        <w:t xml:space="preserve"> </w:t>
      </w:r>
      <w:r>
        <w:rPr>
          <w:rFonts w:ascii="宋体" w:hAnsi="宋体" w:eastAsia="宋体" w:cs="宋体"/>
          <w:spacing w:val="-3"/>
          <w:sz w:val="24"/>
          <w:szCs w:val="24"/>
          <w:highlight w:val="none"/>
        </w:rPr>
        <w:t>检查。如发生违法违规或不良行为，自愿接受招标投标综合监督管理机构和有关</w:t>
      </w:r>
      <w:r>
        <w:rPr>
          <w:rFonts w:ascii="宋体" w:hAnsi="宋体" w:eastAsia="宋体" w:cs="宋体"/>
          <w:spacing w:val="15"/>
          <w:sz w:val="24"/>
          <w:szCs w:val="24"/>
          <w:highlight w:val="none"/>
        </w:rPr>
        <w:t xml:space="preserve"> </w:t>
      </w:r>
      <w:r>
        <w:rPr>
          <w:rFonts w:ascii="宋体" w:hAnsi="宋体" w:eastAsia="宋体" w:cs="宋体"/>
          <w:spacing w:val="9"/>
          <w:sz w:val="24"/>
          <w:szCs w:val="24"/>
          <w:highlight w:val="none"/>
        </w:rPr>
        <w:t>行政监督部门依法给予的行政处罚(处理),并依法承担赔偿责任和刑事责任；</w:t>
      </w:r>
    </w:p>
    <w:p w14:paraId="1367813F">
      <w:pPr>
        <w:spacing w:before="121" w:line="219" w:lineRule="auto"/>
        <w:ind w:left="480"/>
        <w:rPr>
          <w:rFonts w:ascii="宋体" w:hAnsi="宋体" w:eastAsia="宋体" w:cs="宋体"/>
          <w:sz w:val="24"/>
          <w:szCs w:val="24"/>
          <w:highlight w:val="none"/>
        </w:rPr>
      </w:pPr>
      <w:r>
        <w:rPr>
          <w:rFonts w:ascii="宋体" w:hAnsi="宋体" w:eastAsia="宋体" w:cs="宋体"/>
          <w:sz w:val="24"/>
          <w:szCs w:val="24"/>
          <w:highlight w:val="none"/>
        </w:rPr>
        <w:t>七、本人已认真阅读了上述承诺，并向本单位员工作了宣传教</w:t>
      </w:r>
      <w:r>
        <w:rPr>
          <w:rFonts w:ascii="宋体" w:hAnsi="宋体" w:eastAsia="宋体" w:cs="宋体"/>
          <w:spacing w:val="-1"/>
          <w:sz w:val="24"/>
          <w:szCs w:val="24"/>
          <w:highlight w:val="none"/>
        </w:rPr>
        <w:t>育。</w:t>
      </w:r>
    </w:p>
    <w:p w14:paraId="60DF9B19">
      <w:pPr>
        <w:pStyle w:val="2"/>
        <w:spacing w:line="455" w:lineRule="auto"/>
        <w:rPr>
          <w:highlight w:val="none"/>
        </w:rPr>
      </w:pPr>
    </w:p>
    <w:p w14:paraId="2BF0504B">
      <w:pPr>
        <w:spacing w:before="79" w:line="226" w:lineRule="auto"/>
        <w:rPr>
          <w:rFonts w:ascii="宋体" w:hAnsi="宋体" w:eastAsia="宋体" w:cs="宋体"/>
          <w:sz w:val="24"/>
          <w:szCs w:val="24"/>
          <w:highlight w:val="none"/>
        </w:rPr>
      </w:pPr>
      <w:r>
        <w:rPr>
          <w:rFonts w:ascii="宋体" w:hAnsi="宋体" w:eastAsia="宋体" w:cs="宋体"/>
          <w:spacing w:val="14"/>
          <w:sz w:val="24"/>
          <w:szCs w:val="24"/>
          <w:highlight w:val="none"/>
        </w:rPr>
        <w:t>法定代表人签名：</w:t>
      </w:r>
      <w:r>
        <w:rPr>
          <w:rFonts w:ascii="宋体" w:hAnsi="宋体" w:eastAsia="宋体" w:cs="宋体"/>
          <w:spacing w:val="1"/>
          <w:sz w:val="24"/>
          <w:szCs w:val="24"/>
          <w:highlight w:val="none"/>
        </w:rPr>
        <w:t xml:space="preserve">                          </w:t>
      </w:r>
      <w:r>
        <w:rPr>
          <w:rFonts w:ascii="宋体" w:hAnsi="宋体" w:eastAsia="宋体" w:cs="宋体"/>
          <w:spacing w:val="14"/>
          <w:sz w:val="24"/>
          <w:szCs w:val="24"/>
          <w:highlight w:val="none"/>
        </w:rPr>
        <w:t>企业名称(盖章):</w:t>
      </w:r>
    </w:p>
    <w:p w14:paraId="31A31D28">
      <w:pPr>
        <w:spacing w:before="87" w:line="219" w:lineRule="auto"/>
        <w:ind w:left="6240"/>
        <w:rPr>
          <w:rFonts w:ascii="宋体" w:hAnsi="宋体" w:eastAsia="宋体" w:cs="宋体"/>
          <w:sz w:val="24"/>
          <w:szCs w:val="24"/>
          <w:highlight w:val="none"/>
        </w:rPr>
      </w:pPr>
      <w:r>
        <w:rPr>
          <w:rFonts w:ascii="宋体" w:hAnsi="宋体" w:eastAsia="宋体" w:cs="宋体"/>
          <w:spacing w:val="-9"/>
          <w:sz w:val="24"/>
          <w:szCs w:val="24"/>
          <w:highlight w:val="none"/>
        </w:rPr>
        <w:t>年</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pacing w:val="12"/>
          <w:sz w:val="24"/>
          <w:szCs w:val="24"/>
          <w:highlight w:val="none"/>
        </w:rPr>
        <w:t xml:space="preserve">   </w:t>
      </w:r>
      <w:r>
        <w:rPr>
          <w:rFonts w:ascii="宋体" w:hAnsi="宋体" w:eastAsia="宋体" w:cs="宋体"/>
          <w:spacing w:val="-9"/>
          <w:sz w:val="24"/>
          <w:szCs w:val="24"/>
          <w:highlight w:val="none"/>
        </w:rPr>
        <w:t>日</w:t>
      </w:r>
    </w:p>
    <w:sectPr>
      <w:footerReference r:id="rId304" w:type="default"/>
      <w:pgSz w:w="11910" w:h="16840"/>
      <w:pgMar w:top="400" w:right="1723" w:bottom="1238" w:left="1779" w:header="0" w:footer="100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S Gothic">
    <w:panose1 w:val="020B0609070205080204"/>
    <w:charset w:val="86"/>
    <w:family w:val="auto"/>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font>
  <w:font w:name="LiSu">
    <w:altName w:val="宋体"/>
    <w:panose1 w:val="0201050906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1AC25">
    <w:pPr>
      <w:spacing w:line="166" w:lineRule="auto"/>
      <w:ind w:left="4127"/>
      <w:rPr>
        <w:rFonts w:ascii="Times New Roman" w:hAnsi="Times New Roman" w:eastAsia="Times New Roman" w:cs="Times New Roman"/>
        <w:sz w:val="11"/>
        <w:szCs w:val="11"/>
      </w:rPr>
    </w:pPr>
    <w:r>
      <w:rPr>
        <w:rFonts w:ascii="Times New Roman" w:hAnsi="Times New Roman" w:eastAsia="Times New Roman" w:cs="Times New Roman"/>
        <w:sz w:val="11"/>
        <w:szCs w:val="11"/>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69475">
    <w:pPr>
      <w:spacing w:line="171" w:lineRule="auto"/>
      <w:ind w:left="4093"/>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C0304">
    <w:pPr>
      <w:spacing w:line="174" w:lineRule="auto"/>
      <w:ind w:left="4080"/>
      <w:rPr>
        <w:rFonts w:ascii="Times New Roman" w:hAnsi="Times New Roman" w:eastAsia="Times New Roman" w:cs="Times New Roman"/>
        <w:sz w:val="20"/>
        <w:szCs w:val="20"/>
      </w:rPr>
    </w:pPr>
    <w:r>
      <w:rPr>
        <w:rFonts w:ascii="Times New Roman" w:hAnsi="Times New Roman" w:eastAsia="Times New Roman" w:cs="Times New Roman"/>
        <w:b/>
        <w:bCs/>
        <w:spacing w:val="-5"/>
        <w:w w:val="94"/>
        <w:sz w:val="20"/>
        <w:szCs w:val="20"/>
      </w:rPr>
      <w:t>IV</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61A4F">
    <w:pPr>
      <w:pStyle w:val="2"/>
      <w:spacing w:line="183" w:lineRule="auto"/>
      <w:ind w:left="4093"/>
      <w:rPr>
        <w:sz w:val="17"/>
        <w:szCs w:val="17"/>
      </w:rPr>
    </w:pPr>
    <w:r>
      <w:rPr>
        <w:b/>
        <w:bCs/>
        <w:sz w:val="17"/>
        <w:szCs w:val="17"/>
      </w:rPr>
      <w:t>V</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D5DD5">
    <w:pPr>
      <w:pStyle w:val="2"/>
      <w:spacing w:line="184" w:lineRule="auto"/>
      <w:ind w:left="4093"/>
      <w:rPr>
        <w:sz w:val="17"/>
        <w:szCs w:val="17"/>
      </w:rPr>
    </w:pPr>
    <w:r>
      <w:rPr>
        <w:sz w:val="17"/>
        <w:szCs w:val="17"/>
      </w:rPr>
      <w:t>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E89BF">
    <w:pPr>
      <w:pStyle w:val="2"/>
      <w:spacing w:line="179" w:lineRule="auto"/>
      <w:ind w:left="4103"/>
      <w:rPr>
        <w:sz w:val="13"/>
        <w:szCs w:val="13"/>
      </w:rPr>
    </w:pPr>
    <w:r>
      <w:rPr>
        <w:sz w:val="13"/>
        <w:szCs w:val="13"/>
      </w:rPr>
      <w:t>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B349C">
    <w:pPr>
      <w:pStyle w:val="2"/>
      <w:spacing w:line="167" w:lineRule="exact"/>
      <w:ind w:left="4114"/>
      <w:rPr>
        <w:sz w:val="13"/>
        <w:szCs w:val="13"/>
      </w:rPr>
    </w:pPr>
    <w:r>
      <w:rPr>
        <w:position w:val="1"/>
        <w:sz w:val="13"/>
        <w:szCs w:val="13"/>
      </w:rPr>
      <w:t>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FB7F0">
    <w:pPr>
      <w:pStyle w:val="2"/>
      <w:spacing w:line="167" w:lineRule="exact"/>
      <w:ind w:left="4103"/>
      <w:rPr>
        <w:sz w:val="13"/>
        <w:szCs w:val="13"/>
      </w:rPr>
    </w:pPr>
    <w:r>
      <w:rPr>
        <w:sz w:val="13"/>
        <w:szCs w:val="13"/>
      </w:rPr>
      <w:t>6</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B4424">
    <w:pPr>
      <w:pStyle w:val="2"/>
      <w:spacing w:line="181" w:lineRule="auto"/>
      <w:ind w:left="4104"/>
      <w:rPr>
        <w:sz w:val="17"/>
        <w:szCs w:val="17"/>
      </w:rPr>
    </w:pPr>
    <w:r>
      <w:rPr>
        <w:sz w:val="17"/>
        <w:szCs w:val="17"/>
      </w:rPr>
      <w:t>7</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4841A">
    <w:pPr>
      <w:pStyle w:val="2"/>
      <w:spacing w:line="194" w:lineRule="exact"/>
      <w:ind w:left="4103"/>
      <w:rPr>
        <w:sz w:val="15"/>
        <w:szCs w:val="15"/>
      </w:rPr>
    </w:pPr>
    <w:r>
      <w:rPr>
        <w:position w:val="1"/>
        <w:sz w:val="15"/>
        <w:szCs w:val="15"/>
      </w:rPr>
      <w:t>8</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A1A6B">
    <w:pPr>
      <w:pStyle w:val="2"/>
      <w:spacing w:line="194" w:lineRule="exact"/>
      <w:ind w:left="4244"/>
      <w:rPr>
        <w:sz w:val="15"/>
        <w:szCs w:val="15"/>
      </w:rPr>
    </w:pPr>
    <w:r>
      <w:rPr>
        <w:position w:val="1"/>
        <w:sz w:val="15"/>
        <w:szCs w:val="15"/>
      </w:rPr>
      <w:t>9</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20F5D">
    <w:pPr>
      <w:pStyle w:val="2"/>
      <w:spacing w:line="194" w:lineRule="exact"/>
      <w:ind w:left="4214"/>
      <w:rPr>
        <w:sz w:val="15"/>
        <w:szCs w:val="15"/>
      </w:rPr>
    </w:pPr>
    <w:r>
      <w:rPr>
        <w:spacing w:val="-5"/>
        <w:position w:val="1"/>
        <w:sz w:val="15"/>
        <w:szCs w:val="15"/>
      </w:rPr>
      <w:t>10</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BA4FF">
    <w:pPr>
      <w:pStyle w:val="2"/>
      <w:spacing w:line="182" w:lineRule="auto"/>
      <w:ind w:left="4214"/>
      <w:rPr>
        <w:sz w:val="15"/>
        <w:szCs w:val="15"/>
      </w:rPr>
    </w:pPr>
    <w:r>
      <w:rPr>
        <w:spacing w:val="-5"/>
        <w:sz w:val="15"/>
        <w:szCs w:val="15"/>
      </w:rPr>
      <w:t>11</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89E2E">
    <w:pPr>
      <w:pStyle w:val="2"/>
      <w:spacing w:line="184" w:lineRule="auto"/>
      <w:ind w:left="4214"/>
      <w:rPr>
        <w:sz w:val="17"/>
        <w:szCs w:val="17"/>
      </w:rPr>
    </w:pPr>
    <w:r>
      <w:rPr>
        <w:spacing w:val="-5"/>
        <w:sz w:val="17"/>
        <w:szCs w:val="17"/>
      </w:rPr>
      <w:t>12</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AF54F">
    <w:pPr>
      <w:pStyle w:val="2"/>
      <w:spacing w:line="182" w:lineRule="auto"/>
      <w:ind w:left="4214"/>
      <w:rPr>
        <w:sz w:val="15"/>
        <w:szCs w:val="15"/>
      </w:rPr>
    </w:pPr>
    <w:r>
      <w:rPr>
        <w:spacing w:val="-5"/>
        <w:sz w:val="15"/>
        <w:szCs w:val="15"/>
      </w:rPr>
      <w:t>14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0E5A0">
    <w:pPr>
      <w:pStyle w:val="2"/>
      <w:spacing w:line="194" w:lineRule="exact"/>
      <w:ind w:left="4214"/>
      <w:rPr>
        <w:sz w:val="15"/>
        <w:szCs w:val="15"/>
      </w:rPr>
    </w:pPr>
    <w:r>
      <w:rPr>
        <w:spacing w:val="-5"/>
        <w:position w:val="1"/>
        <w:sz w:val="15"/>
        <w:szCs w:val="15"/>
      </w:rPr>
      <w:t>15</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E1222">
    <w:pPr>
      <w:pStyle w:val="2"/>
      <w:spacing w:line="194" w:lineRule="exact"/>
      <w:ind w:left="4194"/>
      <w:rPr>
        <w:sz w:val="15"/>
        <w:szCs w:val="15"/>
      </w:rPr>
    </w:pPr>
    <w:r>
      <w:rPr>
        <w:spacing w:val="-5"/>
        <w:position w:val="1"/>
        <w:sz w:val="15"/>
        <w:szCs w:val="15"/>
      </w:rPr>
      <w:t>16</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A0349">
    <w:pPr>
      <w:pStyle w:val="2"/>
      <w:spacing w:line="184" w:lineRule="auto"/>
      <w:ind w:left="4204"/>
      <w:rPr>
        <w:sz w:val="17"/>
        <w:szCs w:val="17"/>
      </w:rPr>
    </w:pPr>
    <w:r>
      <w:rPr>
        <w:spacing w:val="-5"/>
        <w:sz w:val="17"/>
        <w:szCs w:val="17"/>
      </w:rPr>
      <w:t>17</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08DF0">
    <w:pPr>
      <w:pStyle w:val="2"/>
      <w:spacing w:line="194" w:lineRule="exact"/>
      <w:ind w:left="4194"/>
      <w:rPr>
        <w:sz w:val="15"/>
        <w:szCs w:val="15"/>
      </w:rPr>
    </w:pPr>
    <w:r>
      <w:rPr>
        <w:spacing w:val="-5"/>
        <w:position w:val="1"/>
        <w:sz w:val="15"/>
        <w:szCs w:val="15"/>
      </w:rPr>
      <w:t>18</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53DDA">
    <w:pPr>
      <w:pStyle w:val="2"/>
      <w:spacing w:line="194" w:lineRule="exact"/>
      <w:ind w:left="4080"/>
      <w:rPr>
        <w:sz w:val="15"/>
        <w:szCs w:val="15"/>
      </w:rPr>
    </w:pPr>
    <w:r>
      <w:rPr>
        <w:spacing w:val="-5"/>
        <w:position w:val="1"/>
        <w:sz w:val="15"/>
        <w:szCs w:val="15"/>
      </w:rPr>
      <w:t>19</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FB075">
    <w:pPr>
      <w:pStyle w:val="2"/>
      <w:spacing w:line="221" w:lineRule="exact"/>
      <w:ind w:left="4070"/>
      <w:rPr>
        <w:sz w:val="17"/>
        <w:szCs w:val="17"/>
      </w:rPr>
    </w:pPr>
    <w:r>
      <w:rPr>
        <w:spacing w:val="-2"/>
        <w:position w:val="1"/>
        <w:sz w:val="17"/>
        <w:szCs w:val="17"/>
      </w:rPr>
      <w:t>20</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E86D2">
    <w:pPr>
      <w:pStyle w:val="2"/>
      <w:spacing w:line="180" w:lineRule="auto"/>
      <w:ind w:left="4070"/>
      <w:rPr>
        <w:sz w:val="13"/>
        <w:szCs w:val="13"/>
      </w:rPr>
    </w:pPr>
    <w:r>
      <w:rPr>
        <w:spacing w:val="-1"/>
        <w:sz w:val="13"/>
        <w:szCs w:val="13"/>
      </w:rPr>
      <w:t>21</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C8EC8">
    <w:pPr>
      <w:pStyle w:val="2"/>
      <w:spacing w:line="184" w:lineRule="auto"/>
      <w:ind w:left="4080"/>
      <w:rPr>
        <w:sz w:val="17"/>
        <w:szCs w:val="17"/>
      </w:rPr>
    </w:pPr>
    <w:r>
      <w:rPr>
        <w:spacing w:val="-2"/>
        <w:sz w:val="17"/>
        <w:szCs w:val="17"/>
      </w:rPr>
      <w:t>22</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92CF2">
    <w:pPr>
      <w:pStyle w:val="2"/>
      <w:spacing w:line="221" w:lineRule="exact"/>
      <w:ind w:left="4080"/>
      <w:rPr>
        <w:sz w:val="17"/>
        <w:szCs w:val="17"/>
      </w:rPr>
    </w:pPr>
    <w:r>
      <w:rPr>
        <w:spacing w:val="-2"/>
        <w:position w:val="1"/>
        <w:sz w:val="17"/>
        <w:szCs w:val="17"/>
      </w:rPr>
      <w:t>23</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0FA07">
    <w:pPr>
      <w:pStyle w:val="2"/>
      <w:spacing w:line="182" w:lineRule="auto"/>
      <w:ind w:left="4080"/>
      <w:rPr>
        <w:sz w:val="15"/>
        <w:szCs w:val="15"/>
      </w:rPr>
    </w:pPr>
    <w:r>
      <w:rPr>
        <w:spacing w:val="-2"/>
        <w:sz w:val="15"/>
        <w:szCs w:val="15"/>
      </w:rPr>
      <w:t>24</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F289F">
    <w:pPr>
      <w:pStyle w:val="2"/>
      <w:spacing w:line="221" w:lineRule="exact"/>
      <w:ind w:left="4080"/>
      <w:rPr>
        <w:sz w:val="17"/>
        <w:szCs w:val="17"/>
      </w:rPr>
    </w:pPr>
    <w:r>
      <w:rPr>
        <w:spacing w:val="-2"/>
        <w:position w:val="1"/>
        <w:sz w:val="17"/>
        <w:szCs w:val="17"/>
      </w:rPr>
      <w:t>25</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64247">
    <w:pPr>
      <w:pStyle w:val="2"/>
      <w:spacing w:line="194" w:lineRule="exact"/>
      <w:ind w:left="4080"/>
      <w:rPr>
        <w:sz w:val="15"/>
        <w:szCs w:val="15"/>
      </w:rPr>
    </w:pPr>
    <w:r>
      <w:rPr>
        <w:spacing w:val="-2"/>
        <w:position w:val="1"/>
        <w:sz w:val="15"/>
        <w:szCs w:val="15"/>
      </w:rPr>
      <w:t>26</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E939B">
    <w:pPr>
      <w:pStyle w:val="2"/>
      <w:spacing w:line="184" w:lineRule="auto"/>
      <w:ind w:left="4084"/>
      <w:rPr>
        <w:sz w:val="17"/>
        <w:szCs w:val="17"/>
      </w:rPr>
    </w:pPr>
    <w:r>
      <w:rPr>
        <w:spacing w:val="-2"/>
        <w:sz w:val="17"/>
        <w:szCs w:val="17"/>
      </w:rPr>
      <w:t>27</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47034">
    <w:pPr>
      <w:pStyle w:val="2"/>
      <w:spacing w:line="194" w:lineRule="exact"/>
      <w:ind w:left="4080"/>
      <w:rPr>
        <w:sz w:val="15"/>
        <w:szCs w:val="15"/>
      </w:rPr>
    </w:pPr>
    <w:r>
      <w:rPr>
        <w:spacing w:val="-2"/>
        <w:position w:val="1"/>
        <w:sz w:val="15"/>
        <w:szCs w:val="15"/>
      </w:rPr>
      <w:t>28</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96F9D">
    <w:pPr>
      <w:pStyle w:val="2"/>
      <w:spacing w:line="221" w:lineRule="exact"/>
      <w:ind w:left="4070"/>
      <w:rPr>
        <w:sz w:val="17"/>
        <w:szCs w:val="17"/>
      </w:rPr>
    </w:pPr>
    <w:r>
      <w:rPr>
        <w:spacing w:val="-2"/>
        <w:position w:val="1"/>
        <w:sz w:val="17"/>
        <w:szCs w:val="17"/>
      </w:rPr>
      <w:t>29</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C1913">
    <w:pPr>
      <w:pStyle w:val="2"/>
      <w:spacing w:line="221" w:lineRule="exact"/>
      <w:ind w:left="4080"/>
      <w:rPr>
        <w:sz w:val="17"/>
        <w:szCs w:val="17"/>
      </w:rPr>
    </w:pPr>
    <w:r>
      <w:rPr>
        <w:spacing w:val="-2"/>
        <w:position w:val="1"/>
        <w:sz w:val="17"/>
        <w:szCs w:val="17"/>
      </w:rPr>
      <w:t>30</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EBFB9">
    <w:pPr>
      <w:pStyle w:val="2"/>
      <w:spacing w:line="194" w:lineRule="exact"/>
      <w:ind w:left="4080"/>
      <w:rPr>
        <w:sz w:val="15"/>
        <w:szCs w:val="15"/>
      </w:rPr>
    </w:pPr>
    <w:r>
      <w:rPr>
        <w:spacing w:val="-2"/>
        <w:position w:val="1"/>
        <w:sz w:val="15"/>
        <w:szCs w:val="15"/>
      </w:rPr>
      <w:t>31</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51432">
    <w:pPr>
      <w:pStyle w:val="2"/>
      <w:spacing w:line="221" w:lineRule="exact"/>
      <w:ind w:left="4080"/>
      <w:rPr>
        <w:sz w:val="17"/>
        <w:szCs w:val="17"/>
      </w:rPr>
    </w:pPr>
    <w:r>
      <w:rPr>
        <w:spacing w:val="-2"/>
        <w:position w:val="1"/>
        <w:sz w:val="17"/>
        <w:szCs w:val="17"/>
      </w:rPr>
      <w:t>32</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0939C">
    <w:pPr>
      <w:pStyle w:val="2"/>
      <w:spacing w:line="194" w:lineRule="exact"/>
      <w:ind w:left="4063"/>
      <w:rPr>
        <w:sz w:val="15"/>
        <w:szCs w:val="15"/>
      </w:rPr>
    </w:pPr>
    <w:r>
      <w:rPr>
        <w:spacing w:val="-2"/>
        <w:position w:val="1"/>
        <w:sz w:val="15"/>
        <w:szCs w:val="15"/>
      </w:rPr>
      <w:t>33</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4C799">
    <w:pPr>
      <w:pStyle w:val="2"/>
      <w:spacing w:line="194" w:lineRule="exact"/>
      <w:ind w:left="4164"/>
      <w:rPr>
        <w:sz w:val="15"/>
        <w:szCs w:val="15"/>
      </w:rPr>
    </w:pPr>
    <w:r>
      <w:rPr>
        <w:spacing w:val="-2"/>
        <w:position w:val="1"/>
        <w:sz w:val="15"/>
        <w:szCs w:val="15"/>
      </w:rPr>
      <w:t>34</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B40C1">
    <w:pPr>
      <w:pStyle w:val="2"/>
      <w:spacing w:line="194" w:lineRule="exact"/>
      <w:ind w:left="4174"/>
      <w:rPr>
        <w:sz w:val="15"/>
        <w:szCs w:val="15"/>
      </w:rPr>
    </w:pPr>
    <w:r>
      <w:rPr>
        <w:spacing w:val="-2"/>
        <w:position w:val="1"/>
        <w:sz w:val="15"/>
        <w:szCs w:val="15"/>
      </w:rPr>
      <w:t>35</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41122">
    <w:pPr>
      <w:pStyle w:val="2"/>
      <w:spacing w:line="194" w:lineRule="exact"/>
      <w:ind w:left="4174"/>
      <w:rPr>
        <w:sz w:val="15"/>
        <w:szCs w:val="15"/>
      </w:rPr>
    </w:pPr>
    <w:r>
      <w:rPr>
        <w:spacing w:val="-2"/>
        <w:position w:val="1"/>
        <w:sz w:val="15"/>
        <w:szCs w:val="15"/>
      </w:rPr>
      <w:t>36</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0A2C4">
    <w:pPr>
      <w:pStyle w:val="2"/>
      <w:spacing w:line="221" w:lineRule="exact"/>
      <w:ind w:left="4070"/>
      <w:rPr>
        <w:sz w:val="17"/>
        <w:szCs w:val="17"/>
      </w:rPr>
    </w:pPr>
    <w:r>
      <w:rPr>
        <w:spacing w:val="-2"/>
        <w:position w:val="1"/>
        <w:sz w:val="17"/>
        <w:szCs w:val="17"/>
      </w:rPr>
      <w:t>37</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AC21B">
    <w:pPr>
      <w:pStyle w:val="2"/>
      <w:spacing w:line="194" w:lineRule="exact"/>
      <w:ind w:left="4174"/>
      <w:rPr>
        <w:sz w:val="15"/>
        <w:szCs w:val="15"/>
      </w:rPr>
    </w:pPr>
    <w:r>
      <w:rPr>
        <w:spacing w:val="-2"/>
        <w:position w:val="1"/>
        <w:sz w:val="15"/>
        <w:szCs w:val="15"/>
      </w:rPr>
      <w:t>38</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C99A5">
    <w:pPr>
      <w:pStyle w:val="2"/>
      <w:spacing w:line="221" w:lineRule="exact"/>
      <w:ind w:left="4174"/>
      <w:rPr>
        <w:sz w:val="17"/>
        <w:szCs w:val="17"/>
      </w:rPr>
    </w:pPr>
    <w:r>
      <w:rPr>
        <w:spacing w:val="-2"/>
        <w:position w:val="1"/>
        <w:sz w:val="17"/>
        <w:szCs w:val="17"/>
      </w:rPr>
      <w:t>39</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3B248">
    <w:pPr>
      <w:spacing w:line="231" w:lineRule="auto"/>
      <w:ind w:left="4060"/>
      <w:rPr>
        <w:rFonts w:ascii="宋体" w:hAnsi="宋体" w:eastAsia="宋体" w:cs="宋体"/>
        <w:sz w:val="20"/>
        <w:szCs w:val="20"/>
      </w:rPr>
    </w:pPr>
    <w:r>
      <w:rPr>
        <w:rFonts w:ascii="宋体" w:hAnsi="宋体" w:eastAsia="宋体" w:cs="宋体"/>
        <w:spacing w:val="-2"/>
        <w:sz w:val="20"/>
        <w:szCs w:val="20"/>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7FE71">
    <w:pPr>
      <w:spacing w:line="231" w:lineRule="auto"/>
      <w:ind w:left="4043"/>
      <w:rPr>
        <w:rFonts w:ascii="宋体" w:hAnsi="宋体" w:eastAsia="宋体" w:cs="宋体"/>
        <w:sz w:val="20"/>
        <w:szCs w:val="20"/>
      </w:rPr>
    </w:pPr>
    <w:r>
      <w:rPr>
        <w:rFonts w:ascii="宋体" w:hAnsi="宋体" w:eastAsia="宋体" w:cs="宋体"/>
        <w:spacing w:val="-2"/>
        <w:sz w:val="20"/>
        <w:szCs w:val="20"/>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00900">
    <w:pPr>
      <w:pStyle w:val="2"/>
      <w:spacing w:line="221" w:lineRule="exact"/>
      <w:ind w:left="4144"/>
      <w:rPr>
        <w:sz w:val="17"/>
        <w:szCs w:val="17"/>
      </w:rPr>
    </w:pPr>
    <w:r>
      <w:rPr>
        <w:spacing w:val="-1"/>
        <w:position w:val="1"/>
        <w:sz w:val="17"/>
        <w:szCs w:val="17"/>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7A62C">
    <w:pPr>
      <w:pStyle w:val="2"/>
      <w:spacing w:line="182" w:lineRule="auto"/>
      <w:ind w:left="4075"/>
      <w:rPr>
        <w:sz w:val="15"/>
        <w:szCs w:val="15"/>
      </w:rPr>
    </w:pPr>
    <w:r>
      <w:rPr>
        <w:spacing w:val="-1"/>
        <w:sz w:val="15"/>
        <w:szCs w:val="15"/>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A37A5">
    <w:pPr>
      <w:spacing w:line="230" w:lineRule="auto"/>
      <w:ind w:left="4049"/>
      <w:rPr>
        <w:rFonts w:ascii="宋体" w:hAnsi="宋体" w:eastAsia="宋体" w:cs="宋体"/>
        <w:sz w:val="21"/>
        <w:szCs w:val="21"/>
      </w:rPr>
    </w:pPr>
    <w:r>
      <w:rPr>
        <w:rFonts w:ascii="宋体" w:hAnsi="宋体" w:eastAsia="宋体" w:cs="宋体"/>
        <w:spacing w:val="-2"/>
        <w:sz w:val="21"/>
        <w:szCs w:val="21"/>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1FE1C">
    <w:pPr>
      <w:pStyle w:val="2"/>
      <w:spacing w:line="167" w:lineRule="exact"/>
      <w:ind w:left="4099"/>
      <w:rPr>
        <w:sz w:val="13"/>
        <w:szCs w:val="13"/>
      </w:rPr>
    </w:pPr>
    <w:r>
      <w:rPr>
        <w:spacing w:val="-1"/>
        <w:sz w:val="13"/>
        <w:szCs w:val="13"/>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ADD64">
    <w:pPr>
      <w:pStyle w:val="2"/>
      <w:spacing w:line="183" w:lineRule="auto"/>
      <w:ind w:left="4059"/>
      <w:rPr>
        <w:sz w:val="17"/>
        <w:szCs w:val="17"/>
      </w:rPr>
    </w:pPr>
    <w:r>
      <w:rPr>
        <w:spacing w:val="-1"/>
        <w:sz w:val="17"/>
        <w:szCs w:val="17"/>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E08BD">
    <w:pPr>
      <w:pStyle w:val="2"/>
      <w:spacing w:line="194" w:lineRule="exact"/>
      <w:ind w:left="4063"/>
      <w:rPr>
        <w:sz w:val="15"/>
        <w:szCs w:val="15"/>
      </w:rPr>
    </w:pPr>
    <w:r>
      <w:rPr>
        <w:spacing w:val="-1"/>
        <w:position w:val="1"/>
        <w:sz w:val="15"/>
        <w:szCs w:val="15"/>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9A1D2">
    <w:pPr>
      <w:spacing w:line="231" w:lineRule="auto"/>
      <w:ind w:left="4070"/>
      <w:rPr>
        <w:rFonts w:ascii="宋体" w:hAnsi="宋体" w:eastAsia="宋体" w:cs="宋体"/>
        <w:sz w:val="22"/>
        <w:szCs w:val="22"/>
      </w:rPr>
    </w:pPr>
    <w:r>
      <w:rPr>
        <w:rFonts w:ascii="宋体" w:hAnsi="宋体" w:eastAsia="宋体" w:cs="宋体"/>
        <w:spacing w:val="-8"/>
        <w:sz w:val="22"/>
        <w:szCs w:val="22"/>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D263E">
    <w:pPr>
      <w:spacing w:line="230" w:lineRule="auto"/>
      <w:ind w:left="4070"/>
      <w:rPr>
        <w:rFonts w:ascii="宋体" w:hAnsi="宋体" w:eastAsia="宋体" w:cs="宋体"/>
        <w:sz w:val="20"/>
        <w:szCs w:val="20"/>
      </w:rPr>
    </w:pPr>
    <w:r>
      <w:rPr>
        <w:rFonts w:ascii="宋体" w:hAnsi="宋体" w:eastAsia="宋体" w:cs="宋体"/>
        <w:spacing w:val="-3"/>
        <w:sz w:val="20"/>
        <w:szCs w:val="20"/>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E1D61">
    <w:pPr>
      <w:spacing w:line="230" w:lineRule="auto"/>
      <w:ind w:left="4070"/>
      <w:rPr>
        <w:rFonts w:ascii="宋体" w:hAnsi="宋体" w:eastAsia="宋体" w:cs="宋体"/>
        <w:sz w:val="21"/>
        <w:szCs w:val="21"/>
      </w:rPr>
    </w:pPr>
    <w:r>
      <w:rPr>
        <w:rFonts w:ascii="宋体" w:hAnsi="宋体" w:eastAsia="宋体" w:cs="宋体"/>
        <w:spacing w:val="-4"/>
        <w:sz w:val="21"/>
        <w:szCs w:val="21"/>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555CC">
    <w:pPr>
      <w:pStyle w:val="2"/>
      <w:spacing w:line="194" w:lineRule="exact"/>
      <w:ind w:left="4184"/>
      <w:rPr>
        <w:sz w:val="15"/>
        <w:szCs w:val="15"/>
      </w:rPr>
    </w:pPr>
    <w:r>
      <w:rPr>
        <w:spacing w:val="-2"/>
        <w:position w:val="1"/>
        <w:sz w:val="15"/>
        <w:szCs w:val="15"/>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D92C2">
    <w:pPr>
      <w:pStyle w:val="2"/>
      <w:spacing w:line="194" w:lineRule="exact"/>
      <w:ind w:left="4164"/>
      <w:rPr>
        <w:sz w:val="15"/>
        <w:szCs w:val="15"/>
      </w:rPr>
    </w:pPr>
    <w:r>
      <w:rPr>
        <w:spacing w:val="-2"/>
        <w:position w:val="1"/>
        <w:sz w:val="15"/>
        <w:szCs w:val="15"/>
      </w:rPr>
      <w:t>53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77CCF">
    <w:pPr>
      <w:pStyle w:val="2"/>
      <w:spacing w:line="167" w:lineRule="exact"/>
      <w:ind w:left="4184"/>
      <w:rPr>
        <w:sz w:val="13"/>
        <w:szCs w:val="13"/>
      </w:rPr>
    </w:pPr>
    <w:r>
      <w:rPr>
        <w:spacing w:val="-2"/>
        <w:sz w:val="13"/>
        <w:szCs w:val="13"/>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340F6">
    <w:pPr>
      <w:pStyle w:val="2"/>
      <w:spacing w:line="194" w:lineRule="exact"/>
      <w:ind w:left="4184"/>
      <w:rPr>
        <w:sz w:val="15"/>
        <w:szCs w:val="15"/>
      </w:rPr>
    </w:pPr>
    <w:r>
      <w:rPr>
        <w:spacing w:val="-2"/>
        <w:position w:val="1"/>
        <w:sz w:val="15"/>
        <w:szCs w:val="15"/>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25D95">
    <w:pPr>
      <w:pStyle w:val="2"/>
      <w:spacing w:line="194" w:lineRule="exact"/>
      <w:ind w:left="4184"/>
      <w:rPr>
        <w:sz w:val="15"/>
        <w:szCs w:val="15"/>
      </w:rPr>
    </w:pPr>
    <w:r>
      <w:rPr>
        <w:spacing w:val="-2"/>
        <w:position w:val="1"/>
        <w:sz w:val="15"/>
        <w:szCs w:val="15"/>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FC36A">
    <w:pPr>
      <w:pStyle w:val="2"/>
      <w:spacing w:line="194" w:lineRule="exact"/>
      <w:ind w:left="4164"/>
      <w:rPr>
        <w:sz w:val="15"/>
        <w:szCs w:val="15"/>
      </w:rPr>
    </w:pPr>
    <w:r>
      <w:rPr>
        <w:spacing w:val="-2"/>
        <w:position w:val="1"/>
        <w:sz w:val="15"/>
        <w:szCs w:val="15"/>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63529">
    <w:pPr>
      <w:pStyle w:val="2"/>
      <w:spacing w:line="194" w:lineRule="exact"/>
      <w:ind w:left="4075"/>
      <w:rPr>
        <w:sz w:val="15"/>
        <w:szCs w:val="15"/>
      </w:rPr>
    </w:pPr>
    <w:r>
      <w:rPr>
        <w:spacing w:val="-2"/>
        <w:position w:val="1"/>
        <w:sz w:val="15"/>
        <w:szCs w:val="15"/>
      </w:rPr>
      <w:t>58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ABDB5">
    <w:pPr>
      <w:pStyle w:val="2"/>
      <w:spacing w:line="194" w:lineRule="exact"/>
      <w:ind w:left="4080"/>
      <w:rPr>
        <w:sz w:val="15"/>
        <w:szCs w:val="15"/>
      </w:rPr>
    </w:pPr>
    <w:r>
      <w:rPr>
        <w:spacing w:val="-2"/>
        <w:position w:val="1"/>
        <w:sz w:val="15"/>
        <w:szCs w:val="15"/>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5FA65">
    <w:pPr>
      <w:pStyle w:val="2"/>
      <w:spacing w:line="194" w:lineRule="exact"/>
      <w:ind w:left="4070"/>
      <w:rPr>
        <w:sz w:val="15"/>
        <w:szCs w:val="15"/>
      </w:rPr>
    </w:pPr>
    <w:r>
      <w:rPr>
        <w:spacing w:val="-2"/>
        <w:position w:val="1"/>
        <w:sz w:val="15"/>
        <w:szCs w:val="15"/>
      </w:rPr>
      <w:t>60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8B712">
    <w:pPr>
      <w:pStyle w:val="2"/>
      <w:spacing w:line="194" w:lineRule="exact"/>
      <w:ind w:left="4070"/>
      <w:rPr>
        <w:sz w:val="15"/>
        <w:szCs w:val="15"/>
      </w:rPr>
    </w:pPr>
    <w:r>
      <w:rPr>
        <w:spacing w:val="-2"/>
        <w:position w:val="1"/>
        <w:sz w:val="15"/>
        <w:szCs w:val="15"/>
      </w:rPr>
      <w:t>61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48C4E">
    <w:pPr>
      <w:pStyle w:val="2"/>
      <w:spacing w:line="194" w:lineRule="exact"/>
      <w:ind w:left="4070"/>
      <w:rPr>
        <w:sz w:val="15"/>
        <w:szCs w:val="15"/>
      </w:rPr>
    </w:pPr>
    <w:r>
      <w:rPr>
        <w:spacing w:val="-2"/>
        <w:position w:val="1"/>
        <w:sz w:val="15"/>
        <w:szCs w:val="15"/>
      </w:rPr>
      <w:t>62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044CC">
    <w:pPr>
      <w:pStyle w:val="2"/>
      <w:spacing w:line="194" w:lineRule="exact"/>
      <w:ind w:left="4080"/>
      <w:rPr>
        <w:sz w:val="15"/>
        <w:szCs w:val="15"/>
      </w:rPr>
    </w:pPr>
    <w:r>
      <w:rPr>
        <w:spacing w:val="-2"/>
        <w:position w:val="1"/>
        <w:sz w:val="15"/>
        <w:szCs w:val="15"/>
      </w:rPr>
      <w:t>63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9F977">
    <w:pPr>
      <w:spacing w:line="230" w:lineRule="auto"/>
      <w:ind w:left="4070"/>
      <w:rPr>
        <w:rFonts w:ascii="宋体" w:hAnsi="宋体" w:eastAsia="宋体" w:cs="宋体"/>
        <w:sz w:val="21"/>
        <w:szCs w:val="21"/>
      </w:rPr>
    </w:pPr>
    <w:r>
      <w:rPr>
        <w:rFonts w:ascii="宋体" w:hAnsi="宋体" w:eastAsia="宋体" w:cs="宋体"/>
        <w:spacing w:val="-3"/>
        <w:sz w:val="21"/>
        <w:szCs w:val="21"/>
      </w:rPr>
      <w:t>64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452EB">
    <w:pPr>
      <w:pStyle w:val="2"/>
      <w:spacing w:line="194" w:lineRule="exact"/>
      <w:ind w:left="4169"/>
      <w:rPr>
        <w:sz w:val="15"/>
        <w:szCs w:val="15"/>
      </w:rPr>
    </w:pPr>
    <w:r>
      <w:rPr>
        <w:spacing w:val="-2"/>
        <w:position w:val="1"/>
        <w:sz w:val="15"/>
        <w:szCs w:val="15"/>
      </w:rPr>
      <w:t>65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CF3E4">
    <w:pPr>
      <w:pStyle w:val="2"/>
      <w:spacing w:line="194" w:lineRule="exact"/>
      <w:ind w:left="4179"/>
      <w:rPr>
        <w:sz w:val="15"/>
        <w:szCs w:val="15"/>
      </w:rPr>
    </w:pPr>
    <w:r>
      <w:rPr>
        <w:spacing w:val="-2"/>
        <w:position w:val="1"/>
        <w:sz w:val="15"/>
        <w:szCs w:val="15"/>
      </w:rPr>
      <w:t>66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25163">
    <w:pPr>
      <w:pStyle w:val="2"/>
      <w:spacing w:line="194" w:lineRule="exact"/>
      <w:ind w:left="4070"/>
      <w:rPr>
        <w:sz w:val="15"/>
        <w:szCs w:val="15"/>
      </w:rPr>
    </w:pPr>
    <w:r>
      <w:rPr>
        <w:spacing w:val="-2"/>
        <w:position w:val="1"/>
        <w:sz w:val="15"/>
        <w:szCs w:val="15"/>
      </w:rPr>
      <w:t>67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9D0E5">
    <w:pPr>
      <w:pStyle w:val="2"/>
      <w:spacing w:line="194" w:lineRule="exact"/>
      <w:ind w:left="4070"/>
      <w:rPr>
        <w:sz w:val="15"/>
        <w:szCs w:val="15"/>
      </w:rPr>
    </w:pPr>
    <w:r>
      <w:rPr>
        <w:spacing w:val="-2"/>
        <w:position w:val="1"/>
        <w:sz w:val="15"/>
        <w:szCs w:val="15"/>
      </w:rPr>
      <w:t>68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5A046">
    <w:pPr>
      <w:pStyle w:val="2"/>
      <w:spacing w:line="194" w:lineRule="exact"/>
      <w:ind w:left="4070"/>
      <w:rPr>
        <w:sz w:val="15"/>
        <w:szCs w:val="15"/>
      </w:rPr>
    </w:pPr>
    <w:r>
      <w:rPr>
        <w:spacing w:val="-2"/>
        <w:position w:val="1"/>
        <w:sz w:val="15"/>
        <w:szCs w:val="15"/>
      </w:rPr>
      <w:t>69</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655BA">
    <w:pPr>
      <w:pStyle w:val="2"/>
      <w:spacing w:line="221" w:lineRule="exact"/>
      <w:ind w:left="4080"/>
      <w:rPr>
        <w:sz w:val="17"/>
        <w:szCs w:val="17"/>
      </w:rPr>
    </w:pPr>
    <w:r>
      <w:rPr>
        <w:spacing w:val="-3"/>
        <w:position w:val="1"/>
        <w:sz w:val="17"/>
        <w:szCs w:val="17"/>
      </w:rPr>
      <w:t>70</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C69FB">
    <w:pPr>
      <w:pStyle w:val="2"/>
      <w:spacing w:line="184" w:lineRule="auto"/>
      <w:ind w:left="4070"/>
      <w:rPr>
        <w:sz w:val="17"/>
        <w:szCs w:val="17"/>
      </w:rPr>
    </w:pPr>
    <w:r>
      <w:rPr>
        <w:spacing w:val="-3"/>
        <w:sz w:val="17"/>
        <w:szCs w:val="17"/>
      </w:rPr>
      <w:t>71</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D56DC">
    <w:pPr>
      <w:pStyle w:val="2"/>
      <w:spacing w:line="184" w:lineRule="auto"/>
      <w:ind w:left="4070"/>
      <w:rPr>
        <w:sz w:val="17"/>
        <w:szCs w:val="17"/>
      </w:rPr>
    </w:pPr>
    <w:r>
      <w:rPr>
        <w:spacing w:val="-3"/>
        <w:sz w:val="17"/>
        <w:szCs w:val="17"/>
      </w:rPr>
      <w:t>72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8A3E5">
    <w:pPr>
      <w:pStyle w:val="2"/>
      <w:spacing w:line="221" w:lineRule="exact"/>
      <w:ind w:left="4080"/>
      <w:rPr>
        <w:sz w:val="17"/>
        <w:szCs w:val="17"/>
      </w:rPr>
    </w:pPr>
    <w:r>
      <w:rPr>
        <w:spacing w:val="-3"/>
        <w:position w:val="1"/>
        <w:sz w:val="17"/>
        <w:szCs w:val="17"/>
      </w:rPr>
      <w:t>73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98DB3">
    <w:pPr>
      <w:pStyle w:val="2"/>
      <w:spacing w:line="182" w:lineRule="auto"/>
      <w:ind w:left="4070"/>
      <w:rPr>
        <w:sz w:val="15"/>
        <w:szCs w:val="15"/>
      </w:rPr>
    </w:pPr>
    <w:r>
      <w:rPr>
        <w:spacing w:val="-2"/>
        <w:sz w:val="15"/>
        <w:szCs w:val="15"/>
      </w:rPr>
      <w:t>74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1FF6C">
    <w:pPr>
      <w:pStyle w:val="2"/>
      <w:spacing w:line="221" w:lineRule="exact"/>
      <w:ind w:left="4070"/>
      <w:rPr>
        <w:sz w:val="17"/>
        <w:szCs w:val="17"/>
      </w:rPr>
    </w:pPr>
    <w:r>
      <w:rPr>
        <w:spacing w:val="-3"/>
        <w:position w:val="1"/>
        <w:sz w:val="17"/>
        <w:szCs w:val="17"/>
      </w:rPr>
      <w:t>75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892C8">
    <w:pPr>
      <w:pStyle w:val="2"/>
      <w:spacing w:line="221" w:lineRule="exact"/>
      <w:ind w:left="4080"/>
      <w:rPr>
        <w:sz w:val="17"/>
        <w:szCs w:val="17"/>
      </w:rPr>
    </w:pPr>
    <w:r>
      <w:rPr>
        <w:spacing w:val="-3"/>
        <w:position w:val="1"/>
        <w:sz w:val="17"/>
        <w:szCs w:val="17"/>
      </w:rPr>
      <w:t>76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64C03">
    <w:pPr>
      <w:pStyle w:val="2"/>
      <w:spacing w:line="181" w:lineRule="auto"/>
      <w:ind w:left="4080"/>
      <w:rPr>
        <w:sz w:val="17"/>
        <w:szCs w:val="17"/>
      </w:rPr>
    </w:pPr>
    <w:r>
      <w:rPr>
        <w:spacing w:val="-3"/>
        <w:sz w:val="17"/>
        <w:szCs w:val="17"/>
      </w:rPr>
      <w:t>77</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34B06">
    <w:pPr>
      <w:pStyle w:val="2"/>
      <w:spacing w:line="221" w:lineRule="exact"/>
      <w:ind w:left="4080"/>
      <w:rPr>
        <w:sz w:val="17"/>
        <w:szCs w:val="17"/>
      </w:rPr>
    </w:pPr>
    <w:r>
      <w:rPr>
        <w:spacing w:val="-3"/>
        <w:position w:val="1"/>
        <w:sz w:val="17"/>
        <w:szCs w:val="17"/>
      </w:rPr>
      <w:t>78</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DAE36">
    <w:pPr>
      <w:pStyle w:val="2"/>
      <w:spacing w:line="221" w:lineRule="exact"/>
      <w:ind w:left="4080"/>
      <w:rPr>
        <w:sz w:val="17"/>
        <w:szCs w:val="17"/>
      </w:rPr>
    </w:pPr>
    <w:r>
      <w:rPr>
        <w:spacing w:val="-3"/>
        <w:position w:val="1"/>
        <w:sz w:val="17"/>
        <w:szCs w:val="17"/>
      </w:rPr>
      <w:t>79</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D6A4A">
    <w:pPr>
      <w:pStyle w:val="2"/>
      <w:spacing w:line="194" w:lineRule="exact"/>
      <w:ind w:left="4080"/>
      <w:rPr>
        <w:sz w:val="15"/>
        <w:szCs w:val="15"/>
      </w:rPr>
    </w:pPr>
    <w:r>
      <w:rPr>
        <w:spacing w:val="-2"/>
        <w:position w:val="1"/>
        <w:sz w:val="15"/>
        <w:szCs w:val="15"/>
      </w:rPr>
      <w:t>80</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8B349">
    <w:pPr>
      <w:pStyle w:val="2"/>
      <w:spacing w:line="194" w:lineRule="exact"/>
      <w:ind w:left="4080"/>
      <w:rPr>
        <w:sz w:val="15"/>
        <w:szCs w:val="15"/>
      </w:rPr>
    </w:pPr>
    <w:r>
      <w:rPr>
        <w:spacing w:val="-2"/>
        <w:position w:val="1"/>
        <w:sz w:val="15"/>
        <w:szCs w:val="15"/>
      </w:rPr>
      <w:t>81</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BDE3A">
    <w:pPr>
      <w:pStyle w:val="2"/>
      <w:spacing w:line="194" w:lineRule="exact"/>
      <w:ind w:left="4080"/>
      <w:rPr>
        <w:sz w:val="15"/>
        <w:szCs w:val="15"/>
      </w:rPr>
    </w:pPr>
    <w:r>
      <w:rPr>
        <w:spacing w:val="-2"/>
        <w:position w:val="1"/>
        <w:sz w:val="15"/>
        <w:szCs w:val="15"/>
      </w:rPr>
      <w:t>82</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FD43C">
    <w:pPr>
      <w:pStyle w:val="2"/>
      <w:spacing w:line="221" w:lineRule="exact"/>
      <w:ind w:left="4080"/>
      <w:rPr>
        <w:sz w:val="17"/>
        <w:szCs w:val="17"/>
      </w:rPr>
    </w:pPr>
    <w:r>
      <w:rPr>
        <w:spacing w:val="-2"/>
        <w:position w:val="1"/>
        <w:sz w:val="17"/>
        <w:szCs w:val="17"/>
      </w:rPr>
      <w:t>83</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4D168">
    <w:pPr>
      <w:pStyle w:val="2"/>
      <w:spacing w:line="180" w:lineRule="auto"/>
      <w:ind w:left="4080"/>
      <w:rPr>
        <w:sz w:val="13"/>
        <w:szCs w:val="13"/>
      </w:rPr>
    </w:pPr>
    <w:r>
      <w:rPr>
        <w:b/>
        <w:bCs/>
        <w:spacing w:val="-2"/>
        <w:sz w:val="13"/>
        <w:szCs w:val="13"/>
      </w:rPr>
      <w:t>84</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56042">
    <w:pPr>
      <w:pStyle w:val="2"/>
      <w:spacing w:line="194" w:lineRule="exact"/>
      <w:ind w:left="4080"/>
      <w:rPr>
        <w:sz w:val="15"/>
        <w:szCs w:val="15"/>
      </w:rPr>
    </w:pPr>
    <w:r>
      <w:rPr>
        <w:spacing w:val="-2"/>
        <w:position w:val="1"/>
        <w:sz w:val="15"/>
        <w:szCs w:val="15"/>
      </w:rPr>
      <w:t>85</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867D0">
    <w:pPr>
      <w:pStyle w:val="2"/>
      <w:spacing w:line="194" w:lineRule="exact"/>
      <w:ind w:left="4070"/>
      <w:rPr>
        <w:sz w:val="15"/>
        <w:szCs w:val="15"/>
      </w:rPr>
    </w:pPr>
    <w:r>
      <w:rPr>
        <w:spacing w:val="-2"/>
        <w:position w:val="1"/>
        <w:sz w:val="15"/>
        <w:szCs w:val="15"/>
      </w:rPr>
      <w:t>86</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79A7B">
    <w:pPr>
      <w:pStyle w:val="2"/>
      <w:spacing w:line="194" w:lineRule="exact"/>
      <w:ind w:left="4080"/>
      <w:rPr>
        <w:sz w:val="15"/>
        <w:szCs w:val="15"/>
      </w:rPr>
    </w:pPr>
    <w:r>
      <w:rPr>
        <w:spacing w:val="-2"/>
        <w:position w:val="1"/>
        <w:sz w:val="15"/>
        <w:szCs w:val="15"/>
      </w:rPr>
      <w:t>87</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D2EA3">
    <w:pPr>
      <w:pStyle w:val="2"/>
      <w:spacing w:line="194" w:lineRule="exact"/>
      <w:ind w:left="4080"/>
      <w:rPr>
        <w:sz w:val="15"/>
        <w:szCs w:val="15"/>
      </w:rPr>
    </w:pPr>
    <w:r>
      <w:rPr>
        <w:spacing w:val="-2"/>
        <w:position w:val="1"/>
        <w:sz w:val="15"/>
        <w:szCs w:val="15"/>
      </w:rPr>
      <w:t>88</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47E68">
    <w:pPr>
      <w:pStyle w:val="2"/>
      <w:spacing w:line="194" w:lineRule="exact"/>
      <w:ind w:left="4080"/>
      <w:rPr>
        <w:sz w:val="15"/>
        <w:szCs w:val="15"/>
      </w:rPr>
    </w:pPr>
    <w:r>
      <w:rPr>
        <w:spacing w:val="-2"/>
        <w:position w:val="1"/>
        <w:sz w:val="15"/>
        <w:szCs w:val="15"/>
      </w:rPr>
      <w:t>89</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99099">
    <w:pPr>
      <w:pStyle w:val="2"/>
      <w:spacing w:line="221" w:lineRule="exact"/>
      <w:ind w:left="4080"/>
      <w:rPr>
        <w:sz w:val="17"/>
        <w:szCs w:val="17"/>
      </w:rPr>
    </w:pPr>
    <w:r>
      <w:rPr>
        <w:spacing w:val="-2"/>
        <w:position w:val="1"/>
        <w:sz w:val="17"/>
        <w:szCs w:val="17"/>
      </w:rPr>
      <w:t>90</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83A9C">
    <w:pPr>
      <w:pStyle w:val="2"/>
      <w:spacing w:line="194" w:lineRule="exact"/>
      <w:ind w:left="4080"/>
      <w:rPr>
        <w:sz w:val="15"/>
        <w:szCs w:val="15"/>
      </w:rPr>
    </w:pPr>
    <w:r>
      <w:rPr>
        <w:spacing w:val="-2"/>
        <w:position w:val="1"/>
        <w:sz w:val="15"/>
        <w:szCs w:val="15"/>
      </w:rPr>
      <w:t>91</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FCA0C">
    <w:pPr>
      <w:pStyle w:val="2"/>
      <w:spacing w:line="221" w:lineRule="exact"/>
      <w:ind w:left="4080"/>
      <w:rPr>
        <w:sz w:val="17"/>
        <w:szCs w:val="17"/>
      </w:rPr>
    </w:pPr>
    <w:r>
      <w:rPr>
        <w:spacing w:val="-2"/>
        <w:position w:val="1"/>
        <w:sz w:val="17"/>
        <w:szCs w:val="17"/>
      </w:rPr>
      <w:t>92</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41CA4">
    <w:pPr>
      <w:pStyle w:val="2"/>
      <w:spacing w:line="221" w:lineRule="exact"/>
      <w:ind w:left="4070"/>
      <w:rPr>
        <w:sz w:val="17"/>
        <w:szCs w:val="17"/>
      </w:rPr>
    </w:pPr>
    <w:r>
      <w:rPr>
        <w:spacing w:val="-2"/>
        <w:position w:val="1"/>
        <w:sz w:val="17"/>
        <w:szCs w:val="17"/>
      </w:rPr>
      <w:t>93</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BF23A">
    <w:pPr>
      <w:pStyle w:val="2"/>
      <w:spacing w:line="194" w:lineRule="exact"/>
      <w:ind w:left="4063"/>
      <w:rPr>
        <w:sz w:val="15"/>
        <w:szCs w:val="15"/>
      </w:rPr>
    </w:pPr>
    <w:r>
      <w:rPr>
        <w:spacing w:val="-2"/>
        <w:position w:val="1"/>
        <w:sz w:val="15"/>
        <w:szCs w:val="15"/>
      </w:rPr>
      <w:t>94</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7376D">
    <w:pPr>
      <w:pStyle w:val="2"/>
      <w:spacing w:line="194" w:lineRule="exact"/>
      <w:ind w:left="4080"/>
      <w:rPr>
        <w:sz w:val="15"/>
        <w:szCs w:val="15"/>
      </w:rPr>
    </w:pPr>
    <w:r>
      <w:rPr>
        <w:spacing w:val="-2"/>
        <w:position w:val="1"/>
        <w:sz w:val="15"/>
        <w:szCs w:val="15"/>
      </w:rPr>
      <w:t>95</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1FF00">
    <w:pPr>
      <w:pStyle w:val="2"/>
      <w:spacing w:line="194" w:lineRule="exact"/>
      <w:ind w:left="4063"/>
      <w:rPr>
        <w:sz w:val="15"/>
        <w:szCs w:val="15"/>
      </w:rPr>
    </w:pPr>
    <w:r>
      <w:rPr>
        <w:spacing w:val="-2"/>
        <w:position w:val="1"/>
        <w:sz w:val="15"/>
        <w:szCs w:val="15"/>
      </w:rPr>
      <w:t>96</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142E1">
    <w:pPr>
      <w:pStyle w:val="2"/>
      <w:spacing w:line="221" w:lineRule="exact"/>
      <w:ind w:left="4070"/>
      <w:rPr>
        <w:sz w:val="17"/>
        <w:szCs w:val="17"/>
      </w:rPr>
    </w:pPr>
    <w:r>
      <w:rPr>
        <w:spacing w:val="-2"/>
        <w:position w:val="1"/>
        <w:sz w:val="17"/>
        <w:szCs w:val="17"/>
      </w:rPr>
      <w:t>97</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C48AE">
    <w:pPr>
      <w:pStyle w:val="2"/>
      <w:spacing w:line="221" w:lineRule="exact"/>
      <w:ind w:left="4070"/>
      <w:rPr>
        <w:sz w:val="17"/>
        <w:szCs w:val="17"/>
      </w:rPr>
    </w:pPr>
    <w:r>
      <w:rPr>
        <w:spacing w:val="-2"/>
        <w:position w:val="1"/>
        <w:sz w:val="17"/>
        <w:szCs w:val="17"/>
      </w:rPr>
      <w:t>98</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F5B0">
    <w:pPr>
      <w:pStyle w:val="2"/>
      <w:spacing w:line="221" w:lineRule="exact"/>
      <w:ind w:left="4070"/>
      <w:rPr>
        <w:sz w:val="17"/>
        <w:szCs w:val="17"/>
      </w:rPr>
    </w:pPr>
    <w:r>
      <w:rPr>
        <w:spacing w:val="-2"/>
        <w:position w:val="1"/>
        <w:sz w:val="17"/>
        <w:szCs w:val="17"/>
      </w:rPr>
      <w:t>99</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9544C">
    <w:pPr>
      <w:pStyle w:val="2"/>
      <w:spacing w:line="208" w:lineRule="exact"/>
      <w:ind w:left="4030"/>
      <w:rPr>
        <w:sz w:val="16"/>
        <w:szCs w:val="16"/>
      </w:rPr>
    </w:pPr>
    <w:r>
      <w:rPr>
        <w:spacing w:val="-4"/>
        <w:position w:val="1"/>
        <w:sz w:val="16"/>
        <w:szCs w:val="16"/>
      </w:rPr>
      <w:t>100</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27B07">
    <w:pPr>
      <w:pStyle w:val="2"/>
      <w:spacing w:line="194" w:lineRule="exact"/>
      <w:ind w:left="4030"/>
      <w:rPr>
        <w:sz w:val="15"/>
        <w:szCs w:val="15"/>
      </w:rPr>
    </w:pPr>
    <w:r>
      <w:rPr>
        <w:spacing w:val="-4"/>
        <w:position w:val="1"/>
        <w:sz w:val="15"/>
        <w:szCs w:val="15"/>
      </w:rPr>
      <w:t>101</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F5AB1">
    <w:pPr>
      <w:pStyle w:val="2"/>
      <w:spacing w:line="194" w:lineRule="exact"/>
      <w:ind w:left="4040"/>
      <w:rPr>
        <w:sz w:val="15"/>
        <w:szCs w:val="15"/>
      </w:rPr>
    </w:pPr>
    <w:r>
      <w:rPr>
        <w:spacing w:val="-4"/>
        <w:position w:val="1"/>
        <w:sz w:val="15"/>
        <w:szCs w:val="15"/>
      </w:rPr>
      <w:t>102</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55F6E">
    <w:pPr>
      <w:pStyle w:val="2"/>
      <w:spacing w:line="208" w:lineRule="exact"/>
      <w:ind w:left="4040"/>
      <w:rPr>
        <w:sz w:val="16"/>
        <w:szCs w:val="16"/>
      </w:rPr>
    </w:pPr>
    <w:r>
      <w:rPr>
        <w:spacing w:val="-4"/>
        <w:position w:val="1"/>
        <w:sz w:val="16"/>
        <w:szCs w:val="16"/>
      </w:rPr>
      <w:t>103</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0C661">
    <w:pPr>
      <w:pStyle w:val="2"/>
      <w:spacing w:line="208" w:lineRule="exact"/>
      <w:ind w:left="4020"/>
      <w:rPr>
        <w:sz w:val="16"/>
        <w:szCs w:val="16"/>
      </w:rPr>
    </w:pPr>
    <w:r>
      <w:rPr>
        <w:spacing w:val="-4"/>
        <w:position w:val="1"/>
        <w:sz w:val="16"/>
        <w:szCs w:val="16"/>
      </w:rPr>
      <w:t>104</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26E9D">
    <w:pPr>
      <w:pStyle w:val="2"/>
      <w:spacing w:line="208" w:lineRule="exact"/>
      <w:ind w:left="4030"/>
      <w:rPr>
        <w:sz w:val="16"/>
        <w:szCs w:val="16"/>
      </w:rPr>
    </w:pPr>
    <w:r>
      <w:rPr>
        <w:spacing w:val="-4"/>
        <w:position w:val="1"/>
        <w:sz w:val="16"/>
        <w:szCs w:val="16"/>
      </w:rPr>
      <w:t>105</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F7D35">
    <w:pPr>
      <w:pStyle w:val="2"/>
      <w:spacing w:line="208" w:lineRule="exact"/>
      <w:ind w:left="4020"/>
      <w:rPr>
        <w:sz w:val="16"/>
        <w:szCs w:val="16"/>
      </w:rPr>
    </w:pPr>
    <w:r>
      <w:rPr>
        <w:spacing w:val="-4"/>
        <w:position w:val="1"/>
        <w:sz w:val="16"/>
        <w:szCs w:val="16"/>
      </w:rPr>
      <w:t>106</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9F3A6">
    <w:pPr>
      <w:pStyle w:val="2"/>
      <w:spacing w:line="208" w:lineRule="exact"/>
      <w:ind w:left="4030"/>
      <w:rPr>
        <w:sz w:val="16"/>
        <w:szCs w:val="16"/>
      </w:rPr>
    </w:pPr>
    <w:r>
      <w:rPr>
        <w:spacing w:val="-4"/>
        <w:position w:val="1"/>
        <w:sz w:val="16"/>
        <w:szCs w:val="16"/>
      </w:rPr>
      <w:t>107</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E0D85">
    <w:pPr>
      <w:pStyle w:val="2"/>
      <w:spacing w:line="208" w:lineRule="exact"/>
      <w:ind w:left="4030"/>
      <w:rPr>
        <w:sz w:val="16"/>
        <w:szCs w:val="16"/>
      </w:rPr>
    </w:pPr>
    <w:r>
      <w:rPr>
        <w:spacing w:val="-4"/>
        <w:position w:val="1"/>
        <w:sz w:val="16"/>
        <w:szCs w:val="16"/>
      </w:rPr>
      <w:t>108</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079EA">
    <w:pPr>
      <w:pStyle w:val="2"/>
      <w:spacing w:line="208" w:lineRule="exact"/>
      <w:ind w:left="4040"/>
      <w:rPr>
        <w:sz w:val="16"/>
        <w:szCs w:val="16"/>
      </w:rPr>
    </w:pPr>
    <w:r>
      <w:rPr>
        <w:spacing w:val="-4"/>
        <w:position w:val="1"/>
        <w:sz w:val="16"/>
        <w:szCs w:val="16"/>
      </w:rPr>
      <w:t>109</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AF049">
    <w:pPr>
      <w:pStyle w:val="2"/>
      <w:spacing w:line="194" w:lineRule="exact"/>
      <w:ind w:left="4020"/>
      <w:rPr>
        <w:sz w:val="15"/>
        <w:szCs w:val="15"/>
      </w:rPr>
    </w:pPr>
    <w:r>
      <w:rPr>
        <w:spacing w:val="-4"/>
        <w:position w:val="1"/>
        <w:sz w:val="15"/>
        <w:szCs w:val="15"/>
      </w:rPr>
      <w:t>110</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4CCE1">
    <w:pPr>
      <w:pStyle w:val="2"/>
      <w:spacing w:line="182" w:lineRule="auto"/>
      <w:ind w:left="4030"/>
      <w:rPr>
        <w:sz w:val="15"/>
        <w:szCs w:val="15"/>
      </w:rPr>
    </w:pPr>
    <w:r>
      <w:rPr>
        <w:spacing w:val="-4"/>
        <w:sz w:val="15"/>
        <w:szCs w:val="15"/>
      </w:rPr>
      <w:t>111</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B86FC">
    <w:pPr>
      <w:pStyle w:val="2"/>
      <w:spacing w:line="182" w:lineRule="auto"/>
      <w:ind w:left="4030"/>
      <w:rPr>
        <w:sz w:val="15"/>
        <w:szCs w:val="15"/>
      </w:rPr>
    </w:pPr>
    <w:r>
      <w:rPr>
        <w:spacing w:val="-4"/>
        <w:sz w:val="15"/>
        <w:szCs w:val="15"/>
      </w:rPr>
      <w:t>112</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A5DA1">
    <w:pPr>
      <w:pStyle w:val="2"/>
      <w:spacing w:line="221" w:lineRule="exact"/>
      <w:ind w:left="4030"/>
      <w:rPr>
        <w:sz w:val="17"/>
        <w:szCs w:val="17"/>
      </w:rPr>
    </w:pPr>
    <w:r>
      <w:rPr>
        <w:spacing w:val="-5"/>
        <w:position w:val="1"/>
        <w:sz w:val="17"/>
        <w:szCs w:val="17"/>
      </w:rPr>
      <w:t>113</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36F1C">
    <w:pPr>
      <w:pStyle w:val="2"/>
      <w:spacing w:line="182" w:lineRule="auto"/>
      <w:ind w:left="4030"/>
      <w:rPr>
        <w:sz w:val="15"/>
        <w:szCs w:val="15"/>
      </w:rPr>
    </w:pPr>
    <w:r>
      <w:rPr>
        <w:spacing w:val="-4"/>
        <w:sz w:val="15"/>
        <w:szCs w:val="15"/>
      </w:rPr>
      <w:t>114</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7D4E8">
    <w:pPr>
      <w:pStyle w:val="2"/>
      <w:spacing w:line="194" w:lineRule="exact"/>
      <w:ind w:left="4040"/>
      <w:rPr>
        <w:sz w:val="15"/>
        <w:szCs w:val="15"/>
      </w:rPr>
    </w:pPr>
    <w:r>
      <w:rPr>
        <w:spacing w:val="-4"/>
        <w:position w:val="1"/>
        <w:sz w:val="15"/>
        <w:szCs w:val="15"/>
      </w:rPr>
      <w:t>115</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7FE24">
    <w:pPr>
      <w:pStyle w:val="2"/>
      <w:spacing w:line="194" w:lineRule="exact"/>
      <w:ind w:left="4020"/>
      <w:rPr>
        <w:sz w:val="15"/>
        <w:szCs w:val="15"/>
      </w:rPr>
    </w:pPr>
    <w:r>
      <w:rPr>
        <w:spacing w:val="-4"/>
        <w:position w:val="1"/>
        <w:sz w:val="15"/>
        <w:szCs w:val="15"/>
      </w:rPr>
      <w:t>116</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291B5">
    <w:pPr>
      <w:pStyle w:val="2"/>
      <w:spacing w:line="182" w:lineRule="auto"/>
      <w:ind w:left="4030"/>
      <w:rPr>
        <w:sz w:val="15"/>
        <w:szCs w:val="15"/>
      </w:rPr>
    </w:pPr>
    <w:r>
      <w:rPr>
        <w:spacing w:val="-4"/>
        <w:sz w:val="15"/>
        <w:szCs w:val="15"/>
      </w:rPr>
      <w:t>117</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FF31B">
    <w:pPr>
      <w:pStyle w:val="2"/>
      <w:spacing w:line="194" w:lineRule="exact"/>
      <w:ind w:left="4020"/>
      <w:rPr>
        <w:sz w:val="15"/>
        <w:szCs w:val="15"/>
      </w:rPr>
    </w:pPr>
    <w:r>
      <w:rPr>
        <w:spacing w:val="-4"/>
        <w:position w:val="1"/>
        <w:sz w:val="15"/>
        <w:szCs w:val="15"/>
      </w:rPr>
      <w:t>118</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ADD26">
    <w:pPr>
      <w:pStyle w:val="2"/>
      <w:spacing w:line="194" w:lineRule="exact"/>
      <w:ind w:left="4040"/>
      <w:rPr>
        <w:sz w:val="15"/>
        <w:szCs w:val="15"/>
      </w:rPr>
    </w:pPr>
    <w:r>
      <w:rPr>
        <w:spacing w:val="-4"/>
        <w:position w:val="1"/>
        <w:sz w:val="15"/>
        <w:szCs w:val="15"/>
      </w:rPr>
      <w:t>119</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983D1">
    <w:pPr>
      <w:pStyle w:val="2"/>
      <w:spacing w:line="194" w:lineRule="exact"/>
      <w:ind w:left="4030"/>
      <w:rPr>
        <w:sz w:val="15"/>
        <w:szCs w:val="15"/>
      </w:rPr>
    </w:pPr>
    <w:r>
      <w:rPr>
        <w:spacing w:val="-4"/>
        <w:position w:val="1"/>
        <w:sz w:val="15"/>
        <w:szCs w:val="15"/>
      </w:rPr>
      <w:t>120</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5ED2A">
    <w:pPr>
      <w:spacing w:line="232" w:lineRule="auto"/>
      <w:ind w:left="4030"/>
      <w:rPr>
        <w:rFonts w:ascii="宋体" w:hAnsi="宋体" w:eastAsia="宋体" w:cs="宋体"/>
        <w:sz w:val="21"/>
        <w:szCs w:val="21"/>
      </w:rPr>
    </w:pPr>
    <w:r>
      <w:rPr>
        <w:rFonts w:ascii="宋体" w:hAnsi="宋体" w:eastAsia="宋体" w:cs="宋体"/>
        <w:spacing w:val="-6"/>
        <w:sz w:val="21"/>
        <w:szCs w:val="21"/>
      </w:rPr>
      <w:t>121</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A9F54">
    <w:pPr>
      <w:pStyle w:val="2"/>
      <w:spacing w:line="182" w:lineRule="auto"/>
      <w:ind w:left="4023"/>
      <w:rPr>
        <w:sz w:val="15"/>
        <w:szCs w:val="15"/>
      </w:rPr>
    </w:pPr>
    <w:r>
      <w:rPr>
        <w:spacing w:val="-4"/>
        <w:sz w:val="15"/>
        <w:szCs w:val="15"/>
      </w:rPr>
      <w:t>122</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89DAA">
    <w:pPr>
      <w:pStyle w:val="2"/>
      <w:spacing w:line="194" w:lineRule="exact"/>
      <w:ind w:left="4030"/>
      <w:rPr>
        <w:sz w:val="15"/>
        <w:szCs w:val="15"/>
      </w:rPr>
    </w:pPr>
    <w:r>
      <w:rPr>
        <w:spacing w:val="-4"/>
        <w:position w:val="1"/>
        <w:sz w:val="15"/>
        <w:szCs w:val="15"/>
      </w:rPr>
      <w:t>123</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48FA1">
    <w:pPr>
      <w:pStyle w:val="2"/>
      <w:spacing w:line="182" w:lineRule="auto"/>
      <w:ind w:left="4020"/>
      <w:rPr>
        <w:sz w:val="15"/>
        <w:szCs w:val="15"/>
      </w:rPr>
    </w:pPr>
    <w:r>
      <w:rPr>
        <w:spacing w:val="-4"/>
        <w:sz w:val="15"/>
        <w:szCs w:val="15"/>
      </w:rPr>
      <w:t>124</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64EB6">
    <w:pPr>
      <w:pStyle w:val="2"/>
      <w:spacing w:line="194" w:lineRule="exact"/>
      <w:ind w:left="4030"/>
      <w:rPr>
        <w:sz w:val="15"/>
        <w:szCs w:val="15"/>
      </w:rPr>
    </w:pPr>
    <w:r>
      <w:rPr>
        <w:spacing w:val="-4"/>
        <w:position w:val="1"/>
        <w:sz w:val="15"/>
        <w:szCs w:val="15"/>
      </w:rPr>
      <w:t>125</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AFDE7">
    <w:pPr>
      <w:pStyle w:val="2"/>
      <w:spacing w:line="194" w:lineRule="exact"/>
      <w:ind w:left="4030"/>
      <w:rPr>
        <w:sz w:val="15"/>
        <w:szCs w:val="15"/>
      </w:rPr>
    </w:pPr>
    <w:r>
      <w:rPr>
        <w:spacing w:val="-4"/>
        <w:position w:val="1"/>
        <w:sz w:val="15"/>
        <w:szCs w:val="15"/>
      </w:rPr>
      <w:t>126</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88F4C">
    <w:pPr>
      <w:pStyle w:val="2"/>
      <w:spacing w:line="182" w:lineRule="auto"/>
      <w:ind w:left="4030"/>
      <w:rPr>
        <w:sz w:val="15"/>
        <w:szCs w:val="15"/>
      </w:rPr>
    </w:pPr>
    <w:r>
      <w:rPr>
        <w:spacing w:val="-4"/>
        <w:sz w:val="15"/>
        <w:szCs w:val="15"/>
      </w:rPr>
      <w:t>127</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695E5">
    <w:pPr>
      <w:pStyle w:val="2"/>
      <w:spacing w:line="194" w:lineRule="exact"/>
      <w:ind w:left="4020"/>
      <w:rPr>
        <w:sz w:val="15"/>
        <w:szCs w:val="15"/>
      </w:rPr>
    </w:pPr>
    <w:r>
      <w:rPr>
        <w:spacing w:val="-4"/>
        <w:position w:val="1"/>
        <w:sz w:val="15"/>
        <w:szCs w:val="15"/>
      </w:rPr>
      <w:t>128</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9EE5B">
    <w:pPr>
      <w:pStyle w:val="2"/>
      <w:spacing w:line="194" w:lineRule="exact"/>
      <w:ind w:left="4040"/>
      <w:rPr>
        <w:sz w:val="15"/>
        <w:szCs w:val="15"/>
      </w:rPr>
    </w:pPr>
    <w:r>
      <w:rPr>
        <w:spacing w:val="-4"/>
        <w:position w:val="1"/>
        <w:sz w:val="15"/>
        <w:szCs w:val="15"/>
      </w:rPr>
      <w:t>129</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57289">
    <w:pPr>
      <w:pStyle w:val="2"/>
      <w:spacing w:line="221" w:lineRule="exact"/>
      <w:ind w:left="4020"/>
      <w:rPr>
        <w:sz w:val="17"/>
        <w:szCs w:val="17"/>
      </w:rPr>
    </w:pPr>
    <w:r>
      <w:rPr>
        <w:spacing w:val="-5"/>
        <w:position w:val="1"/>
        <w:sz w:val="17"/>
        <w:szCs w:val="17"/>
      </w:rPr>
      <w:t>130</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568B9">
    <w:pPr>
      <w:pStyle w:val="2"/>
      <w:spacing w:line="221" w:lineRule="exact"/>
      <w:ind w:left="4030"/>
      <w:rPr>
        <w:sz w:val="17"/>
        <w:szCs w:val="17"/>
      </w:rPr>
    </w:pPr>
    <w:r>
      <w:rPr>
        <w:spacing w:val="-5"/>
        <w:position w:val="1"/>
        <w:sz w:val="17"/>
        <w:szCs w:val="17"/>
      </w:rPr>
      <w:t>131</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2F62A">
    <w:pPr>
      <w:pStyle w:val="2"/>
      <w:spacing w:line="221" w:lineRule="exact"/>
      <w:ind w:left="4040"/>
      <w:rPr>
        <w:sz w:val="17"/>
        <w:szCs w:val="17"/>
      </w:rPr>
    </w:pPr>
    <w:r>
      <w:rPr>
        <w:spacing w:val="-5"/>
        <w:position w:val="1"/>
        <w:sz w:val="17"/>
        <w:szCs w:val="17"/>
      </w:rPr>
      <w:t>132</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75510">
    <w:pPr>
      <w:pStyle w:val="2"/>
      <w:spacing w:line="221" w:lineRule="exact"/>
      <w:ind w:left="4030"/>
      <w:rPr>
        <w:sz w:val="17"/>
        <w:szCs w:val="17"/>
      </w:rPr>
    </w:pPr>
    <w:r>
      <w:rPr>
        <w:spacing w:val="-5"/>
        <w:position w:val="1"/>
        <w:sz w:val="17"/>
        <w:szCs w:val="17"/>
      </w:rPr>
      <w:t>133</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3810D">
    <w:pPr>
      <w:pStyle w:val="2"/>
      <w:spacing w:line="221" w:lineRule="exact"/>
      <w:ind w:left="4020"/>
      <w:rPr>
        <w:sz w:val="17"/>
        <w:szCs w:val="17"/>
      </w:rPr>
    </w:pPr>
    <w:r>
      <w:rPr>
        <w:spacing w:val="-5"/>
        <w:position w:val="1"/>
        <w:sz w:val="17"/>
        <w:szCs w:val="17"/>
      </w:rPr>
      <w:t>134</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6CECD">
    <w:pPr>
      <w:pStyle w:val="2"/>
      <w:spacing w:line="221" w:lineRule="exact"/>
      <w:ind w:left="4030"/>
      <w:rPr>
        <w:sz w:val="17"/>
        <w:szCs w:val="17"/>
      </w:rPr>
    </w:pPr>
    <w:r>
      <w:rPr>
        <w:spacing w:val="-5"/>
        <w:position w:val="1"/>
        <w:sz w:val="17"/>
        <w:szCs w:val="17"/>
      </w:rPr>
      <w:t>135</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111BD">
    <w:pPr>
      <w:pStyle w:val="2"/>
      <w:spacing w:line="221" w:lineRule="exact"/>
      <w:ind w:left="4020"/>
      <w:rPr>
        <w:sz w:val="17"/>
        <w:szCs w:val="17"/>
      </w:rPr>
    </w:pPr>
    <w:r>
      <w:rPr>
        <w:spacing w:val="-5"/>
        <w:position w:val="1"/>
        <w:sz w:val="17"/>
        <w:szCs w:val="17"/>
      </w:rPr>
      <w:t>136</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F369C">
    <w:pPr>
      <w:pStyle w:val="2"/>
      <w:spacing w:line="221" w:lineRule="exact"/>
      <w:ind w:left="4030"/>
      <w:rPr>
        <w:sz w:val="17"/>
        <w:szCs w:val="17"/>
      </w:rPr>
    </w:pPr>
    <w:r>
      <w:rPr>
        <w:spacing w:val="-5"/>
        <w:position w:val="1"/>
        <w:sz w:val="17"/>
        <w:szCs w:val="17"/>
      </w:rPr>
      <w:t>137</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DF1F6">
    <w:pPr>
      <w:pStyle w:val="2"/>
      <w:spacing w:line="208" w:lineRule="exact"/>
      <w:ind w:left="4020"/>
      <w:rPr>
        <w:sz w:val="16"/>
        <w:szCs w:val="16"/>
      </w:rPr>
    </w:pPr>
    <w:r>
      <w:rPr>
        <w:spacing w:val="-4"/>
        <w:position w:val="1"/>
        <w:sz w:val="16"/>
        <w:szCs w:val="16"/>
      </w:rPr>
      <w:t>138</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423EA">
    <w:pPr>
      <w:pStyle w:val="2"/>
      <w:spacing w:line="221" w:lineRule="exact"/>
      <w:ind w:left="4040"/>
      <w:rPr>
        <w:sz w:val="17"/>
        <w:szCs w:val="17"/>
      </w:rPr>
    </w:pPr>
    <w:r>
      <w:rPr>
        <w:spacing w:val="-5"/>
        <w:position w:val="1"/>
        <w:sz w:val="17"/>
        <w:szCs w:val="17"/>
      </w:rPr>
      <w:t>139</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E632D">
    <w:pPr>
      <w:pStyle w:val="2"/>
      <w:spacing w:line="208" w:lineRule="exact"/>
      <w:ind w:left="4020"/>
      <w:rPr>
        <w:sz w:val="16"/>
        <w:szCs w:val="16"/>
      </w:rPr>
    </w:pPr>
    <w:r>
      <w:rPr>
        <w:spacing w:val="-4"/>
        <w:position w:val="1"/>
        <w:sz w:val="16"/>
        <w:szCs w:val="16"/>
      </w:rPr>
      <w:t>140</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6796B">
    <w:pPr>
      <w:pStyle w:val="2"/>
      <w:spacing w:line="182" w:lineRule="auto"/>
      <w:ind w:left="4030"/>
      <w:rPr>
        <w:sz w:val="15"/>
        <w:szCs w:val="15"/>
      </w:rPr>
    </w:pPr>
    <w:r>
      <w:rPr>
        <w:spacing w:val="-4"/>
        <w:sz w:val="15"/>
        <w:szCs w:val="15"/>
      </w:rPr>
      <w:t>141</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0633A">
    <w:pPr>
      <w:pStyle w:val="2"/>
      <w:spacing w:line="182" w:lineRule="auto"/>
      <w:ind w:left="4040"/>
      <w:rPr>
        <w:sz w:val="15"/>
        <w:szCs w:val="15"/>
      </w:rPr>
    </w:pPr>
    <w:r>
      <w:rPr>
        <w:spacing w:val="-4"/>
        <w:sz w:val="15"/>
        <w:szCs w:val="15"/>
      </w:rPr>
      <w:t>142</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41351">
    <w:pPr>
      <w:pStyle w:val="2"/>
      <w:spacing w:line="221" w:lineRule="exact"/>
      <w:ind w:left="4030"/>
      <w:rPr>
        <w:sz w:val="17"/>
        <w:szCs w:val="17"/>
      </w:rPr>
    </w:pPr>
    <w:r>
      <w:rPr>
        <w:spacing w:val="-5"/>
        <w:position w:val="1"/>
        <w:sz w:val="17"/>
        <w:szCs w:val="17"/>
      </w:rPr>
      <w:t>143</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E4727">
    <w:pPr>
      <w:pStyle w:val="2"/>
      <w:spacing w:line="182" w:lineRule="auto"/>
      <w:ind w:left="4030"/>
      <w:rPr>
        <w:sz w:val="15"/>
        <w:szCs w:val="15"/>
      </w:rPr>
    </w:pPr>
    <w:r>
      <w:rPr>
        <w:spacing w:val="-4"/>
        <w:sz w:val="15"/>
        <w:szCs w:val="15"/>
      </w:rPr>
      <w:t>144</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47664">
    <w:pPr>
      <w:pStyle w:val="2"/>
      <w:spacing w:line="194" w:lineRule="exact"/>
      <w:ind w:left="4040"/>
      <w:rPr>
        <w:sz w:val="15"/>
        <w:szCs w:val="15"/>
      </w:rPr>
    </w:pPr>
    <w:r>
      <w:rPr>
        <w:spacing w:val="-4"/>
        <w:position w:val="1"/>
        <w:sz w:val="15"/>
        <w:szCs w:val="15"/>
      </w:rPr>
      <w:t>145</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0A4A3">
    <w:pPr>
      <w:pStyle w:val="2"/>
      <w:spacing w:line="194" w:lineRule="exact"/>
      <w:ind w:left="4030"/>
      <w:rPr>
        <w:sz w:val="15"/>
        <w:szCs w:val="15"/>
      </w:rPr>
    </w:pPr>
    <w:r>
      <w:rPr>
        <w:spacing w:val="-4"/>
        <w:position w:val="1"/>
        <w:sz w:val="15"/>
        <w:szCs w:val="15"/>
      </w:rPr>
      <w:t>146</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E6BC0">
    <w:pPr>
      <w:pStyle w:val="2"/>
      <w:spacing w:line="184" w:lineRule="auto"/>
      <w:ind w:left="4040"/>
      <w:rPr>
        <w:sz w:val="17"/>
        <w:szCs w:val="17"/>
      </w:rPr>
    </w:pPr>
    <w:r>
      <w:rPr>
        <w:spacing w:val="-5"/>
        <w:sz w:val="17"/>
        <w:szCs w:val="17"/>
      </w:rPr>
      <w:t>147</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8B1F5">
    <w:pPr>
      <w:pStyle w:val="2"/>
      <w:spacing w:line="194" w:lineRule="exact"/>
      <w:ind w:left="4020"/>
      <w:rPr>
        <w:sz w:val="15"/>
        <w:szCs w:val="15"/>
      </w:rPr>
    </w:pPr>
    <w:r>
      <w:rPr>
        <w:spacing w:val="-4"/>
        <w:position w:val="1"/>
        <w:sz w:val="15"/>
        <w:szCs w:val="15"/>
      </w:rPr>
      <w:t>148</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ADDFE">
    <w:pPr>
      <w:pStyle w:val="2"/>
      <w:spacing w:line="194" w:lineRule="exact"/>
      <w:ind w:left="4040"/>
      <w:rPr>
        <w:sz w:val="15"/>
        <w:szCs w:val="15"/>
      </w:rPr>
    </w:pPr>
    <w:r>
      <w:rPr>
        <w:spacing w:val="-4"/>
        <w:position w:val="1"/>
        <w:sz w:val="15"/>
        <w:szCs w:val="15"/>
      </w:rPr>
      <w:t>149</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35E8D">
    <w:pPr>
      <w:pStyle w:val="2"/>
      <w:spacing w:line="221" w:lineRule="exact"/>
      <w:ind w:left="4030"/>
      <w:rPr>
        <w:sz w:val="17"/>
        <w:szCs w:val="17"/>
      </w:rPr>
    </w:pPr>
    <w:r>
      <w:rPr>
        <w:spacing w:val="-5"/>
        <w:position w:val="1"/>
        <w:sz w:val="17"/>
        <w:szCs w:val="17"/>
      </w:rPr>
      <w:t>150</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29A47">
    <w:pPr>
      <w:pStyle w:val="2"/>
      <w:spacing w:line="194" w:lineRule="exact"/>
      <w:ind w:left="4040"/>
      <w:rPr>
        <w:sz w:val="15"/>
        <w:szCs w:val="15"/>
      </w:rPr>
    </w:pPr>
    <w:r>
      <w:rPr>
        <w:spacing w:val="-4"/>
        <w:position w:val="1"/>
        <w:sz w:val="15"/>
        <w:szCs w:val="15"/>
      </w:rPr>
      <w:t>151</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F5064">
    <w:pPr>
      <w:pStyle w:val="2"/>
      <w:spacing w:line="194" w:lineRule="exact"/>
      <w:ind w:left="4030"/>
      <w:rPr>
        <w:sz w:val="15"/>
        <w:szCs w:val="15"/>
      </w:rPr>
    </w:pPr>
    <w:r>
      <w:rPr>
        <w:spacing w:val="-4"/>
        <w:position w:val="1"/>
        <w:sz w:val="15"/>
        <w:szCs w:val="15"/>
      </w:rPr>
      <w:t>152</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C7C08">
    <w:pPr>
      <w:spacing w:line="231" w:lineRule="auto"/>
      <w:ind w:left="4030"/>
      <w:rPr>
        <w:rFonts w:ascii="宋体" w:hAnsi="宋体" w:eastAsia="宋体" w:cs="宋体"/>
        <w:sz w:val="22"/>
        <w:szCs w:val="22"/>
      </w:rPr>
    </w:pPr>
    <w:r>
      <w:rPr>
        <w:rFonts w:ascii="宋体" w:hAnsi="宋体" w:eastAsia="宋体" w:cs="宋体"/>
        <w:spacing w:val="-13"/>
        <w:sz w:val="22"/>
        <w:szCs w:val="22"/>
      </w:rPr>
      <w:t>153</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CD39C">
    <w:pPr>
      <w:pStyle w:val="2"/>
      <w:spacing w:line="194" w:lineRule="exact"/>
      <w:ind w:left="4020"/>
      <w:rPr>
        <w:sz w:val="15"/>
        <w:szCs w:val="15"/>
      </w:rPr>
    </w:pPr>
    <w:r>
      <w:rPr>
        <w:spacing w:val="-4"/>
        <w:position w:val="1"/>
        <w:sz w:val="15"/>
        <w:szCs w:val="15"/>
      </w:rPr>
      <w:t>154</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C82E7">
    <w:pPr>
      <w:spacing w:line="231" w:lineRule="auto"/>
      <w:ind w:left="4030"/>
      <w:rPr>
        <w:rFonts w:ascii="宋体" w:hAnsi="宋体" w:eastAsia="宋体" w:cs="宋体"/>
        <w:sz w:val="22"/>
        <w:szCs w:val="22"/>
      </w:rPr>
    </w:pPr>
    <w:r>
      <w:rPr>
        <w:rFonts w:ascii="宋体" w:hAnsi="宋体" w:eastAsia="宋体" w:cs="宋体"/>
        <w:spacing w:val="-13"/>
        <w:sz w:val="22"/>
        <w:szCs w:val="22"/>
      </w:rPr>
      <w:t>155</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B842B">
    <w:pPr>
      <w:pStyle w:val="2"/>
      <w:spacing w:line="194" w:lineRule="exact"/>
      <w:ind w:left="4020"/>
      <w:rPr>
        <w:sz w:val="15"/>
        <w:szCs w:val="15"/>
      </w:rPr>
    </w:pPr>
    <w:r>
      <w:rPr>
        <w:spacing w:val="-4"/>
        <w:position w:val="1"/>
        <w:sz w:val="15"/>
        <w:szCs w:val="15"/>
      </w:rPr>
      <w:t>156</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F8C37">
    <w:pPr>
      <w:pStyle w:val="2"/>
      <w:spacing w:line="221" w:lineRule="exact"/>
      <w:ind w:left="4040"/>
      <w:rPr>
        <w:sz w:val="17"/>
        <w:szCs w:val="17"/>
      </w:rPr>
    </w:pPr>
    <w:r>
      <w:rPr>
        <w:spacing w:val="-5"/>
        <w:position w:val="1"/>
        <w:sz w:val="17"/>
        <w:szCs w:val="17"/>
      </w:rPr>
      <w:t>157</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260D4">
    <w:pPr>
      <w:pStyle w:val="2"/>
      <w:spacing w:line="194" w:lineRule="exact"/>
      <w:ind w:left="4013"/>
      <w:rPr>
        <w:sz w:val="15"/>
        <w:szCs w:val="15"/>
      </w:rPr>
    </w:pPr>
    <w:r>
      <w:rPr>
        <w:spacing w:val="-4"/>
        <w:position w:val="1"/>
        <w:sz w:val="15"/>
        <w:szCs w:val="15"/>
      </w:rPr>
      <w:t>158</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90D92">
    <w:pPr>
      <w:pStyle w:val="2"/>
      <w:spacing w:line="221" w:lineRule="exact"/>
      <w:ind w:left="4475"/>
      <w:rPr>
        <w:sz w:val="17"/>
        <w:szCs w:val="17"/>
      </w:rPr>
    </w:pPr>
    <w:r>
      <w:rPr>
        <w:spacing w:val="-5"/>
        <w:position w:val="1"/>
        <w:sz w:val="17"/>
        <w:szCs w:val="17"/>
      </w:rPr>
      <w:t>159</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DBEC1">
    <w:pPr>
      <w:pStyle w:val="2"/>
      <w:spacing w:line="221" w:lineRule="exact"/>
      <w:ind w:left="4030"/>
      <w:rPr>
        <w:sz w:val="17"/>
        <w:szCs w:val="17"/>
      </w:rPr>
    </w:pPr>
    <w:r>
      <w:rPr>
        <w:spacing w:val="-5"/>
        <w:position w:val="1"/>
        <w:sz w:val="17"/>
        <w:szCs w:val="17"/>
      </w:rPr>
      <w:t>160</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38C1B">
    <w:pPr>
      <w:pStyle w:val="2"/>
      <w:spacing w:line="194" w:lineRule="exact"/>
      <w:ind w:left="4023"/>
      <w:rPr>
        <w:sz w:val="15"/>
        <w:szCs w:val="15"/>
      </w:rPr>
    </w:pPr>
    <w:r>
      <w:rPr>
        <w:spacing w:val="-4"/>
        <w:position w:val="1"/>
        <w:sz w:val="15"/>
        <w:szCs w:val="15"/>
      </w:rPr>
      <w:t>161</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47CD4">
    <w:pPr>
      <w:pStyle w:val="2"/>
      <w:spacing w:line="194" w:lineRule="exact"/>
      <w:ind w:left="4475"/>
      <w:rPr>
        <w:sz w:val="15"/>
        <w:szCs w:val="15"/>
      </w:rPr>
    </w:pPr>
    <w:r>
      <w:rPr>
        <w:spacing w:val="-4"/>
        <w:position w:val="1"/>
        <w:sz w:val="15"/>
        <w:szCs w:val="15"/>
      </w:rPr>
      <w:t>162</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5E90A">
    <w:pPr>
      <w:pStyle w:val="2"/>
      <w:spacing w:line="221" w:lineRule="exact"/>
      <w:ind w:left="4415"/>
      <w:rPr>
        <w:sz w:val="17"/>
        <w:szCs w:val="17"/>
      </w:rPr>
    </w:pPr>
    <w:r>
      <w:rPr>
        <w:spacing w:val="-5"/>
        <w:position w:val="1"/>
        <w:sz w:val="17"/>
        <w:szCs w:val="17"/>
      </w:rPr>
      <w:t>163</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09A89">
    <w:pPr>
      <w:pStyle w:val="2"/>
      <w:spacing w:line="194" w:lineRule="exact"/>
      <w:ind w:left="4013"/>
      <w:rPr>
        <w:sz w:val="15"/>
        <w:szCs w:val="15"/>
      </w:rPr>
    </w:pPr>
    <w:r>
      <w:rPr>
        <w:spacing w:val="-4"/>
        <w:position w:val="1"/>
        <w:sz w:val="15"/>
        <w:szCs w:val="15"/>
      </w:rPr>
      <w:t>164</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A6EC3">
    <w:pPr>
      <w:spacing w:line="227" w:lineRule="auto"/>
      <w:ind w:left="4030"/>
      <w:rPr>
        <w:rFonts w:ascii="宋体" w:hAnsi="宋体" w:eastAsia="宋体" w:cs="宋体"/>
        <w:sz w:val="15"/>
        <w:szCs w:val="15"/>
      </w:rPr>
    </w:pPr>
    <w:r>
      <w:rPr>
        <w:rFonts w:ascii="宋体" w:hAnsi="宋体" w:eastAsia="宋体" w:cs="宋体"/>
        <w:spacing w:val="-4"/>
        <w:sz w:val="15"/>
        <w:szCs w:val="15"/>
      </w:rPr>
      <w:t>165</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8D195">
    <w:pPr>
      <w:pStyle w:val="2"/>
      <w:spacing w:line="194" w:lineRule="exact"/>
      <w:ind w:left="4030"/>
      <w:rPr>
        <w:sz w:val="15"/>
        <w:szCs w:val="15"/>
      </w:rPr>
    </w:pPr>
    <w:r>
      <w:rPr>
        <w:spacing w:val="-4"/>
        <w:position w:val="1"/>
        <w:sz w:val="15"/>
        <w:szCs w:val="15"/>
      </w:rPr>
      <w:t>166</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25D93">
    <w:pPr>
      <w:pStyle w:val="2"/>
      <w:spacing w:line="221" w:lineRule="exact"/>
      <w:ind w:left="4040"/>
      <w:rPr>
        <w:sz w:val="17"/>
        <w:szCs w:val="17"/>
      </w:rPr>
    </w:pPr>
    <w:r>
      <w:rPr>
        <w:spacing w:val="-5"/>
        <w:position w:val="1"/>
        <w:sz w:val="17"/>
        <w:szCs w:val="17"/>
      </w:rPr>
      <w:t>167</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8FB7D">
    <w:pPr>
      <w:pStyle w:val="2"/>
      <w:spacing w:line="194" w:lineRule="exact"/>
      <w:ind w:left="4020"/>
      <w:rPr>
        <w:sz w:val="15"/>
        <w:szCs w:val="15"/>
      </w:rPr>
    </w:pPr>
    <w:r>
      <w:rPr>
        <w:spacing w:val="-4"/>
        <w:position w:val="1"/>
        <w:sz w:val="15"/>
        <w:szCs w:val="15"/>
      </w:rPr>
      <w:t>168</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68C40">
    <w:pPr>
      <w:pStyle w:val="2"/>
      <w:spacing w:line="194" w:lineRule="exact"/>
      <w:ind w:left="4040"/>
      <w:rPr>
        <w:sz w:val="15"/>
        <w:szCs w:val="15"/>
      </w:rPr>
    </w:pPr>
    <w:r>
      <w:rPr>
        <w:spacing w:val="-4"/>
        <w:position w:val="1"/>
        <w:sz w:val="15"/>
        <w:szCs w:val="15"/>
      </w:rPr>
      <w:t>169</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18291">
    <w:pPr>
      <w:pStyle w:val="2"/>
      <w:spacing w:line="221" w:lineRule="exact"/>
      <w:ind w:left="4020"/>
      <w:rPr>
        <w:sz w:val="17"/>
        <w:szCs w:val="17"/>
      </w:rPr>
    </w:pPr>
    <w:r>
      <w:rPr>
        <w:spacing w:val="-5"/>
        <w:position w:val="1"/>
        <w:sz w:val="17"/>
        <w:szCs w:val="17"/>
      </w:rPr>
      <w:t>170</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00291">
    <w:pPr>
      <w:pStyle w:val="2"/>
      <w:spacing w:line="182" w:lineRule="auto"/>
      <w:ind w:left="4040"/>
      <w:rPr>
        <w:sz w:val="15"/>
        <w:szCs w:val="15"/>
      </w:rPr>
    </w:pPr>
    <w:r>
      <w:rPr>
        <w:spacing w:val="-4"/>
        <w:sz w:val="15"/>
        <w:szCs w:val="15"/>
      </w:rPr>
      <w:t>171</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D4BB5">
    <w:pPr>
      <w:pStyle w:val="2"/>
      <w:spacing w:line="184" w:lineRule="auto"/>
      <w:ind w:left="4050"/>
      <w:rPr>
        <w:sz w:val="17"/>
        <w:szCs w:val="17"/>
      </w:rPr>
    </w:pPr>
    <w:r>
      <w:rPr>
        <w:spacing w:val="-5"/>
        <w:sz w:val="17"/>
        <w:szCs w:val="17"/>
      </w:rPr>
      <w:t>172</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D09EF">
    <w:pPr>
      <w:pStyle w:val="2"/>
      <w:spacing w:line="221" w:lineRule="exact"/>
      <w:ind w:left="4040"/>
      <w:rPr>
        <w:sz w:val="17"/>
        <w:szCs w:val="17"/>
      </w:rPr>
    </w:pPr>
    <w:r>
      <w:rPr>
        <w:spacing w:val="-5"/>
        <w:position w:val="1"/>
        <w:sz w:val="17"/>
        <w:szCs w:val="17"/>
      </w:rPr>
      <w:t>173</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64487">
    <w:pPr>
      <w:pStyle w:val="2"/>
      <w:spacing w:line="182" w:lineRule="auto"/>
      <w:ind w:left="4030"/>
      <w:rPr>
        <w:sz w:val="15"/>
        <w:szCs w:val="15"/>
      </w:rPr>
    </w:pPr>
    <w:r>
      <w:rPr>
        <w:spacing w:val="-4"/>
        <w:sz w:val="15"/>
        <w:szCs w:val="15"/>
      </w:rPr>
      <w:t>174</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BF979">
    <w:pPr>
      <w:pStyle w:val="2"/>
      <w:spacing w:line="194" w:lineRule="exact"/>
      <w:ind w:left="4030"/>
      <w:rPr>
        <w:sz w:val="15"/>
        <w:szCs w:val="15"/>
      </w:rPr>
    </w:pPr>
    <w:r>
      <w:rPr>
        <w:spacing w:val="-4"/>
        <w:position w:val="1"/>
        <w:sz w:val="15"/>
        <w:szCs w:val="15"/>
      </w:rPr>
      <w:t>175</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31298">
    <w:pPr>
      <w:pStyle w:val="2"/>
      <w:spacing w:line="194" w:lineRule="exact"/>
      <w:ind w:left="4030"/>
      <w:rPr>
        <w:sz w:val="15"/>
        <w:szCs w:val="15"/>
      </w:rPr>
    </w:pPr>
    <w:r>
      <w:rPr>
        <w:spacing w:val="-4"/>
        <w:position w:val="1"/>
        <w:sz w:val="15"/>
        <w:szCs w:val="15"/>
      </w:rPr>
      <w:t>176</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2212B">
    <w:pPr>
      <w:pStyle w:val="2"/>
      <w:spacing w:line="184" w:lineRule="auto"/>
      <w:ind w:left="4040"/>
      <w:rPr>
        <w:sz w:val="17"/>
        <w:szCs w:val="17"/>
      </w:rPr>
    </w:pPr>
    <w:r>
      <w:rPr>
        <w:spacing w:val="-5"/>
        <w:sz w:val="17"/>
        <w:szCs w:val="17"/>
      </w:rPr>
      <w:t>177</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E47BF">
    <w:pPr>
      <w:pStyle w:val="2"/>
      <w:spacing w:line="194" w:lineRule="exact"/>
      <w:ind w:left="4030"/>
      <w:rPr>
        <w:sz w:val="15"/>
        <w:szCs w:val="15"/>
      </w:rPr>
    </w:pPr>
    <w:r>
      <w:rPr>
        <w:spacing w:val="-4"/>
        <w:position w:val="1"/>
        <w:sz w:val="15"/>
        <w:szCs w:val="15"/>
      </w:rPr>
      <w:t>178</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F5244">
    <w:pPr>
      <w:pStyle w:val="2"/>
      <w:spacing w:line="221" w:lineRule="exact"/>
      <w:ind w:left="4040"/>
      <w:rPr>
        <w:sz w:val="17"/>
        <w:szCs w:val="17"/>
      </w:rPr>
    </w:pPr>
    <w:r>
      <w:rPr>
        <w:spacing w:val="-5"/>
        <w:position w:val="1"/>
        <w:sz w:val="17"/>
        <w:szCs w:val="17"/>
      </w:rPr>
      <w:t>179</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65F5F">
    <w:pPr>
      <w:pStyle w:val="2"/>
      <w:spacing w:line="194" w:lineRule="exact"/>
      <w:ind w:left="4020"/>
      <w:rPr>
        <w:sz w:val="15"/>
        <w:szCs w:val="15"/>
      </w:rPr>
    </w:pPr>
    <w:r>
      <w:rPr>
        <w:spacing w:val="-4"/>
        <w:position w:val="1"/>
        <w:sz w:val="15"/>
        <w:szCs w:val="15"/>
      </w:rPr>
      <w:t>180</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9C367">
    <w:pPr>
      <w:pStyle w:val="2"/>
      <w:spacing w:line="194" w:lineRule="exact"/>
      <w:ind w:left="4030"/>
      <w:rPr>
        <w:sz w:val="15"/>
        <w:szCs w:val="15"/>
      </w:rPr>
    </w:pPr>
    <w:r>
      <w:rPr>
        <w:spacing w:val="-4"/>
        <w:position w:val="1"/>
        <w:sz w:val="15"/>
        <w:szCs w:val="15"/>
      </w:rPr>
      <w:t>181</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532C6">
    <w:pPr>
      <w:pStyle w:val="2"/>
      <w:spacing w:line="194" w:lineRule="exact"/>
      <w:ind w:left="4040"/>
      <w:rPr>
        <w:sz w:val="15"/>
        <w:szCs w:val="15"/>
      </w:rPr>
    </w:pPr>
    <w:r>
      <w:rPr>
        <w:spacing w:val="-4"/>
        <w:position w:val="1"/>
        <w:sz w:val="15"/>
        <w:szCs w:val="15"/>
      </w:rPr>
      <w:t>182</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EDC3D">
    <w:pPr>
      <w:pStyle w:val="2"/>
      <w:spacing w:line="194" w:lineRule="exact"/>
      <w:ind w:left="4040"/>
      <w:rPr>
        <w:sz w:val="15"/>
        <w:szCs w:val="15"/>
      </w:rPr>
    </w:pPr>
    <w:r>
      <w:rPr>
        <w:spacing w:val="-4"/>
        <w:position w:val="1"/>
        <w:sz w:val="15"/>
        <w:szCs w:val="15"/>
      </w:rPr>
      <w:t>183</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3F0D1">
    <w:pPr>
      <w:pStyle w:val="2"/>
      <w:spacing w:line="194" w:lineRule="exact"/>
      <w:ind w:left="4030"/>
      <w:rPr>
        <w:sz w:val="15"/>
        <w:szCs w:val="15"/>
      </w:rPr>
    </w:pPr>
    <w:r>
      <w:rPr>
        <w:spacing w:val="-4"/>
        <w:position w:val="1"/>
        <w:sz w:val="15"/>
        <w:szCs w:val="15"/>
      </w:rPr>
      <w:t>184</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25AD7">
    <w:pPr>
      <w:pStyle w:val="2"/>
      <w:spacing w:line="194" w:lineRule="exact"/>
      <w:ind w:left="4040"/>
      <w:rPr>
        <w:sz w:val="15"/>
        <w:szCs w:val="15"/>
      </w:rPr>
    </w:pPr>
    <w:r>
      <w:rPr>
        <w:spacing w:val="-4"/>
        <w:position w:val="1"/>
        <w:sz w:val="15"/>
        <w:szCs w:val="15"/>
      </w:rPr>
      <w:t>185</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D84E6">
    <w:pPr>
      <w:pStyle w:val="2"/>
      <w:spacing w:line="194" w:lineRule="exact"/>
      <w:ind w:left="4020"/>
      <w:rPr>
        <w:sz w:val="15"/>
        <w:szCs w:val="15"/>
      </w:rPr>
    </w:pPr>
    <w:r>
      <w:rPr>
        <w:spacing w:val="-4"/>
        <w:position w:val="1"/>
        <w:sz w:val="15"/>
        <w:szCs w:val="15"/>
      </w:rPr>
      <w:t>186</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5A26D">
    <w:pPr>
      <w:pStyle w:val="2"/>
      <w:spacing w:line="194" w:lineRule="exact"/>
      <w:ind w:left="4030"/>
      <w:rPr>
        <w:sz w:val="15"/>
        <w:szCs w:val="15"/>
      </w:rPr>
    </w:pPr>
    <w:r>
      <w:rPr>
        <w:spacing w:val="-4"/>
        <w:position w:val="1"/>
        <w:sz w:val="15"/>
        <w:szCs w:val="15"/>
      </w:rPr>
      <w:t>187</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062A0">
    <w:pPr>
      <w:pStyle w:val="2"/>
      <w:spacing w:line="194" w:lineRule="exact"/>
      <w:ind w:left="4020"/>
      <w:rPr>
        <w:sz w:val="15"/>
        <w:szCs w:val="15"/>
      </w:rPr>
    </w:pPr>
    <w:r>
      <w:rPr>
        <w:spacing w:val="-4"/>
        <w:position w:val="1"/>
        <w:sz w:val="15"/>
        <w:szCs w:val="15"/>
      </w:rPr>
      <w:t>188</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C0DC6">
    <w:pPr>
      <w:pStyle w:val="2"/>
      <w:spacing w:line="194" w:lineRule="exact"/>
      <w:ind w:left="4030"/>
      <w:rPr>
        <w:sz w:val="15"/>
        <w:szCs w:val="15"/>
      </w:rPr>
    </w:pPr>
    <w:r>
      <w:rPr>
        <w:spacing w:val="-4"/>
        <w:position w:val="1"/>
        <w:sz w:val="15"/>
        <w:szCs w:val="15"/>
      </w:rPr>
      <w:t>189</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6AFA3">
    <w:pPr>
      <w:pStyle w:val="2"/>
      <w:spacing w:line="221" w:lineRule="exact"/>
      <w:ind w:left="4030"/>
      <w:rPr>
        <w:sz w:val="17"/>
        <w:szCs w:val="17"/>
      </w:rPr>
    </w:pPr>
    <w:r>
      <w:rPr>
        <w:spacing w:val="-5"/>
        <w:position w:val="1"/>
        <w:sz w:val="17"/>
        <w:szCs w:val="17"/>
      </w:rPr>
      <w:t>190</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1CD9D">
    <w:pPr>
      <w:pStyle w:val="2"/>
      <w:spacing w:line="194" w:lineRule="exact"/>
      <w:ind w:left="4030"/>
      <w:rPr>
        <w:sz w:val="15"/>
        <w:szCs w:val="15"/>
      </w:rPr>
    </w:pPr>
    <w:r>
      <w:rPr>
        <w:spacing w:val="-4"/>
        <w:position w:val="1"/>
        <w:sz w:val="15"/>
        <w:szCs w:val="15"/>
      </w:rPr>
      <w:t>191</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11F2D">
    <w:pPr>
      <w:pStyle w:val="2"/>
      <w:spacing w:line="221" w:lineRule="exact"/>
      <w:ind w:left="4030"/>
      <w:rPr>
        <w:sz w:val="17"/>
        <w:szCs w:val="17"/>
      </w:rPr>
    </w:pPr>
    <w:r>
      <w:rPr>
        <w:spacing w:val="-5"/>
        <w:position w:val="1"/>
        <w:sz w:val="17"/>
        <w:szCs w:val="17"/>
      </w:rPr>
      <w:t>192</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43CC0">
    <w:pPr>
      <w:pStyle w:val="2"/>
      <w:spacing w:line="221" w:lineRule="exact"/>
      <w:ind w:left="4040"/>
      <w:rPr>
        <w:sz w:val="17"/>
        <w:szCs w:val="17"/>
      </w:rPr>
    </w:pPr>
    <w:r>
      <w:rPr>
        <w:spacing w:val="-5"/>
        <w:position w:val="1"/>
        <w:sz w:val="17"/>
        <w:szCs w:val="17"/>
      </w:rPr>
      <w:t>193</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6345C">
    <w:pPr>
      <w:pStyle w:val="2"/>
      <w:spacing w:line="221" w:lineRule="exact"/>
      <w:ind w:left="4020"/>
      <w:rPr>
        <w:sz w:val="17"/>
        <w:szCs w:val="17"/>
      </w:rPr>
    </w:pPr>
    <w:r>
      <w:rPr>
        <w:spacing w:val="-5"/>
        <w:position w:val="1"/>
        <w:sz w:val="17"/>
        <w:szCs w:val="17"/>
      </w:rPr>
      <w:t>194</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0A56B">
    <w:pPr>
      <w:pStyle w:val="2"/>
      <w:spacing w:line="194" w:lineRule="exact"/>
      <w:ind w:left="4023"/>
      <w:rPr>
        <w:sz w:val="15"/>
        <w:szCs w:val="15"/>
      </w:rPr>
    </w:pPr>
    <w:r>
      <w:rPr>
        <w:spacing w:val="-4"/>
        <w:position w:val="1"/>
        <w:sz w:val="15"/>
        <w:szCs w:val="15"/>
      </w:rPr>
      <w:t>195</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97C0C">
    <w:pPr>
      <w:pStyle w:val="2"/>
      <w:spacing w:line="194" w:lineRule="exact"/>
      <w:ind w:left="4020"/>
      <w:rPr>
        <w:sz w:val="15"/>
        <w:szCs w:val="15"/>
      </w:rPr>
    </w:pPr>
    <w:r>
      <w:rPr>
        <w:spacing w:val="-4"/>
        <w:position w:val="1"/>
        <w:sz w:val="15"/>
        <w:szCs w:val="15"/>
      </w:rPr>
      <w:t>196</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D8166">
    <w:pPr>
      <w:pStyle w:val="2"/>
      <w:spacing w:line="221" w:lineRule="exact"/>
      <w:ind w:left="4030"/>
      <w:rPr>
        <w:sz w:val="17"/>
        <w:szCs w:val="17"/>
      </w:rPr>
    </w:pPr>
    <w:r>
      <w:rPr>
        <w:spacing w:val="-5"/>
        <w:position w:val="1"/>
        <w:sz w:val="17"/>
        <w:szCs w:val="17"/>
      </w:rPr>
      <w:t>197</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132BC">
    <w:pPr>
      <w:pStyle w:val="2"/>
      <w:spacing w:line="221" w:lineRule="exact"/>
      <w:ind w:left="4030"/>
      <w:rPr>
        <w:sz w:val="17"/>
        <w:szCs w:val="17"/>
      </w:rPr>
    </w:pPr>
    <w:r>
      <w:rPr>
        <w:spacing w:val="-5"/>
        <w:position w:val="1"/>
        <w:sz w:val="17"/>
        <w:szCs w:val="17"/>
      </w:rPr>
      <w:t>198</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6ACDF">
    <w:pPr>
      <w:pStyle w:val="2"/>
      <w:spacing w:line="221" w:lineRule="exact"/>
      <w:ind w:left="4030"/>
      <w:rPr>
        <w:sz w:val="17"/>
        <w:szCs w:val="17"/>
      </w:rPr>
    </w:pPr>
    <w:r>
      <w:rPr>
        <w:spacing w:val="-5"/>
        <w:position w:val="1"/>
        <w:sz w:val="17"/>
        <w:szCs w:val="17"/>
      </w:rPr>
      <w:t>199</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8A4CF">
    <w:pPr>
      <w:pStyle w:val="2"/>
      <w:spacing w:line="221" w:lineRule="exact"/>
      <w:ind w:left="4020"/>
      <w:rPr>
        <w:sz w:val="17"/>
        <w:szCs w:val="17"/>
      </w:rPr>
    </w:pPr>
    <w:r>
      <w:rPr>
        <w:spacing w:val="-6"/>
        <w:position w:val="1"/>
        <w:sz w:val="17"/>
        <w:szCs w:val="17"/>
      </w:rPr>
      <w:t>200</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93FED">
    <w:pPr>
      <w:pStyle w:val="2"/>
      <w:spacing w:line="208" w:lineRule="exact"/>
      <w:ind w:left="4030"/>
      <w:rPr>
        <w:sz w:val="16"/>
        <w:szCs w:val="16"/>
      </w:rPr>
    </w:pPr>
    <w:r>
      <w:rPr>
        <w:spacing w:val="-2"/>
        <w:position w:val="1"/>
        <w:sz w:val="16"/>
        <w:szCs w:val="16"/>
      </w:rPr>
      <w:t>201</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91004">
    <w:pPr>
      <w:pStyle w:val="2"/>
      <w:spacing w:line="208" w:lineRule="exact"/>
      <w:ind w:left="4040"/>
      <w:rPr>
        <w:sz w:val="16"/>
        <w:szCs w:val="16"/>
      </w:rPr>
    </w:pPr>
    <w:r>
      <w:rPr>
        <w:spacing w:val="-2"/>
        <w:position w:val="1"/>
        <w:sz w:val="16"/>
        <w:szCs w:val="16"/>
      </w:rPr>
      <w:t>202</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EB629">
    <w:pPr>
      <w:pStyle w:val="2"/>
      <w:spacing w:line="221" w:lineRule="exact"/>
      <w:ind w:left="4040"/>
      <w:rPr>
        <w:sz w:val="17"/>
        <w:szCs w:val="17"/>
      </w:rPr>
    </w:pPr>
    <w:r>
      <w:rPr>
        <w:spacing w:val="-2"/>
        <w:position w:val="1"/>
        <w:sz w:val="17"/>
        <w:szCs w:val="17"/>
      </w:rPr>
      <w:t>203</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37BD1">
    <w:pPr>
      <w:pStyle w:val="2"/>
      <w:spacing w:line="221" w:lineRule="exact"/>
      <w:ind w:left="4030"/>
      <w:rPr>
        <w:sz w:val="17"/>
        <w:szCs w:val="17"/>
      </w:rPr>
    </w:pPr>
    <w:r>
      <w:rPr>
        <w:spacing w:val="-2"/>
        <w:position w:val="1"/>
        <w:sz w:val="17"/>
        <w:szCs w:val="17"/>
      </w:rPr>
      <w:t>204</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26FEF">
    <w:pPr>
      <w:pStyle w:val="2"/>
      <w:spacing w:line="221" w:lineRule="exact"/>
      <w:ind w:left="4050"/>
      <w:rPr>
        <w:sz w:val="17"/>
        <w:szCs w:val="17"/>
      </w:rPr>
    </w:pPr>
    <w:r>
      <w:rPr>
        <w:spacing w:val="-2"/>
        <w:position w:val="1"/>
        <w:sz w:val="17"/>
        <w:szCs w:val="17"/>
      </w:rPr>
      <w:t>205</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038C3">
    <w:pPr>
      <w:pStyle w:val="2"/>
      <w:spacing w:line="221" w:lineRule="exact"/>
      <w:ind w:left="4030"/>
      <w:rPr>
        <w:sz w:val="17"/>
        <w:szCs w:val="17"/>
      </w:rPr>
    </w:pPr>
    <w:r>
      <w:rPr>
        <w:spacing w:val="-6"/>
        <w:position w:val="1"/>
        <w:sz w:val="17"/>
        <w:szCs w:val="17"/>
      </w:rPr>
      <w:t>206</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8E753">
    <w:pPr>
      <w:pStyle w:val="2"/>
      <w:spacing w:line="221" w:lineRule="exact"/>
      <w:ind w:left="4030"/>
      <w:rPr>
        <w:sz w:val="17"/>
        <w:szCs w:val="17"/>
      </w:rPr>
    </w:pPr>
    <w:r>
      <w:rPr>
        <w:spacing w:val="-2"/>
        <w:position w:val="1"/>
        <w:sz w:val="17"/>
        <w:szCs w:val="17"/>
      </w:rPr>
      <w:t>207</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9E6C6">
    <w:pPr>
      <w:pStyle w:val="2"/>
      <w:spacing w:line="221" w:lineRule="exact"/>
      <w:ind w:left="4030"/>
      <w:rPr>
        <w:sz w:val="17"/>
        <w:szCs w:val="17"/>
      </w:rPr>
    </w:pPr>
    <w:r>
      <w:rPr>
        <w:spacing w:val="-2"/>
        <w:position w:val="1"/>
        <w:sz w:val="17"/>
        <w:szCs w:val="17"/>
      </w:rPr>
      <w:t>208</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0AA4F">
    <w:pPr>
      <w:pStyle w:val="2"/>
      <w:spacing w:line="221" w:lineRule="exact"/>
      <w:ind w:left="4040"/>
      <w:rPr>
        <w:sz w:val="17"/>
        <w:szCs w:val="17"/>
      </w:rPr>
    </w:pPr>
    <w:r>
      <w:rPr>
        <w:spacing w:val="-2"/>
        <w:position w:val="1"/>
        <w:sz w:val="17"/>
        <w:szCs w:val="17"/>
      </w:rPr>
      <w:t>209</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A1E29">
    <w:pPr>
      <w:pStyle w:val="2"/>
      <w:spacing w:line="208" w:lineRule="exact"/>
      <w:ind w:left="4030"/>
      <w:rPr>
        <w:sz w:val="16"/>
        <w:szCs w:val="16"/>
      </w:rPr>
    </w:pPr>
    <w:r>
      <w:rPr>
        <w:spacing w:val="-2"/>
        <w:position w:val="1"/>
        <w:sz w:val="16"/>
        <w:szCs w:val="16"/>
      </w:rPr>
      <w:t>210</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4A255">
    <w:pPr>
      <w:pStyle w:val="2"/>
      <w:spacing w:line="182" w:lineRule="auto"/>
      <w:ind w:left="4030"/>
      <w:rPr>
        <w:sz w:val="15"/>
        <w:szCs w:val="15"/>
      </w:rPr>
    </w:pPr>
    <w:r>
      <w:rPr>
        <w:spacing w:val="-1"/>
        <w:sz w:val="15"/>
        <w:szCs w:val="15"/>
      </w:rPr>
      <w:t>211</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CA173">
    <w:pPr>
      <w:pStyle w:val="2"/>
      <w:spacing w:line="182" w:lineRule="auto"/>
      <w:ind w:left="4050"/>
      <w:rPr>
        <w:sz w:val="15"/>
        <w:szCs w:val="15"/>
      </w:rPr>
    </w:pPr>
    <w:r>
      <w:rPr>
        <w:spacing w:val="-1"/>
        <w:sz w:val="15"/>
        <w:szCs w:val="15"/>
      </w:rPr>
      <w:t>212</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3DC4E">
    <w:pPr>
      <w:pStyle w:val="2"/>
      <w:spacing w:line="221" w:lineRule="exact"/>
      <w:ind w:left="4030"/>
      <w:rPr>
        <w:sz w:val="17"/>
        <w:szCs w:val="17"/>
      </w:rPr>
    </w:pPr>
    <w:r>
      <w:rPr>
        <w:spacing w:val="-2"/>
        <w:position w:val="1"/>
        <w:sz w:val="17"/>
        <w:szCs w:val="17"/>
      </w:rPr>
      <w:t>213</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057BB">
    <w:pPr>
      <w:pStyle w:val="2"/>
      <w:spacing w:line="184" w:lineRule="auto"/>
      <w:ind w:left="4020"/>
      <w:rPr>
        <w:sz w:val="17"/>
        <w:szCs w:val="17"/>
      </w:rPr>
    </w:pPr>
    <w:r>
      <w:rPr>
        <w:spacing w:val="-6"/>
        <w:sz w:val="17"/>
        <w:szCs w:val="17"/>
      </w:rPr>
      <w:t>214</w:t>
    </w: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69A3C">
    <w:pPr>
      <w:pStyle w:val="2"/>
      <w:spacing w:line="221" w:lineRule="exact"/>
      <w:ind w:left="4050"/>
      <w:rPr>
        <w:sz w:val="17"/>
        <w:szCs w:val="17"/>
      </w:rPr>
    </w:pPr>
    <w:r>
      <w:rPr>
        <w:spacing w:val="-2"/>
        <w:position w:val="1"/>
        <w:sz w:val="17"/>
        <w:szCs w:val="17"/>
      </w:rPr>
      <w:t>215</w:t>
    </w: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E88C2">
    <w:pPr>
      <w:spacing w:line="231" w:lineRule="auto"/>
      <w:ind w:left="4127"/>
      <w:rPr>
        <w:rFonts w:ascii="宋体" w:hAnsi="宋体" w:eastAsia="宋体" w:cs="宋体"/>
        <w:sz w:val="22"/>
        <w:szCs w:val="22"/>
      </w:rPr>
    </w:pPr>
    <w:r>
      <w:rPr>
        <w:rFonts w:ascii="宋体" w:hAnsi="宋体" w:eastAsia="宋体" w:cs="宋体"/>
        <w:b/>
        <w:bCs/>
        <w:spacing w:val="-17"/>
        <w:sz w:val="22"/>
        <w:szCs w:val="22"/>
      </w:rPr>
      <w:t>216</w:t>
    </w: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D222F">
    <w:pPr>
      <w:pStyle w:val="2"/>
      <w:spacing w:line="184" w:lineRule="auto"/>
      <w:ind w:left="4125"/>
      <w:rPr>
        <w:sz w:val="17"/>
        <w:szCs w:val="17"/>
      </w:rPr>
    </w:pPr>
    <w:r>
      <w:rPr>
        <w:spacing w:val="-2"/>
        <w:sz w:val="17"/>
        <w:szCs w:val="17"/>
      </w:rPr>
      <w:t>217</w:t>
    </w: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33D80">
    <w:pPr>
      <w:pStyle w:val="2"/>
      <w:spacing w:line="194" w:lineRule="exact"/>
      <w:ind w:left="4013"/>
      <w:rPr>
        <w:sz w:val="15"/>
        <w:szCs w:val="15"/>
      </w:rPr>
    </w:pPr>
    <w:r>
      <w:rPr>
        <w:spacing w:val="-1"/>
        <w:position w:val="1"/>
        <w:sz w:val="15"/>
        <w:szCs w:val="15"/>
      </w:rPr>
      <w:t>218</w:t>
    </w: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BF438">
    <w:pPr>
      <w:pStyle w:val="2"/>
      <w:spacing w:line="194" w:lineRule="exact"/>
      <w:ind w:left="4040"/>
      <w:rPr>
        <w:sz w:val="15"/>
        <w:szCs w:val="15"/>
      </w:rPr>
    </w:pPr>
    <w:r>
      <w:rPr>
        <w:spacing w:val="-1"/>
        <w:position w:val="1"/>
        <w:sz w:val="15"/>
        <w:szCs w:val="15"/>
      </w:rPr>
      <w:t>219</w:t>
    </w: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DFEE5">
    <w:pPr>
      <w:pStyle w:val="2"/>
      <w:spacing w:line="208" w:lineRule="exact"/>
      <w:ind w:left="4030"/>
      <w:rPr>
        <w:sz w:val="16"/>
        <w:szCs w:val="16"/>
      </w:rPr>
    </w:pPr>
    <w:r>
      <w:rPr>
        <w:spacing w:val="-2"/>
        <w:position w:val="1"/>
        <w:sz w:val="16"/>
        <w:szCs w:val="16"/>
      </w:rPr>
      <w:t>220</w:t>
    </w: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CE8A0">
    <w:pPr>
      <w:pStyle w:val="2"/>
      <w:spacing w:line="183" w:lineRule="auto"/>
      <w:ind w:left="4030"/>
      <w:rPr>
        <w:sz w:val="16"/>
        <w:szCs w:val="16"/>
      </w:rPr>
    </w:pPr>
    <w:r>
      <w:rPr>
        <w:spacing w:val="-2"/>
        <w:sz w:val="16"/>
        <w:szCs w:val="16"/>
      </w:rPr>
      <w:t>221</w:t>
    </w: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2D6F3">
    <w:pPr>
      <w:pStyle w:val="2"/>
      <w:spacing w:line="184" w:lineRule="auto"/>
      <w:ind w:left="4050"/>
      <w:rPr>
        <w:sz w:val="17"/>
        <w:szCs w:val="17"/>
      </w:rPr>
    </w:pPr>
    <w:r>
      <w:rPr>
        <w:spacing w:val="-2"/>
        <w:sz w:val="17"/>
        <w:szCs w:val="17"/>
      </w:rPr>
      <w:t>222</w:t>
    </w: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5D8FC">
    <w:pPr>
      <w:pStyle w:val="2"/>
      <w:spacing w:line="221" w:lineRule="exact"/>
      <w:ind w:left="4040"/>
      <w:rPr>
        <w:sz w:val="17"/>
        <w:szCs w:val="17"/>
      </w:rPr>
    </w:pPr>
    <w:r>
      <w:rPr>
        <w:spacing w:val="-6"/>
        <w:position w:val="1"/>
        <w:sz w:val="17"/>
        <w:szCs w:val="17"/>
      </w:rPr>
      <w:t>223</w:t>
    </w: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1DF45">
    <w:pPr>
      <w:pStyle w:val="2"/>
      <w:spacing w:line="183" w:lineRule="auto"/>
      <w:ind w:left="4020"/>
      <w:rPr>
        <w:sz w:val="16"/>
        <w:szCs w:val="16"/>
      </w:rPr>
    </w:pPr>
    <w:r>
      <w:rPr>
        <w:spacing w:val="-2"/>
        <w:sz w:val="16"/>
        <w:szCs w:val="16"/>
      </w:rPr>
      <w:t>224</w:t>
    </w: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20DA0">
    <w:pPr>
      <w:pStyle w:val="2"/>
      <w:spacing w:line="221" w:lineRule="exact"/>
      <w:ind w:left="4023"/>
      <w:rPr>
        <w:sz w:val="17"/>
        <w:szCs w:val="17"/>
      </w:rPr>
    </w:pPr>
    <w:r>
      <w:rPr>
        <w:spacing w:val="-2"/>
        <w:position w:val="1"/>
        <w:sz w:val="17"/>
        <w:szCs w:val="17"/>
      </w:rPr>
      <w:t>225</w:t>
    </w: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79267">
    <w:pPr>
      <w:pStyle w:val="2"/>
      <w:spacing w:line="208" w:lineRule="exact"/>
      <w:ind w:left="4013"/>
      <w:rPr>
        <w:sz w:val="16"/>
        <w:szCs w:val="16"/>
      </w:rPr>
    </w:pPr>
    <w:r>
      <w:rPr>
        <w:spacing w:val="-2"/>
        <w:position w:val="1"/>
        <w:sz w:val="16"/>
        <w:szCs w:val="16"/>
      </w:rPr>
      <w:t>226</w:t>
    </w: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48ACB">
    <w:pPr>
      <w:pStyle w:val="2"/>
      <w:spacing w:line="183" w:lineRule="auto"/>
      <w:ind w:left="4030"/>
      <w:rPr>
        <w:sz w:val="16"/>
        <w:szCs w:val="16"/>
      </w:rPr>
    </w:pPr>
    <w:r>
      <w:rPr>
        <w:spacing w:val="-2"/>
        <w:sz w:val="16"/>
        <w:szCs w:val="16"/>
      </w:rPr>
      <w:t>227</w:t>
    </w: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E67E2">
    <w:pPr>
      <w:pStyle w:val="2"/>
      <w:spacing w:line="208" w:lineRule="exact"/>
      <w:ind w:left="4115"/>
      <w:rPr>
        <w:sz w:val="16"/>
        <w:szCs w:val="16"/>
      </w:rPr>
    </w:pPr>
    <w:r>
      <w:rPr>
        <w:spacing w:val="-2"/>
        <w:position w:val="1"/>
        <w:sz w:val="16"/>
        <w:szCs w:val="16"/>
      </w:rPr>
      <w:t>228</w:t>
    </w: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4FF90">
    <w:pPr>
      <w:pStyle w:val="2"/>
      <w:spacing w:line="221" w:lineRule="exact"/>
      <w:ind w:left="4145"/>
      <w:rPr>
        <w:sz w:val="17"/>
        <w:szCs w:val="17"/>
      </w:rPr>
    </w:pPr>
    <w:r>
      <w:rPr>
        <w:spacing w:val="-2"/>
        <w:position w:val="1"/>
        <w:sz w:val="17"/>
        <w:szCs w:val="17"/>
      </w:rPr>
      <w:t>229</w:t>
    </w: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A1E52">
    <w:pPr>
      <w:pStyle w:val="2"/>
      <w:spacing w:line="221" w:lineRule="exact"/>
      <w:ind w:left="4125"/>
      <w:rPr>
        <w:sz w:val="17"/>
        <w:szCs w:val="17"/>
      </w:rPr>
    </w:pPr>
    <w:r>
      <w:rPr>
        <w:spacing w:val="-2"/>
        <w:position w:val="1"/>
        <w:sz w:val="17"/>
        <w:szCs w:val="17"/>
      </w:rPr>
      <w:t>230</w:t>
    </w: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909E0">
    <w:pPr>
      <w:pStyle w:val="2"/>
      <w:spacing w:line="221" w:lineRule="exact"/>
      <w:ind w:left="4125"/>
      <w:rPr>
        <w:sz w:val="17"/>
        <w:szCs w:val="17"/>
      </w:rPr>
    </w:pPr>
    <w:r>
      <w:rPr>
        <w:spacing w:val="-2"/>
        <w:position w:val="1"/>
        <w:sz w:val="17"/>
        <w:szCs w:val="17"/>
      </w:rPr>
      <w:t>231</w:t>
    </w: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272F0">
    <w:pPr>
      <w:pStyle w:val="2"/>
      <w:spacing w:line="194" w:lineRule="exact"/>
      <w:ind w:left="4023"/>
      <w:rPr>
        <w:sz w:val="15"/>
        <w:szCs w:val="15"/>
      </w:rPr>
    </w:pPr>
    <w:r>
      <w:rPr>
        <w:spacing w:val="-1"/>
        <w:position w:val="1"/>
        <w:sz w:val="15"/>
        <w:szCs w:val="15"/>
      </w:rPr>
      <w:t>232</w:t>
    </w: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D9447">
    <w:pPr>
      <w:pStyle w:val="2"/>
      <w:spacing w:line="221" w:lineRule="exact"/>
      <w:ind w:left="4023"/>
      <w:rPr>
        <w:sz w:val="17"/>
        <w:szCs w:val="17"/>
      </w:rPr>
    </w:pPr>
    <w:r>
      <w:rPr>
        <w:spacing w:val="-2"/>
        <w:position w:val="1"/>
        <w:sz w:val="17"/>
        <w:szCs w:val="17"/>
      </w:rPr>
      <w:t>233</w:t>
    </w: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DA951">
    <w:pPr>
      <w:pStyle w:val="2"/>
      <w:spacing w:line="221" w:lineRule="exact"/>
      <w:ind w:left="4030"/>
      <w:rPr>
        <w:sz w:val="17"/>
        <w:szCs w:val="17"/>
      </w:rPr>
    </w:pPr>
    <w:r>
      <w:rPr>
        <w:spacing w:val="-2"/>
        <w:position w:val="1"/>
        <w:sz w:val="17"/>
        <w:szCs w:val="17"/>
      </w:rPr>
      <w:t>234</w:t>
    </w: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13A17">
    <w:pPr>
      <w:pStyle w:val="2"/>
      <w:spacing w:line="221" w:lineRule="exact"/>
      <w:ind w:left="4030"/>
      <w:rPr>
        <w:sz w:val="17"/>
        <w:szCs w:val="17"/>
      </w:rPr>
    </w:pPr>
    <w:r>
      <w:rPr>
        <w:spacing w:val="-2"/>
        <w:position w:val="1"/>
        <w:sz w:val="17"/>
        <w:szCs w:val="17"/>
      </w:rPr>
      <w:t>235</w:t>
    </w: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622F6">
    <w:pPr>
      <w:pStyle w:val="2"/>
      <w:spacing w:line="221" w:lineRule="exact"/>
      <w:ind w:left="4030"/>
      <w:rPr>
        <w:sz w:val="17"/>
        <w:szCs w:val="17"/>
      </w:rPr>
    </w:pPr>
    <w:r>
      <w:rPr>
        <w:spacing w:val="-6"/>
        <w:position w:val="1"/>
        <w:sz w:val="17"/>
        <w:szCs w:val="17"/>
      </w:rPr>
      <w:t>236</w:t>
    </w: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5D5F8">
    <w:pPr>
      <w:pStyle w:val="2"/>
      <w:spacing w:line="221" w:lineRule="exact"/>
      <w:ind w:left="4265"/>
      <w:rPr>
        <w:sz w:val="17"/>
        <w:szCs w:val="17"/>
      </w:rPr>
    </w:pPr>
    <w:r>
      <w:rPr>
        <w:spacing w:val="-2"/>
        <w:position w:val="1"/>
        <w:sz w:val="17"/>
        <w:szCs w:val="17"/>
      </w:rPr>
      <w:t>237</w:t>
    </w: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9E669">
    <w:pPr>
      <w:pStyle w:val="2"/>
      <w:spacing w:line="208" w:lineRule="exact"/>
      <w:ind w:left="4115"/>
      <w:rPr>
        <w:sz w:val="16"/>
        <w:szCs w:val="16"/>
      </w:rPr>
    </w:pPr>
    <w:r>
      <w:rPr>
        <w:spacing w:val="-2"/>
        <w:position w:val="1"/>
        <w:sz w:val="16"/>
        <w:szCs w:val="16"/>
      </w:rPr>
      <w:t>238</w:t>
    </w: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26019">
    <w:pPr>
      <w:pStyle w:val="2"/>
      <w:spacing w:line="221" w:lineRule="exact"/>
      <w:ind w:left="4030"/>
      <w:rPr>
        <w:sz w:val="17"/>
        <w:szCs w:val="17"/>
      </w:rPr>
    </w:pPr>
    <w:r>
      <w:rPr>
        <w:spacing w:val="-2"/>
        <w:position w:val="1"/>
        <w:sz w:val="17"/>
        <w:szCs w:val="17"/>
      </w:rPr>
      <w:t>239</w:t>
    </w: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2DD59">
    <w:pPr>
      <w:pStyle w:val="2"/>
      <w:spacing w:line="221" w:lineRule="exact"/>
      <w:ind w:left="4040"/>
      <w:rPr>
        <w:sz w:val="17"/>
        <w:szCs w:val="17"/>
      </w:rPr>
    </w:pPr>
    <w:r>
      <w:rPr>
        <w:spacing w:val="-6"/>
        <w:position w:val="1"/>
        <w:sz w:val="17"/>
        <w:szCs w:val="17"/>
      </w:rPr>
      <w:t>240</w:t>
    </w: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4AB25">
    <w:pPr>
      <w:pStyle w:val="2"/>
      <w:spacing w:line="184" w:lineRule="auto"/>
      <w:ind w:left="4040"/>
      <w:rPr>
        <w:sz w:val="17"/>
        <w:szCs w:val="17"/>
      </w:rPr>
    </w:pPr>
    <w:r>
      <w:rPr>
        <w:spacing w:val="-2"/>
        <w:sz w:val="17"/>
        <w:szCs w:val="17"/>
      </w:rPr>
      <w:t>241</w:t>
    </w: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E6495">
    <w:pPr>
      <w:pStyle w:val="2"/>
      <w:spacing w:line="184" w:lineRule="auto"/>
      <w:ind w:left="4030"/>
      <w:rPr>
        <w:sz w:val="17"/>
        <w:szCs w:val="17"/>
      </w:rPr>
    </w:pPr>
    <w:r>
      <w:rPr>
        <w:spacing w:val="-2"/>
        <w:sz w:val="17"/>
        <w:szCs w:val="17"/>
      </w:rPr>
      <w:t>242</w:t>
    </w: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576C5">
    <w:pPr>
      <w:pStyle w:val="2"/>
      <w:spacing w:line="221" w:lineRule="exact"/>
      <w:ind w:left="4125"/>
      <w:rPr>
        <w:sz w:val="17"/>
        <w:szCs w:val="17"/>
      </w:rPr>
    </w:pPr>
    <w:r>
      <w:rPr>
        <w:spacing w:val="-2"/>
        <w:position w:val="1"/>
        <w:sz w:val="17"/>
        <w:szCs w:val="17"/>
      </w:rPr>
      <w:t>243</w:t>
    </w: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DFE34">
    <w:pPr>
      <w:pStyle w:val="2"/>
      <w:spacing w:line="183" w:lineRule="auto"/>
      <w:ind w:left="4125"/>
      <w:rPr>
        <w:sz w:val="16"/>
        <w:szCs w:val="16"/>
      </w:rPr>
    </w:pPr>
    <w:r>
      <w:rPr>
        <w:spacing w:val="-2"/>
        <w:sz w:val="16"/>
        <w:szCs w:val="16"/>
      </w:rPr>
      <w:t>244</w:t>
    </w: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F9050">
    <w:pPr>
      <w:pStyle w:val="2"/>
      <w:spacing w:line="221" w:lineRule="exact"/>
      <w:ind w:left="4030"/>
      <w:rPr>
        <w:sz w:val="17"/>
        <w:szCs w:val="17"/>
      </w:rPr>
    </w:pPr>
    <w:r>
      <w:rPr>
        <w:spacing w:val="-2"/>
        <w:position w:val="1"/>
        <w:sz w:val="17"/>
        <w:szCs w:val="17"/>
      </w:rPr>
      <w:t>245</w:t>
    </w: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213B0">
    <w:pPr>
      <w:pStyle w:val="2"/>
      <w:spacing w:line="221" w:lineRule="exact"/>
      <w:ind w:left="4019"/>
      <w:rPr>
        <w:sz w:val="17"/>
        <w:szCs w:val="17"/>
      </w:rPr>
    </w:pPr>
    <w:r>
      <w:rPr>
        <w:spacing w:val="-2"/>
        <w:position w:val="1"/>
        <w:sz w:val="17"/>
        <w:szCs w:val="17"/>
      </w:rPr>
      <w:t>246</w:t>
    </w: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96FF2">
    <w:pPr>
      <w:pStyle w:val="2"/>
      <w:spacing w:line="184" w:lineRule="auto"/>
      <w:ind w:left="4023"/>
      <w:rPr>
        <w:sz w:val="17"/>
        <w:szCs w:val="17"/>
      </w:rPr>
    </w:pPr>
    <w:r>
      <w:rPr>
        <w:spacing w:val="-2"/>
        <w:sz w:val="17"/>
        <w:szCs w:val="17"/>
      </w:rPr>
      <w:t>247</w:t>
    </w: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735D2">
    <w:pPr>
      <w:pStyle w:val="2"/>
      <w:spacing w:line="221" w:lineRule="exact"/>
      <w:ind w:left="5085"/>
      <w:rPr>
        <w:sz w:val="17"/>
        <w:szCs w:val="17"/>
      </w:rPr>
    </w:pPr>
    <w:r>
      <w:rPr>
        <w:spacing w:val="-2"/>
        <w:position w:val="1"/>
        <w:sz w:val="17"/>
        <w:szCs w:val="17"/>
      </w:rPr>
      <w:t>248</w:t>
    </w: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AE3FB">
    <w:pPr>
      <w:pStyle w:val="2"/>
      <w:spacing w:line="221" w:lineRule="exact"/>
      <w:ind w:left="4035"/>
      <w:rPr>
        <w:sz w:val="17"/>
        <w:szCs w:val="17"/>
      </w:rPr>
    </w:pPr>
    <w:r>
      <w:rPr>
        <w:spacing w:val="-2"/>
        <w:position w:val="1"/>
        <w:sz w:val="17"/>
        <w:szCs w:val="17"/>
      </w:rPr>
      <w:t>249</w:t>
    </w: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E105D">
    <w:pPr>
      <w:pStyle w:val="2"/>
      <w:spacing w:line="221" w:lineRule="exact"/>
      <w:ind w:left="4013"/>
      <w:rPr>
        <w:sz w:val="17"/>
        <w:szCs w:val="17"/>
      </w:rPr>
    </w:pPr>
    <w:r>
      <w:rPr>
        <w:spacing w:val="-2"/>
        <w:position w:val="1"/>
        <w:sz w:val="17"/>
        <w:szCs w:val="17"/>
      </w:rPr>
      <w:t>250</w:t>
    </w: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86367">
    <w:pPr>
      <w:pStyle w:val="2"/>
      <w:spacing w:line="194" w:lineRule="exact"/>
      <w:ind w:left="4035"/>
      <w:rPr>
        <w:sz w:val="15"/>
        <w:szCs w:val="15"/>
      </w:rPr>
    </w:pPr>
    <w:r>
      <w:rPr>
        <w:spacing w:val="-1"/>
        <w:position w:val="1"/>
        <w:sz w:val="15"/>
        <w:szCs w:val="15"/>
      </w:rPr>
      <w:t>251</w:t>
    </w: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8BAF1">
    <w:pPr>
      <w:pStyle w:val="2"/>
      <w:spacing w:line="194" w:lineRule="exact"/>
      <w:ind w:left="4035"/>
      <w:rPr>
        <w:sz w:val="15"/>
        <w:szCs w:val="15"/>
      </w:rPr>
    </w:pPr>
    <w:r>
      <w:rPr>
        <w:spacing w:val="-1"/>
        <w:position w:val="1"/>
        <w:sz w:val="15"/>
        <w:szCs w:val="15"/>
      </w:rPr>
      <w:t>252</w:t>
    </w: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403E8">
    <w:pPr>
      <w:pStyle w:val="2"/>
      <w:spacing w:line="221" w:lineRule="exact"/>
      <w:ind w:left="4035"/>
      <w:rPr>
        <w:sz w:val="17"/>
        <w:szCs w:val="17"/>
      </w:rPr>
    </w:pPr>
    <w:r>
      <w:rPr>
        <w:spacing w:val="-2"/>
        <w:position w:val="1"/>
        <w:sz w:val="17"/>
        <w:szCs w:val="17"/>
      </w:rPr>
      <w:t>253</w:t>
    </w: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3404E">
    <w:pPr>
      <w:pStyle w:val="2"/>
      <w:spacing w:line="194" w:lineRule="exact"/>
      <w:ind w:left="4030"/>
      <w:rPr>
        <w:sz w:val="15"/>
        <w:szCs w:val="15"/>
      </w:rPr>
    </w:pPr>
    <w:r>
      <w:rPr>
        <w:spacing w:val="-1"/>
        <w:position w:val="1"/>
        <w:sz w:val="15"/>
        <w:szCs w:val="15"/>
      </w:rPr>
      <w:t>254</w:t>
    </w: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A83F8">
    <w:pPr>
      <w:pStyle w:val="2"/>
      <w:spacing w:line="221" w:lineRule="exact"/>
      <w:ind w:left="4023"/>
      <w:rPr>
        <w:sz w:val="17"/>
        <w:szCs w:val="17"/>
      </w:rPr>
    </w:pPr>
    <w:r>
      <w:rPr>
        <w:spacing w:val="-2"/>
        <w:position w:val="1"/>
        <w:sz w:val="17"/>
        <w:szCs w:val="17"/>
      </w:rPr>
      <w:t>255</w:t>
    </w: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46437">
    <w:pPr>
      <w:pStyle w:val="2"/>
      <w:spacing w:line="221" w:lineRule="exact"/>
      <w:ind w:left="4025"/>
      <w:rPr>
        <w:sz w:val="17"/>
        <w:szCs w:val="17"/>
      </w:rPr>
    </w:pPr>
    <w:r>
      <w:rPr>
        <w:spacing w:val="-2"/>
        <w:position w:val="1"/>
        <w:sz w:val="17"/>
        <w:szCs w:val="17"/>
      </w:rPr>
      <w:t>256</w:t>
    </w: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99C3B">
    <w:pPr>
      <w:pStyle w:val="2"/>
      <w:spacing w:line="221" w:lineRule="exact"/>
      <w:ind w:left="4023"/>
      <w:rPr>
        <w:sz w:val="17"/>
        <w:szCs w:val="17"/>
      </w:rPr>
    </w:pPr>
    <w:r>
      <w:rPr>
        <w:spacing w:val="-2"/>
        <w:position w:val="1"/>
        <w:sz w:val="17"/>
        <w:szCs w:val="17"/>
      </w:rPr>
      <w:t>257</w:t>
    </w: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9B128">
    <w:pPr>
      <w:pStyle w:val="2"/>
      <w:spacing w:line="221" w:lineRule="exact"/>
      <w:ind w:left="4115"/>
      <w:rPr>
        <w:sz w:val="17"/>
        <w:szCs w:val="17"/>
      </w:rPr>
    </w:pPr>
    <w:r>
      <w:rPr>
        <w:spacing w:val="-2"/>
        <w:position w:val="1"/>
        <w:sz w:val="17"/>
        <w:szCs w:val="17"/>
      </w:rPr>
      <w:t>258</w:t>
    </w: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D940F">
    <w:pPr>
      <w:pStyle w:val="2"/>
      <w:spacing w:line="221" w:lineRule="exact"/>
      <w:ind w:left="4495"/>
      <w:rPr>
        <w:sz w:val="17"/>
        <w:szCs w:val="17"/>
      </w:rPr>
    </w:pPr>
    <w:r>
      <w:rPr>
        <w:spacing w:val="-2"/>
        <w:position w:val="1"/>
        <w:sz w:val="17"/>
        <w:szCs w:val="17"/>
      </w:rPr>
      <w:t>259</w:t>
    </w: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6B07B">
    <w:pPr>
      <w:pStyle w:val="2"/>
      <w:spacing w:line="221" w:lineRule="exact"/>
      <w:ind w:left="4020"/>
      <w:rPr>
        <w:sz w:val="17"/>
        <w:szCs w:val="17"/>
      </w:rPr>
    </w:pPr>
    <w:r>
      <w:rPr>
        <w:spacing w:val="-2"/>
        <w:position w:val="1"/>
        <w:sz w:val="17"/>
        <w:szCs w:val="17"/>
      </w:rPr>
      <w:t>260</w:t>
    </w: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0A366">
    <w:pPr>
      <w:pStyle w:val="2"/>
      <w:spacing w:line="194" w:lineRule="exact"/>
      <w:ind w:left="4030"/>
      <w:rPr>
        <w:sz w:val="15"/>
        <w:szCs w:val="15"/>
      </w:rPr>
    </w:pPr>
    <w:r>
      <w:rPr>
        <w:spacing w:val="-1"/>
        <w:position w:val="1"/>
        <w:sz w:val="15"/>
        <w:szCs w:val="15"/>
      </w:rPr>
      <w:t>261</w:t>
    </w: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1B24B">
    <w:pPr>
      <w:pStyle w:val="2"/>
      <w:spacing w:line="221" w:lineRule="exact"/>
      <w:ind w:left="4023"/>
      <w:rPr>
        <w:sz w:val="17"/>
        <w:szCs w:val="17"/>
      </w:rPr>
    </w:pPr>
    <w:r>
      <w:rPr>
        <w:spacing w:val="-2"/>
        <w:position w:val="1"/>
        <w:sz w:val="17"/>
        <w:szCs w:val="17"/>
      </w:rPr>
      <w:t>262</w:t>
    </w: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D433A">
    <w:pPr>
      <w:pStyle w:val="2"/>
      <w:spacing w:line="221" w:lineRule="exact"/>
      <w:ind w:left="4145"/>
      <w:rPr>
        <w:sz w:val="17"/>
        <w:szCs w:val="17"/>
      </w:rPr>
    </w:pPr>
    <w:r>
      <w:rPr>
        <w:spacing w:val="-2"/>
        <w:position w:val="1"/>
        <w:sz w:val="17"/>
        <w:szCs w:val="17"/>
      </w:rPr>
      <w:t>263</w:t>
    </w: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651CE">
    <w:pPr>
      <w:pStyle w:val="2"/>
      <w:spacing w:line="194" w:lineRule="exact"/>
      <w:ind w:left="4013"/>
      <w:rPr>
        <w:sz w:val="15"/>
        <w:szCs w:val="15"/>
      </w:rPr>
    </w:pPr>
    <w:r>
      <w:rPr>
        <w:spacing w:val="-1"/>
        <w:position w:val="1"/>
        <w:sz w:val="15"/>
        <w:szCs w:val="15"/>
      </w:rPr>
      <w:t>264</w:t>
    </w: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A0BAB">
    <w:pPr>
      <w:pStyle w:val="2"/>
      <w:spacing w:line="194" w:lineRule="exact"/>
      <w:ind w:left="4135"/>
      <w:rPr>
        <w:sz w:val="15"/>
        <w:szCs w:val="15"/>
      </w:rPr>
    </w:pPr>
    <w:r>
      <w:rPr>
        <w:spacing w:val="-1"/>
        <w:position w:val="1"/>
        <w:sz w:val="15"/>
        <w:szCs w:val="15"/>
      </w:rPr>
      <w:t>265</w:t>
    </w: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130E1">
    <w:pPr>
      <w:pStyle w:val="2"/>
      <w:spacing w:line="194" w:lineRule="exact"/>
      <w:ind w:left="4013"/>
      <w:rPr>
        <w:sz w:val="15"/>
        <w:szCs w:val="15"/>
      </w:rPr>
    </w:pPr>
    <w:r>
      <w:rPr>
        <w:spacing w:val="-1"/>
        <w:position w:val="1"/>
        <w:sz w:val="15"/>
        <w:szCs w:val="15"/>
      </w:rPr>
      <w:t>266</w:t>
    </w: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2EAD9">
    <w:pPr>
      <w:pStyle w:val="2"/>
      <w:spacing w:line="221" w:lineRule="exact"/>
      <w:ind w:left="4145"/>
      <w:rPr>
        <w:sz w:val="17"/>
        <w:szCs w:val="17"/>
      </w:rPr>
    </w:pPr>
    <w:r>
      <w:rPr>
        <w:spacing w:val="-2"/>
        <w:position w:val="1"/>
        <w:sz w:val="17"/>
        <w:szCs w:val="17"/>
      </w:rPr>
      <w:t>267</w:t>
    </w: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92405">
    <w:pPr>
      <w:pStyle w:val="2"/>
      <w:spacing w:line="221" w:lineRule="exact"/>
      <w:ind w:left="4013"/>
      <w:rPr>
        <w:sz w:val="17"/>
        <w:szCs w:val="17"/>
      </w:rPr>
    </w:pPr>
    <w:r>
      <w:rPr>
        <w:spacing w:val="-2"/>
        <w:position w:val="1"/>
        <w:sz w:val="17"/>
        <w:szCs w:val="17"/>
      </w:rPr>
      <w:t>268</w:t>
    </w: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8D8D0">
    <w:pPr>
      <w:pStyle w:val="2"/>
      <w:spacing w:line="221" w:lineRule="exact"/>
      <w:ind w:left="4125"/>
      <w:rPr>
        <w:sz w:val="17"/>
        <w:szCs w:val="17"/>
      </w:rPr>
    </w:pPr>
    <w:r>
      <w:rPr>
        <w:spacing w:val="-2"/>
        <w:position w:val="1"/>
        <w:sz w:val="17"/>
        <w:szCs w:val="17"/>
      </w:rPr>
      <w:t>269</w:t>
    </w: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25FA4">
    <w:pPr>
      <w:pStyle w:val="2"/>
      <w:spacing w:line="221" w:lineRule="exact"/>
      <w:ind w:left="4000"/>
      <w:rPr>
        <w:sz w:val="17"/>
        <w:szCs w:val="17"/>
      </w:rPr>
    </w:pPr>
    <w:r>
      <w:rPr>
        <w:spacing w:val="-2"/>
        <w:position w:val="1"/>
        <w:sz w:val="17"/>
        <w:szCs w:val="17"/>
      </w:rPr>
      <w:t>270</w:t>
    </w: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9206D">
    <w:pPr>
      <w:pStyle w:val="2"/>
      <w:spacing w:line="184" w:lineRule="auto"/>
      <w:ind w:left="4023"/>
      <w:rPr>
        <w:sz w:val="17"/>
        <w:szCs w:val="17"/>
      </w:rPr>
    </w:pPr>
    <w:r>
      <w:rPr>
        <w:spacing w:val="-2"/>
        <w:sz w:val="17"/>
        <w:szCs w:val="17"/>
      </w:rPr>
      <w:t>271</w:t>
    </w: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109D2">
    <w:pPr>
      <w:pStyle w:val="2"/>
      <w:spacing w:line="184" w:lineRule="auto"/>
      <w:ind w:left="4135"/>
      <w:rPr>
        <w:sz w:val="17"/>
        <w:szCs w:val="17"/>
      </w:rPr>
    </w:pPr>
    <w:r>
      <w:rPr>
        <w:spacing w:val="-2"/>
        <w:sz w:val="17"/>
        <w:szCs w:val="17"/>
      </w:rPr>
      <w:t>272</w:t>
    </w: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DAA0E">
    <w:pPr>
      <w:pStyle w:val="2"/>
      <w:spacing w:line="221" w:lineRule="exact"/>
      <w:ind w:left="4125"/>
      <w:rPr>
        <w:sz w:val="17"/>
        <w:szCs w:val="17"/>
      </w:rPr>
    </w:pPr>
    <w:r>
      <w:rPr>
        <w:spacing w:val="-2"/>
        <w:position w:val="1"/>
        <w:sz w:val="17"/>
        <w:szCs w:val="17"/>
      </w:rPr>
      <w:t>273</w:t>
    </w: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199B5">
    <w:pPr>
      <w:pStyle w:val="2"/>
      <w:spacing w:line="183" w:lineRule="auto"/>
      <w:ind w:left="4020"/>
      <w:rPr>
        <w:sz w:val="16"/>
        <w:szCs w:val="16"/>
      </w:rPr>
    </w:pPr>
    <w:r>
      <w:rPr>
        <w:spacing w:val="-2"/>
        <w:sz w:val="16"/>
        <w:szCs w:val="16"/>
      </w:rPr>
      <w:t>274</w:t>
    </w: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8E951">
    <w:pPr>
      <w:pStyle w:val="2"/>
      <w:spacing w:line="221" w:lineRule="exact"/>
      <w:ind w:left="4125"/>
      <w:rPr>
        <w:sz w:val="17"/>
        <w:szCs w:val="17"/>
      </w:rPr>
    </w:pPr>
    <w:r>
      <w:rPr>
        <w:spacing w:val="-2"/>
        <w:position w:val="1"/>
        <w:sz w:val="17"/>
        <w:szCs w:val="17"/>
      </w:rPr>
      <w:t>275</w:t>
    </w: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4D0D5">
    <w:pPr>
      <w:pStyle w:val="2"/>
      <w:spacing w:line="221" w:lineRule="exact"/>
      <w:ind w:left="4115"/>
      <w:rPr>
        <w:sz w:val="17"/>
        <w:szCs w:val="17"/>
      </w:rPr>
    </w:pPr>
    <w:r>
      <w:rPr>
        <w:spacing w:val="-2"/>
        <w:position w:val="1"/>
        <w:sz w:val="17"/>
        <w:szCs w:val="17"/>
      </w:rPr>
      <w:t>276</w:t>
    </w:r>
  </w:p>
</w:ftr>
</file>

<file path=word/footer2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C5FD7">
    <w:pPr>
      <w:pStyle w:val="2"/>
      <w:spacing w:line="184" w:lineRule="auto"/>
      <w:ind w:left="4125"/>
      <w:rPr>
        <w:sz w:val="17"/>
        <w:szCs w:val="17"/>
      </w:rPr>
    </w:pPr>
    <w:r>
      <w:rPr>
        <w:spacing w:val="-2"/>
        <w:sz w:val="17"/>
        <w:szCs w:val="17"/>
      </w:rPr>
      <w:t>277</w:t>
    </w:r>
  </w:p>
</w:ftr>
</file>

<file path=word/footer2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212A">
    <w:pPr>
      <w:pStyle w:val="2"/>
      <w:spacing w:line="208" w:lineRule="exact"/>
      <w:ind w:left="4115"/>
      <w:rPr>
        <w:sz w:val="16"/>
        <w:szCs w:val="16"/>
      </w:rPr>
    </w:pPr>
    <w:r>
      <w:rPr>
        <w:spacing w:val="-2"/>
        <w:position w:val="1"/>
        <w:sz w:val="16"/>
        <w:szCs w:val="16"/>
      </w:rPr>
      <w:t>278</w:t>
    </w:r>
  </w:p>
</w:ftr>
</file>

<file path=word/footer2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ACE00">
    <w:pPr>
      <w:pStyle w:val="2"/>
      <w:spacing w:line="221" w:lineRule="exact"/>
      <w:ind w:left="4145"/>
      <w:rPr>
        <w:sz w:val="17"/>
        <w:szCs w:val="17"/>
      </w:rPr>
    </w:pPr>
    <w:r>
      <w:rPr>
        <w:spacing w:val="-2"/>
        <w:position w:val="1"/>
        <w:sz w:val="17"/>
        <w:szCs w:val="17"/>
      </w:rPr>
      <w:t>279</w:t>
    </w:r>
  </w:p>
</w:ftr>
</file>

<file path=word/footer2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DC2B0">
    <w:pPr>
      <w:pStyle w:val="2"/>
      <w:spacing w:line="221" w:lineRule="exact"/>
      <w:ind w:left="4115"/>
      <w:rPr>
        <w:sz w:val="17"/>
        <w:szCs w:val="17"/>
      </w:rPr>
    </w:pPr>
    <w:r>
      <w:rPr>
        <w:spacing w:val="-2"/>
        <w:position w:val="1"/>
        <w:sz w:val="17"/>
        <w:szCs w:val="17"/>
      </w:rPr>
      <w:t>280</w:t>
    </w:r>
  </w:p>
</w:ftr>
</file>

<file path=word/footer2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E7C53">
    <w:pPr>
      <w:pStyle w:val="2"/>
      <w:spacing w:line="208" w:lineRule="exact"/>
      <w:ind w:left="4125"/>
      <w:rPr>
        <w:sz w:val="16"/>
        <w:szCs w:val="16"/>
      </w:rPr>
    </w:pPr>
    <w:r>
      <w:rPr>
        <w:spacing w:val="-2"/>
        <w:position w:val="1"/>
        <w:sz w:val="16"/>
        <w:szCs w:val="16"/>
      </w:rPr>
      <w:t>281</w:t>
    </w:r>
  </w:p>
</w:ftr>
</file>

<file path=word/footer2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1262E">
    <w:pPr>
      <w:pStyle w:val="2"/>
      <w:spacing w:line="221" w:lineRule="exact"/>
      <w:ind w:left="4125"/>
      <w:rPr>
        <w:sz w:val="17"/>
        <w:szCs w:val="17"/>
      </w:rPr>
    </w:pPr>
    <w:r>
      <w:rPr>
        <w:spacing w:val="-2"/>
        <w:position w:val="1"/>
        <w:sz w:val="17"/>
        <w:szCs w:val="17"/>
      </w:rPr>
      <w:t>282</w:t>
    </w:r>
  </w:p>
</w:ftr>
</file>

<file path=word/footer2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1B092">
    <w:pPr>
      <w:pStyle w:val="2"/>
      <w:spacing w:line="221" w:lineRule="exact"/>
      <w:ind w:left="4125"/>
      <w:rPr>
        <w:sz w:val="17"/>
        <w:szCs w:val="17"/>
      </w:rPr>
    </w:pPr>
    <w:r>
      <w:rPr>
        <w:spacing w:val="-2"/>
        <w:position w:val="1"/>
        <w:sz w:val="17"/>
        <w:szCs w:val="17"/>
      </w:rPr>
      <w:t>283</w:t>
    </w:r>
  </w:p>
</w:ftr>
</file>

<file path=word/footer2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2A198">
    <w:pPr>
      <w:pStyle w:val="2"/>
      <w:spacing w:line="194" w:lineRule="exact"/>
      <w:ind w:left="4020"/>
      <w:rPr>
        <w:sz w:val="15"/>
        <w:szCs w:val="15"/>
      </w:rPr>
    </w:pPr>
    <w:r>
      <w:rPr>
        <w:spacing w:val="-1"/>
        <w:position w:val="1"/>
        <w:sz w:val="15"/>
        <w:szCs w:val="15"/>
      </w:rPr>
      <w:t>284</w:t>
    </w:r>
  </w:p>
</w:ftr>
</file>

<file path=word/footer2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D7283">
    <w:pPr>
      <w:pStyle w:val="2"/>
      <w:spacing w:line="221" w:lineRule="exact"/>
      <w:ind w:left="4023"/>
      <w:rPr>
        <w:sz w:val="17"/>
        <w:szCs w:val="17"/>
      </w:rPr>
    </w:pPr>
    <w:r>
      <w:rPr>
        <w:spacing w:val="-2"/>
        <w:position w:val="1"/>
        <w:sz w:val="17"/>
        <w:szCs w:val="17"/>
      </w:rPr>
      <w:t>285</w:t>
    </w:r>
  </w:p>
</w:ftr>
</file>

<file path=word/footer2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1D557">
    <w:pPr>
      <w:pStyle w:val="2"/>
      <w:spacing w:line="194" w:lineRule="exact"/>
      <w:ind w:left="4013"/>
      <w:rPr>
        <w:sz w:val="15"/>
        <w:szCs w:val="15"/>
      </w:rPr>
    </w:pPr>
    <w:r>
      <w:rPr>
        <w:spacing w:val="-1"/>
        <w:position w:val="1"/>
        <w:sz w:val="15"/>
        <w:szCs w:val="15"/>
      </w:rPr>
      <w:t>286</w:t>
    </w:r>
  </w:p>
</w:ftr>
</file>

<file path=word/footer2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72D64">
    <w:pPr>
      <w:pStyle w:val="2"/>
      <w:spacing w:line="221" w:lineRule="exact"/>
      <w:ind w:left="4245"/>
      <w:rPr>
        <w:sz w:val="17"/>
        <w:szCs w:val="17"/>
      </w:rPr>
    </w:pPr>
    <w:r>
      <w:rPr>
        <w:spacing w:val="-2"/>
        <w:position w:val="1"/>
        <w:sz w:val="17"/>
        <w:szCs w:val="17"/>
      </w:rPr>
      <w:t>287</w:t>
    </w:r>
  </w:p>
</w:ftr>
</file>

<file path=word/footer2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D60DE">
    <w:pPr>
      <w:pStyle w:val="2"/>
      <w:spacing w:line="221" w:lineRule="exact"/>
      <w:ind w:left="4235"/>
      <w:rPr>
        <w:sz w:val="17"/>
        <w:szCs w:val="17"/>
      </w:rPr>
    </w:pPr>
    <w:r>
      <w:rPr>
        <w:spacing w:val="-2"/>
        <w:position w:val="1"/>
        <w:sz w:val="17"/>
        <w:szCs w:val="17"/>
      </w:rPr>
      <w:t>288</w:t>
    </w:r>
  </w:p>
</w:ftr>
</file>

<file path=word/footer2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5F0B3">
    <w:pPr>
      <w:pStyle w:val="2"/>
      <w:spacing w:line="221" w:lineRule="exact"/>
      <w:ind w:left="4135"/>
      <w:rPr>
        <w:sz w:val="17"/>
        <w:szCs w:val="17"/>
      </w:rPr>
    </w:pPr>
    <w:r>
      <w:rPr>
        <w:spacing w:val="-2"/>
        <w:position w:val="1"/>
        <w:sz w:val="17"/>
        <w:szCs w:val="17"/>
      </w:rPr>
      <w:t>289</w:t>
    </w:r>
  </w:p>
</w:ftr>
</file>

<file path=word/footer2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34443">
    <w:pPr>
      <w:pStyle w:val="2"/>
      <w:spacing w:line="221" w:lineRule="exact"/>
      <w:ind w:left="4030"/>
      <w:rPr>
        <w:sz w:val="17"/>
        <w:szCs w:val="17"/>
      </w:rPr>
    </w:pPr>
    <w:r>
      <w:rPr>
        <w:spacing w:val="-2"/>
        <w:position w:val="1"/>
        <w:sz w:val="17"/>
        <w:szCs w:val="17"/>
      </w:rPr>
      <w:t>290</w:t>
    </w:r>
  </w:p>
</w:ftr>
</file>

<file path=word/footer2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2F76A">
    <w:pPr>
      <w:pStyle w:val="2"/>
      <w:spacing w:line="221" w:lineRule="exact"/>
      <w:ind w:left="4030"/>
      <w:rPr>
        <w:sz w:val="17"/>
        <w:szCs w:val="17"/>
      </w:rPr>
    </w:pPr>
    <w:r>
      <w:rPr>
        <w:spacing w:val="-2"/>
        <w:position w:val="1"/>
        <w:sz w:val="17"/>
        <w:szCs w:val="17"/>
      </w:rPr>
      <w:t>291</w:t>
    </w:r>
  </w:p>
</w:ftr>
</file>

<file path=word/footer2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2F254">
    <w:pPr>
      <w:pStyle w:val="2"/>
      <w:spacing w:line="221" w:lineRule="exact"/>
      <w:ind w:left="4135"/>
      <w:rPr>
        <w:sz w:val="17"/>
        <w:szCs w:val="17"/>
      </w:rPr>
    </w:pPr>
    <w:r>
      <w:rPr>
        <w:spacing w:val="-2"/>
        <w:position w:val="1"/>
        <w:sz w:val="17"/>
        <w:szCs w:val="17"/>
      </w:rPr>
      <w:t>292</w:t>
    </w:r>
  </w:p>
</w:ftr>
</file>

<file path=word/footer2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7812A">
    <w:pPr>
      <w:pStyle w:val="2"/>
      <w:spacing w:line="221" w:lineRule="exact"/>
      <w:ind w:left="4023"/>
      <w:rPr>
        <w:sz w:val="17"/>
        <w:szCs w:val="17"/>
      </w:rPr>
    </w:pPr>
    <w:r>
      <w:rPr>
        <w:spacing w:val="-2"/>
        <w:position w:val="1"/>
        <w:sz w:val="17"/>
        <w:szCs w:val="17"/>
      </w:rPr>
      <w:t>293</w:t>
    </w:r>
  </w:p>
</w:ftr>
</file>

<file path=word/footer2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6D633">
    <w:pPr>
      <w:pStyle w:val="2"/>
      <w:spacing w:line="221" w:lineRule="exact"/>
      <w:ind w:left="4445"/>
      <w:rPr>
        <w:sz w:val="17"/>
        <w:szCs w:val="17"/>
      </w:rPr>
    </w:pPr>
    <w:r>
      <w:rPr>
        <w:spacing w:val="-2"/>
        <w:position w:val="1"/>
        <w:sz w:val="17"/>
        <w:szCs w:val="17"/>
      </w:rPr>
      <w:t>294</w:t>
    </w:r>
  </w:p>
</w:ftr>
</file>

<file path=word/footer2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B2617">
    <w:pPr>
      <w:pStyle w:val="2"/>
      <w:spacing w:line="221" w:lineRule="exact"/>
      <w:ind w:left="4030"/>
      <w:rPr>
        <w:sz w:val="17"/>
        <w:szCs w:val="17"/>
      </w:rPr>
    </w:pPr>
    <w:r>
      <w:rPr>
        <w:spacing w:val="-2"/>
        <w:position w:val="1"/>
        <w:sz w:val="17"/>
        <w:szCs w:val="17"/>
      </w:rPr>
      <w:t>295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E5536">
    <w:pPr>
      <w:pStyle w:val="2"/>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88A6D">
    <w:pPr>
      <w:pStyle w:val="2"/>
      <w:spacing w:before="62" w:line="221" w:lineRule="auto"/>
      <w:ind w:left="2314"/>
      <w:rPr>
        <w:rFonts w:ascii="黑体" w:hAnsi="黑体" w:eastAsia="黑体" w:cs="黑体"/>
        <w:sz w:val="24"/>
        <w:szCs w:val="24"/>
      </w:rPr>
    </w:pPr>
    <w:r>
      <w:rPr>
        <w:sz w:val="24"/>
        <w:szCs w:val="24"/>
      </w:rPr>
      <w:t xml:space="preserve">4-2  </w:t>
    </w:r>
    <w:r>
      <w:rPr>
        <w:rFonts w:ascii="黑体" w:hAnsi="黑体" w:eastAsia="黑体" w:cs="黑体"/>
        <w:sz w:val="24"/>
        <w:szCs w:val="24"/>
      </w:rPr>
      <w:t>近年完成的类似设计项目情况表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76B29">
    <w:pPr>
      <w:pStyle w:val="2"/>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A4CB7">
    <w:pPr>
      <w:pStyle w:val="2"/>
      <w:spacing w:before="21" w:line="327" w:lineRule="exact"/>
      <w:ind w:left="2344"/>
      <w:rPr>
        <w:rFonts w:ascii="黑体" w:hAnsi="黑体" w:eastAsia="黑体" w:cs="黑体"/>
        <w:sz w:val="24"/>
        <w:szCs w:val="24"/>
      </w:rPr>
    </w:pPr>
    <w:r>
      <w:rPr>
        <w:spacing w:val="-1"/>
        <w:position w:val="1"/>
        <w:sz w:val="24"/>
        <w:szCs w:val="24"/>
      </w:rPr>
      <w:t xml:space="preserve">5-2  </w:t>
    </w:r>
    <w:r>
      <w:rPr>
        <w:rFonts w:ascii="黑体" w:hAnsi="黑体" w:eastAsia="黑体" w:cs="黑体"/>
        <w:spacing w:val="-1"/>
        <w:position w:val="1"/>
        <w:sz w:val="24"/>
        <w:szCs w:val="24"/>
      </w:rPr>
      <w:t>近年完成的类似施工项目情况表</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0228D">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2212E2E"/>
    <w:rsid w:val="025F28B4"/>
    <w:rsid w:val="05694752"/>
    <w:rsid w:val="092105F7"/>
    <w:rsid w:val="0AAC2CDD"/>
    <w:rsid w:val="0CA81E06"/>
    <w:rsid w:val="0D76409E"/>
    <w:rsid w:val="0DD14B25"/>
    <w:rsid w:val="168819B7"/>
    <w:rsid w:val="1719654B"/>
    <w:rsid w:val="20F052F3"/>
    <w:rsid w:val="21AE5CF6"/>
    <w:rsid w:val="23FB325B"/>
    <w:rsid w:val="245A4102"/>
    <w:rsid w:val="2ACC2BBA"/>
    <w:rsid w:val="2C2578CB"/>
    <w:rsid w:val="2E63018E"/>
    <w:rsid w:val="2E8B0409"/>
    <w:rsid w:val="2F9A5946"/>
    <w:rsid w:val="33062754"/>
    <w:rsid w:val="35BB6E36"/>
    <w:rsid w:val="37B66063"/>
    <w:rsid w:val="38B1525D"/>
    <w:rsid w:val="45683979"/>
    <w:rsid w:val="4CC96BD6"/>
    <w:rsid w:val="4CEB1B7C"/>
    <w:rsid w:val="4DEC7461"/>
    <w:rsid w:val="52946FDD"/>
    <w:rsid w:val="56D4209E"/>
    <w:rsid w:val="571526B6"/>
    <w:rsid w:val="6003727A"/>
    <w:rsid w:val="64AF7CA6"/>
    <w:rsid w:val="661204ED"/>
    <w:rsid w:val="6E8A2005"/>
    <w:rsid w:val="702E0619"/>
    <w:rsid w:val="76CF3A0F"/>
    <w:rsid w:val="7A6C73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4.xml"/><Relationship Id="rId98" Type="http://schemas.openxmlformats.org/officeDocument/2006/relationships/footer" Target="footer93.xml"/><Relationship Id="rId97" Type="http://schemas.openxmlformats.org/officeDocument/2006/relationships/footer" Target="footer92.xml"/><Relationship Id="rId96" Type="http://schemas.openxmlformats.org/officeDocument/2006/relationships/footer" Target="footer91.xml"/><Relationship Id="rId95" Type="http://schemas.openxmlformats.org/officeDocument/2006/relationships/footer" Target="footer90.xml"/><Relationship Id="rId94" Type="http://schemas.openxmlformats.org/officeDocument/2006/relationships/footer" Target="footer89.xml"/><Relationship Id="rId93" Type="http://schemas.openxmlformats.org/officeDocument/2006/relationships/footer" Target="footer88.xml"/><Relationship Id="rId92" Type="http://schemas.openxmlformats.org/officeDocument/2006/relationships/footer" Target="footer87.xml"/><Relationship Id="rId91" Type="http://schemas.openxmlformats.org/officeDocument/2006/relationships/footer" Target="footer86.xml"/><Relationship Id="rId90" Type="http://schemas.openxmlformats.org/officeDocument/2006/relationships/footer" Target="footer85.xml"/><Relationship Id="rId9" Type="http://schemas.openxmlformats.org/officeDocument/2006/relationships/footer" Target="footer4.xml"/><Relationship Id="rId89" Type="http://schemas.openxmlformats.org/officeDocument/2006/relationships/footer" Target="footer84.xml"/><Relationship Id="rId88" Type="http://schemas.openxmlformats.org/officeDocument/2006/relationships/footer" Target="footer83.xml"/><Relationship Id="rId87" Type="http://schemas.openxmlformats.org/officeDocument/2006/relationships/footer" Target="footer82.xml"/><Relationship Id="rId86" Type="http://schemas.openxmlformats.org/officeDocument/2006/relationships/footer" Target="footer81.xml"/><Relationship Id="rId85" Type="http://schemas.openxmlformats.org/officeDocument/2006/relationships/footer" Target="footer80.xml"/><Relationship Id="rId84" Type="http://schemas.openxmlformats.org/officeDocument/2006/relationships/footer" Target="footer79.xml"/><Relationship Id="rId83" Type="http://schemas.openxmlformats.org/officeDocument/2006/relationships/footer" Target="footer78.xml"/><Relationship Id="rId82" Type="http://schemas.openxmlformats.org/officeDocument/2006/relationships/footer" Target="footer77.xml"/><Relationship Id="rId81" Type="http://schemas.openxmlformats.org/officeDocument/2006/relationships/footer" Target="footer76.xml"/><Relationship Id="rId80" Type="http://schemas.openxmlformats.org/officeDocument/2006/relationships/footer" Target="footer75.xml"/><Relationship Id="rId8" Type="http://schemas.openxmlformats.org/officeDocument/2006/relationships/footer" Target="footer3.xml"/><Relationship Id="rId79" Type="http://schemas.openxmlformats.org/officeDocument/2006/relationships/footer" Target="footer74.xml"/><Relationship Id="rId78" Type="http://schemas.openxmlformats.org/officeDocument/2006/relationships/footer" Target="footer73.xml"/><Relationship Id="rId77" Type="http://schemas.openxmlformats.org/officeDocument/2006/relationships/footer" Target="footer72.xml"/><Relationship Id="rId76" Type="http://schemas.openxmlformats.org/officeDocument/2006/relationships/footer" Target="footer71.xml"/><Relationship Id="rId75" Type="http://schemas.openxmlformats.org/officeDocument/2006/relationships/footer" Target="footer70.xml"/><Relationship Id="rId74" Type="http://schemas.openxmlformats.org/officeDocument/2006/relationships/footer" Target="footer69.xml"/><Relationship Id="rId73" Type="http://schemas.openxmlformats.org/officeDocument/2006/relationships/footer" Target="footer68.xml"/><Relationship Id="rId72" Type="http://schemas.openxmlformats.org/officeDocument/2006/relationships/footer" Target="footer67.xml"/><Relationship Id="rId71" Type="http://schemas.openxmlformats.org/officeDocument/2006/relationships/footer" Target="footer66.xml"/><Relationship Id="rId70" Type="http://schemas.openxmlformats.org/officeDocument/2006/relationships/footer" Target="footer65.xml"/><Relationship Id="rId7" Type="http://schemas.openxmlformats.org/officeDocument/2006/relationships/footer" Target="footer2.xml"/><Relationship Id="rId69" Type="http://schemas.openxmlformats.org/officeDocument/2006/relationships/footer" Target="footer64.xml"/><Relationship Id="rId68" Type="http://schemas.openxmlformats.org/officeDocument/2006/relationships/footer" Target="footer63.xml"/><Relationship Id="rId67" Type="http://schemas.openxmlformats.org/officeDocument/2006/relationships/footer" Target="footer62.xml"/><Relationship Id="rId66" Type="http://schemas.openxmlformats.org/officeDocument/2006/relationships/footer" Target="footer61.xml"/><Relationship Id="rId65" Type="http://schemas.openxmlformats.org/officeDocument/2006/relationships/footer" Target="footer60.xml"/><Relationship Id="rId64" Type="http://schemas.openxmlformats.org/officeDocument/2006/relationships/footer" Target="footer59.xml"/><Relationship Id="rId63" Type="http://schemas.openxmlformats.org/officeDocument/2006/relationships/footer" Target="footer58.xml"/><Relationship Id="rId62" Type="http://schemas.openxmlformats.org/officeDocument/2006/relationships/footer" Target="footer57.xml"/><Relationship Id="rId61" Type="http://schemas.openxmlformats.org/officeDocument/2006/relationships/footer" Target="footer56.xml"/><Relationship Id="rId60" Type="http://schemas.openxmlformats.org/officeDocument/2006/relationships/footer" Target="footer55.xml"/><Relationship Id="rId6" Type="http://schemas.openxmlformats.org/officeDocument/2006/relationships/footer" Target="footer1.xml"/><Relationship Id="rId59" Type="http://schemas.openxmlformats.org/officeDocument/2006/relationships/footer" Target="footer54.xml"/><Relationship Id="rId58" Type="http://schemas.openxmlformats.org/officeDocument/2006/relationships/footer" Target="footer53.xml"/><Relationship Id="rId57" Type="http://schemas.openxmlformats.org/officeDocument/2006/relationships/footer" Target="footer52.xml"/><Relationship Id="rId56" Type="http://schemas.openxmlformats.org/officeDocument/2006/relationships/footer" Target="footer5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header" Target="head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3" Type="http://schemas.openxmlformats.org/officeDocument/2006/relationships/fontTable" Target="fontTable.xml"/><Relationship Id="rId332" Type="http://schemas.openxmlformats.org/officeDocument/2006/relationships/customXml" Target="../customXml/item1.xml"/><Relationship Id="rId331" Type="http://schemas.openxmlformats.org/officeDocument/2006/relationships/image" Target="media/image26.png"/><Relationship Id="rId330" Type="http://schemas.openxmlformats.org/officeDocument/2006/relationships/image" Target="media/image25.jpeg"/><Relationship Id="rId33" Type="http://schemas.openxmlformats.org/officeDocument/2006/relationships/footer" Target="footer28.xml"/><Relationship Id="rId329" Type="http://schemas.openxmlformats.org/officeDocument/2006/relationships/image" Target="media/image24.jpeg"/><Relationship Id="rId328" Type="http://schemas.openxmlformats.org/officeDocument/2006/relationships/image" Target="media/image23.png"/><Relationship Id="rId327" Type="http://schemas.openxmlformats.org/officeDocument/2006/relationships/image" Target="media/image22.jpeg"/><Relationship Id="rId326" Type="http://schemas.openxmlformats.org/officeDocument/2006/relationships/image" Target="media/image21.jpeg"/><Relationship Id="rId325" Type="http://schemas.openxmlformats.org/officeDocument/2006/relationships/image" Target="media/image20.jpeg"/><Relationship Id="rId324" Type="http://schemas.openxmlformats.org/officeDocument/2006/relationships/image" Target="media/image19.jpeg"/><Relationship Id="rId323" Type="http://schemas.openxmlformats.org/officeDocument/2006/relationships/image" Target="media/image18.jpeg"/><Relationship Id="rId322" Type="http://schemas.openxmlformats.org/officeDocument/2006/relationships/image" Target="media/image17.jpeg"/><Relationship Id="rId321" Type="http://schemas.openxmlformats.org/officeDocument/2006/relationships/image" Target="media/image16.jpeg"/><Relationship Id="rId320" Type="http://schemas.openxmlformats.org/officeDocument/2006/relationships/image" Target="media/image15.png"/><Relationship Id="rId32" Type="http://schemas.openxmlformats.org/officeDocument/2006/relationships/footer" Target="footer27.xml"/><Relationship Id="rId319" Type="http://schemas.openxmlformats.org/officeDocument/2006/relationships/image" Target="media/image14.jpeg"/><Relationship Id="rId318" Type="http://schemas.openxmlformats.org/officeDocument/2006/relationships/image" Target="media/image13.jpeg"/><Relationship Id="rId317" Type="http://schemas.openxmlformats.org/officeDocument/2006/relationships/image" Target="media/image12.jpeg"/><Relationship Id="rId316" Type="http://schemas.openxmlformats.org/officeDocument/2006/relationships/image" Target="media/image11.jpeg"/><Relationship Id="rId315" Type="http://schemas.openxmlformats.org/officeDocument/2006/relationships/image" Target="media/image10.jpeg"/><Relationship Id="rId314" Type="http://schemas.openxmlformats.org/officeDocument/2006/relationships/image" Target="media/image9.jpeg"/><Relationship Id="rId313" Type="http://schemas.openxmlformats.org/officeDocument/2006/relationships/image" Target="media/image8.png"/><Relationship Id="rId312" Type="http://schemas.openxmlformats.org/officeDocument/2006/relationships/image" Target="media/image7.jpeg"/><Relationship Id="rId311" Type="http://schemas.openxmlformats.org/officeDocument/2006/relationships/image" Target="media/image6.jpeg"/><Relationship Id="rId310" Type="http://schemas.openxmlformats.org/officeDocument/2006/relationships/image" Target="media/image5.png"/><Relationship Id="rId31" Type="http://schemas.openxmlformats.org/officeDocument/2006/relationships/footer" Target="footer26.xml"/><Relationship Id="rId309" Type="http://schemas.openxmlformats.org/officeDocument/2006/relationships/image" Target="media/image4.png"/><Relationship Id="rId308" Type="http://schemas.openxmlformats.org/officeDocument/2006/relationships/image" Target="media/image3.png"/><Relationship Id="rId307" Type="http://schemas.openxmlformats.org/officeDocument/2006/relationships/image" Target="media/image2.png"/><Relationship Id="rId306" Type="http://schemas.openxmlformats.org/officeDocument/2006/relationships/image" Target="media/image1.jpeg"/><Relationship Id="rId305" Type="http://schemas.openxmlformats.org/officeDocument/2006/relationships/theme" Target="theme/theme1.xml"/><Relationship Id="rId304" Type="http://schemas.openxmlformats.org/officeDocument/2006/relationships/footer" Target="footer295.xml"/><Relationship Id="rId303" Type="http://schemas.openxmlformats.org/officeDocument/2006/relationships/footer" Target="footer294.xml"/><Relationship Id="rId302" Type="http://schemas.openxmlformats.org/officeDocument/2006/relationships/footer" Target="footer293.xml"/><Relationship Id="rId301" Type="http://schemas.openxmlformats.org/officeDocument/2006/relationships/footer" Target="footer292.xml"/><Relationship Id="rId300" Type="http://schemas.openxmlformats.org/officeDocument/2006/relationships/footer" Target="footer291.xml"/><Relationship Id="rId30" Type="http://schemas.openxmlformats.org/officeDocument/2006/relationships/footer" Target="footer25.xml"/><Relationship Id="rId3" Type="http://schemas.openxmlformats.org/officeDocument/2006/relationships/footnotes" Target="footnotes.xml"/><Relationship Id="rId299" Type="http://schemas.openxmlformats.org/officeDocument/2006/relationships/footer" Target="footer290.xml"/><Relationship Id="rId298" Type="http://schemas.openxmlformats.org/officeDocument/2006/relationships/footer" Target="footer289.xml"/><Relationship Id="rId297" Type="http://schemas.openxmlformats.org/officeDocument/2006/relationships/footer" Target="footer288.xml"/><Relationship Id="rId296" Type="http://schemas.openxmlformats.org/officeDocument/2006/relationships/footer" Target="footer287.xml"/><Relationship Id="rId295" Type="http://schemas.openxmlformats.org/officeDocument/2006/relationships/footer" Target="footer286.xml"/><Relationship Id="rId294" Type="http://schemas.openxmlformats.org/officeDocument/2006/relationships/footer" Target="footer285.xml"/><Relationship Id="rId293" Type="http://schemas.openxmlformats.org/officeDocument/2006/relationships/footer" Target="footer284.xml"/><Relationship Id="rId292" Type="http://schemas.openxmlformats.org/officeDocument/2006/relationships/footer" Target="footer283.xml"/><Relationship Id="rId291" Type="http://schemas.openxmlformats.org/officeDocument/2006/relationships/footer" Target="footer282.xml"/><Relationship Id="rId290" Type="http://schemas.openxmlformats.org/officeDocument/2006/relationships/footer" Target="footer281.xml"/><Relationship Id="rId29" Type="http://schemas.openxmlformats.org/officeDocument/2006/relationships/footer" Target="footer24.xml"/><Relationship Id="rId289" Type="http://schemas.openxmlformats.org/officeDocument/2006/relationships/footer" Target="footer280.xml"/><Relationship Id="rId288" Type="http://schemas.openxmlformats.org/officeDocument/2006/relationships/footer" Target="footer279.xml"/><Relationship Id="rId287" Type="http://schemas.openxmlformats.org/officeDocument/2006/relationships/footer" Target="footer278.xml"/><Relationship Id="rId286" Type="http://schemas.openxmlformats.org/officeDocument/2006/relationships/footer" Target="footer277.xml"/><Relationship Id="rId285" Type="http://schemas.openxmlformats.org/officeDocument/2006/relationships/footer" Target="footer276.xml"/><Relationship Id="rId284" Type="http://schemas.openxmlformats.org/officeDocument/2006/relationships/footer" Target="footer275.xml"/><Relationship Id="rId283" Type="http://schemas.openxmlformats.org/officeDocument/2006/relationships/footer" Target="footer274.xml"/><Relationship Id="rId282" Type="http://schemas.openxmlformats.org/officeDocument/2006/relationships/footer" Target="footer273.xml"/><Relationship Id="rId281" Type="http://schemas.openxmlformats.org/officeDocument/2006/relationships/footer" Target="footer272.xml"/><Relationship Id="rId280" Type="http://schemas.openxmlformats.org/officeDocument/2006/relationships/footer" Target="footer271.xml"/><Relationship Id="rId28" Type="http://schemas.openxmlformats.org/officeDocument/2006/relationships/footer" Target="footer23.xml"/><Relationship Id="rId279" Type="http://schemas.openxmlformats.org/officeDocument/2006/relationships/footer" Target="footer270.xml"/><Relationship Id="rId278" Type="http://schemas.openxmlformats.org/officeDocument/2006/relationships/footer" Target="footer269.xml"/><Relationship Id="rId277" Type="http://schemas.openxmlformats.org/officeDocument/2006/relationships/footer" Target="footer268.xml"/><Relationship Id="rId276" Type="http://schemas.openxmlformats.org/officeDocument/2006/relationships/header" Target="header5.xml"/><Relationship Id="rId275" Type="http://schemas.openxmlformats.org/officeDocument/2006/relationships/footer" Target="footer267.xml"/><Relationship Id="rId274" Type="http://schemas.openxmlformats.org/officeDocument/2006/relationships/header" Target="header4.xml"/><Relationship Id="rId273" Type="http://schemas.openxmlformats.org/officeDocument/2006/relationships/footer" Target="footer266.xml"/><Relationship Id="rId272" Type="http://schemas.openxmlformats.org/officeDocument/2006/relationships/header" Target="header3.xml"/><Relationship Id="rId271" Type="http://schemas.openxmlformats.org/officeDocument/2006/relationships/footer" Target="footer265.xml"/><Relationship Id="rId270" Type="http://schemas.openxmlformats.org/officeDocument/2006/relationships/header" Target="header2.xml"/><Relationship Id="rId27" Type="http://schemas.openxmlformats.org/officeDocument/2006/relationships/footer" Target="footer22.xml"/><Relationship Id="rId269" Type="http://schemas.openxmlformats.org/officeDocument/2006/relationships/footer" Target="footer264.xml"/><Relationship Id="rId268" Type="http://schemas.openxmlformats.org/officeDocument/2006/relationships/footer" Target="footer263.xml"/><Relationship Id="rId267" Type="http://schemas.openxmlformats.org/officeDocument/2006/relationships/footer" Target="footer262.xml"/><Relationship Id="rId266" Type="http://schemas.openxmlformats.org/officeDocument/2006/relationships/footer" Target="footer261.xml"/><Relationship Id="rId265" Type="http://schemas.openxmlformats.org/officeDocument/2006/relationships/footer" Target="footer260.xml"/><Relationship Id="rId264" Type="http://schemas.openxmlformats.org/officeDocument/2006/relationships/footer" Target="footer259.xml"/><Relationship Id="rId263" Type="http://schemas.openxmlformats.org/officeDocument/2006/relationships/footer" Target="footer258.xml"/><Relationship Id="rId262" Type="http://schemas.openxmlformats.org/officeDocument/2006/relationships/footer" Target="footer257.xml"/><Relationship Id="rId261" Type="http://schemas.openxmlformats.org/officeDocument/2006/relationships/footer" Target="footer256.xml"/><Relationship Id="rId260" Type="http://schemas.openxmlformats.org/officeDocument/2006/relationships/footer" Target="footer255.xml"/><Relationship Id="rId26" Type="http://schemas.openxmlformats.org/officeDocument/2006/relationships/footer" Target="footer21.xml"/><Relationship Id="rId259" Type="http://schemas.openxmlformats.org/officeDocument/2006/relationships/footer" Target="footer254.xml"/><Relationship Id="rId258" Type="http://schemas.openxmlformats.org/officeDocument/2006/relationships/footer" Target="footer253.xml"/><Relationship Id="rId257" Type="http://schemas.openxmlformats.org/officeDocument/2006/relationships/footer" Target="footer252.xml"/><Relationship Id="rId256" Type="http://schemas.openxmlformats.org/officeDocument/2006/relationships/footer" Target="footer251.xml"/><Relationship Id="rId255" Type="http://schemas.openxmlformats.org/officeDocument/2006/relationships/footer" Target="footer250.xml"/><Relationship Id="rId254" Type="http://schemas.openxmlformats.org/officeDocument/2006/relationships/footer" Target="footer249.xml"/><Relationship Id="rId253" Type="http://schemas.openxmlformats.org/officeDocument/2006/relationships/footer" Target="footer248.xml"/><Relationship Id="rId252" Type="http://schemas.openxmlformats.org/officeDocument/2006/relationships/footer" Target="footer247.xml"/><Relationship Id="rId251" Type="http://schemas.openxmlformats.org/officeDocument/2006/relationships/footer" Target="footer246.xml"/><Relationship Id="rId250" Type="http://schemas.openxmlformats.org/officeDocument/2006/relationships/footer" Target="footer245.xml"/><Relationship Id="rId25" Type="http://schemas.openxmlformats.org/officeDocument/2006/relationships/footer" Target="footer20.xml"/><Relationship Id="rId249" Type="http://schemas.openxmlformats.org/officeDocument/2006/relationships/footer" Target="footer244.xml"/><Relationship Id="rId248" Type="http://schemas.openxmlformats.org/officeDocument/2006/relationships/footer" Target="footer243.xml"/><Relationship Id="rId247" Type="http://schemas.openxmlformats.org/officeDocument/2006/relationships/footer" Target="footer242.xml"/><Relationship Id="rId246" Type="http://schemas.openxmlformats.org/officeDocument/2006/relationships/footer" Target="footer241.xml"/><Relationship Id="rId245" Type="http://schemas.openxmlformats.org/officeDocument/2006/relationships/footer" Target="footer240.xml"/><Relationship Id="rId244" Type="http://schemas.openxmlformats.org/officeDocument/2006/relationships/footer" Target="footer239.xml"/><Relationship Id="rId243" Type="http://schemas.openxmlformats.org/officeDocument/2006/relationships/footer" Target="footer238.xml"/><Relationship Id="rId242" Type="http://schemas.openxmlformats.org/officeDocument/2006/relationships/footer" Target="footer237.xml"/><Relationship Id="rId241" Type="http://schemas.openxmlformats.org/officeDocument/2006/relationships/footer" Target="footer236.xml"/><Relationship Id="rId240" Type="http://schemas.openxmlformats.org/officeDocument/2006/relationships/footer" Target="footer235.xml"/><Relationship Id="rId24" Type="http://schemas.openxmlformats.org/officeDocument/2006/relationships/footer" Target="footer19.xml"/><Relationship Id="rId239" Type="http://schemas.openxmlformats.org/officeDocument/2006/relationships/footer" Target="footer234.xml"/><Relationship Id="rId238" Type="http://schemas.openxmlformats.org/officeDocument/2006/relationships/footer" Target="footer233.xml"/><Relationship Id="rId237" Type="http://schemas.openxmlformats.org/officeDocument/2006/relationships/footer" Target="footer232.xml"/><Relationship Id="rId236" Type="http://schemas.openxmlformats.org/officeDocument/2006/relationships/footer" Target="footer231.xml"/><Relationship Id="rId235" Type="http://schemas.openxmlformats.org/officeDocument/2006/relationships/footer" Target="footer230.xml"/><Relationship Id="rId234" Type="http://schemas.openxmlformats.org/officeDocument/2006/relationships/footer" Target="footer229.xml"/><Relationship Id="rId233" Type="http://schemas.openxmlformats.org/officeDocument/2006/relationships/footer" Target="footer228.xml"/><Relationship Id="rId232" Type="http://schemas.openxmlformats.org/officeDocument/2006/relationships/footer" Target="footer227.xml"/><Relationship Id="rId231" Type="http://schemas.openxmlformats.org/officeDocument/2006/relationships/footer" Target="footer226.xml"/><Relationship Id="rId230" Type="http://schemas.openxmlformats.org/officeDocument/2006/relationships/footer" Target="footer225.xml"/><Relationship Id="rId23" Type="http://schemas.openxmlformats.org/officeDocument/2006/relationships/footer" Target="footer18.xml"/><Relationship Id="rId229" Type="http://schemas.openxmlformats.org/officeDocument/2006/relationships/footer" Target="footer224.xml"/><Relationship Id="rId228" Type="http://schemas.openxmlformats.org/officeDocument/2006/relationships/footer" Target="footer223.xml"/><Relationship Id="rId227" Type="http://schemas.openxmlformats.org/officeDocument/2006/relationships/footer" Target="footer222.xml"/><Relationship Id="rId226" Type="http://schemas.openxmlformats.org/officeDocument/2006/relationships/footer" Target="footer221.xml"/><Relationship Id="rId225" Type="http://schemas.openxmlformats.org/officeDocument/2006/relationships/footer" Target="footer220.xml"/><Relationship Id="rId224" Type="http://schemas.openxmlformats.org/officeDocument/2006/relationships/footer" Target="footer219.xml"/><Relationship Id="rId223" Type="http://schemas.openxmlformats.org/officeDocument/2006/relationships/footer" Target="footer218.xml"/><Relationship Id="rId222" Type="http://schemas.openxmlformats.org/officeDocument/2006/relationships/footer" Target="footer217.xml"/><Relationship Id="rId221" Type="http://schemas.openxmlformats.org/officeDocument/2006/relationships/footer" Target="footer216.xml"/><Relationship Id="rId220" Type="http://schemas.openxmlformats.org/officeDocument/2006/relationships/footer" Target="footer215.xml"/><Relationship Id="rId22" Type="http://schemas.openxmlformats.org/officeDocument/2006/relationships/footer" Target="footer17.xml"/><Relationship Id="rId219" Type="http://schemas.openxmlformats.org/officeDocument/2006/relationships/footer" Target="footer214.xml"/><Relationship Id="rId218" Type="http://schemas.openxmlformats.org/officeDocument/2006/relationships/footer" Target="footer213.xml"/><Relationship Id="rId217" Type="http://schemas.openxmlformats.org/officeDocument/2006/relationships/footer" Target="footer212.xml"/><Relationship Id="rId216" Type="http://schemas.openxmlformats.org/officeDocument/2006/relationships/footer" Target="footer211.xml"/><Relationship Id="rId215" Type="http://schemas.openxmlformats.org/officeDocument/2006/relationships/footer" Target="footer210.xml"/><Relationship Id="rId214" Type="http://schemas.openxmlformats.org/officeDocument/2006/relationships/footer" Target="footer209.xml"/><Relationship Id="rId213" Type="http://schemas.openxmlformats.org/officeDocument/2006/relationships/footer" Target="footer208.xml"/><Relationship Id="rId212" Type="http://schemas.openxmlformats.org/officeDocument/2006/relationships/footer" Target="footer207.xml"/><Relationship Id="rId211" Type="http://schemas.openxmlformats.org/officeDocument/2006/relationships/footer" Target="footer206.xml"/><Relationship Id="rId210" Type="http://schemas.openxmlformats.org/officeDocument/2006/relationships/footer" Target="footer205.xml"/><Relationship Id="rId21" Type="http://schemas.openxmlformats.org/officeDocument/2006/relationships/footer" Target="footer16.xml"/><Relationship Id="rId209" Type="http://schemas.openxmlformats.org/officeDocument/2006/relationships/footer" Target="footer204.xml"/><Relationship Id="rId208" Type="http://schemas.openxmlformats.org/officeDocument/2006/relationships/footer" Target="footer203.xml"/><Relationship Id="rId207" Type="http://schemas.openxmlformats.org/officeDocument/2006/relationships/footer" Target="footer202.xml"/><Relationship Id="rId206" Type="http://schemas.openxmlformats.org/officeDocument/2006/relationships/footer" Target="footer201.xml"/><Relationship Id="rId205" Type="http://schemas.openxmlformats.org/officeDocument/2006/relationships/footer" Target="footer200.xml"/><Relationship Id="rId204" Type="http://schemas.openxmlformats.org/officeDocument/2006/relationships/footer" Target="footer199.xml"/><Relationship Id="rId203" Type="http://schemas.openxmlformats.org/officeDocument/2006/relationships/footer" Target="footer198.xml"/><Relationship Id="rId202" Type="http://schemas.openxmlformats.org/officeDocument/2006/relationships/footer" Target="footer197.xml"/><Relationship Id="rId201" Type="http://schemas.openxmlformats.org/officeDocument/2006/relationships/footer" Target="footer196.xml"/><Relationship Id="rId200" Type="http://schemas.openxmlformats.org/officeDocument/2006/relationships/footer" Target="footer195.xml"/><Relationship Id="rId20" Type="http://schemas.openxmlformats.org/officeDocument/2006/relationships/footer" Target="footer15.xml"/><Relationship Id="rId2" Type="http://schemas.openxmlformats.org/officeDocument/2006/relationships/settings" Target="settings.xml"/><Relationship Id="rId199" Type="http://schemas.openxmlformats.org/officeDocument/2006/relationships/footer" Target="footer194.xml"/><Relationship Id="rId198" Type="http://schemas.openxmlformats.org/officeDocument/2006/relationships/footer" Target="footer193.xml"/><Relationship Id="rId197" Type="http://schemas.openxmlformats.org/officeDocument/2006/relationships/footer" Target="footer192.xml"/><Relationship Id="rId196" Type="http://schemas.openxmlformats.org/officeDocument/2006/relationships/footer" Target="footer191.xml"/><Relationship Id="rId195" Type="http://schemas.openxmlformats.org/officeDocument/2006/relationships/footer" Target="footer190.xml"/><Relationship Id="rId194" Type="http://schemas.openxmlformats.org/officeDocument/2006/relationships/footer" Target="footer189.xml"/><Relationship Id="rId193" Type="http://schemas.openxmlformats.org/officeDocument/2006/relationships/footer" Target="footer188.xml"/><Relationship Id="rId192" Type="http://schemas.openxmlformats.org/officeDocument/2006/relationships/footer" Target="footer187.xml"/><Relationship Id="rId191" Type="http://schemas.openxmlformats.org/officeDocument/2006/relationships/footer" Target="footer186.xml"/><Relationship Id="rId190" Type="http://schemas.openxmlformats.org/officeDocument/2006/relationships/footer" Target="footer185.xml"/><Relationship Id="rId19" Type="http://schemas.openxmlformats.org/officeDocument/2006/relationships/footer" Target="footer14.xml"/><Relationship Id="rId189" Type="http://schemas.openxmlformats.org/officeDocument/2006/relationships/footer" Target="footer184.xml"/><Relationship Id="rId188" Type="http://schemas.openxmlformats.org/officeDocument/2006/relationships/footer" Target="footer183.xml"/><Relationship Id="rId187" Type="http://schemas.openxmlformats.org/officeDocument/2006/relationships/footer" Target="footer182.xml"/><Relationship Id="rId186" Type="http://schemas.openxmlformats.org/officeDocument/2006/relationships/footer" Target="footer181.xml"/><Relationship Id="rId185" Type="http://schemas.openxmlformats.org/officeDocument/2006/relationships/footer" Target="footer180.xml"/><Relationship Id="rId184" Type="http://schemas.openxmlformats.org/officeDocument/2006/relationships/footer" Target="footer179.xml"/><Relationship Id="rId183" Type="http://schemas.openxmlformats.org/officeDocument/2006/relationships/footer" Target="footer178.xml"/><Relationship Id="rId182" Type="http://schemas.openxmlformats.org/officeDocument/2006/relationships/footer" Target="footer177.xml"/><Relationship Id="rId181" Type="http://schemas.openxmlformats.org/officeDocument/2006/relationships/footer" Target="footer176.xml"/><Relationship Id="rId180" Type="http://schemas.openxmlformats.org/officeDocument/2006/relationships/footer" Target="footer175.xml"/><Relationship Id="rId18" Type="http://schemas.openxmlformats.org/officeDocument/2006/relationships/footer" Target="footer13.xml"/><Relationship Id="rId179" Type="http://schemas.openxmlformats.org/officeDocument/2006/relationships/footer" Target="footer174.xml"/><Relationship Id="rId178" Type="http://schemas.openxmlformats.org/officeDocument/2006/relationships/footer" Target="footer173.xml"/><Relationship Id="rId177" Type="http://schemas.openxmlformats.org/officeDocument/2006/relationships/footer" Target="footer172.xml"/><Relationship Id="rId176" Type="http://schemas.openxmlformats.org/officeDocument/2006/relationships/footer" Target="footer171.xml"/><Relationship Id="rId175" Type="http://schemas.openxmlformats.org/officeDocument/2006/relationships/footer" Target="footer170.xml"/><Relationship Id="rId174" Type="http://schemas.openxmlformats.org/officeDocument/2006/relationships/footer" Target="footer169.xml"/><Relationship Id="rId173" Type="http://schemas.openxmlformats.org/officeDocument/2006/relationships/footer" Target="footer168.xml"/><Relationship Id="rId172" Type="http://schemas.openxmlformats.org/officeDocument/2006/relationships/footer" Target="footer167.xml"/><Relationship Id="rId171" Type="http://schemas.openxmlformats.org/officeDocument/2006/relationships/footer" Target="footer166.xml"/><Relationship Id="rId170" Type="http://schemas.openxmlformats.org/officeDocument/2006/relationships/footer" Target="footer165.xml"/><Relationship Id="rId17" Type="http://schemas.openxmlformats.org/officeDocument/2006/relationships/footer" Target="footer12.xml"/><Relationship Id="rId169" Type="http://schemas.openxmlformats.org/officeDocument/2006/relationships/footer" Target="footer164.xml"/><Relationship Id="rId168" Type="http://schemas.openxmlformats.org/officeDocument/2006/relationships/footer" Target="footer163.xml"/><Relationship Id="rId167" Type="http://schemas.openxmlformats.org/officeDocument/2006/relationships/footer" Target="footer162.xml"/><Relationship Id="rId166" Type="http://schemas.openxmlformats.org/officeDocument/2006/relationships/footer" Target="footer161.xml"/><Relationship Id="rId165" Type="http://schemas.openxmlformats.org/officeDocument/2006/relationships/footer" Target="footer160.xml"/><Relationship Id="rId164" Type="http://schemas.openxmlformats.org/officeDocument/2006/relationships/footer" Target="footer159.xml"/><Relationship Id="rId163" Type="http://schemas.openxmlformats.org/officeDocument/2006/relationships/footer" Target="footer158.xml"/><Relationship Id="rId162" Type="http://schemas.openxmlformats.org/officeDocument/2006/relationships/footer" Target="footer157.xml"/><Relationship Id="rId161" Type="http://schemas.openxmlformats.org/officeDocument/2006/relationships/footer" Target="footer156.xml"/><Relationship Id="rId160" Type="http://schemas.openxmlformats.org/officeDocument/2006/relationships/footer" Target="footer155.xml"/><Relationship Id="rId16" Type="http://schemas.openxmlformats.org/officeDocument/2006/relationships/footer" Target="footer11.xml"/><Relationship Id="rId159" Type="http://schemas.openxmlformats.org/officeDocument/2006/relationships/footer" Target="footer154.xml"/><Relationship Id="rId158" Type="http://schemas.openxmlformats.org/officeDocument/2006/relationships/footer" Target="footer153.xml"/><Relationship Id="rId157" Type="http://schemas.openxmlformats.org/officeDocument/2006/relationships/footer" Target="footer152.xml"/><Relationship Id="rId156" Type="http://schemas.openxmlformats.org/officeDocument/2006/relationships/footer" Target="footer151.xml"/><Relationship Id="rId155" Type="http://schemas.openxmlformats.org/officeDocument/2006/relationships/footer" Target="footer150.xml"/><Relationship Id="rId154" Type="http://schemas.openxmlformats.org/officeDocument/2006/relationships/footer" Target="footer149.xml"/><Relationship Id="rId153" Type="http://schemas.openxmlformats.org/officeDocument/2006/relationships/footer" Target="footer148.xml"/><Relationship Id="rId152" Type="http://schemas.openxmlformats.org/officeDocument/2006/relationships/footer" Target="footer147.xml"/><Relationship Id="rId151" Type="http://schemas.openxmlformats.org/officeDocument/2006/relationships/footer" Target="footer146.xml"/><Relationship Id="rId150" Type="http://schemas.openxmlformats.org/officeDocument/2006/relationships/footer" Target="footer145.xml"/><Relationship Id="rId15" Type="http://schemas.openxmlformats.org/officeDocument/2006/relationships/footer" Target="footer10.xml"/><Relationship Id="rId149" Type="http://schemas.openxmlformats.org/officeDocument/2006/relationships/footer" Target="footer144.xml"/><Relationship Id="rId148" Type="http://schemas.openxmlformats.org/officeDocument/2006/relationships/footer" Target="footer143.xml"/><Relationship Id="rId147" Type="http://schemas.openxmlformats.org/officeDocument/2006/relationships/footer" Target="footer142.xml"/><Relationship Id="rId146" Type="http://schemas.openxmlformats.org/officeDocument/2006/relationships/footer" Target="footer141.xml"/><Relationship Id="rId145" Type="http://schemas.openxmlformats.org/officeDocument/2006/relationships/footer" Target="footer140.xml"/><Relationship Id="rId144" Type="http://schemas.openxmlformats.org/officeDocument/2006/relationships/footer" Target="footer139.xml"/><Relationship Id="rId143" Type="http://schemas.openxmlformats.org/officeDocument/2006/relationships/footer" Target="footer138.xml"/><Relationship Id="rId142" Type="http://schemas.openxmlformats.org/officeDocument/2006/relationships/footer" Target="footer137.xml"/><Relationship Id="rId141" Type="http://schemas.openxmlformats.org/officeDocument/2006/relationships/footer" Target="footer136.xml"/><Relationship Id="rId140" Type="http://schemas.openxmlformats.org/officeDocument/2006/relationships/footer" Target="footer135.xml"/><Relationship Id="rId14" Type="http://schemas.openxmlformats.org/officeDocument/2006/relationships/footer" Target="footer9.xml"/><Relationship Id="rId139" Type="http://schemas.openxmlformats.org/officeDocument/2006/relationships/footer" Target="footer134.xml"/><Relationship Id="rId138" Type="http://schemas.openxmlformats.org/officeDocument/2006/relationships/footer" Target="footer133.xml"/><Relationship Id="rId137" Type="http://schemas.openxmlformats.org/officeDocument/2006/relationships/footer" Target="footer132.xml"/><Relationship Id="rId136" Type="http://schemas.openxmlformats.org/officeDocument/2006/relationships/footer" Target="footer131.xml"/><Relationship Id="rId135" Type="http://schemas.openxmlformats.org/officeDocument/2006/relationships/footer" Target="footer130.xml"/><Relationship Id="rId134" Type="http://schemas.openxmlformats.org/officeDocument/2006/relationships/footer" Target="footer129.xml"/><Relationship Id="rId133" Type="http://schemas.openxmlformats.org/officeDocument/2006/relationships/footer" Target="footer128.xml"/><Relationship Id="rId132" Type="http://schemas.openxmlformats.org/officeDocument/2006/relationships/footer" Target="footer127.xml"/><Relationship Id="rId131" Type="http://schemas.openxmlformats.org/officeDocument/2006/relationships/footer" Target="footer126.xml"/><Relationship Id="rId130" Type="http://schemas.openxmlformats.org/officeDocument/2006/relationships/footer" Target="footer125.xml"/><Relationship Id="rId13" Type="http://schemas.openxmlformats.org/officeDocument/2006/relationships/footer" Target="footer8.xml"/><Relationship Id="rId129" Type="http://schemas.openxmlformats.org/officeDocument/2006/relationships/footer" Target="footer124.xml"/><Relationship Id="rId128" Type="http://schemas.openxmlformats.org/officeDocument/2006/relationships/footer" Target="footer123.xml"/><Relationship Id="rId127" Type="http://schemas.openxmlformats.org/officeDocument/2006/relationships/footer" Target="footer122.xml"/><Relationship Id="rId126" Type="http://schemas.openxmlformats.org/officeDocument/2006/relationships/footer" Target="footer121.xml"/><Relationship Id="rId125" Type="http://schemas.openxmlformats.org/officeDocument/2006/relationships/footer" Target="footer120.xml"/><Relationship Id="rId124" Type="http://schemas.openxmlformats.org/officeDocument/2006/relationships/footer" Target="footer119.xml"/><Relationship Id="rId123" Type="http://schemas.openxmlformats.org/officeDocument/2006/relationships/footer" Target="footer118.xml"/><Relationship Id="rId122" Type="http://schemas.openxmlformats.org/officeDocument/2006/relationships/footer" Target="footer117.xml"/><Relationship Id="rId121" Type="http://schemas.openxmlformats.org/officeDocument/2006/relationships/footer" Target="footer116.xml"/><Relationship Id="rId120" Type="http://schemas.openxmlformats.org/officeDocument/2006/relationships/footer" Target="footer115.xml"/><Relationship Id="rId12" Type="http://schemas.openxmlformats.org/officeDocument/2006/relationships/footer" Target="footer7.xml"/><Relationship Id="rId119" Type="http://schemas.openxmlformats.org/officeDocument/2006/relationships/footer" Target="footer114.xml"/><Relationship Id="rId118" Type="http://schemas.openxmlformats.org/officeDocument/2006/relationships/footer" Target="footer113.xml"/><Relationship Id="rId117" Type="http://schemas.openxmlformats.org/officeDocument/2006/relationships/footer" Target="footer112.xml"/><Relationship Id="rId116" Type="http://schemas.openxmlformats.org/officeDocument/2006/relationships/footer" Target="footer111.xml"/><Relationship Id="rId115" Type="http://schemas.openxmlformats.org/officeDocument/2006/relationships/footer" Target="footer110.xml"/><Relationship Id="rId114" Type="http://schemas.openxmlformats.org/officeDocument/2006/relationships/footer" Target="footer109.xml"/><Relationship Id="rId113" Type="http://schemas.openxmlformats.org/officeDocument/2006/relationships/footer" Target="footer108.xml"/><Relationship Id="rId112" Type="http://schemas.openxmlformats.org/officeDocument/2006/relationships/footer" Target="footer107.xml"/><Relationship Id="rId111" Type="http://schemas.openxmlformats.org/officeDocument/2006/relationships/footer" Target="footer106.xml"/><Relationship Id="rId110" Type="http://schemas.openxmlformats.org/officeDocument/2006/relationships/footer" Target="footer105.xml"/><Relationship Id="rId11" Type="http://schemas.openxmlformats.org/officeDocument/2006/relationships/footer" Target="footer6.xml"/><Relationship Id="rId109" Type="http://schemas.openxmlformats.org/officeDocument/2006/relationships/footer" Target="footer104.xml"/><Relationship Id="rId108" Type="http://schemas.openxmlformats.org/officeDocument/2006/relationships/footer" Target="footer103.xml"/><Relationship Id="rId107" Type="http://schemas.openxmlformats.org/officeDocument/2006/relationships/footer" Target="footer102.xml"/><Relationship Id="rId106" Type="http://schemas.openxmlformats.org/officeDocument/2006/relationships/footer" Target="footer101.xml"/><Relationship Id="rId105" Type="http://schemas.openxmlformats.org/officeDocument/2006/relationships/footer" Target="footer100.xml"/><Relationship Id="rId104" Type="http://schemas.openxmlformats.org/officeDocument/2006/relationships/footer" Target="footer99.xml"/><Relationship Id="rId103" Type="http://schemas.openxmlformats.org/officeDocument/2006/relationships/footer" Target="footer98.xml"/><Relationship Id="rId102" Type="http://schemas.openxmlformats.org/officeDocument/2006/relationships/footer" Target="footer97.xml"/><Relationship Id="rId101" Type="http://schemas.openxmlformats.org/officeDocument/2006/relationships/footer" Target="footer96.xml"/><Relationship Id="rId100" Type="http://schemas.openxmlformats.org/officeDocument/2006/relationships/footer" Target="footer95.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302</Pages>
  <Words>382</Words>
  <Characters>438</Characters>
  <TotalTime>454</TotalTime>
  <ScaleCrop>false</ScaleCrop>
  <LinksUpToDate>false</LinksUpToDate>
  <CharactersWithSpaces>537</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2026-07-22T16:23:00Z</dcterms:created>
  <dc:creator>Administrator</dc:creator>
  <cp:lastModifiedBy>微信用户</cp:lastModifiedBy>
  <cp:lastPrinted>2026-08-17T02:57:00Z</cp:lastPrinted>
  <dcterms:modified xsi:type="dcterms:W3CDTF">2026-08-17T08:11:31Z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2026-07-22T16:23:45Z</vt:filetime>
  </property>
  <property fmtid="{D5CDD505-2E9C-101B-9397-08002B2CF9AE}" pid="4" name="UsrData">
    <vt:lpwstr>6a607dc9d51154001f07f88cwl</vt:lpwstr>
  </property>
  <property fmtid="{D5CDD505-2E9C-101B-9397-08002B2CF9AE}" pid="5" name="KSOTemplateDocerSaveRecord">
    <vt:lpwstr>eyJoZGlkIjoiZjNmZDQ1ODI3ZjNkMzg5OTAzZGIwOTNjNmRhZmMxYTAiLCJ1c2VySWQiOiIxMzY2MDI5NDI4In0=</vt:lpwstr>
  </property>
  <property fmtid="{D5CDD505-2E9C-101B-9397-08002B2CF9AE}" pid="6" name="KSOProductBuildVer">
    <vt:lpwstr>2052-12.1.0.28043</vt:lpwstr>
  </property>
  <property fmtid="{D5CDD505-2E9C-101B-9397-08002B2CF9AE}" pid="7" name="ICV">
    <vt:lpwstr>C0510419958344E18E52C7C45BF3D8C7_12</vt:lpwstr>
  </property>
</Properties>
</file>